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988E36" w14:textId="77777777" w:rsidR="005D262E" w:rsidRPr="003E734B" w:rsidRDefault="005D262E" w:rsidP="005D262E">
      <w:pPr>
        <w:rPr>
          <w:rFonts w:ascii="Arial" w:hAnsi="Arial" w:cs="Arial"/>
          <w:b/>
          <w:bCs/>
          <w:color w:val="000000" w:themeColor="text1"/>
        </w:rPr>
      </w:pPr>
      <w:r w:rsidRPr="003E734B">
        <w:rPr>
          <w:rFonts w:ascii="Arial" w:hAnsi="Arial" w:cs="Arial"/>
          <w:b/>
          <w:bCs/>
          <w:color w:val="000000" w:themeColor="text1"/>
        </w:rPr>
        <w:t>Proposed Title</w:t>
      </w:r>
    </w:p>
    <w:p w14:paraId="45946C42" w14:textId="77777777" w:rsidR="005D262E" w:rsidRPr="003E734B" w:rsidRDefault="005D262E" w:rsidP="005D262E">
      <w:pPr>
        <w:rPr>
          <w:rFonts w:ascii="Arial" w:hAnsi="Arial" w:cs="Arial"/>
          <w:b/>
          <w:bCs/>
          <w:color w:val="000000" w:themeColor="text1"/>
        </w:rPr>
      </w:pPr>
      <w:r w:rsidRPr="003E734B">
        <w:rPr>
          <w:rFonts w:ascii="Arial" w:hAnsi="Arial" w:cs="Arial"/>
          <w:b/>
          <w:bCs/>
          <w:color w:val="000000" w:themeColor="text1"/>
        </w:rPr>
        <w:t>From Policy to Practice: Mature Students’ Experiences of Widening Participation and Lecturers’ Understandings in One South Wales Institution</w:t>
      </w:r>
    </w:p>
    <w:p w14:paraId="6A09F41E" w14:textId="77777777" w:rsidR="005D262E" w:rsidRDefault="005D262E" w:rsidP="005D262E">
      <w:pPr>
        <w:rPr>
          <w:rFonts w:ascii="Arial" w:hAnsi="Arial" w:cs="Arial"/>
          <w:b/>
          <w:bCs/>
          <w:color w:val="000000" w:themeColor="text1"/>
        </w:rPr>
      </w:pPr>
    </w:p>
    <w:p w14:paraId="1AE7226E" w14:textId="77777777" w:rsidR="005D262E" w:rsidRPr="003E734B" w:rsidRDefault="005D262E" w:rsidP="005D262E">
      <w:pPr>
        <w:rPr>
          <w:rFonts w:ascii="Arial" w:hAnsi="Arial" w:cs="Arial"/>
          <w:b/>
          <w:bCs/>
          <w:color w:val="000000" w:themeColor="text1"/>
        </w:rPr>
      </w:pPr>
      <w:r w:rsidRPr="003E734B">
        <w:rPr>
          <w:rFonts w:ascii="Arial" w:hAnsi="Arial" w:cs="Arial"/>
          <w:b/>
          <w:bCs/>
          <w:color w:val="000000" w:themeColor="text1"/>
        </w:rPr>
        <w:t>Background and Context</w:t>
      </w:r>
    </w:p>
    <w:p w14:paraId="30208F48" w14:textId="77777777" w:rsidR="005D262E" w:rsidRPr="003E734B" w:rsidRDefault="005D262E" w:rsidP="005D262E">
      <w:pPr>
        <w:rPr>
          <w:rFonts w:ascii="Arial" w:hAnsi="Arial" w:cs="Arial"/>
          <w:color w:val="000000" w:themeColor="text1"/>
        </w:rPr>
      </w:pPr>
      <w:r w:rsidRPr="003E734B">
        <w:rPr>
          <w:rFonts w:ascii="Arial" w:hAnsi="Arial" w:cs="Arial"/>
          <w:color w:val="000000" w:themeColor="text1"/>
        </w:rPr>
        <w:t xml:space="preserve">Widening participation in higher education (HE) has been a central focus </w:t>
      </w:r>
      <w:r>
        <w:rPr>
          <w:rFonts w:ascii="Arial" w:hAnsi="Arial" w:cs="Arial"/>
          <w:color w:val="000000" w:themeColor="text1"/>
        </w:rPr>
        <w:t>for universities for many years, not least to fulfil</w:t>
      </w:r>
      <w:r w:rsidRPr="003E734B">
        <w:rPr>
          <w:rFonts w:ascii="Arial" w:hAnsi="Arial" w:cs="Arial"/>
          <w:color w:val="000000" w:themeColor="text1"/>
        </w:rPr>
        <w:t xml:space="preserve"> the recommendations of the 1997 Dearing Report to expand access for underrepresented groups (National Committee of Inquiry into Higher Education, 1997). Over decades, an increasing number of widening participation (WP) mature students have entered HE, an academic environment previously associated with more traditional 18 to 21-year-old students who generally arrived through A levels and BTECs, straight from sixth form and college.</w:t>
      </w:r>
    </w:p>
    <w:p w14:paraId="6C259545" w14:textId="77777777" w:rsidR="005D262E" w:rsidRPr="003E734B" w:rsidRDefault="005D262E" w:rsidP="005D262E">
      <w:pPr>
        <w:rPr>
          <w:rFonts w:ascii="Arial" w:hAnsi="Arial" w:cs="Arial"/>
          <w:color w:val="000000" w:themeColor="text1"/>
        </w:rPr>
      </w:pPr>
      <w:r>
        <w:rPr>
          <w:rFonts w:ascii="Arial" w:hAnsi="Arial" w:cs="Arial"/>
          <w:color w:val="000000" w:themeColor="text1"/>
        </w:rPr>
        <w:t>R</w:t>
      </w:r>
      <w:r w:rsidRPr="003E734B">
        <w:rPr>
          <w:rFonts w:ascii="Arial" w:hAnsi="Arial" w:cs="Arial"/>
          <w:color w:val="000000" w:themeColor="text1"/>
        </w:rPr>
        <w:t xml:space="preserve">ecent review work suggests that research into how WP mature students are understood in a HE environment has </w:t>
      </w:r>
      <w:r>
        <w:rPr>
          <w:rFonts w:ascii="Arial" w:hAnsi="Arial" w:cs="Arial"/>
          <w:color w:val="000000" w:themeColor="text1"/>
        </w:rPr>
        <w:t>focused on</w:t>
      </w:r>
      <w:r w:rsidRPr="003E734B">
        <w:rPr>
          <w:rFonts w:ascii="Arial" w:hAnsi="Arial" w:cs="Arial"/>
          <w:color w:val="000000" w:themeColor="text1"/>
        </w:rPr>
        <w:t xml:space="preserve"> access, outreach, and entry </w:t>
      </w:r>
      <w:r>
        <w:rPr>
          <w:rFonts w:ascii="Arial" w:hAnsi="Arial" w:cs="Arial"/>
          <w:color w:val="000000" w:themeColor="text1"/>
        </w:rPr>
        <w:t xml:space="preserve">rather </w:t>
      </w:r>
      <w:r w:rsidRPr="003E734B">
        <w:rPr>
          <w:rFonts w:ascii="Arial" w:hAnsi="Arial" w:cs="Arial"/>
          <w:color w:val="000000" w:themeColor="text1"/>
        </w:rPr>
        <w:t>than on what happens once students arrive, leaving post-entry experience, support, and longer-term outcomes less fully examined (Negrea &amp; Gartland, 2025; O'Toole et al., 2024; Tham et al., 2023).</w:t>
      </w:r>
      <w:r>
        <w:rPr>
          <w:rFonts w:ascii="Arial" w:hAnsi="Arial" w:cs="Arial"/>
          <w:color w:val="000000" w:themeColor="text1"/>
        </w:rPr>
        <w:t xml:space="preserve"> </w:t>
      </w:r>
      <w:r w:rsidRPr="003E734B">
        <w:rPr>
          <w:rFonts w:ascii="Arial" w:hAnsi="Arial" w:cs="Arial"/>
          <w:color w:val="000000" w:themeColor="text1"/>
        </w:rPr>
        <w:t>Put simply, there is much research on getting WP students into HE, but considerably less on what happens once they arrive</w:t>
      </w:r>
      <w:r>
        <w:rPr>
          <w:rFonts w:ascii="Arial" w:hAnsi="Arial" w:cs="Arial"/>
          <w:color w:val="000000" w:themeColor="text1"/>
        </w:rPr>
        <w:t xml:space="preserve">. Research areas such as </w:t>
      </w:r>
      <w:r w:rsidRPr="003E734B">
        <w:rPr>
          <w:rFonts w:ascii="Arial" w:hAnsi="Arial" w:cs="Arial"/>
          <w:color w:val="000000" w:themeColor="text1"/>
        </w:rPr>
        <w:t xml:space="preserve">whether students feel they belong, </w:t>
      </w:r>
      <w:r>
        <w:rPr>
          <w:rFonts w:ascii="Arial" w:hAnsi="Arial" w:cs="Arial"/>
          <w:color w:val="000000" w:themeColor="text1"/>
        </w:rPr>
        <w:t xml:space="preserve">whether they </w:t>
      </w:r>
      <w:r w:rsidRPr="003E734B">
        <w:rPr>
          <w:rFonts w:ascii="Arial" w:hAnsi="Arial" w:cs="Arial"/>
          <w:color w:val="000000" w:themeColor="text1"/>
        </w:rPr>
        <w:t xml:space="preserve">experience their presence as legitimate, </w:t>
      </w:r>
      <w:r>
        <w:rPr>
          <w:rFonts w:ascii="Arial" w:hAnsi="Arial" w:cs="Arial"/>
          <w:color w:val="000000" w:themeColor="text1"/>
        </w:rPr>
        <w:t xml:space="preserve">to what extent they </w:t>
      </w:r>
      <w:r w:rsidRPr="003E734B">
        <w:rPr>
          <w:rFonts w:ascii="Arial" w:hAnsi="Arial" w:cs="Arial"/>
          <w:color w:val="000000" w:themeColor="text1"/>
        </w:rPr>
        <w:t xml:space="preserve">participate on equal terms, and </w:t>
      </w:r>
      <w:r>
        <w:rPr>
          <w:rFonts w:ascii="Arial" w:hAnsi="Arial" w:cs="Arial"/>
          <w:color w:val="000000" w:themeColor="text1"/>
        </w:rPr>
        <w:t xml:space="preserve">how they </w:t>
      </w:r>
      <w:r w:rsidRPr="003E734B">
        <w:rPr>
          <w:rFonts w:ascii="Arial" w:hAnsi="Arial" w:cs="Arial"/>
          <w:color w:val="000000" w:themeColor="text1"/>
        </w:rPr>
        <w:t>experience themselves as recognised members of the academic community</w:t>
      </w:r>
      <w:r>
        <w:rPr>
          <w:rFonts w:ascii="Arial" w:hAnsi="Arial" w:cs="Arial"/>
          <w:color w:val="000000" w:themeColor="text1"/>
        </w:rPr>
        <w:t xml:space="preserve"> </w:t>
      </w:r>
      <w:r w:rsidRPr="00310D0E">
        <w:rPr>
          <w:rFonts w:ascii="Arial" w:hAnsi="Arial" w:cs="Arial"/>
          <w:color w:val="000000" w:themeColor="text1"/>
        </w:rPr>
        <w:t>represent a significant gap in the existing literature</w:t>
      </w:r>
      <w:r>
        <w:rPr>
          <w:rFonts w:ascii="Arial" w:hAnsi="Arial" w:cs="Arial"/>
          <w:color w:val="000000" w:themeColor="text1"/>
        </w:rPr>
        <w:t xml:space="preserve">. </w:t>
      </w:r>
      <w:r w:rsidRPr="003E734B">
        <w:rPr>
          <w:rFonts w:ascii="Arial" w:hAnsi="Arial" w:cs="Arial"/>
          <w:color w:val="000000" w:themeColor="text1"/>
        </w:rPr>
        <w:t xml:space="preserve">A </w:t>
      </w:r>
      <w:r>
        <w:rPr>
          <w:rFonts w:ascii="Arial" w:hAnsi="Arial" w:cs="Arial"/>
          <w:color w:val="000000" w:themeColor="text1"/>
        </w:rPr>
        <w:t xml:space="preserve">relevant </w:t>
      </w:r>
      <w:r w:rsidRPr="003E734B">
        <w:rPr>
          <w:rFonts w:ascii="Arial" w:hAnsi="Arial" w:cs="Arial"/>
          <w:color w:val="000000" w:themeColor="text1"/>
        </w:rPr>
        <w:t>study concerned with widening participation, therefore, needs to move beyond recruitment and ask how participation for WP mature students is lived after entry.</w:t>
      </w:r>
    </w:p>
    <w:p w14:paraId="78DC6948" w14:textId="006992EF" w:rsidR="005D262E" w:rsidRPr="00A70DB9" w:rsidRDefault="005D262E" w:rsidP="005D262E">
      <w:pPr>
        <w:rPr>
          <w:rFonts w:ascii="Arial" w:hAnsi="Arial" w:cs="Arial"/>
          <w:color w:val="000000" w:themeColor="text1"/>
        </w:rPr>
      </w:pPr>
      <w:r w:rsidRPr="00A70DB9">
        <w:rPr>
          <w:rFonts w:ascii="Arial" w:hAnsi="Arial" w:cs="Arial"/>
          <w:color w:val="000000" w:themeColor="text1"/>
        </w:rPr>
        <w:t xml:space="preserve">The financial and reputational implications further strengthen the case for understanding mature students' contribution to HE. </w:t>
      </w:r>
      <w:proofErr w:type="spellStart"/>
      <w:r w:rsidRPr="00A70DB9">
        <w:rPr>
          <w:rFonts w:ascii="Arial" w:hAnsi="Arial" w:cs="Arial"/>
          <w:color w:val="000000" w:themeColor="text1"/>
        </w:rPr>
        <w:t>HESA</w:t>
      </w:r>
      <w:proofErr w:type="spellEnd"/>
      <w:r w:rsidRPr="00A70DB9">
        <w:rPr>
          <w:rFonts w:ascii="Arial" w:hAnsi="Arial" w:cs="Arial"/>
          <w:color w:val="000000" w:themeColor="text1"/>
        </w:rPr>
        <w:t xml:space="preserve"> reports that UK </w:t>
      </w:r>
      <w:r>
        <w:rPr>
          <w:rFonts w:ascii="Arial" w:hAnsi="Arial" w:cs="Arial"/>
          <w:color w:val="000000" w:themeColor="text1"/>
        </w:rPr>
        <w:t>HE</w:t>
      </w:r>
      <w:r w:rsidRPr="00A70DB9">
        <w:rPr>
          <w:rFonts w:ascii="Arial" w:hAnsi="Arial" w:cs="Arial"/>
          <w:color w:val="000000" w:themeColor="text1"/>
        </w:rPr>
        <w:t xml:space="preserve"> enrolments stood at 2,863,180 in 2024/25, and while mature applicants aged 21 and over declined at the January equal consideration point, they still accounted for 57,570 applicants in 2026, indicating that mature learners remain a substantial presence within contemporary </w:t>
      </w:r>
      <w:r>
        <w:rPr>
          <w:rFonts w:ascii="Arial" w:hAnsi="Arial" w:cs="Arial"/>
          <w:color w:val="000000" w:themeColor="text1"/>
        </w:rPr>
        <w:t>HE</w:t>
      </w:r>
      <w:r w:rsidRPr="00A70DB9">
        <w:rPr>
          <w:rFonts w:ascii="Arial" w:hAnsi="Arial" w:cs="Arial"/>
          <w:color w:val="000000" w:themeColor="text1"/>
        </w:rPr>
        <w:t xml:space="preserve"> (</w:t>
      </w:r>
      <w:proofErr w:type="spellStart"/>
      <w:r w:rsidRPr="00A70DB9">
        <w:rPr>
          <w:rFonts w:ascii="Arial" w:hAnsi="Arial" w:cs="Arial"/>
          <w:color w:val="000000" w:themeColor="text1"/>
        </w:rPr>
        <w:t>HESA</w:t>
      </w:r>
      <w:proofErr w:type="spellEnd"/>
      <w:r w:rsidRPr="00A70DB9">
        <w:rPr>
          <w:rFonts w:ascii="Arial" w:hAnsi="Arial" w:cs="Arial"/>
          <w:color w:val="000000" w:themeColor="text1"/>
        </w:rPr>
        <w:t>, 2026; UCAS, 2025, 2026). Universities UK (2024) and the Office for Students (2024) describe</w:t>
      </w:r>
      <w:r w:rsidR="0046789F">
        <w:rPr>
          <w:rFonts w:ascii="Arial" w:hAnsi="Arial" w:cs="Arial"/>
          <w:color w:val="000000" w:themeColor="text1"/>
        </w:rPr>
        <w:t>d</w:t>
      </w:r>
      <w:r w:rsidRPr="00A70DB9">
        <w:rPr>
          <w:rFonts w:ascii="Arial" w:hAnsi="Arial" w:cs="Arial"/>
          <w:color w:val="000000" w:themeColor="text1"/>
        </w:rPr>
        <w:t xml:space="preserve"> a sector under pressure from rising costs, constrained funding, and declining real-terms teaching income. In such conditions, recruitment without retention has limited value. Widening participation students are not important only because they widen access; their continuation, completion, attainment, and progression increasingly contribute to both institutional sustainability and institutional standing. The Office for Students' access and participation framework makes this explicit, reminding institutions of the importance of treating widening participation as a student lifecycle issue rather than an admissions issue alone (Office for Students, 2026).</w:t>
      </w:r>
    </w:p>
    <w:p w14:paraId="3ABFDAAE" w14:textId="77777777" w:rsidR="005D262E" w:rsidRPr="003E734B" w:rsidRDefault="005D262E" w:rsidP="005D262E">
      <w:pPr>
        <w:rPr>
          <w:rFonts w:ascii="Arial" w:hAnsi="Arial" w:cs="Arial"/>
          <w:color w:val="000000" w:themeColor="text1"/>
        </w:rPr>
      </w:pPr>
      <w:r w:rsidRPr="003E734B">
        <w:rPr>
          <w:rFonts w:ascii="Arial" w:hAnsi="Arial" w:cs="Arial"/>
          <w:color w:val="000000" w:themeColor="text1"/>
        </w:rPr>
        <w:lastRenderedPageBreak/>
        <w:t xml:space="preserve">This study focuses specifically on mature students who also meet widening participation criteria. </w:t>
      </w:r>
      <w:r w:rsidRPr="00310D0E">
        <w:rPr>
          <w:rFonts w:ascii="Arial" w:hAnsi="Arial" w:cs="Arial"/>
          <w:color w:val="000000" w:themeColor="text1"/>
        </w:rPr>
        <w:t xml:space="preserve">This deliberately narrows </w:t>
      </w:r>
      <w:r>
        <w:rPr>
          <w:rFonts w:ascii="Arial" w:hAnsi="Arial" w:cs="Arial"/>
          <w:color w:val="000000" w:themeColor="text1"/>
        </w:rPr>
        <w:t xml:space="preserve">what otherwise would be a much </w:t>
      </w:r>
      <w:r w:rsidRPr="00310D0E">
        <w:rPr>
          <w:rFonts w:ascii="Arial" w:hAnsi="Arial" w:cs="Arial"/>
          <w:color w:val="000000" w:themeColor="text1"/>
        </w:rPr>
        <w:t>wider study. Non-traditional students are a broad group, and key differences can be lost when trying to understand one specific group</w:t>
      </w:r>
      <w:r>
        <w:rPr>
          <w:rFonts w:ascii="Arial" w:hAnsi="Arial" w:cs="Arial"/>
          <w:color w:val="000000" w:themeColor="text1"/>
        </w:rPr>
        <w:t>.</w:t>
      </w:r>
      <w:r w:rsidRPr="003E734B">
        <w:rPr>
          <w:rFonts w:ascii="Arial" w:hAnsi="Arial" w:cs="Arial"/>
          <w:color w:val="000000" w:themeColor="text1"/>
        </w:rPr>
        <w:t xml:space="preserve"> For the purposes of this study, mature students are defined as those aged 21 or over at entry, and widening participation criteria refer to indicators such as socio-economic disadvantage, first-generation participation, low participation neighbourhood residence, care experience, or entry through non-traditional educational routes, in line with Welsh access and participation frameworks (HEFCW, 2024; Medr, 2025).</w:t>
      </w:r>
    </w:p>
    <w:p w14:paraId="6D3511DC" w14:textId="77777777" w:rsidR="005D262E" w:rsidRPr="003E734B" w:rsidRDefault="005D262E" w:rsidP="005D262E">
      <w:pPr>
        <w:rPr>
          <w:rFonts w:ascii="Arial" w:hAnsi="Arial" w:cs="Arial"/>
          <w:color w:val="000000" w:themeColor="text1"/>
        </w:rPr>
      </w:pPr>
      <w:r w:rsidRPr="003E734B">
        <w:rPr>
          <w:rFonts w:ascii="Arial" w:hAnsi="Arial" w:cs="Arial"/>
          <w:color w:val="000000" w:themeColor="text1"/>
        </w:rPr>
        <w:t xml:space="preserve">Mature students, while diverse, often arrive at HE through non-linear educational routes, prior employment histories, caring responsibilities, and more complex negotiations between study and everyday life. Research suggests that their engagement with </w:t>
      </w:r>
      <w:r>
        <w:rPr>
          <w:rFonts w:ascii="Arial" w:hAnsi="Arial" w:cs="Arial"/>
          <w:color w:val="000000" w:themeColor="text1"/>
        </w:rPr>
        <w:t>HE</w:t>
      </w:r>
      <w:r w:rsidRPr="003E734B">
        <w:rPr>
          <w:rFonts w:ascii="Arial" w:hAnsi="Arial" w:cs="Arial"/>
          <w:color w:val="000000" w:themeColor="text1"/>
        </w:rPr>
        <w:t xml:space="preserve"> is frequently negotiated rather than assumed, and that institutional belonging, support, and legitimacy can be especially significant for this group (Allen et al., 2024; Crawford &amp; McKenzie, 2023; Hayman et al., 2024; Mallman &amp; Lee, 2016). This makes mature students a coherent and defensible focus for a small-scale doctoral study.</w:t>
      </w:r>
    </w:p>
    <w:p w14:paraId="27FB1E28" w14:textId="77777777" w:rsidR="005D262E" w:rsidRPr="003E734B" w:rsidRDefault="005D262E" w:rsidP="005D262E">
      <w:pPr>
        <w:rPr>
          <w:rFonts w:ascii="Arial" w:hAnsi="Arial" w:cs="Arial"/>
          <w:color w:val="000000" w:themeColor="text1"/>
        </w:rPr>
      </w:pPr>
      <w:r w:rsidRPr="003E734B">
        <w:rPr>
          <w:rFonts w:ascii="Arial" w:hAnsi="Arial" w:cs="Arial"/>
          <w:color w:val="000000" w:themeColor="text1"/>
        </w:rPr>
        <w:t xml:space="preserve">Using a Welsh context, rather than a wider UK study, is also </w:t>
      </w:r>
      <w:r>
        <w:rPr>
          <w:rFonts w:ascii="Arial" w:hAnsi="Arial" w:cs="Arial"/>
          <w:color w:val="000000" w:themeColor="text1"/>
        </w:rPr>
        <w:t>intentional</w:t>
      </w:r>
      <w:r w:rsidRPr="003E734B">
        <w:rPr>
          <w:rFonts w:ascii="Arial" w:hAnsi="Arial" w:cs="Arial"/>
          <w:color w:val="000000" w:themeColor="text1"/>
        </w:rPr>
        <w:t>. Uniquely within the UK, Welsh policy increasingly frames widening participation across the learner journey, including wellbeing, attainment, progression, and learner voice, rather than through access alone (Medr, 2025; Welsh Government, 2024). However, students do not encounter policy directly; they encounter it through teaching, support structures, institutional expectations, and everyday relationships with academic staff.</w:t>
      </w:r>
      <w:r>
        <w:rPr>
          <w:rFonts w:ascii="Arial" w:hAnsi="Arial" w:cs="Arial"/>
          <w:color w:val="000000" w:themeColor="text1"/>
        </w:rPr>
        <w:t xml:space="preserve"> </w:t>
      </w:r>
      <w:r w:rsidRPr="003E734B">
        <w:rPr>
          <w:rFonts w:ascii="Arial" w:hAnsi="Arial" w:cs="Arial"/>
          <w:color w:val="000000" w:themeColor="text1"/>
        </w:rPr>
        <w:t xml:space="preserve">This is closely connected to my professional practice, where I work with adult and non-traditional learners and see firsthand how policies, translated by institutions, shape mature students' ongoing participation after entry. The study is therefore worth </w:t>
      </w:r>
      <w:r>
        <w:rPr>
          <w:rFonts w:ascii="Arial" w:hAnsi="Arial" w:cs="Arial"/>
          <w:color w:val="000000" w:themeColor="text1"/>
        </w:rPr>
        <w:t>conducting</w:t>
      </w:r>
      <w:r w:rsidRPr="003E734B">
        <w:rPr>
          <w:rFonts w:ascii="Arial" w:hAnsi="Arial" w:cs="Arial"/>
          <w:color w:val="000000" w:themeColor="text1"/>
        </w:rPr>
        <w:t xml:space="preserve"> because it addresses a potential discrepancy </w:t>
      </w:r>
      <w:r>
        <w:rPr>
          <w:rFonts w:ascii="Arial" w:hAnsi="Arial" w:cs="Arial"/>
          <w:color w:val="000000" w:themeColor="text1"/>
        </w:rPr>
        <w:t>among policy ambition, institutional interpretation, and, as the study's primary focus</w:t>
      </w:r>
      <w:r w:rsidRPr="003E734B">
        <w:rPr>
          <w:rFonts w:ascii="Arial" w:hAnsi="Arial" w:cs="Arial"/>
          <w:color w:val="000000" w:themeColor="text1"/>
        </w:rPr>
        <w:t xml:space="preserve">, the lived experience of students. </w:t>
      </w:r>
      <w:r>
        <w:rPr>
          <w:rFonts w:ascii="Arial" w:hAnsi="Arial" w:cs="Arial"/>
          <w:color w:val="000000" w:themeColor="text1"/>
        </w:rPr>
        <w:t>Carrying out the study may provide</w:t>
      </w:r>
      <w:r w:rsidRPr="003E734B">
        <w:rPr>
          <w:rFonts w:ascii="Arial" w:hAnsi="Arial" w:cs="Arial"/>
          <w:color w:val="000000" w:themeColor="text1"/>
        </w:rPr>
        <w:t xml:space="preserve"> insights that inform teaching, support, and institutional practice in one South Wales </w:t>
      </w:r>
      <w:r>
        <w:rPr>
          <w:rFonts w:ascii="Arial" w:hAnsi="Arial" w:cs="Arial"/>
          <w:color w:val="000000" w:themeColor="text1"/>
        </w:rPr>
        <w:t>HE</w:t>
      </w:r>
      <w:r w:rsidRPr="003E734B">
        <w:rPr>
          <w:rFonts w:ascii="Arial" w:hAnsi="Arial" w:cs="Arial"/>
          <w:color w:val="000000" w:themeColor="text1"/>
        </w:rPr>
        <w:t xml:space="preserve"> </w:t>
      </w:r>
      <w:proofErr w:type="gramStart"/>
      <w:r w:rsidRPr="003E734B">
        <w:rPr>
          <w:rFonts w:ascii="Arial" w:hAnsi="Arial" w:cs="Arial"/>
          <w:color w:val="000000" w:themeColor="text1"/>
        </w:rPr>
        <w:t>setting</w:t>
      </w:r>
      <w:proofErr w:type="gramEnd"/>
      <w:r w:rsidRPr="003E734B">
        <w:rPr>
          <w:rFonts w:ascii="Arial" w:hAnsi="Arial" w:cs="Arial"/>
          <w:color w:val="000000" w:themeColor="text1"/>
        </w:rPr>
        <w:t>.</w:t>
      </w:r>
    </w:p>
    <w:p w14:paraId="67C0BA79" w14:textId="77777777" w:rsidR="005D262E" w:rsidRDefault="005D262E" w:rsidP="005D262E">
      <w:pPr>
        <w:rPr>
          <w:rFonts w:ascii="Arial" w:hAnsi="Arial" w:cs="Arial"/>
          <w:color w:val="000000" w:themeColor="text1"/>
        </w:rPr>
      </w:pPr>
    </w:p>
    <w:p w14:paraId="67BE9AE8" w14:textId="77777777" w:rsidR="005D262E" w:rsidRPr="003E734B" w:rsidRDefault="005D262E" w:rsidP="005D262E">
      <w:pPr>
        <w:rPr>
          <w:rFonts w:ascii="Arial" w:hAnsi="Arial" w:cs="Arial"/>
          <w:b/>
          <w:bCs/>
          <w:color w:val="000000" w:themeColor="text1"/>
        </w:rPr>
      </w:pPr>
      <w:r w:rsidRPr="003E734B">
        <w:rPr>
          <w:rFonts w:ascii="Arial" w:hAnsi="Arial" w:cs="Arial"/>
          <w:b/>
          <w:bCs/>
          <w:color w:val="000000" w:themeColor="text1"/>
        </w:rPr>
        <w:t>Aim and Objectives</w:t>
      </w:r>
    </w:p>
    <w:p w14:paraId="1649A627" w14:textId="77777777" w:rsidR="005D262E" w:rsidRPr="003E734B" w:rsidRDefault="005D262E" w:rsidP="005D262E">
      <w:pPr>
        <w:rPr>
          <w:rFonts w:ascii="Arial" w:hAnsi="Arial" w:cs="Arial"/>
          <w:color w:val="000000" w:themeColor="text1"/>
        </w:rPr>
      </w:pPr>
      <w:r w:rsidRPr="003E734B">
        <w:rPr>
          <w:rFonts w:ascii="Arial" w:hAnsi="Arial" w:cs="Arial"/>
          <w:color w:val="000000" w:themeColor="text1"/>
        </w:rPr>
        <w:t xml:space="preserve">The primary aim of this study is to understand how mature students who meet widening participation criteria experience </w:t>
      </w:r>
      <w:r>
        <w:rPr>
          <w:rFonts w:ascii="Arial" w:hAnsi="Arial" w:cs="Arial"/>
          <w:color w:val="000000" w:themeColor="text1"/>
        </w:rPr>
        <w:t>HE</w:t>
      </w:r>
      <w:r w:rsidRPr="003E734B">
        <w:rPr>
          <w:rFonts w:ascii="Arial" w:hAnsi="Arial" w:cs="Arial"/>
          <w:color w:val="000000" w:themeColor="text1"/>
        </w:rPr>
        <w:t xml:space="preserve"> at a South Wales institution, </w:t>
      </w:r>
      <w:r>
        <w:rPr>
          <w:rFonts w:ascii="Arial" w:hAnsi="Arial" w:cs="Arial"/>
          <w:color w:val="000000" w:themeColor="text1"/>
        </w:rPr>
        <w:t>whilst considering</w:t>
      </w:r>
      <w:r w:rsidRPr="003E734B">
        <w:rPr>
          <w:rFonts w:ascii="Arial" w:hAnsi="Arial" w:cs="Arial"/>
          <w:color w:val="000000" w:themeColor="text1"/>
        </w:rPr>
        <w:t xml:space="preserve"> how widening participation policy at a national and institutional level, and lecturers' understandings, shape the conditions of that experience.</w:t>
      </w:r>
    </w:p>
    <w:p w14:paraId="2277E0EA" w14:textId="77777777" w:rsidR="005D262E" w:rsidRPr="00623C13" w:rsidRDefault="005D262E" w:rsidP="005D262E">
      <w:pPr>
        <w:rPr>
          <w:rFonts w:ascii="Arial" w:hAnsi="Arial" w:cs="Arial"/>
          <w:color w:val="000000" w:themeColor="text1"/>
        </w:rPr>
      </w:pPr>
      <w:r w:rsidRPr="00623C13">
        <w:rPr>
          <w:rFonts w:ascii="Arial" w:hAnsi="Arial" w:cs="Arial"/>
          <w:color w:val="000000" w:themeColor="text1"/>
        </w:rPr>
        <w:t>To address this aim, the study has five objectives:</w:t>
      </w:r>
    </w:p>
    <w:p w14:paraId="6BFC3411" w14:textId="77777777" w:rsidR="005D262E" w:rsidRPr="00623C13" w:rsidRDefault="005D262E" w:rsidP="005D262E">
      <w:pPr>
        <w:ind w:left="720"/>
        <w:rPr>
          <w:rFonts w:ascii="Arial" w:hAnsi="Arial" w:cs="Arial"/>
          <w:color w:val="000000" w:themeColor="text1"/>
        </w:rPr>
      </w:pPr>
      <w:r w:rsidRPr="00623C13">
        <w:rPr>
          <w:rFonts w:ascii="Arial" w:hAnsi="Arial" w:cs="Arial"/>
          <w:b/>
          <w:bCs/>
          <w:color w:val="000000" w:themeColor="text1"/>
        </w:rPr>
        <w:t>1.</w:t>
      </w:r>
      <w:r w:rsidRPr="00623C13">
        <w:rPr>
          <w:rFonts w:ascii="Arial" w:hAnsi="Arial" w:cs="Arial"/>
          <w:color w:val="000000" w:themeColor="text1"/>
        </w:rPr>
        <w:t xml:space="preserve"> To analyse how widening participation is framed within selected Welsh policy and institutional documents.</w:t>
      </w:r>
    </w:p>
    <w:p w14:paraId="45665FD2" w14:textId="77777777" w:rsidR="005D262E" w:rsidRPr="00623C13" w:rsidRDefault="005D262E" w:rsidP="005D262E">
      <w:pPr>
        <w:ind w:left="720"/>
        <w:rPr>
          <w:rFonts w:ascii="Arial" w:hAnsi="Arial" w:cs="Arial"/>
          <w:color w:val="000000" w:themeColor="text1"/>
        </w:rPr>
      </w:pPr>
      <w:r w:rsidRPr="00623C13">
        <w:rPr>
          <w:rFonts w:ascii="Arial" w:hAnsi="Arial" w:cs="Arial"/>
          <w:b/>
          <w:bCs/>
          <w:color w:val="000000" w:themeColor="text1"/>
        </w:rPr>
        <w:lastRenderedPageBreak/>
        <w:t>2.</w:t>
      </w:r>
      <w:r w:rsidRPr="00623C13">
        <w:rPr>
          <w:rFonts w:ascii="Arial" w:hAnsi="Arial" w:cs="Arial"/>
          <w:color w:val="000000" w:themeColor="text1"/>
        </w:rPr>
        <w:t xml:space="preserve"> </w:t>
      </w:r>
      <w:r w:rsidRPr="007E6822">
        <w:rPr>
          <w:rFonts w:ascii="Arial" w:hAnsi="Arial" w:cs="Arial"/>
          <w:color w:val="000000" w:themeColor="text1"/>
        </w:rPr>
        <w:t>To explore how mature students who meet widening participation criteria make sense of their experience within one South Wales institution</w:t>
      </w:r>
      <w:r>
        <w:rPr>
          <w:rFonts w:ascii="Arial" w:hAnsi="Arial" w:cs="Arial"/>
          <w:color w:val="000000" w:themeColor="text1"/>
        </w:rPr>
        <w:t>.</w:t>
      </w:r>
    </w:p>
    <w:p w14:paraId="0376C7A5" w14:textId="77777777" w:rsidR="005D262E" w:rsidRPr="00623C13" w:rsidRDefault="005D262E" w:rsidP="005D262E">
      <w:pPr>
        <w:ind w:left="720"/>
        <w:rPr>
          <w:rFonts w:ascii="Arial" w:hAnsi="Arial" w:cs="Arial"/>
          <w:color w:val="000000" w:themeColor="text1"/>
        </w:rPr>
      </w:pPr>
      <w:r w:rsidRPr="00623C13">
        <w:rPr>
          <w:rFonts w:ascii="Arial" w:hAnsi="Arial" w:cs="Arial"/>
          <w:b/>
          <w:bCs/>
          <w:color w:val="000000" w:themeColor="text1"/>
        </w:rPr>
        <w:t>3.</w:t>
      </w:r>
      <w:r w:rsidRPr="00623C13">
        <w:rPr>
          <w:rFonts w:ascii="Arial" w:hAnsi="Arial" w:cs="Arial"/>
          <w:color w:val="000000" w:themeColor="text1"/>
        </w:rPr>
        <w:t xml:space="preserve"> To examine how lecturers understand widening participation in practice.</w:t>
      </w:r>
    </w:p>
    <w:p w14:paraId="7ED5BBEF" w14:textId="77777777" w:rsidR="005D262E" w:rsidRPr="00623C13" w:rsidRDefault="005D262E" w:rsidP="005D262E">
      <w:pPr>
        <w:ind w:left="720"/>
        <w:rPr>
          <w:rFonts w:ascii="Arial" w:hAnsi="Arial" w:cs="Arial"/>
          <w:color w:val="000000" w:themeColor="text1"/>
        </w:rPr>
      </w:pPr>
      <w:r w:rsidRPr="00623C13">
        <w:rPr>
          <w:rFonts w:ascii="Arial" w:hAnsi="Arial" w:cs="Arial"/>
          <w:b/>
          <w:bCs/>
          <w:color w:val="000000" w:themeColor="text1"/>
        </w:rPr>
        <w:t>4</w:t>
      </w:r>
      <w:r w:rsidRPr="00623C13">
        <w:rPr>
          <w:rFonts w:ascii="Arial" w:hAnsi="Arial" w:cs="Arial"/>
          <w:color w:val="000000" w:themeColor="text1"/>
        </w:rPr>
        <w:t>. To examine convergence, divergence, and partial alignment between policy framing, lecturer interpretations, and student experience.</w:t>
      </w:r>
    </w:p>
    <w:p w14:paraId="6897CC76" w14:textId="77777777" w:rsidR="005D262E" w:rsidRDefault="005D262E" w:rsidP="005D262E">
      <w:pPr>
        <w:ind w:left="720"/>
        <w:rPr>
          <w:rFonts w:ascii="Arial" w:hAnsi="Arial" w:cs="Arial"/>
          <w:color w:val="000000" w:themeColor="text1"/>
        </w:rPr>
      </w:pPr>
      <w:r w:rsidRPr="00623C13">
        <w:rPr>
          <w:rFonts w:ascii="Arial" w:hAnsi="Arial" w:cs="Arial"/>
          <w:b/>
          <w:bCs/>
          <w:color w:val="000000" w:themeColor="text1"/>
        </w:rPr>
        <w:t>5.</w:t>
      </w:r>
      <w:r w:rsidRPr="00623C13">
        <w:rPr>
          <w:rFonts w:ascii="Arial" w:hAnsi="Arial" w:cs="Arial"/>
          <w:color w:val="000000" w:themeColor="text1"/>
        </w:rPr>
        <w:t xml:space="preserve"> To generate practice-relevant insights to inform institutional and pedagogical approaches.</w:t>
      </w:r>
    </w:p>
    <w:p w14:paraId="228BC8D3" w14:textId="77777777" w:rsidR="005D262E" w:rsidRDefault="005D262E" w:rsidP="005D262E">
      <w:pPr>
        <w:rPr>
          <w:rFonts w:ascii="Arial" w:hAnsi="Arial" w:cs="Arial"/>
          <w:color w:val="000000" w:themeColor="text1"/>
        </w:rPr>
      </w:pPr>
    </w:p>
    <w:p w14:paraId="67A40717" w14:textId="77777777" w:rsidR="005D262E" w:rsidRPr="003E734B" w:rsidRDefault="005D262E" w:rsidP="005D262E">
      <w:pPr>
        <w:rPr>
          <w:rFonts w:ascii="Arial" w:hAnsi="Arial" w:cs="Arial"/>
          <w:color w:val="000000" w:themeColor="text1"/>
        </w:rPr>
      </w:pPr>
      <w:r w:rsidRPr="003E734B">
        <w:rPr>
          <w:rFonts w:ascii="Arial" w:hAnsi="Arial" w:cs="Arial"/>
          <w:color w:val="000000" w:themeColor="text1"/>
        </w:rPr>
        <w:t>The study will be guided by the following research questions:</w:t>
      </w:r>
    </w:p>
    <w:p w14:paraId="1AB0DF4A" w14:textId="77777777" w:rsidR="005D262E" w:rsidRPr="00310D0E" w:rsidRDefault="005D262E" w:rsidP="005D262E">
      <w:pPr>
        <w:ind w:left="720"/>
        <w:rPr>
          <w:rFonts w:ascii="Arial" w:hAnsi="Arial" w:cs="Arial"/>
          <w:color w:val="000000" w:themeColor="text1"/>
        </w:rPr>
      </w:pPr>
      <w:r w:rsidRPr="0033078C">
        <w:rPr>
          <w:rFonts w:ascii="Arial" w:hAnsi="Arial" w:cs="Arial"/>
          <w:b/>
          <w:bCs/>
          <w:color w:val="000000" w:themeColor="text1"/>
        </w:rPr>
        <w:t>RQ1:</w:t>
      </w:r>
      <w:r w:rsidRPr="00310D0E">
        <w:rPr>
          <w:rFonts w:ascii="Arial" w:hAnsi="Arial" w:cs="Arial"/>
          <w:color w:val="000000" w:themeColor="text1"/>
        </w:rPr>
        <w:t xml:space="preserve"> How is widening participation framed within Welsh policy and selected institutional documents?</w:t>
      </w:r>
    </w:p>
    <w:p w14:paraId="0E72DCDF" w14:textId="77777777" w:rsidR="005D262E" w:rsidRPr="00310D0E" w:rsidRDefault="005D262E" w:rsidP="005D262E">
      <w:pPr>
        <w:ind w:left="720"/>
        <w:rPr>
          <w:rFonts w:ascii="Arial" w:hAnsi="Arial" w:cs="Arial"/>
          <w:color w:val="000000" w:themeColor="text1"/>
        </w:rPr>
      </w:pPr>
      <w:r w:rsidRPr="0033078C">
        <w:rPr>
          <w:rFonts w:ascii="Arial" w:hAnsi="Arial" w:cs="Arial"/>
          <w:b/>
          <w:bCs/>
          <w:color w:val="000000" w:themeColor="text1"/>
        </w:rPr>
        <w:t>RQ2:</w:t>
      </w:r>
      <w:r w:rsidRPr="00310D0E">
        <w:rPr>
          <w:rFonts w:ascii="Arial" w:hAnsi="Arial" w:cs="Arial"/>
          <w:color w:val="000000" w:themeColor="text1"/>
        </w:rPr>
        <w:t xml:space="preserve"> How do mature students who meet widening participation criteria make sense of their experience of higher education within one South Wales institution?</w:t>
      </w:r>
    </w:p>
    <w:p w14:paraId="67901952" w14:textId="77777777" w:rsidR="005D262E" w:rsidRPr="00310D0E" w:rsidRDefault="005D262E" w:rsidP="005D262E">
      <w:pPr>
        <w:ind w:left="720"/>
        <w:rPr>
          <w:rFonts w:ascii="Arial" w:hAnsi="Arial" w:cs="Arial"/>
          <w:color w:val="000000" w:themeColor="text1"/>
        </w:rPr>
      </w:pPr>
      <w:r w:rsidRPr="0033078C">
        <w:rPr>
          <w:rFonts w:ascii="Arial" w:hAnsi="Arial" w:cs="Arial"/>
          <w:b/>
          <w:bCs/>
          <w:color w:val="000000" w:themeColor="text1"/>
        </w:rPr>
        <w:t>RQ3:</w:t>
      </w:r>
      <w:r w:rsidRPr="00310D0E">
        <w:rPr>
          <w:rFonts w:ascii="Arial" w:hAnsi="Arial" w:cs="Arial"/>
          <w:color w:val="000000" w:themeColor="text1"/>
        </w:rPr>
        <w:t xml:space="preserve"> In what ways do these students experience belonging, legitimacy, support, and challenge within that institutional context?</w:t>
      </w:r>
    </w:p>
    <w:p w14:paraId="1E28557A" w14:textId="77777777" w:rsidR="005D262E" w:rsidRPr="00310D0E" w:rsidRDefault="005D262E" w:rsidP="005D262E">
      <w:pPr>
        <w:ind w:left="720"/>
        <w:rPr>
          <w:rFonts w:ascii="Arial" w:hAnsi="Arial" w:cs="Arial"/>
          <w:color w:val="000000" w:themeColor="text1"/>
        </w:rPr>
      </w:pPr>
      <w:r w:rsidRPr="0033078C">
        <w:rPr>
          <w:rFonts w:ascii="Arial" w:hAnsi="Arial" w:cs="Arial"/>
          <w:b/>
          <w:bCs/>
          <w:color w:val="000000" w:themeColor="text1"/>
        </w:rPr>
        <w:t>RQ4:</w:t>
      </w:r>
      <w:r w:rsidRPr="00310D0E">
        <w:rPr>
          <w:rFonts w:ascii="Arial" w:hAnsi="Arial" w:cs="Arial"/>
          <w:color w:val="000000" w:themeColor="text1"/>
        </w:rPr>
        <w:t xml:space="preserve"> How do lecturers understand widening participation in practice, including what they believe it expects of them in teaching and student support?</w:t>
      </w:r>
    </w:p>
    <w:p w14:paraId="0C63F860" w14:textId="77777777" w:rsidR="005D262E" w:rsidRDefault="005D262E" w:rsidP="005D262E">
      <w:pPr>
        <w:ind w:left="720"/>
        <w:rPr>
          <w:rFonts w:ascii="Arial" w:hAnsi="Arial" w:cs="Arial"/>
          <w:color w:val="000000" w:themeColor="text1"/>
        </w:rPr>
      </w:pPr>
      <w:r w:rsidRPr="0033078C">
        <w:rPr>
          <w:rFonts w:ascii="Arial" w:hAnsi="Arial" w:cs="Arial"/>
          <w:b/>
          <w:bCs/>
          <w:color w:val="000000" w:themeColor="text1"/>
        </w:rPr>
        <w:t>RQ5:</w:t>
      </w:r>
      <w:r w:rsidRPr="00310D0E">
        <w:rPr>
          <w:rFonts w:ascii="Arial" w:hAnsi="Arial" w:cs="Arial"/>
          <w:color w:val="000000" w:themeColor="text1"/>
        </w:rPr>
        <w:t xml:space="preserve"> In what ways do lecturers' understandings and students' experiences correspond with, extend, or challenge the assumptions present in Welsh widening participation policy?</w:t>
      </w:r>
    </w:p>
    <w:p w14:paraId="723C2030" w14:textId="77777777" w:rsidR="005D262E" w:rsidRDefault="005D262E" w:rsidP="005D262E">
      <w:pPr>
        <w:ind w:left="720"/>
        <w:rPr>
          <w:rFonts w:ascii="Arial" w:hAnsi="Arial" w:cs="Arial"/>
          <w:color w:val="000000" w:themeColor="text1"/>
        </w:rPr>
      </w:pPr>
    </w:p>
    <w:p w14:paraId="07ABBCD0" w14:textId="77777777" w:rsidR="005D262E" w:rsidRPr="003E734B" w:rsidRDefault="005D262E" w:rsidP="005D262E">
      <w:pPr>
        <w:rPr>
          <w:rFonts w:ascii="Arial" w:hAnsi="Arial" w:cs="Arial"/>
          <w:b/>
          <w:bCs/>
          <w:color w:val="000000" w:themeColor="text1"/>
        </w:rPr>
      </w:pPr>
      <w:r w:rsidRPr="003E734B">
        <w:rPr>
          <w:rFonts w:ascii="Arial" w:hAnsi="Arial" w:cs="Arial"/>
          <w:b/>
          <w:bCs/>
          <w:color w:val="000000" w:themeColor="text1"/>
        </w:rPr>
        <w:t>Indicative Review of Literature</w:t>
      </w:r>
    </w:p>
    <w:p w14:paraId="62773647" w14:textId="77777777" w:rsidR="005D262E" w:rsidRPr="003E734B" w:rsidRDefault="005D262E" w:rsidP="005D262E">
      <w:pPr>
        <w:rPr>
          <w:rFonts w:ascii="Arial" w:hAnsi="Arial" w:cs="Arial"/>
          <w:color w:val="000000" w:themeColor="text1"/>
        </w:rPr>
      </w:pPr>
      <w:r w:rsidRPr="003E734B">
        <w:rPr>
          <w:rFonts w:ascii="Arial" w:hAnsi="Arial" w:cs="Arial"/>
          <w:color w:val="000000" w:themeColor="text1"/>
        </w:rPr>
        <w:t xml:space="preserve">The literature on widening participation has focused considerably more on outreach, recruitment, and entry than on what happens after students arrive. Post-entry experience, support, and longer-term outcomes remain less fully researched (Negrea &amp; Gartland, 2025; O'Toole et al., 2024; Tham et al., 2023; Younger et al., 2018). Entry may broaden who gets into </w:t>
      </w:r>
      <w:r>
        <w:rPr>
          <w:rFonts w:ascii="Arial" w:hAnsi="Arial" w:cs="Arial"/>
          <w:color w:val="000000" w:themeColor="text1"/>
        </w:rPr>
        <w:t>HE</w:t>
      </w:r>
      <w:r w:rsidRPr="003E734B">
        <w:rPr>
          <w:rFonts w:ascii="Arial" w:hAnsi="Arial" w:cs="Arial"/>
          <w:color w:val="000000" w:themeColor="text1"/>
        </w:rPr>
        <w:t xml:space="preserve">, but it does not tell us whether those students can continue, succeed, feel legitimate, or genuinely belong. Treating admission as the endpoint risks missing the important questions around how mature WP students </w:t>
      </w:r>
      <w:proofErr w:type="gramStart"/>
      <w:r w:rsidRPr="003E734B">
        <w:rPr>
          <w:rFonts w:ascii="Arial" w:hAnsi="Arial" w:cs="Arial"/>
          <w:color w:val="000000" w:themeColor="text1"/>
        </w:rPr>
        <w:t>actually experience</w:t>
      </w:r>
      <w:proofErr w:type="gramEnd"/>
      <w:r w:rsidRPr="003E734B">
        <w:rPr>
          <w:rFonts w:ascii="Arial" w:hAnsi="Arial" w:cs="Arial"/>
          <w:color w:val="000000" w:themeColor="text1"/>
        </w:rPr>
        <w:t xml:space="preserve"> and respond to academic life in HE.</w:t>
      </w:r>
    </w:p>
    <w:p w14:paraId="126A1CE9" w14:textId="77777777" w:rsidR="005D262E" w:rsidRPr="003E734B" w:rsidRDefault="005D262E" w:rsidP="005D262E">
      <w:pPr>
        <w:rPr>
          <w:rFonts w:ascii="Arial" w:hAnsi="Arial" w:cs="Arial"/>
          <w:color w:val="000000" w:themeColor="text1"/>
        </w:rPr>
      </w:pPr>
      <w:r w:rsidRPr="003E734B">
        <w:rPr>
          <w:rFonts w:ascii="Arial" w:hAnsi="Arial" w:cs="Arial"/>
          <w:color w:val="000000" w:themeColor="text1"/>
        </w:rPr>
        <w:t xml:space="preserve">Negrea and Gartland (2025) </w:t>
      </w:r>
      <w:r>
        <w:rPr>
          <w:rFonts w:ascii="Arial" w:hAnsi="Arial" w:cs="Arial"/>
          <w:color w:val="000000" w:themeColor="text1"/>
        </w:rPr>
        <w:t>reported</w:t>
      </w:r>
      <w:r w:rsidRPr="003E734B">
        <w:rPr>
          <w:rFonts w:ascii="Arial" w:hAnsi="Arial" w:cs="Arial"/>
          <w:color w:val="000000" w:themeColor="text1"/>
        </w:rPr>
        <w:t xml:space="preserve"> that widening participation scholarship has focused on interventions and strategies but remains much weaker on post-entry conditions, support, and outcomes. O'Toole et al. (2024), in a review of Scottish mature students, found the research area was not consistently connected across </w:t>
      </w:r>
      <w:r w:rsidRPr="003E734B">
        <w:rPr>
          <w:rFonts w:ascii="Arial" w:hAnsi="Arial" w:cs="Arial"/>
          <w:color w:val="000000" w:themeColor="text1"/>
        </w:rPr>
        <w:lastRenderedPageBreak/>
        <w:t xml:space="preserve">access, experience, and progression. Tham et al. (2023) reach a similar conclusion, </w:t>
      </w:r>
      <w:r>
        <w:rPr>
          <w:rFonts w:ascii="Arial" w:hAnsi="Arial" w:cs="Arial"/>
          <w:color w:val="000000" w:themeColor="text1"/>
        </w:rPr>
        <w:t>suggesting</w:t>
      </w:r>
      <w:r w:rsidRPr="003E734B">
        <w:rPr>
          <w:rFonts w:ascii="Arial" w:hAnsi="Arial" w:cs="Arial"/>
          <w:color w:val="000000" w:themeColor="text1"/>
        </w:rPr>
        <w:t xml:space="preserve"> that the literature has been fragmented by student group, intervention type, and setting rather than built around a fuller account of what participation means across the student journey. Younger et al. (2018) further </w:t>
      </w:r>
      <w:r>
        <w:rPr>
          <w:rFonts w:ascii="Arial" w:hAnsi="Arial" w:cs="Arial"/>
          <w:color w:val="000000" w:themeColor="text1"/>
        </w:rPr>
        <w:t>demonstrated</w:t>
      </w:r>
      <w:r w:rsidRPr="003E734B">
        <w:rPr>
          <w:rFonts w:ascii="Arial" w:hAnsi="Arial" w:cs="Arial"/>
          <w:color w:val="000000" w:themeColor="text1"/>
        </w:rPr>
        <w:t xml:space="preserve"> that the evidence on widening participation interventions has been uneven in quality, making it difficult to sustain confident claims about what works after entry. </w:t>
      </w:r>
      <w:r>
        <w:rPr>
          <w:rFonts w:ascii="Arial" w:hAnsi="Arial" w:cs="Arial"/>
          <w:color w:val="000000" w:themeColor="text1"/>
        </w:rPr>
        <w:t>On balance, t</w:t>
      </w:r>
      <w:r w:rsidRPr="003E734B">
        <w:rPr>
          <w:rFonts w:ascii="Arial" w:hAnsi="Arial" w:cs="Arial"/>
          <w:color w:val="000000" w:themeColor="text1"/>
        </w:rPr>
        <w:t>hese</w:t>
      </w:r>
      <w:r>
        <w:rPr>
          <w:rFonts w:ascii="Arial" w:hAnsi="Arial" w:cs="Arial"/>
          <w:color w:val="000000" w:themeColor="text1"/>
        </w:rPr>
        <w:t xml:space="preserve"> studies</w:t>
      </w:r>
      <w:r w:rsidRPr="003E734B">
        <w:rPr>
          <w:rFonts w:ascii="Arial" w:hAnsi="Arial" w:cs="Arial"/>
          <w:color w:val="000000" w:themeColor="text1"/>
        </w:rPr>
        <w:t xml:space="preserve"> point to the same problem: widening participation cannot be understood through access alone, and what remains least developed is how participation is experienced once students are in.</w:t>
      </w:r>
    </w:p>
    <w:p w14:paraId="0BE3C554" w14:textId="77777777" w:rsidR="005D262E" w:rsidRPr="003E734B" w:rsidRDefault="005D262E" w:rsidP="005D262E">
      <w:pPr>
        <w:rPr>
          <w:rFonts w:ascii="Arial" w:hAnsi="Arial" w:cs="Arial"/>
          <w:color w:val="000000" w:themeColor="text1"/>
        </w:rPr>
      </w:pPr>
      <w:r w:rsidRPr="007871C3">
        <w:rPr>
          <w:rFonts w:ascii="Arial" w:hAnsi="Arial" w:cs="Arial"/>
          <w:color w:val="000000" w:themeColor="text1"/>
        </w:rPr>
        <w:t xml:space="preserve">This gap is arguably most visible when </w:t>
      </w:r>
      <w:r>
        <w:rPr>
          <w:rFonts w:ascii="Arial" w:hAnsi="Arial" w:cs="Arial"/>
          <w:color w:val="000000" w:themeColor="text1"/>
        </w:rPr>
        <w:t>focusing on</w:t>
      </w:r>
      <w:r w:rsidRPr="007871C3">
        <w:rPr>
          <w:rFonts w:ascii="Arial" w:hAnsi="Arial" w:cs="Arial"/>
          <w:color w:val="000000" w:themeColor="text1"/>
        </w:rPr>
        <w:t xml:space="preserve"> mature students. The category of the non-traditional student is, however, too broad to be analytically useful. It groups together students whose educational routes, responsibilities, and experiences of </w:t>
      </w:r>
      <w:r>
        <w:rPr>
          <w:rFonts w:ascii="Arial" w:hAnsi="Arial" w:cs="Arial"/>
          <w:color w:val="000000" w:themeColor="text1"/>
        </w:rPr>
        <w:t>HE</w:t>
      </w:r>
      <w:r w:rsidRPr="007871C3">
        <w:rPr>
          <w:rFonts w:ascii="Arial" w:hAnsi="Arial" w:cs="Arial"/>
          <w:color w:val="000000" w:themeColor="text1"/>
        </w:rPr>
        <w:t xml:space="preserve"> can differ substantially, making it difficult to say anything specific about any one group within it.</w:t>
      </w:r>
      <w:r>
        <w:rPr>
          <w:rFonts w:ascii="Arial" w:hAnsi="Arial" w:cs="Arial"/>
          <w:color w:val="000000" w:themeColor="text1"/>
        </w:rPr>
        <w:t xml:space="preserve"> </w:t>
      </w:r>
      <w:r w:rsidRPr="003E734B">
        <w:rPr>
          <w:rFonts w:ascii="Arial" w:hAnsi="Arial" w:cs="Arial"/>
          <w:color w:val="000000" w:themeColor="text1"/>
        </w:rPr>
        <w:t>Mature students, however, share enough recurring features to justify a closer focus</w:t>
      </w:r>
      <w:r>
        <w:rPr>
          <w:rFonts w:ascii="Arial" w:hAnsi="Arial" w:cs="Arial"/>
          <w:color w:val="000000" w:themeColor="text1"/>
        </w:rPr>
        <w:t xml:space="preserve">; </w:t>
      </w:r>
      <w:r w:rsidRPr="003E734B">
        <w:rPr>
          <w:rFonts w:ascii="Arial" w:hAnsi="Arial" w:cs="Arial"/>
          <w:color w:val="000000" w:themeColor="text1"/>
        </w:rPr>
        <w:t xml:space="preserve">more likely to have entered through non-linear routes, to be studying alongside employment and caring responsibilities, and to have had prior interruptions to their education (Hayman et al., 2024; Mallman &amp; Lee, 2016; Pearce, 2017). For these students, participation in </w:t>
      </w:r>
      <w:r>
        <w:rPr>
          <w:rFonts w:ascii="Arial" w:hAnsi="Arial" w:cs="Arial"/>
          <w:color w:val="000000" w:themeColor="text1"/>
        </w:rPr>
        <w:t>HE</w:t>
      </w:r>
      <w:r w:rsidRPr="003E734B">
        <w:rPr>
          <w:rFonts w:ascii="Arial" w:hAnsi="Arial" w:cs="Arial"/>
          <w:color w:val="000000" w:themeColor="text1"/>
        </w:rPr>
        <w:t xml:space="preserve"> is often something that </w:t>
      </w:r>
      <w:proofErr w:type="gramStart"/>
      <w:r w:rsidRPr="003E734B">
        <w:rPr>
          <w:rFonts w:ascii="Arial" w:hAnsi="Arial" w:cs="Arial"/>
          <w:color w:val="000000" w:themeColor="text1"/>
        </w:rPr>
        <w:t>has to</w:t>
      </w:r>
      <w:proofErr w:type="gramEnd"/>
      <w:r w:rsidRPr="003E734B">
        <w:rPr>
          <w:rFonts w:ascii="Arial" w:hAnsi="Arial" w:cs="Arial"/>
          <w:color w:val="000000" w:themeColor="text1"/>
        </w:rPr>
        <w:t xml:space="preserve"> be actively negotiated </w:t>
      </w:r>
      <w:r>
        <w:rPr>
          <w:rFonts w:ascii="Arial" w:hAnsi="Arial" w:cs="Arial"/>
          <w:color w:val="000000" w:themeColor="text1"/>
        </w:rPr>
        <w:t xml:space="preserve">against additional demands </w:t>
      </w:r>
      <w:r w:rsidRPr="003E734B">
        <w:rPr>
          <w:rFonts w:ascii="Arial" w:hAnsi="Arial" w:cs="Arial"/>
          <w:color w:val="000000" w:themeColor="text1"/>
        </w:rPr>
        <w:t>rather than simply assumed.</w:t>
      </w:r>
    </w:p>
    <w:p w14:paraId="3C15E136" w14:textId="63441DD4" w:rsidR="005D262E" w:rsidRPr="003E734B" w:rsidRDefault="005D262E" w:rsidP="005D262E">
      <w:pPr>
        <w:rPr>
          <w:rFonts w:ascii="Arial" w:hAnsi="Arial" w:cs="Arial"/>
          <w:color w:val="000000" w:themeColor="text1"/>
        </w:rPr>
      </w:pPr>
      <w:r w:rsidRPr="003E734B">
        <w:rPr>
          <w:rFonts w:ascii="Arial" w:hAnsi="Arial" w:cs="Arial"/>
          <w:color w:val="000000" w:themeColor="text1"/>
        </w:rPr>
        <w:t xml:space="preserve">Hayman et al. (2024) </w:t>
      </w:r>
      <w:r>
        <w:rPr>
          <w:rFonts w:ascii="Arial" w:hAnsi="Arial" w:cs="Arial"/>
          <w:color w:val="000000" w:themeColor="text1"/>
        </w:rPr>
        <w:t>reported</w:t>
      </w:r>
      <w:r w:rsidRPr="003E734B">
        <w:rPr>
          <w:rFonts w:ascii="Arial" w:hAnsi="Arial" w:cs="Arial"/>
          <w:color w:val="000000" w:themeColor="text1"/>
        </w:rPr>
        <w:t xml:space="preserve"> that first-year mature students could show strong academic commitment while experiencing uneven social and emotional integration. This challenges the idea that academic commitment and a sense of belonging develop together. </w:t>
      </w:r>
      <w:r>
        <w:rPr>
          <w:rFonts w:ascii="Arial" w:hAnsi="Arial" w:cs="Arial"/>
          <w:color w:val="000000" w:themeColor="text1"/>
        </w:rPr>
        <w:t>Therefore, a</w:t>
      </w:r>
      <w:r w:rsidRPr="003E734B">
        <w:rPr>
          <w:rFonts w:ascii="Arial" w:hAnsi="Arial" w:cs="Arial"/>
          <w:color w:val="000000" w:themeColor="text1"/>
        </w:rPr>
        <w:t xml:space="preserve"> student can be working hard and genuinely committed while still finding that the institution feels culturally organised around someone else. Mallman and Lee (2016) </w:t>
      </w:r>
      <w:r>
        <w:rPr>
          <w:rFonts w:ascii="Arial" w:hAnsi="Arial" w:cs="Arial"/>
          <w:color w:val="000000" w:themeColor="text1"/>
        </w:rPr>
        <w:t>found</w:t>
      </w:r>
      <w:r w:rsidRPr="003E734B">
        <w:rPr>
          <w:rFonts w:ascii="Arial" w:hAnsi="Arial" w:cs="Arial"/>
          <w:color w:val="000000" w:themeColor="text1"/>
        </w:rPr>
        <w:t xml:space="preserve"> that mature students often navigate university life as marked outsiders, working through stigma and difference as they seek recognition within academic life. Pearce (2017) add</w:t>
      </w:r>
      <w:r w:rsidR="0046789F">
        <w:rPr>
          <w:rFonts w:ascii="Arial" w:hAnsi="Arial" w:cs="Arial"/>
          <w:color w:val="000000" w:themeColor="text1"/>
        </w:rPr>
        <w:t>ed</w:t>
      </w:r>
      <w:r w:rsidRPr="003E734B">
        <w:rPr>
          <w:rFonts w:ascii="Arial" w:hAnsi="Arial" w:cs="Arial"/>
          <w:color w:val="000000" w:themeColor="text1"/>
        </w:rPr>
        <w:t xml:space="preserve"> that older, mature undergraduates often bring real strengths, including resilience and perspective, while still struggling with confidence, integration, and time management. These are not deficit accounts of mature students; they show</w:t>
      </w:r>
      <w:r w:rsidR="00B92714">
        <w:rPr>
          <w:rFonts w:ascii="Arial" w:hAnsi="Arial" w:cs="Arial"/>
          <w:color w:val="000000" w:themeColor="text1"/>
        </w:rPr>
        <w:t>ed</w:t>
      </w:r>
      <w:r w:rsidRPr="003E734B">
        <w:rPr>
          <w:rFonts w:ascii="Arial" w:hAnsi="Arial" w:cs="Arial"/>
          <w:color w:val="000000" w:themeColor="text1"/>
        </w:rPr>
        <w:t xml:space="preserve"> that institutional norms are not neutral, and that </w:t>
      </w:r>
      <w:r>
        <w:rPr>
          <w:rFonts w:ascii="Arial" w:hAnsi="Arial" w:cs="Arial"/>
          <w:color w:val="000000" w:themeColor="text1"/>
        </w:rPr>
        <w:t xml:space="preserve">HE </w:t>
      </w:r>
      <w:r w:rsidRPr="003E734B">
        <w:rPr>
          <w:rFonts w:ascii="Arial" w:hAnsi="Arial" w:cs="Arial"/>
          <w:color w:val="000000" w:themeColor="text1"/>
        </w:rPr>
        <w:t>continues to fit more readily with some educational backgrounds than others.</w:t>
      </w:r>
    </w:p>
    <w:p w14:paraId="2E6DA936" w14:textId="3E64F253" w:rsidR="005D262E" w:rsidRDefault="005D262E" w:rsidP="005D262E">
      <w:pPr>
        <w:rPr>
          <w:rFonts w:ascii="Arial" w:hAnsi="Arial" w:cs="Arial"/>
          <w:color w:val="000000" w:themeColor="text1"/>
        </w:rPr>
      </w:pPr>
      <w:r w:rsidRPr="003E734B">
        <w:rPr>
          <w:rFonts w:ascii="Arial" w:hAnsi="Arial" w:cs="Arial"/>
          <w:color w:val="000000" w:themeColor="text1"/>
        </w:rPr>
        <w:t xml:space="preserve">More recent work has also shown that the kinds of support and connections available to mature students may not align with what institutions typically offer. Crawford and McKenzie (2023) found that belonging among mature students in </w:t>
      </w:r>
      <w:r>
        <w:rPr>
          <w:rFonts w:ascii="Arial" w:hAnsi="Arial" w:cs="Arial"/>
          <w:color w:val="000000" w:themeColor="text1"/>
        </w:rPr>
        <w:t>low-socio-economic-region</w:t>
      </w:r>
      <w:r w:rsidRPr="003E734B">
        <w:rPr>
          <w:rFonts w:ascii="Arial" w:hAnsi="Arial" w:cs="Arial"/>
          <w:color w:val="000000" w:themeColor="text1"/>
        </w:rPr>
        <w:t xml:space="preserve"> contexts was often built through local, relational, and practically meaningful connections rather than through conventional campus life. Hope and Quinlan (2020) show</w:t>
      </w:r>
      <w:r w:rsidR="00D141DD">
        <w:rPr>
          <w:rFonts w:ascii="Arial" w:hAnsi="Arial" w:cs="Arial"/>
          <w:color w:val="000000" w:themeColor="text1"/>
        </w:rPr>
        <w:t>ed</w:t>
      </w:r>
      <w:r w:rsidRPr="003E734B">
        <w:rPr>
          <w:rFonts w:ascii="Arial" w:hAnsi="Arial" w:cs="Arial"/>
          <w:color w:val="000000" w:themeColor="text1"/>
        </w:rPr>
        <w:t xml:space="preserve"> how mature working-class students drew on forms of community cultural wealth that the institution did not always recognise or value. Both studies make a similar point: participation is relational and context-bound, not simply a matter of individual attitude or motivation. Both also point to a harder </w:t>
      </w:r>
      <w:r w:rsidRPr="003E734B">
        <w:rPr>
          <w:rFonts w:ascii="Arial" w:hAnsi="Arial" w:cs="Arial"/>
          <w:color w:val="000000" w:themeColor="text1"/>
        </w:rPr>
        <w:lastRenderedPageBreak/>
        <w:t>question about whether institutions are prepared to recognise forms of belonging and academic identity that do not resemble the established norm.</w:t>
      </w:r>
    </w:p>
    <w:p w14:paraId="4001593B" w14:textId="77777777" w:rsidR="005D262E" w:rsidRDefault="005D262E" w:rsidP="005D262E">
      <w:pPr>
        <w:rPr>
          <w:rFonts w:ascii="Arial" w:hAnsi="Arial" w:cs="Arial"/>
          <w:color w:val="000000" w:themeColor="text1"/>
        </w:rPr>
      </w:pPr>
      <w:r w:rsidRPr="00E72EC9">
        <w:rPr>
          <w:rFonts w:ascii="Arial" w:hAnsi="Arial" w:cs="Arial"/>
          <w:color w:val="000000" w:themeColor="text1"/>
        </w:rPr>
        <w:t xml:space="preserve">This </w:t>
      </w:r>
      <w:r>
        <w:rPr>
          <w:rFonts w:ascii="Arial" w:hAnsi="Arial" w:cs="Arial"/>
          <w:color w:val="000000" w:themeColor="text1"/>
        </w:rPr>
        <w:t>connects</w:t>
      </w:r>
      <w:r w:rsidRPr="00E72EC9">
        <w:rPr>
          <w:rFonts w:ascii="Arial" w:hAnsi="Arial" w:cs="Arial"/>
          <w:color w:val="000000" w:themeColor="text1"/>
        </w:rPr>
        <w:t xml:space="preserve"> with transformative learning theory, which suggests that </w:t>
      </w:r>
      <w:r>
        <w:rPr>
          <w:rFonts w:ascii="Arial" w:hAnsi="Arial" w:cs="Arial"/>
          <w:color w:val="000000" w:themeColor="text1"/>
        </w:rPr>
        <w:t>HE</w:t>
      </w:r>
      <w:r w:rsidRPr="00E72EC9">
        <w:rPr>
          <w:rFonts w:ascii="Arial" w:hAnsi="Arial" w:cs="Arial"/>
          <w:color w:val="000000" w:themeColor="text1"/>
        </w:rPr>
        <w:t xml:space="preserve"> can </w:t>
      </w:r>
      <w:r>
        <w:rPr>
          <w:rFonts w:ascii="Arial" w:hAnsi="Arial" w:cs="Arial"/>
          <w:color w:val="000000" w:themeColor="text1"/>
        </w:rPr>
        <w:t>shape</w:t>
      </w:r>
      <w:r w:rsidRPr="00E72EC9">
        <w:rPr>
          <w:rFonts w:ascii="Arial" w:hAnsi="Arial" w:cs="Arial"/>
          <w:color w:val="000000" w:themeColor="text1"/>
        </w:rPr>
        <w:t xml:space="preserve"> how learners understand themselves and their place in the world (Mezirow, 1991). For mature students arriving through non-linear routes, that process may be particularly </w:t>
      </w:r>
      <w:r>
        <w:rPr>
          <w:rFonts w:ascii="Arial" w:hAnsi="Arial" w:cs="Arial"/>
          <w:color w:val="000000" w:themeColor="text1"/>
        </w:rPr>
        <w:t>relevant to explore at a later stage of the research</w:t>
      </w:r>
      <w:r w:rsidRPr="00E72EC9">
        <w:rPr>
          <w:rFonts w:ascii="Arial" w:hAnsi="Arial" w:cs="Arial"/>
          <w:color w:val="000000" w:themeColor="text1"/>
        </w:rPr>
        <w:t xml:space="preserve">. </w:t>
      </w:r>
      <w:r>
        <w:rPr>
          <w:rFonts w:ascii="Arial" w:hAnsi="Arial" w:cs="Arial"/>
          <w:color w:val="000000" w:themeColor="text1"/>
        </w:rPr>
        <w:t>T</w:t>
      </w:r>
      <w:r w:rsidRPr="00E72EC9">
        <w:rPr>
          <w:rFonts w:ascii="Arial" w:hAnsi="Arial" w:cs="Arial"/>
          <w:color w:val="000000" w:themeColor="text1"/>
        </w:rPr>
        <w:t xml:space="preserve">ransformative learning theory focuses on cognitive and experiential change within the individual, </w:t>
      </w:r>
      <w:r>
        <w:rPr>
          <w:rFonts w:ascii="Arial" w:hAnsi="Arial" w:cs="Arial"/>
          <w:color w:val="000000" w:themeColor="text1"/>
        </w:rPr>
        <w:t xml:space="preserve">whereas </w:t>
      </w:r>
      <w:r w:rsidRPr="00E72EC9">
        <w:rPr>
          <w:rFonts w:ascii="Arial" w:hAnsi="Arial" w:cs="Arial"/>
          <w:color w:val="000000" w:themeColor="text1"/>
        </w:rPr>
        <w:t>this study</w:t>
      </w:r>
      <w:r>
        <w:rPr>
          <w:rFonts w:ascii="Arial" w:hAnsi="Arial" w:cs="Arial"/>
          <w:color w:val="000000" w:themeColor="text1"/>
        </w:rPr>
        <w:t xml:space="preserve"> primarily focuses on understanding student stories by utilising the institutional and relational conditions that enable or constrain the student experience as elicited from those stories. Consequently, </w:t>
      </w:r>
      <w:r w:rsidRPr="002A26E4">
        <w:rPr>
          <w:rFonts w:ascii="Arial" w:hAnsi="Arial" w:cs="Arial"/>
          <w:color w:val="000000" w:themeColor="text1"/>
        </w:rPr>
        <w:t>belonging and legitimacy currently remain more useful organising concepts for this study.</w:t>
      </w:r>
    </w:p>
    <w:p w14:paraId="0EC8F365" w14:textId="43B1C523" w:rsidR="005D262E" w:rsidRPr="003E734B" w:rsidRDefault="005D262E" w:rsidP="005D262E">
      <w:pPr>
        <w:rPr>
          <w:rFonts w:ascii="Arial" w:hAnsi="Arial" w:cs="Arial"/>
          <w:color w:val="000000" w:themeColor="text1"/>
        </w:rPr>
      </w:pPr>
      <w:r w:rsidRPr="003E734B">
        <w:rPr>
          <w:rFonts w:ascii="Arial" w:hAnsi="Arial" w:cs="Arial"/>
          <w:color w:val="000000" w:themeColor="text1"/>
        </w:rPr>
        <w:t>Belonging has become one of the most widely used concepts in student experience research, but the term requires closer analysis. Ahn and Davis (2020) show</w:t>
      </w:r>
      <w:r w:rsidR="00D141DD">
        <w:rPr>
          <w:rFonts w:ascii="Arial" w:hAnsi="Arial" w:cs="Arial"/>
          <w:color w:val="000000" w:themeColor="text1"/>
        </w:rPr>
        <w:t>ed</w:t>
      </w:r>
      <w:r w:rsidRPr="003E734B">
        <w:rPr>
          <w:rFonts w:ascii="Arial" w:hAnsi="Arial" w:cs="Arial"/>
          <w:color w:val="000000" w:themeColor="text1"/>
        </w:rPr>
        <w:t xml:space="preserve"> that belonging operates across social, academic, spatial, and personal domains, </w:t>
      </w:r>
      <w:r>
        <w:rPr>
          <w:rFonts w:ascii="Arial" w:hAnsi="Arial" w:cs="Arial"/>
          <w:color w:val="000000" w:themeColor="text1"/>
        </w:rPr>
        <w:t>meaning it cannot be reduced to students' social comfort alone</w:t>
      </w:r>
      <w:r w:rsidRPr="003E734B">
        <w:rPr>
          <w:rFonts w:ascii="Arial" w:hAnsi="Arial" w:cs="Arial"/>
          <w:color w:val="000000" w:themeColor="text1"/>
        </w:rPr>
        <w:t>. Allen et al. (2024), in a systematic review, confirm</w:t>
      </w:r>
      <w:r w:rsidR="00D141DD">
        <w:rPr>
          <w:rFonts w:ascii="Arial" w:hAnsi="Arial" w:cs="Arial"/>
          <w:color w:val="000000" w:themeColor="text1"/>
        </w:rPr>
        <w:t>ed</w:t>
      </w:r>
      <w:r w:rsidRPr="003E734B">
        <w:rPr>
          <w:rFonts w:ascii="Arial" w:hAnsi="Arial" w:cs="Arial"/>
          <w:color w:val="000000" w:themeColor="text1"/>
        </w:rPr>
        <w:t xml:space="preserve"> that belonging is multidimensional, involving connections to peers, staff, and institution, feeling safe and included, and being valued and accepted. Belonging consistently predicts engagement, persistence, and success. However, belonging alone does not fully capture what this study is about.</w:t>
      </w:r>
      <w:r>
        <w:rPr>
          <w:rFonts w:ascii="Arial" w:hAnsi="Arial" w:cs="Arial"/>
          <w:color w:val="000000" w:themeColor="text1"/>
        </w:rPr>
        <w:t xml:space="preserve"> </w:t>
      </w:r>
      <w:r w:rsidRPr="003E734B">
        <w:rPr>
          <w:rFonts w:ascii="Arial" w:hAnsi="Arial" w:cs="Arial"/>
          <w:color w:val="000000" w:themeColor="text1"/>
        </w:rPr>
        <w:t xml:space="preserve">A student can feel some connection to an institution and still experience their place within it as conditional or uncertain. Legitimacy asks a different question. It asks whether students experience themselves as rightful members of the academic community, not just as people who are present within it, and that matters because participation can be undermined not only by isolation but by doubt over entitlement, recognition, or whether the route taken into </w:t>
      </w:r>
      <w:r>
        <w:rPr>
          <w:rFonts w:ascii="Arial" w:hAnsi="Arial" w:cs="Arial"/>
          <w:color w:val="000000" w:themeColor="text1"/>
        </w:rPr>
        <w:t>HE</w:t>
      </w:r>
      <w:r w:rsidRPr="003E734B">
        <w:rPr>
          <w:rFonts w:ascii="Arial" w:hAnsi="Arial" w:cs="Arial"/>
          <w:color w:val="000000" w:themeColor="text1"/>
        </w:rPr>
        <w:t xml:space="preserve"> is genuinely respected.</w:t>
      </w:r>
    </w:p>
    <w:p w14:paraId="4E2E1DB1" w14:textId="74A6AFB9" w:rsidR="005D262E" w:rsidRPr="003E734B" w:rsidRDefault="005D262E" w:rsidP="005D262E">
      <w:pPr>
        <w:rPr>
          <w:rFonts w:ascii="Arial" w:hAnsi="Arial" w:cs="Arial"/>
          <w:color w:val="000000" w:themeColor="text1"/>
        </w:rPr>
      </w:pPr>
      <w:r w:rsidRPr="003E734B">
        <w:rPr>
          <w:rFonts w:ascii="Arial" w:hAnsi="Arial" w:cs="Arial"/>
          <w:color w:val="000000" w:themeColor="text1"/>
        </w:rPr>
        <w:t>Krstić et al. (2021), in a review of widening participation students in UK undergraduate medical education, found recurring issues of unfamiliarity, lack of representation, identity conflict, and barriers to seeking help. Olaniyan (2021) argue</w:t>
      </w:r>
      <w:r w:rsidR="00D141DD">
        <w:rPr>
          <w:rFonts w:ascii="Arial" w:hAnsi="Arial" w:cs="Arial"/>
          <w:color w:val="000000" w:themeColor="text1"/>
        </w:rPr>
        <w:t>d</w:t>
      </w:r>
      <w:r w:rsidRPr="003E734B">
        <w:rPr>
          <w:rFonts w:ascii="Arial" w:hAnsi="Arial" w:cs="Arial"/>
          <w:color w:val="000000" w:themeColor="text1"/>
        </w:rPr>
        <w:t xml:space="preserve"> that racial and ethnic minority students may continue to face exclusionary pressures within British universities even after gaining entry. Barkas et al. (2022) </w:t>
      </w:r>
      <w:r>
        <w:rPr>
          <w:rFonts w:ascii="Arial" w:hAnsi="Arial" w:cs="Arial"/>
          <w:color w:val="000000" w:themeColor="text1"/>
        </w:rPr>
        <w:t>further claim</w:t>
      </w:r>
      <w:r w:rsidR="0046789F">
        <w:rPr>
          <w:rFonts w:ascii="Arial" w:hAnsi="Arial" w:cs="Arial"/>
          <w:color w:val="000000" w:themeColor="text1"/>
        </w:rPr>
        <w:t>ed</w:t>
      </w:r>
      <w:r w:rsidRPr="003E734B">
        <w:rPr>
          <w:rFonts w:ascii="Arial" w:hAnsi="Arial" w:cs="Arial"/>
          <w:color w:val="000000" w:themeColor="text1"/>
        </w:rPr>
        <w:t xml:space="preserve"> that inclusion can remain more rhetorical than real when curricula continue to reproduce exclusion despite formal institutional commitments.</w:t>
      </w:r>
      <w:r>
        <w:rPr>
          <w:rFonts w:ascii="Arial" w:hAnsi="Arial" w:cs="Arial"/>
          <w:color w:val="000000" w:themeColor="text1"/>
        </w:rPr>
        <w:t xml:space="preserve"> </w:t>
      </w:r>
      <w:r w:rsidRPr="003E734B">
        <w:rPr>
          <w:rFonts w:ascii="Arial" w:hAnsi="Arial" w:cs="Arial"/>
          <w:color w:val="000000" w:themeColor="text1"/>
        </w:rPr>
        <w:t xml:space="preserve">What these studies collectively suggest is that getting into </w:t>
      </w:r>
      <w:r>
        <w:rPr>
          <w:rFonts w:ascii="Arial" w:hAnsi="Arial" w:cs="Arial"/>
          <w:color w:val="000000" w:themeColor="text1"/>
        </w:rPr>
        <w:t>HE</w:t>
      </w:r>
      <w:r w:rsidRPr="003E734B">
        <w:rPr>
          <w:rFonts w:ascii="Arial" w:hAnsi="Arial" w:cs="Arial"/>
          <w:color w:val="000000" w:themeColor="text1"/>
        </w:rPr>
        <w:t xml:space="preserve"> does not, on its own, resolve the inequalities that shape participation once students are in.</w:t>
      </w:r>
    </w:p>
    <w:p w14:paraId="5A35EB63" w14:textId="3A0BB9EE" w:rsidR="005D262E" w:rsidRDefault="005D262E" w:rsidP="005D262E">
      <w:pPr>
        <w:rPr>
          <w:rFonts w:ascii="Arial" w:hAnsi="Arial" w:cs="Arial"/>
          <w:color w:val="000000" w:themeColor="text1"/>
        </w:rPr>
      </w:pPr>
      <w:r>
        <w:rPr>
          <w:rFonts w:ascii="Arial" w:hAnsi="Arial" w:cs="Arial"/>
          <w:color w:val="000000" w:themeColor="text1"/>
        </w:rPr>
        <w:t>Less</w:t>
      </w:r>
      <w:r w:rsidRPr="003E734B">
        <w:rPr>
          <w:rFonts w:ascii="Arial" w:hAnsi="Arial" w:cs="Arial"/>
          <w:color w:val="000000" w:themeColor="text1"/>
        </w:rPr>
        <w:t xml:space="preserve"> well understood </w:t>
      </w:r>
      <w:proofErr w:type="gramStart"/>
      <w:r w:rsidRPr="003E734B">
        <w:rPr>
          <w:rFonts w:ascii="Arial" w:hAnsi="Arial" w:cs="Arial"/>
          <w:color w:val="000000" w:themeColor="text1"/>
        </w:rPr>
        <w:t>is</w:t>
      </w:r>
      <w:proofErr w:type="gramEnd"/>
      <w:r w:rsidRPr="003E734B">
        <w:rPr>
          <w:rFonts w:ascii="Arial" w:hAnsi="Arial" w:cs="Arial"/>
          <w:color w:val="000000" w:themeColor="text1"/>
        </w:rPr>
        <w:t xml:space="preserve"> how widening participation reaches students</w:t>
      </w:r>
      <w:r>
        <w:rPr>
          <w:rFonts w:ascii="Arial" w:hAnsi="Arial" w:cs="Arial"/>
          <w:color w:val="000000" w:themeColor="text1"/>
        </w:rPr>
        <w:t>. T</w:t>
      </w:r>
      <w:r w:rsidRPr="003E734B">
        <w:rPr>
          <w:rFonts w:ascii="Arial" w:hAnsi="Arial" w:cs="Arial"/>
          <w:color w:val="000000" w:themeColor="text1"/>
        </w:rPr>
        <w:t>hey do not encounter policy directly</w:t>
      </w:r>
      <w:r>
        <w:rPr>
          <w:rFonts w:ascii="Arial" w:hAnsi="Arial" w:cs="Arial"/>
          <w:color w:val="000000" w:themeColor="text1"/>
        </w:rPr>
        <w:t xml:space="preserve">, but through </w:t>
      </w:r>
      <w:r w:rsidRPr="003E734B">
        <w:rPr>
          <w:rFonts w:ascii="Arial" w:hAnsi="Arial" w:cs="Arial"/>
          <w:color w:val="000000" w:themeColor="text1"/>
        </w:rPr>
        <w:t>curriculum design, assessment expectations, flexibility around deadlines and attendance, support arrangements, and the ordinary academic judgements that make up everyday university life. Policy enactment research is useful here because it challenges the assumption that what policy says and what institutions do are the same thing. Benson-Egglenton (2022) show</w:t>
      </w:r>
      <w:r w:rsidR="00D141DD">
        <w:rPr>
          <w:rFonts w:ascii="Arial" w:hAnsi="Arial" w:cs="Arial"/>
          <w:color w:val="000000" w:themeColor="text1"/>
        </w:rPr>
        <w:t>ed</w:t>
      </w:r>
      <w:r w:rsidRPr="003E734B">
        <w:rPr>
          <w:rFonts w:ascii="Arial" w:hAnsi="Arial" w:cs="Arial"/>
          <w:color w:val="000000" w:themeColor="text1"/>
        </w:rPr>
        <w:t xml:space="preserve"> that widening participation policy is worked through amid uncertainty about who the </w:t>
      </w:r>
      <w:r w:rsidRPr="003E734B">
        <w:rPr>
          <w:rFonts w:ascii="Arial" w:hAnsi="Arial" w:cs="Arial"/>
          <w:color w:val="000000" w:themeColor="text1"/>
        </w:rPr>
        <w:lastRenderedPageBreak/>
        <w:t xml:space="preserve">target groups are, what the priorities should be, and what practical support </w:t>
      </w:r>
      <w:proofErr w:type="gramStart"/>
      <w:r>
        <w:rPr>
          <w:rFonts w:ascii="Arial" w:hAnsi="Arial" w:cs="Arial"/>
          <w:color w:val="000000" w:themeColor="text1"/>
        </w:rPr>
        <w:t xml:space="preserve">actually </w:t>
      </w:r>
      <w:r w:rsidRPr="003E734B">
        <w:rPr>
          <w:rFonts w:ascii="Arial" w:hAnsi="Arial" w:cs="Arial"/>
          <w:color w:val="000000" w:themeColor="text1"/>
        </w:rPr>
        <w:t>looks</w:t>
      </w:r>
      <w:proofErr w:type="gramEnd"/>
      <w:r w:rsidRPr="003E734B">
        <w:rPr>
          <w:rFonts w:ascii="Arial" w:hAnsi="Arial" w:cs="Arial"/>
          <w:color w:val="000000" w:themeColor="text1"/>
        </w:rPr>
        <w:t xml:space="preserve"> like</w:t>
      </w:r>
      <w:r>
        <w:rPr>
          <w:rFonts w:ascii="Arial" w:hAnsi="Arial" w:cs="Arial"/>
          <w:color w:val="000000" w:themeColor="text1"/>
        </w:rPr>
        <w:t>, rather than how it is assumed to be in policy</w:t>
      </w:r>
      <w:r w:rsidRPr="003E734B">
        <w:rPr>
          <w:rFonts w:ascii="Arial" w:hAnsi="Arial" w:cs="Arial"/>
          <w:color w:val="000000" w:themeColor="text1"/>
        </w:rPr>
        <w:t>. Rainford (2021) argue</w:t>
      </w:r>
      <w:r w:rsidR="0046789F">
        <w:rPr>
          <w:rFonts w:ascii="Arial" w:hAnsi="Arial" w:cs="Arial"/>
          <w:color w:val="000000" w:themeColor="text1"/>
        </w:rPr>
        <w:t>d</w:t>
      </w:r>
      <w:r w:rsidRPr="003E734B">
        <w:rPr>
          <w:rFonts w:ascii="Arial" w:hAnsi="Arial" w:cs="Arial"/>
          <w:color w:val="000000" w:themeColor="text1"/>
        </w:rPr>
        <w:t xml:space="preserve"> that widening participation is shaped by practitioners' own histories and experiences, which influence how they interpret and enact it. Cleland et al. (2024), looking at new UK medical schools, show</w:t>
      </w:r>
      <w:r w:rsidR="00D141DD">
        <w:rPr>
          <w:rFonts w:ascii="Arial" w:hAnsi="Arial" w:cs="Arial"/>
          <w:color w:val="000000" w:themeColor="text1"/>
        </w:rPr>
        <w:t>ed</w:t>
      </w:r>
      <w:r w:rsidRPr="003E734B">
        <w:rPr>
          <w:rFonts w:ascii="Arial" w:hAnsi="Arial" w:cs="Arial"/>
          <w:color w:val="000000" w:themeColor="text1"/>
        </w:rPr>
        <w:t xml:space="preserve"> that widening participation commitments are mediated by local mission, institutional context, and workforce priorities. The point is the same across all three: widening participation is always interpreted, and what it means in practice depends on who is working with it and under what conditions.</w:t>
      </w:r>
      <w:r>
        <w:rPr>
          <w:rFonts w:ascii="Arial" w:hAnsi="Arial" w:cs="Arial"/>
          <w:color w:val="000000" w:themeColor="text1"/>
        </w:rPr>
        <w:t xml:space="preserve"> </w:t>
      </w:r>
      <w:r w:rsidRPr="003E734B">
        <w:rPr>
          <w:rFonts w:ascii="Arial" w:hAnsi="Arial" w:cs="Arial"/>
          <w:color w:val="000000" w:themeColor="text1"/>
        </w:rPr>
        <w:t xml:space="preserve">If widening participation is enacted through teaching, support, and academic expectations, then how lecturers understand it is not a secondary question. It is part of the practical environment </w:t>
      </w:r>
      <w:r w:rsidRPr="008540B1">
        <w:rPr>
          <w:rFonts w:ascii="Arial" w:hAnsi="Arial" w:cs="Arial"/>
          <w:color w:val="000000" w:themeColor="text1"/>
        </w:rPr>
        <w:t xml:space="preserve">through which students encounter </w:t>
      </w:r>
      <w:r>
        <w:rPr>
          <w:rFonts w:ascii="Arial" w:hAnsi="Arial" w:cs="Arial"/>
          <w:color w:val="000000" w:themeColor="text1"/>
        </w:rPr>
        <w:t>HE</w:t>
      </w:r>
      <w:r w:rsidRPr="008540B1">
        <w:rPr>
          <w:rFonts w:ascii="Arial" w:hAnsi="Arial" w:cs="Arial"/>
          <w:color w:val="000000" w:themeColor="text1"/>
        </w:rPr>
        <w:t xml:space="preserve"> as welcoming or rigid, inclusive or conditional, legitimate or not.</w:t>
      </w:r>
    </w:p>
    <w:p w14:paraId="619417DE" w14:textId="239099CC" w:rsidR="005D262E" w:rsidRPr="003E734B" w:rsidRDefault="005D262E" w:rsidP="005D262E">
      <w:pPr>
        <w:rPr>
          <w:rFonts w:ascii="Arial" w:hAnsi="Arial" w:cs="Arial"/>
          <w:color w:val="000000" w:themeColor="text1"/>
        </w:rPr>
      </w:pPr>
      <w:r w:rsidRPr="003E734B">
        <w:rPr>
          <w:rFonts w:ascii="Arial" w:hAnsi="Arial" w:cs="Arial"/>
          <w:color w:val="000000" w:themeColor="text1"/>
        </w:rPr>
        <w:t xml:space="preserve">The student widening participation literature, as mentioned, is limited in its focus on post-entry student experience, with greater emphasis on access and outcomes. </w:t>
      </w:r>
      <w:r w:rsidRPr="007E6822">
        <w:rPr>
          <w:rFonts w:ascii="Arial" w:hAnsi="Arial" w:cs="Arial"/>
          <w:color w:val="000000" w:themeColor="text1"/>
        </w:rPr>
        <w:t>However, the research is similarly limited in its ability to provide insight into how lecturers understand widening participation in everyday academic practice</w:t>
      </w:r>
      <w:r>
        <w:rPr>
          <w:rFonts w:ascii="Arial" w:hAnsi="Arial" w:cs="Arial"/>
          <w:color w:val="000000" w:themeColor="text1"/>
        </w:rPr>
        <w:t xml:space="preserve"> </w:t>
      </w:r>
      <w:r w:rsidRPr="003E734B">
        <w:rPr>
          <w:rFonts w:ascii="Arial" w:hAnsi="Arial" w:cs="Arial"/>
          <w:color w:val="000000" w:themeColor="text1"/>
        </w:rPr>
        <w:t xml:space="preserve">(Negrea &amp; Gartland, 2025; O'Toole et al., 2024; Tham et al., 2023). Stentiford and </w:t>
      </w:r>
      <w:proofErr w:type="spellStart"/>
      <w:r w:rsidRPr="003E734B">
        <w:rPr>
          <w:rFonts w:ascii="Arial" w:hAnsi="Arial" w:cs="Arial"/>
          <w:color w:val="000000" w:themeColor="text1"/>
        </w:rPr>
        <w:t>Koutsouris</w:t>
      </w:r>
      <w:proofErr w:type="spellEnd"/>
      <w:r w:rsidRPr="003E734B">
        <w:rPr>
          <w:rFonts w:ascii="Arial" w:hAnsi="Arial" w:cs="Arial"/>
          <w:color w:val="000000" w:themeColor="text1"/>
        </w:rPr>
        <w:t xml:space="preserve"> (2021), in a scoping review, found that inclusive pedagogies have been promoted as a response to student diversity, but the evidence remains inconsistent. Altes and Willemse (2024) show</w:t>
      </w:r>
      <w:r w:rsidR="00D141DD">
        <w:rPr>
          <w:rFonts w:ascii="Arial" w:hAnsi="Arial" w:cs="Arial"/>
          <w:color w:val="000000" w:themeColor="text1"/>
        </w:rPr>
        <w:t>ed</w:t>
      </w:r>
      <w:r w:rsidRPr="003E734B">
        <w:rPr>
          <w:rFonts w:ascii="Arial" w:hAnsi="Arial" w:cs="Arial"/>
          <w:color w:val="000000" w:themeColor="text1"/>
        </w:rPr>
        <w:t xml:space="preserve"> that </w:t>
      </w:r>
      <w:r>
        <w:rPr>
          <w:rFonts w:ascii="Arial" w:hAnsi="Arial" w:cs="Arial"/>
          <w:color w:val="000000" w:themeColor="text1"/>
        </w:rPr>
        <w:t>HE</w:t>
      </w:r>
      <w:r w:rsidRPr="003E734B">
        <w:rPr>
          <w:rFonts w:ascii="Arial" w:hAnsi="Arial" w:cs="Arial"/>
          <w:color w:val="000000" w:themeColor="text1"/>
        </w:rPr>
        <w:t xml:space="preserve"> teachers often encounter uncertainty, limited confidence, and institutional constraints when trying to create inclusive learning environments. Atanasova and Papen (2025) similarly show</w:t>
      </w:r>
      <w:r w:rsidR="00D141DD">
        <w:rPr>
          <w:rFonts w:ascii="Arial" w:hAnsi="Arial" w:cs="Arial"/>
          <w:color w:val="000000" w:themeColor="text1"/>
        </w:rPr>
        <w:t>ed</w:t>
      </w:r>
      <w:r w:rsidRPr="003E734B">
        <w:rPr>
          <w:rFonts w:ascii="Arial" w:hAnsi="Arial" w:cs="Arial"/>
          <w:color w:val="000000" w:themeColor="text1"/>
        </w:rPr>
        <w:t xml:space="preserve"> that UK university teachers may be committed in principle to inclusion while still facing practical and structural difficulties in enacting it. Staff understandings, in other words, are likely to be varied, partial, and shaped by context.</w:t>
      </w:r>
    </w:p>
    <w:p w14:paraId="096496DD" w14:textId="77777777" w:rsidR="005D262E" w:rsidRPr="003E734B" w:rsidRDefault="005D262E" w:rsidP="005D262E">
      <w:pPr>
        <w:rPr>
          <w:rFonts w:ascii="Arial" w:hAnsi="Arial" w:cs="Arial"/>
          <w:color w:val="000000" w:themeColor="text1"/>
        </w:rPr>
      </w:pPr>
      <w:r w:rsidRPr="003E734B">
        <w:rPr>
          <w:rFonts w:ascii="Arial" w:hAnsi="Arial" w:cs="Arial"/>
          <w:color w:val="000000" w:themeColor="text1"/>
        </w:rPr>
        <w:t xml:space="preserve">In Wales, this matters more acutely, not least because of the Senedd’s visible commitment to WP in HE. </w:t>
      </w:r>
      <w:proofErr w:type="spellStart"/>
      <w:r w:rsidRPr="003E734B">
        <w:rPr>
          <w:rFonts w:ascii="Arial" w:hAnsi="Arial" w:cs="Arial"/>
          <w:color w:val="000000" w:themeColor="text1"/>
        </w:rPr>
        <w:t>HEFCW's</w:t>
      </w:r>
      <w:proofErr w:type="spellEnd"/>
      <w:r w:rsidRPr="003E734B">
        <w:rPr>
          <w:rFonts w:ascii="Arial" w:hAnsi="Arial" w:cs="Arial"/>
          <w:color w:val="000000" w:themeColor="text1"/>
        </w:rPr>
        <w:t xml:space="preserve"> Reaching Wider programme set out widening participation as access to and through </w:t>
      </w:r>
      <w:r>
        <w:rPr>
          <w:rFonts w:ascii="Arial" w:hAnsi="Arial" w:cs="Arial"/>
          <w:color w:val="000000" w:themeColor="text1"/>
        </w:rPr>
        <w:t>HE</w:t>
      </w:r>
      <w:r w:rsidRPr="003E734B">
        <w:rPr>
          <w:rFonts w:ascii="Arial" w:hAnsi="Arial" w:cs="Arial"/>
          <w:color w:val="000000" w:themeColor="text1"/>
        </w:rPr>
        <w:t>, linking entry to progression, retention, and success (HEFCW, 2021). Later guidance continued in the same direction by embedding widening participation across access, participation, retention, attainment, and progression outcomes (HEFCW, 2024). The Welsh Government's strategic priorities place flexibility, equitable opportunity, and success in life and work at the centre (Welsh Government, 2024). Medr's strategic plan reinforces this by focusing on learner experience, wellbeing, inclusion, and flexible participation (Medr, 2025).</w:t>
      </w:r>
    </w:p>
    <w:p w14:paraId="72FC4F62" w14:textId="77777777" w:rsidR="005D262E" w:rsidRPr="003E734B" w:rsidRDefault="005D262E" w:rsidP="005D262E">
      <w:pPr>
        <w:rPr>
          <w:rFonts w:ascii="Arial" w:hAnsi="Arial" w:cs="Arial"/>
          <w:color w:val="000000" w:themeColor="text1"/>
        </w:rPr>
      </w:pPr>
      <w:r w:rsidRPr="003E734B">
        <w:rPr>
          <w:rFonts w:ascii="Arial" w:hAnsi="Arial" w:cs="Arial"/>
          <w:color w:val="000000" w:themeColor="text1"/>
        </w:rPr>
        <w:t>Taken together, these documents frame widening participation in Wales as a concern across the whole student journey, not an admissions issue. But a broader policy framing does not tell us how widening participation is understood within institutional practice, and, most importantly for this study, how it is experienced by the very students the policies are designed to support. Policy can be ambitious in text and uneven in enactment. That is precisely why lecturer understandings within one Welsh institution are important. They are one way of seeing how policy ambition is translated, narrowed, supported, or complicated in practice.</w:t>
      </w:r>
    </w:p>
    <w:p w14:paraId="547E5E28" w14:textId="77777777" w:rsidR="005D262E" w:rsidRDefault="005D262E" w:rsidP="005D262E">
      <w:pPr>
        <w:rPr>
          <w:rFonts w:ascii="Arial" w:hAnsi="Arial" w:cs="Arial"/>
          <w:color w:val="000000" w:themeColor="text1"/>
        </w:rPr>
      </w:pPr>
      <w:r w:rsidRPr="003E734B">
        <w:rPr>
          <w:rFonts w:ascii="Arial" w:hAnsi="Arial" w:cs="Arial"/>
          <w:color w:val="000000" w:themeColor="text1"/>
        </w:rPr>
        <w:lastRenderedPageBreak/>
        <w:t>The literature</w:t>
      </w:r>
      <w:r>
        <w:rPr>
          <w:rFonts w:ascii="Arial" w:hAnsi="Arial" w:cs="Arial"/>
          <w:color w:val="000000" w:themeColor="text1"/>
        </w:rPr>
        <w:t>, therefore,</w:t>
      </w:r>
      <w:r w:rsidRPr="003E734B">
        <w:rPr>
          <w:rFonts w:ascii="Arial" w:hAnsi="Arial" w:cs="Arial"/>
          <w:color w:val="000000" w:themeColor="text1"/>
        </w:rPr>
        <w:t xml:space="preserve"> supports four propositions that justify this study. First, widening participation cannot be understood solely in terms of access, as post-entry participation remains comparatively underdeveloped in the literature despite clear evidence of its importance (Negrea &amp; Gartland, 2025; O'Toole et al., 2024; Tham et al., 2023; Younger et al., 2018). Second, mature students are a coherent and important group to examine in this context, as their educational routes often make visible how participation </w:t>
      </w:r>
      <w:proofErr w:type="gramStart"/>
      <w:r w:rsidRPr="003E734B">
        <w:rPr>
          <w:rFonts w:ascii="Arial" w:hAnsi="Arial" w:cs="Arial"/>
          <w:color w:val="000000" w:themeColor="text1"/>
        </w:rPr>
        <w:t>has to</w:t>
      </w:r>
      <w:proofErr w:type="gramEnd"/>
      <w:r w:rsidRPr="003E734B">
        <w:rPr>
          <w:rFonts w:ascii="Arial" w:hAnsi="Arial" w:cs="Arial"/>
          <w:color w:val="000000" w:themeColor="text1"/>
        </w:rPr>
        <w:t xml:space="preserve"> be negotiated (Crawford &amp; McKenzie, 2023; Hayman et al., 2024; Mallman &amp; Lee, 2016; Pearce, 2017). Third, belonging is central but incomplete without legitimacy, recognition, and a sense of institutional fit (Ahn &amp; Davis, 2020; Allen et al., 2024; Hope &amp; Quinlan, 2020). Fourth, a widening participation policy only becomes real through enactment, which makes the lecturer's interpretation central to this study rather than peripheral (Benson-Egglenton, 2022; Cleland et al., 2024; Rainford, 2021). The gap is not that more research on widening participation is needed in general</w:t>
      </w:r>
      <w:r>
        <w:rPr>
          <w:rFonts w:ascii="Arial" w:hAnsi="Arial" w:cs="Arial"/>
          <w:color w:val="000000" w:themeColor="text1"/>
        </w:rPr>
        <w:t>. I</w:t>
      </w:r>
      <w:r w:rsidRPr="003E734B">
        <w:rPr>
          <w:rFonts w:ascii="Arial" w:hAnsi="Arial" w:cs="Arial"/>
          <w:color w:val="000000" w:themeColor="text1"/>
        </w:rPr>
        <w:t xml:space="preserve">t is that research is limited in bringing together policy framing, mature student experience, belonging and legitimacy, lecturer understandings, </w:t>
      </w:r>
      <w:r>
        <w:rPr>
          <w:rFonts w:ascii="Arial" w:hAnsi="Arial" w:cs="Arial"/>
          <w:color w:val="000000" w:themeColor="text1"/>
        </w:rPr>
        <w:t xml:space="preserve">all situated in a </w:t>
      </w:r>
      <w:r w:rsidRPr="003E734B">
        <w:rPr>
          <w:rFonts w:ascii="Arial" w:hAnsi="Arial" w:cs="Arial"/>
          <w:color w:val="000000" w:themeColor="text1"/>
        </w:rPr>
        <w:t>Welsh context within a single institutional case.</w:t>
      </w:r>
    </w:p>
    <w:p w14:paraId="0EEF129B" w14:textId="77777777" w:rsidR="005D262E" w:rsidRPr="008A2EC5" w:rsidRDefault="005D262E" w:rsidP="005D262E">
      <w:pPr>
        <w:rPr>
          <w:rFonts w:ascii="Arial" w:hAnsi="Arial" w:cs="Arial"/>
          <w:color w:val="000000" w:themeColor="text1"/>
        </w:rPr>
      </w:pPr>
    </w:p>
    <w:p w14:paraId="04A97145" w14:textId="77777777" w:rsidR="005D262E" w:rsidRPr="003E734B" w:rsidRDefault="005D262E" w:rsidP="005D262E">
      <w:pPr>
        <w:rPr>
          <w:rFonts w:ascii="Arial" w:hAnsi="Arial" w:cs="Arial"/>
          <w:b/>
          <w:bCs/>
          <w:color w:val="000000" w:themeColor="text1"/>
        </w:rPr>
      </w:pPr>
      <w:r w:rsidRPr="003E734B">
        <w:rPr>
          <w:rFonts w:ascii="Arial" w:hAnsi="Arial" w:cs="Arial"/>
          <w:b/>
          <w:bCs/>
          <w:color w:val="000000" w:themeColor="text1"/>
        </w:rPr>
        <w:t>Proposed Methodology</w:t>
      </w:r>
    </w:p>
    <w:p w14:paraId="736B16F1" w14:textId="77777777" w:rsidR="005D262E" w:rsidRDefault="005D262E" w:rsidP="005D262E">
      <w:pPr>
        <w:rPr>
          <w:rFonts w:ascii="Arial" w:hAnsi="Arial" w:cs="Arial"/>
          <w:color w:val="000000" w:themeColor="text1"/>
        </w:rPr>
      </w:pPr>
      <w:r w:rsidRPr="008540B1">
        <w:rPr>
          <w:rFonts w:ascii="Arial" w:hAnsi="Arial" w:cs="Arial"/>
          <w:color w:val="000000" w:themeColor="text1"/>
        </w:rPr>
        <w:t xml:space="preserve">This study is situated within an interpretivist philosophical position, which </w:t>
      </w:r>
      <w:r>
        <w:rPr>
          <w:rFonts w:ascii="Arial" w:hAnsi="Arial" w:cs="Arial"/>
          <w:color w:val="000000" w:themeColor="text1"/>
        </w:rPr>
        <w:t>suggests</w:t>
      </w:r>
      <w:r w:rsidRPr="008540B1">
        <w:rPr>
          <w:rFonts w:ascii="Arial" w:hAnsi="Arial" w:cs="Arial"/>
          <w:color w:val="000000" w:themeColor="text1"/>
        </w:rPr>
        <w:t xml:space="preserve"> that knowledge and meaning are socially constructed and cannot be separated from the contexts and perspectives of those who experience them (Creswell &amp; </w:t>
      </w:r>
      <w:proofErr w:type="spellStart"/>
      <w:r w:rsidRPr="008540B1">
        <w:rPr>
          <w:rFonts w:ascii="Arial" w:hAnsi="Arial" w:cs="Arial"/>
          <w:color w:val="000000" w:themeColor="text1"/>
        </w:rPr>
        <w:t>Poth</w:t>
      </w:r>
      <w:proofErr w:type="spellEnd"/>
      <w:r w:rsidRPr="008540B1">
        <w:rPr>
          <w:rFonts w:ascii="Arial" w:hAnsi="Arial" w:cs="Arial"/>
          <w:color w:val="000000" w:themeColor="text1"/>
        </w:rPr>
        <w:t xml:space="preserve">, 2018). This position is consistent with the study's focus on how widening participation is understood and lived, rather than measured or predicted, and it </w:t>
      </w:r>
      <w:r>
        <w:rPr>
          <w:rFonts w:ascii="Arial" w:hAnsi="Arial" w:cs="Arial"/>
          <w:color w:val="000000" w:themeColor="text1"/>
        </w:rPr>
        <w:t>supports</w:t>
      </w:r>
      <w:r w:rsidRPr="008540B1">
        <w:rPr>
          <w:rFonts w:ascii="Arial" w:hAnsi="Arial" w:cs="Arial"/>
          <w:color w:val="000000" w:themeColor="text1"/>
        </w:rPr>
        <w:t xml:space="preserve"> the choice of qualitative methods throughout.</w:t>
      </w:r>
    </w:p>
    <w:p w14:paraId="6E5C0233" w14:textId="77777777" w:rsidR="005D262E" w:rsidRDefault="005D262E" w:rsidP="005D262E">
      <w:pPr>
        <w:rPr>
          <w:rFonts w:ascii="Arial" w:hAnsi="Arial" w:cs="Arial"/>
          <w:color w:val="000000" w:themeColor="text1"/>
        </w:rPr>
      </w:pPr>
      <w:r w:rsidRPr="003E734B">
        <w:rPr>
          <w:rFonts w:ascii="Arial" w:hAnsi="Arial" w:cs="Arial"/>
          <w:color w:val="000000" w:themeColor="text1"/>
        </w:rPr>
        <w:t xml:space="preserve">This study examines how widening participation is framed, understood, and experienced by WP mature students within one </w:t>
      </w:r>
      <w:r>
        <w:rPr>
          <w:rFonts w:ascii="Arial" w:hAnsi="Arial" w:cs="Arial"/>
          <w:color w:val="000000" w:themeColor="text1"/>
        </w:rPr>
        <w:t>HE</w:t>
      </w:r>
      <w:r w:rsidRPr="003E734B">
        <w:rPr>
          <w:rFonts w:ascii="Arial" w:hAnsi="Arial" w:cs="Arial"/>
          <w:color w:val="000000" w:themeColor="text1"/>
        </w:rPr>
        <w:t xml:space="preserve"> institution in South Wales. Those questions are about meaning, interpretation, and context; how people make sense of policy; how they experience belonging; and what legitimacy feels like in practice. That kind of question requires a qualitative approach rather than one organised around measurement or statistical representation. The case-based design is appropriate here because the aim is to examine something complex in its actual setting, rather than isolate variables from it (Baxter &amp; Jack, 2008; Hyett et al., 2014). </w:t>
      </w:r>
    </w:p>
    <w:p w14:paraId="5ACD5909" w14:textId="77777777" w:rsidR="005D262E" w:rsidRPr="003E734B" w:rsidRDefault="005D262E" w:rsidP="005D262E">
      <w:pPr>
        <w:rPr>
          <w:rFonts w:ascii="Arial" w:hAnsi="Arial" w:cs="Arial"/>
          <w:color w:val="000000" w:themeColor="text1"/>
        </w:rPr>
      </w:pPr>
      <w:r w:rsidRPr="00091EDC">
        <w:rPr>
          <w:rFonts w:ascii="Arial" w:hAnsi="Arial" w:cs="Arial"/>
          <w:color w:val="000000" w:themeColor="text1"/>
        </w:rPr>
        <w:t>The study comprises three connected strands, all situated within a single institution:</w:t>
      </w:r>
      <w:r w:rsidRPr="003E734B">
        <w:rPr>
          <w:rFonts w:ascii="Arial" w:hAnsi="Arial" w:cs="Arial"/>
          <w:color w:val="000000" w:themeColor="text1"/>
        </w:rPr>
        <w:t xml:space="preserve"> </w:t>
      </w:r>
      <w:r>
        <w:rPr>
          <w:rFonts w:ascii="Arial" w:hAnsi="Arial" w:cs="Arial"/>
          <w:color w:val="000000" w:themeColor="text1"/>
        </w:rPr>
        <w:t xml:space="preserve">(1) </w:t>
      </w:r>
      <w:r w:rsidRPr="003E734B">
        <w:rPr>
          <w:rFonts w:ascii="Arial" w:hAnsi="Arial" w:cs="Arial"/>
          <w:color w:val="000000" w:themeColor="text1"/>
        </w:rPr>
        <w:t xml:space="preserve">qualitative document analysis, </w:t>
      </w:r>
      <w:r>
        <w:rPr>
          <w:rFonts w:ascii="Arial" w:hAnsi="Arial" w:cs="Arial"/>
          <w:color w:val="000000" w:themeColor="text1"/>
        </w:rPr>
        <w:t xml:space="preserve">(2) </w:t>
      </w:r>
      <w:r w:rsidRPr="003E734B">
        <w:rPr>
          <w:rFonts w:ascii="Arial" w:hAnsi="Arial" w:cs="Arial"/>
          <w:color w:val="000000" w:themeColor="text1"/>
        </w:rPr>
        <w:t xml:space="preserve">semi-structured interviews with mature students, and </w:t>
      </w:r>
      <w:r>
        <w:rPr>
          <w:rFonts w:ascii="Arial" w:hAnsi="Arial" w:cs="Arial"/>
          <w:color w:val="000000" w:themeColor="text1"/>
        </w:rPr>
        <w:t xml:space="preserve">(3) </w:t>
      </w:r>
      <w:r w:rsidRPr="003E734B">
        <w:rPr>
          <w:rFonts w:ascii="Arial" w:hAnsi="Arial" w:cs="Arial"/>
          <w:color w:val="000000" w:themeColor="text1"/>
        </w:rPr>
        <w:t xml:space="preserve">semi-structured interviews with lecturers. The document strand is </w:t>
      </w:r>
      <w:r>
        <w:rPr>
          <w:rFonts w:ascii="Arial" w:hAnsi="Arial" w:cs="Arial"/>
          <w:color w:val="000000" w:themeColor="text1"/>
        </w:rPr>
        <w:t xml:space="preserve">considered </w:t>
      </w:r>
      <w:r w:rsidRPr="003E734B">
        <w:rPr>
          <w:rFonts w:ascii="Arial" w:hAnsi="Arial" w:cs="Arial"/>
          <w:color w:val="000000" w:themeColor="text1"/>
        </w:rPr>
        <w:t xml:space="preserve">necessary because the study is interested not only in lived experience, but also in how widening participation is formally framed within Welsh policy and selected institutional texts. Document analysis allows the study to examine how widening participation is represented and prioritised in official texts, rather than just how it is experienced or enacted (Bowen, 2009). These documents are not simply descriptions of policy; they actively shape how widening participation is understood </w:t>
      </w:r>
      <w:r w:rsidRPr="003E734B">
        <w:rPr>
          <w:rFonts w:ascii="Arial" w:hAnsi="Arial" w:cs="Arial"/>
          <w:color w:val="000000" w:themeColor="text1"/>
        </w:rPr>
        <w:lastRenderedPageBreak/>
        <w:t>and what institutions are expected to do about it</w:t>
      </w:r>
      <w:r>
        <w:rPr>
          <w:rFonts w:ascii="Arial" w:hAnsi="Arial" w:cs="Arial"/>
          <w:color w:val="000000" w:themeColor="text1"/>
        </w:rPr>
        <w:t>, and ultimately how that is experienced by students.</w:t>
      </w:r>
      <w:r w:rsidRPr="00C219D8">
        <w:rPr>
          <w:rFonts w:ascii="Arial" w:hAnsi="Arial" w:cs="Arial"/>
          <w:color w:val="000000" w:themeColor="text1"/>
        </w:rPr>
        <w:t xml:space="preserve"> The document sample is likely to include Welsh widening participation policy and guidance documents, the institution's fee and access plan, strategic equality documentation, and learning and teaching strategy</w:t>
      </w:r>
      <w:r>
        <w:rPr>
          <w:rFonts w:ascii="Arial" w:hAnsi="Arial" w:cs="Arial"/>
          <w:color w:val="000000" w:themeColor="text1"/>
        </w:rPr>
        <w:t>,</w:t>
      </w:r>
      <w:r w:rsidRPr="00C219D8">
        <w:rPr>
          <w:rFonts w:ascii="Arial" w:hAnsi="Arial" w:cs="Arial"/>
          <w:color w:val="000000" w:themeColor="text1"/>
        </w:rPr>
        <w:t xml:space="preserve"> where these explicitly address access, participation, retention, or student success.</w:t>
      </w:r>
    </w:p>
    <w:p w14:paraId="12DD8783" w14:textId="77777777" w:rsidR="005D262E" w:rsidRPr="003E734B" w:rsidRDefault="005D262E" w:rsidP="005D262E">
      <w:pPr>
        <w:rPr>
          <w:rFonts w:ascii="Arial" w:hAnsi="Arial" w:cs="Arial"/>
          <w:color w:val="000000" w:themeColor="text1"/>
        </w:rPr>
      </w:pPr>
      <w:r w:rsidRPr="003E734B">
        <w:rPr>
          <w:rFonts w:ascii="Arial" w:hAnsi="Arial" w:cs="Arial"/>
          <w:color w:val="000000" w:themeColor="text1"/>
        </w:rPr>
        <w:t>The second strand involves cautious use of semi-structured interviews with approximately six to eight mature students who meet at least one widening participation criterion. Semi-structured interviewing is appropriate because it provides enough structure to keep the research questions in view while allowing participants to discuss what matters to them in their own terms (</w:t>
      </w:r>
      <w:proofErr w:type="spellStart"/>
      <w:r w:rsidRPr="003E734B">
        <w:rPr>
          <w:rFonts w:ascii="Arial" w:hAnsi="Arial" w:cs="Arial"/>
          <w:color w:val="000000" w:themeColor="text1"/>
        </w:rPr>
        <w:t>DeJonckheere</w:t>
      </w:r>
      <w:proofErr w:type="spellEnd"/>
      <w:r w:rsidRPr="003E734B">
        <w:rPr>
          <w:rFonts w:ascii="Arial" w:hAnsi="Arial" w:cs="Arial"/>
          <w:color w:val="000000" w:themeColor="text1"/>
        </w:rPr>
        <w:t xml:space="preserve"> &amp; Vaughn, 2019). This flexibility matters here because the study asks how students make sense of belonging, legitimacy, and support, questions that need space to be explored rather than answered yes or no. IPA is used to analyse these interviews, given that it is designed for small samples</w:t>
      </w:r>
      <w:r>
        <w:rPr>
          <w:rFonts w:ascii="Arial" w:hAnsi="Arial" w:cs="Arial"/>
          <w:color w:val="000000" w:themeColor="text1"/>
        </w:rPr>
        <w:t xml:space="preserve"> and aims to understand individual experiences in depth before identifying</w:t>
      </w:r>
      <w:r w:rsidRPr="003E734B">
        <w:rPr>
          <w:rFonts w:ascii="Arial" w:hAnsi="Arial" w:cs="Arial"/>
          <w:color w:val="000000" w:themeColor="text1"/>
        </w:rPr>
        <w:t xml:space="preserve"> shared patterns across cases (Pietkiewicz &amp; Smith, 2014; Smith, 2009). This is appropriate for this study, as the questions </w:t>
      </w:r>
      <w:r>
        <w:rPr>
          <w:rFonts w:ascii="Arial" w:hAnsi="Arial" w:cs="Arial"/>
          <w:color w:val="000000" w:themeColor="text1"/>
        </w:rPr>
        <w:t>are personal and contextual</w:t>
      </w:r>
      <w:r w:rsidRPr="003E734B">
        <w:rPr>
          <w:rFonts w:ascii="Arial" w:hAnsi="Arial" w:cs="Arial"/>
          <w:color w:val="000000" w:themeColor="text1"/>
        </w:rPr>
        <w:t xml:space="preserve"> and not easily captured through surveys or standardised measures (Peat et al., 2019).</w:t>
      </w:r>
    </w:p>
    <w:p w14:paraId="57A46CE1" w14:textId="77777777" w:rsidR="005D262E" w:rsidRPr="002A26E4" w:rsidRDefault="005D262E" w:rsidP="005D262E">
      <w:pPr>
        <w:rPr>
          <w:rFonts w:ascii="Arial" w:hAnsi="Arial" w:cs="Arial"/>
          <w:color w:val="000000" w:themeColor="text1"/>
        </w:rPr>
      </w:pPr>
      <w:r w:rsidRPr="002A26E4">
        <w:rPr>
          <w:rFonts w:ascii="Arial" w:hAnsi="Arial" w:cs="Arial"/>
          <w:color w:val="000000" w:themeColor="text1"/>
        </w:rPr>
        <w:t>The third strand involves semi-structured interviews with approximately four lecturers who teach or support mature students within the institution. These interviews examine how widening participation is understood in practice, including what lecturers believe it expects of them in teaching and student support. Lecturer interviews will be analysed using reflexive thematic analysis, following the six phases outlined by Braun and Clarke: familiarisation with the data, generating initial codes, constructing themes, reviewing and developing themes, defining and naming themes, and producing the written analysis (Braun &amp; Clarke, 2006, 2024).</w:t>
      </w:r>
    </w:p>
    <w:p w14:paraId="59F1C7BB" w14:textId="77777777" w:rsidR="005D262E" w:rsidRPr="003E734B" w:rsidRDefault="005D262E" w:rsidP="005D262E">
      <w:pPr>
        <w:rPr>
          <w:rFonts w:ascii="Arial" w:hAnsi="Arial" w:cs="Arial"/>
          <w:color w:val="000000" w:themeColor="text1"/>
        </w:rPr>
      </w:pPr>
      <w:r w:rsidRPr="002A26E4">
        <w:rPr>
          <w:rFonts w:ascii="Arial" w:hAnsi="Arial" w:cs="Arial"/>
          <w:color w:val="000000" w:themeColor="text1"/>
        </w:rPr>
        <w:t>This choice of approach is deliberate</w:t>
      </w:r>
      <w:r>
        <w:rPr>
          <w:rFonts w:ascii="Arial" w:hAnsi="Arial" w:cs="Arial"/>
          <w:color w:val="000000" w:themeColor="text1"/>
        </w:rPr>
        <w:t>: the student strand concerns the individual lived experience of mature students, whereas the lecturer strand concerns</w:t>
      </w:r>
      <w:r w:rsidRPr="001129C0">
        <w:rPr>
          <w:rFonts w:ascii="Arial" w:hAnsi="Arial" w:cs="Arial"/>
          <w:color w:val="000000" w:themeColor="text1"/>
        </w:rPr>
        <w:t xml:space="preserve"> how lecturers within the institution understand and interpret widening participation in practice</w:t>
      </w:r>
      <w:r w:rsidRPr="002A26E4">
        <w:rPr>
          <w:rFonts w:ascii="Arial" w:hAnsi="Arial" w:cs="Arial"/>
          <w:color w:val="000000" w:themeColor="text1"/>
        </w:rPr>
        <w:t>. Reflexive thematic analysis is considered better suited here because it identifies shared patterns of meaning across a group while keeping the researcher's own position in view (Braun &amp; Clarke, 2006).</w:t>
      </w:r>
      <w:r>
        <w:rPr>
          <w:rFonts w:ascii="Arial" w:hAnsi="Arial" w:cs="Arial"/>
          <w:color w:val="000000" w:themeColor="text1"/>
        </w:rPr>
        <w:t xml:space="preserve"> </w:t>
      </w:r>
      <w:r w:rsidRPr="003E734B">
        <w:rPr>
          <w:rFonts w:ascii="Arial" w:hAnsi="Arial" w:cs="Arial"/>
          <w:color w:val="000000" w:themeColor="text1"/>
        </w:rPr>
        <w:t xml:space="preserve">A final framework-informed comparison then brings all three strands together, mapping where policy framing, </w:t>
      </w:r>
      <w:r>
        <w:rPr>
          <w:rFonts w:ascii="Arial" w:hAnsi="Arial" w:cs="Arial"/>
          <w:color w:val="000000" w:themeColor="text1"/>
        </w:rPr>
        <w:t>lecturers' understandings, and student experience converge, diverge, or fail to</w:t>
      </w:r>
      <w:r w:rsidRPr="003E734B">
        <w:rPr>
          <w:rFonts w:ascii="Arial" w:hAnsi="Arial" w:cs="Arial"/>
          <w:color w:val="000000" w:themeColor="text1"/>
        </w:rPr>
        <w:t xml:space="preserve"> align.</w:t>
      </w:r>
    </w:p>
    <w:p w14:paraId="2B884287" w14:textId="77777777" w:rsidR="005D262E" w:rsidRPr="00A70DB9" w:rsidRDefault="005D262E" w:rsidP="005D262E">
      <w:pPr>
        <w:rPr>
          <w:rFonts w:ascii="Arial" w:hAnsi="Arial" w:cs="Arial"/>
          <w:color w:val="000000" w:themeColor="text1"/>
        </w:rPr>
      </w:pPr>
      <w:r w:rsidRPr="00A70DB9">
        <w:rPr>
          <w:rFonts w:ascii="Arial" w:hAnsi="Arial" w:cs="Arial"/>
          <w:color w:val="000000" w:themeColor="text1"/>
        </w:rPr>
        <w:t>Participants in both groups will be selected purposively, meaning they are chosen because they are well placed to investigate the research questions, rather than being statistically representative (Campbell et al., 2020).</w:t>
      </w:r>
    </w:p>
    <w:p w14:paraId="256CF69B" w14:textId="77777777" w:rsidR="005D262E" w:rsidRPr="00A70DB9" w:rsidRDefault="005D262E" w:rsidP="005D262E">
      <w:pPr>
        <w:rPr>
          <w:rFonts w:ascii="Arial" w:hAnsi="Arial" w:cs="Arial"/>
          <w:color w:val="000000" w:themeColor="text1"/>
        </w:rPr>
      </w:pPr>
      <w:r w:rsidRPr="00A70DB9">
        <w:rPr>
          <w:rFonts w:ascii="Arial" w:hAnsi="Arial" w:cs="Arial"/>
          <w:color w:val="000000" w:themeColor="text1"/>
        </w:rPr>
        <w:t xml:space="preserve">For mature students, inclusion criteria are: aged 21 or over at entry; currently enrolled in their first or second year of undergraduate study, having completed at least one full semester; meeting at least one widening participation indicator as defined by the institution's access and participation framework; and not currently </w:t>
      </w:r>
      <w:r w:rsidRPr="00A70DB9">
        <w:rPr>
          <w:rFonts w:ascii="Arial" w:hAnsi="Arial" w:cs="Arial"/>
          <w:color w:val="000000" w:themeColor="text1"/>
        </w:rPr>
        <w:lastRenderedPageBreak/>
        <w:t>taught or assessed by the researcher (Hayman et al., 2024; Pietkiewicz &amp; Smith, 2014).</w:t>
      </w:r>
    </w:p>
    <w:p w14:paraId="603D6FAC" w14:textId="77777777" w:rsidR="005D262E" w:rsidRDefault="005D262E" w:rsidP="005D262E">
      <w:pPr>
        <w:rPr>
          <w:rFonts w:ascii="Arial" w:hAnsi="Arial" w:cs="Arial"/>
          <w:color w:val="000000" w:themeColor="text1"/>
        </w:rPr>
      </w:pPr>
      <w:r w:rsidRPr="00A70DB9">
        <w:rPr>
          <w:rFonts w:ascii="Arial" w:hAnsi="Arial" w:cs="Arial"/>
          <w:color w:val="000000" w:themeColor="text1"/>
        </w:rPr>
        <w:t xml:space="preserve">For lecturers, </w:t>
      </w:r>
      <w:r>
        <w:rPr>
          <w:rFonts w:ascii="Arial" w:hAnsi="Arial" w:cs="Arial"/>
          <w:color w:val="000000" w:themeColor="text1"/>
        </w:rPr>
        <w:t xml:space="preserve">the inclusion criteria </w:t>
      </w:r>
      <w:proofErr w:type="gramStart"/>
      <w:r>
        <w:rPr>
          <w:rFonts w:ascii="Arial" w:hAnsi="Arial" w:cs="Arial"/>
          <w:color w:val="000000" w:themeColor="text1"/>
        </w:rPr>
        <w:t>are:</w:t>
      </w:r>
      <w:proofErr w:type="gramEnd"/>
      <w:r>
        <w:rPr>
          <w:rFonts w:ascii="Arial" w:hAnsi="Arial" w:cs="Arial"/>
          <w:color w:val="000000" w:themeColor="text1"/>
        </w:rPr>
        <w:t xml:space="preserve"> currently employed at the institution; directly involved in teaching or supporting undergraduate students who meet widening participation criteria; and not in a line-management</w:t>
      </w:r>
      <w:r w:rsidRPr="00A70DB9">
        <w:rPr>
          <w:rFonts w:ascii="Arial" w:hAnsi="Arial" w:cs="Arial"/>
          <w:color w:val="000000" w:themeColor="text1"/>
        </w:rPr>
        <w:t xml:space="preserve"> relationship with the researcher.</w:t>
      </w:r>
    </w:p>
    <w:p w14:paraId="2FF211BF" w14:textId="77777777" w:rsidR="005D262E" w:rsidRDefault="005D262E" w:rsidP="005D262E">
      <w:pPr>
        <w:rPr>
          <w:rFonts w:ascii="Arial" w:hAnsi="Arial" w:cs="Arial"/>
          <w:color w:val="000000" w:themeColor="text1"/>
        </w:rPr>
      </w:pPr>
      <w:r w:rsidRPr="003E734B">
        <w:rPr>
          <w:rFonts w:ascii="Arial" w:hAnsi="Arial" w:cs="Arial"/>
          <w:color w:val="000000" w:themeColor="text1"/>
        </w:rPr>
        <w:t>Students currently taught or assessed by the researcher will not be recruited. This is both an ethical safeguard and a methodological one, because it reduces the likelihood that the interview relationship will be affected by assessment or role dependency</w:t>
      </w:r>
      <w:r>
        <w:rPr>
          <w:rFonts w:ascii="Arial" w:hAnsi="Arial" w:cs="Arial"/>
          <w:color w:val="000000" w:themeColor="text1"/>
        </w:rPr>
        <w:t xml:space="preserve"> </w:t>
      </w:r>
      <w:r w:rsidRPr="00A70DB9">
        <w:rPr>
          <w:rFonts w:ascii="Arial" w:hAnsi="Arial" w:cs="Arial"/>
          <w:color w:val="000000" w:themeColor="text1"/>
        </w:rPr>
        <w:t>(Lewis et al., 2024)</w:t>
      </w:r>
      <w:r>
        <w:rPr>
          <w:rFonts w:ascii="Arial" w:hAnsi="Arial" w:cs="Arial"/>
          <w:color w:val="000000" w:themeColor="text1"/>
        </w:rPr>
        <w:t>.</w:t>
      </w:r>
      <w:r w:rsidRPr="003E734B">
        <w:rPr>
          <w:rFonts w:ascii="Arial" w:hAnsi="Arial" w:cs="Arial"/>
          <w:color w:val="000000" w:themeColor="text1"/>
        </w:rPr>
        <w:t xml:space="preserve"> </w:t>
      </w:r>
    </w:p>
    <w:p w14:paraId="749F9451" w14:textId="77777777" w:rsidR="005D262E" w:rsidRPr="004D76EC" w:rsidRDefault="005D262E" w:rsidP="005D262E">
      <w:pPr>
        <w:rPr>
          <w:rFonts w:ascii="Arial" w:hAnsi="Arial" w:cs="Arial"/>
          <w:color w:val="000000" w:themeColor="text1"/>
        </w:rPr>
      </w:pPr>
      <w:r w:rsidRPr="003E734B">
        <w:rPr>
          <w:rFonts w:ascii="Arial" w:hAnsi="Arial" w:cs="Arial"/>
          <w:color w:val="000000" w:themeColor="text1"/>
        </w:rPr>
        <w:t xml:space="preserve">Other designs were considered. A survey-based approach would have offered broader reach, but it would not have captured the depth needed to examine how students experience belonging, legitimacy, and support. A multi-site design was also considered </w:t>
      </w:r>
      <w:r>
        <w:rPr>
          <w:rFonts w:ascii="Arial" w:hAnsi="Arial" w:cs="Arial"/>
          <w:color w:val="000000" w:themeColor="text1"/>
        </w:rPr>
        <w:t>but rejected because it would have reduced the contextual depth needed to examine how policy is enacted in a</w:t>
      </w:r>
      <w:r w:rsidRPr="003E734B">
        <w:rPr>
          <w:rFonts w:ascii="Arial" w:hAnsi="Arial" w:cs="Arial"/>
          <w:color w:val="000000" w:themeColor="text1"/>
        </w:rPr>
        <w:t xml:space="preserve"> specific setting. Rigour will be maintained through reflexivity and transparency about the researcher's institutional position. Reflexive journalling and an audit trail will document assumptions, analytic decisions, and tensions arising from working within a familiar institution throughout the research process (Dodgson, 2019; Lewis et al., 2024; Yip, 2024).</w:t>
      </w:r>
      <w:r>
        <w:rPr>
          <w:rFonts w:ascii="Arial" w:hAnsi="Arial" w:cs="Arial"/>
          <w:color w:val="000000" w:themeColor="text1"/>
        </w:rPr>
        <w:t xml:space="preserve"> </w:t>
      </w:r>
      <w:r w:rsidRPr="004D76EC">
        <w:rPr>
          <w:rFonts w:ascii="Arial" w:hAnsi="Arial" w:cs="Arial"/>
          <w:color w:val="000000" w:themeColor="text1"/>
        </w:rPr>
        <w:t>The study will also be informed by Tracy's (2010) eight criteria for qualitative quality, including sincerity, credibility, and meaningful coherence, as a framework for evaluating rigour throughout the research process.</w:t>
      </w:r>
    </w:p>
    <w:p w14:paraId="2909CFA7" w14:textId="77777777" w:rsidR="005D262E" w:rsidRPr="00A33096" w:rsidRDefault="005D262E" w:rsidP="005D262E">
      <w:pPr>
        <w:rPr>
          <w:rFonts w:ascii="Arial" w:hAnsi="Arial" w:cs="Arial"/>
          <w:color w:val="000000" w:themeColor="text1"/>
        </w:rPr>
      </w:pPr>
      <w:r w:rsidRPr="00A33096">
        <w:rPr>
          <w:rFonts w:ascii="Arial" w:hAnsi="Arial" w:cs="Arial"/>
          <w:color w:val="000000" w:themeColor="text1"/>
        </w:rPr>
        <w:t xml:space="preserve">It is worth acknowledging that a three-strand design </w:t>
      </w:r>
      <w:r>
        <w:rPr>
          <w:rFonts w:ascii="Arial" w:hAnsi="Arial" w:cs="Arial"/>
          <w:color w:val="000000" w:themeColor="text1"/>
        </w:rPr>
        <w:t xml:space="preserve">may in practice prove </w:t>
      </w:r>
      <w:r w:rsidRPr="00A33096">
        <w:rPr>
          <w:rFonts w:ascii="Arial" w:hAnsi="Arial" w:cs="Arial"/>
          <w:color w:val="000000" w:themeColor="text1"/>
        </w:rPr>
        <w:t xml:space="preserve">ambitious for a small-scale doctoral study. The lecturer strand is included because students do not encounter </w:t>
      </w:r>
      <w:r>
        <w:rPr>
          <w:rFonts w:ascii="Arial" w:hAnsi="Arial" w:cs="Arial"/>
          <w:color w:val="000000" w:themeColor="text1"/>
        </w:rPr>
        <w:t xml:space="preserve">the widening participation policy directly; </w:t>
      </w:r>
      <w:r w:rsidRPr="00A33096">
        <w:rPr>
          <w:rFonts w:ascii="Arial" w:hAnsi="Arial" w:cs="Arial"/>
          <w:color w:val="000000" w:themeColor="text1"/>
        </w:rPr>
        <w:t xml:space="preserve">they encounter it through their lecturers. Without that strand, the study would have policy framing on one side and student experience on the other, but limited means of examining how one translates into the other in practice. </w:t>
      </w:r>
      <w:r w:rsidRPr="002B2C87">
        <w:rPr>
          <w:rFonts w:ascii="Arial" w:hAnsi="Arial" w:cs="Arial"/>
          <w:color w:val="000000" w:themeColor="text1"/>
        </w:rPr>
        <w:t xml:space="preserve">It is the lecturer strand that makes the three-way comparison </w:t>
      </w:r>
      <w:r>
        <w:rPr>
          <w:rFonts w:ascii="Arial" w:hAnsi="Arial" w:cs="Arial"/>
          <w:color w:val="000000" w:themeColor="text1"/>
        </w:rPr>
        <w:t>analytically meaningful</w:t>
      </w:r>
      <w:r w:rsidRPr="00A33096">
        <w:rPr>
          <w:rFonts w:ascii="Arial" w:hAnsi="Arial" w:cs="Arial"/>
          <w:color w:val="000000" w:themeColor="text1"/>
        </w:rPr>
        <w:t xml:space="preserve">. That said, if scope, access, or time constraints require the design to be narrowed, it is also the strand </w:t>
      </w:r>
      <w:r>
        <w:rPr>
          <w:rFonts w:ascii="Arial" w:hAnsi="Arial" w:cs="Arial"/>
          <w:color w:val="000000" w:themeColor="text1"/>
        </w:rPr>
        <w:t>best placed for reduction or removal</w:t>
      </w:r>
      <w:r w:rsidRPr="00A33096">
        <w:rPr>
          <w:rFonts w:ascii="Arial" w:hAnsi="Arial" w:cs="Arial"/>
          <w:color w:val="000000" w:themeColor="text1"/>
        </w:rPr>
        <w:t xml:space="preserve"> without undermining the study's central argument. The core two-strand design</w:t>
      </w:r>
      <w:r>
        <w:rPr>
          <w:rFonts w:ascii="Arial" w:hAnsi="Arial" w:cs="Arial"/>
          <w:color w:val="000000" w:themeColor="text1"/>
        </w:rPr>
        <w:t xml:space="preserve">, </w:t>
      </w:r>
      <w:r w:rsidRPr="00A33096">
        <w:rPr>
          <w:rFonts w:ascii="Arial" w:hAnsi="Arial" w:cs="Arial"/>
          <w:color w:val="000000" w:themeColor="text1"/>
        </w:rPr>
        <w:t>document analysis and mature student interviews</w:t>
      </w:r>
      <w:r>
        <w:rPr>
          <w:rFonts w:ascii="Arial" w:hAnsi="Arial" w:cs="Arial"/>
          <w:color w:val="000000" w:themeColor="text1"/>
        </w:rPr>
        <w:t xml:space="preserve"> </w:t>
      </w:r>
      <w:r w:rsidRPr="00A33096">
        <w:rPr>
          <w:rFonts w:ascii="Arial" w:hAnsi="Arial" w:cs="Arial"/>
          <w:color w:val="000000" w:themeColor="text1"/>
        </w:rPr>
        <w:t>would remain coherent and researchable.</w:t>
      </w:r>
    </w:p>
    <w:p w14:paraId="7870069E" w14:textId="77777777" w:rsidR="005D262E" w:rsidRDefault="005D262E" w:rsidP="005D262E">
      <w:pPr>
        <w:rPr>
          <w:rFonts w:ascii="Arial" w:hAnsi="Arial" w:cs="Arial"/>
          <w:b/>
          <w:bCs/>
          <w:color w:val="000000" w:themeColor="text1"/>
        </w:rPr>
      </w:pPr>
    </w:p>
    <w:p w14:paraId="7CBACA24" w14:textId="77777777" w:rsidR="005D262E" w:rsidRPr="003E734B" w:rsidRDefault="005D262E" w:rsidP="005D262E">
      <w:pPr>
        <w:rPr>
          <w:rFonts w:ascii="Arial" w:hAnsi="Arial" w:cs="Arial"/>
          <w:b/>
          <w:bCs/>
          <w:color w:val="000000" w:themeColor="text1"/>
        </w:rPr>
      </w:pPr>
      <w:r w:rsidRPr="003E734B">
        <w:rPr>
          <w:rFonts w:ascii="Arial" w:hAnsi="Arial" w:cs="Arial"/>
          <w:b/>
          <w:bCs/>
          <w:color w:val="000000" w:themeColor="text1"/>
        </w:rPr>
        <w:t>Ethical Considerations</w:t>
      </w:r>
    </w:p>
    <w:p w14:paraId="24E9B2E7" w14:textId="77777777" w:rsidR="005D262E" w:rsidRPr="003E734B" w:rsidRDefault="005D262E" w:rsidP="005D262E">
      <w:pPr>
        <w:rPr>
          <w:rFonts w:ascii="Arial" w:hAnsi="Arial" w:cs="Arial"/>
          <w:color w:val="000000" w:themeColor="text1"/>
        </w:rPr>
      </w:pPr>
      <w:r w:rsidRPr="003E734B">
        <w:rPr>
          <w:rFonts w:ascii="Arial" w:hAnsi="Arial" w:cs="Arial"/>
          <w:color w:val="000000" w:themeColor="text1"/>
        </w:rPr>
        <w:t xml:space="preserve">This study is located within a single </w:t>
      </w:r>
      <w:r>
        <w:rPr>
          <w:rFonts w:ascii="Arial" w:hAnsi="Arial" w:cs="Arial"/>
          <w:color w:val="000000" w:themeColor="text1"/>
        </w:rPr>
        <w:t>HE</w:t>
      </w:r>
      <w:r w:rsidRPr="003E734B">
        <w:rPr>
          <w:rFonts w:ascii="Arial" w:hAnsi="Arial" w:cs="Arial"/>
          <w:color w:val="000000" w:themeColor="text1"/>
        </w:rPr>
        <w:t xml:space="preserve"> institution and examines a topic closely related to institutional identity, student experience, and professional practice. The ethical issues are therefore not confined to consent and data storage. They also concern how institutional roles and relationships shape what people feel able to say, whether participants can genuinely be anonymised within a bounded setting, and how the researcher's own position influences interpretation.</w:t>
      </w:r>
    </w:p>
    <w:p w14:paraId="34810A15" w14:textId="77777777" w:rsidR="005D262E" w:rsidRPr="003E734B" w:rsidRDefault="005D262E" w:rsidP="005D262E">
      <w:pPr>
        <w:rPr>
          <w:rFonts w:ascii="Arial" w:hAnsi="Arial" w:cs="Arial"/>
          <w:color w:val="000000" w:themeColor="text1"/>
        </w:rPr>
      </w:pPr>
      <w:r w:rsidRPr="003E734B">
        <w:rPr>
          <w:rFonts w:ascii="Arial" w:hAnsi="Arial" w:cs="Arial"/>
          <w:color w:val="000000" w:themeColor="text1"/>
        </w:rPr>
        <w:lastRenderedPageBreak/>
        <w:t>Ethical approval will be sought through the university’s formal procedures before data collection begins, and the study will be guided by the principle that participation must be voluntary, informed, and free from any sense of obligation or institutional pressure.</w:t>
      </w:r>
    </w:p>
    <w:p w14:paraId="556C8A04" w14:textId="77777777" w:rsidR="005D262E" w:rsidRPr="003E734B" w:rsidRDefault="005D262E" w:rsidP="005D262E">
      <w:pPr>
        <w:rPr>
          <w:rFonts w:ascii="Arial" w:hAnsi="Arial" w:cs="Arial"/>
          <w:color w:val="000000" w:themeColor="text1"/>
        </w:rPr>
      </w:pPr>
      <w:r w:rsidRPr="003E734B">
        <w:rPr>
          <w:rFonts w:ascii="Arial" w:hAnsi="Arial" w:cs="Arial"/>
          <w:color w:val="000000" w:themeColor="text1"/>
        </w:rPr>
        <w:t xml:space="preserve">Informed consent will be treated as a process rather than a single administrative event. Participants will receive an information sheet explaining the purpose of the study, what participation involves, how data will be used, and their right to withdraw without disadvantage. Consent will be obtained before interviews take place, and participants will be reminded that they may decline to answer </w:t>
      </w:r>
      <w:proofErr w:type="gramStart"/>
      <w:r w:rsidRPr="003E734B">
        <w:rPr>
          <w:rFonts w:ascii="Arial" w:hAnsi="Arial" w:cs="Arial"/>
          <w:color w:val="000000" w:themeColor="text1"/>
        </w:rPr>
        <w:t>particular questions</w:t>
      </w:r>
      <w:proofErr w:type="gramEnd"/>
      <w:r w:rsidRPr="003E734B">
        <w:rPr>
          <w:rFonts w:ascii="Arial" w:hAnsi="Arial" w:cs="Arial"/>
          <w:color w:val="000000" w:themeColor="text1"/>
        </w:rPr>
        <w:t xml:space="preserve">, pause the interview, or withdraw at any stage. This approach is consistent with ensuring sensitivity, reflexivity, and integrity are considered throughout the research rather than simple procedural compliance (Muthanna &amp; </w:t>
      </w:r>
      <w:proofErr w:type="spellStart"/>
      <w:r w:rsidRPr="003E734B">
        <w:rPr>
          <w:rFonts w:ascii="Arial" w:hAnsi="Arial" w:cs="Arial"/>
          <w:color w:val="000000" w:themeColor="text1"/>
        </w:rPr>
        <w:t>Alduais</w:t>
      </w:r>
      <w:proofErr w:type="spellEnd"/>
      <w:r w:rsidRPr="003E734B">
        <w:rPr>
          <w:rFonts w:ascii="Arial" w:hAnsi="Arial" w:cs="Arial"/>
          <w:color w:val="000000" w:themeColor="text1"/>
        </w:rPr>
        <w:t>, 2023).</w:t>
      </w:r>
    </w:p>
    <w:p w14:paraId="3FF792BF" w14:textId="77777777" w:rsidR="005D262E" w:rsidRPr="003E734B" w:rsidRDefault="005D262E" w:rsidP="005D262E">
      <w:pPr>
        <w:rPr>
          <w:rFonts w:ascii="Arial" w:hAnsi="Arial" w:cs="Arial"/>
          <w:color w:val="000000" w:themeColor="text1"/>
        </w:rPr>
      </w:pPr>
      <w:r w:rsidRPr="003E734B">
        <w:rPr>
          <w:rFonts w:ascii="Arial" w:hAnsi="Arial" w:cs="Arial"/>
          <w:color w:val="000000" w:themeColor="text1"/>
        </w:rPr>
        <w:t>Confidentiality is especially important in a single-institution study because anonymity cannot be taken for granted. Even where names are removed, individuals may still be identifiable through combinations of role, programme, age, or experience. The study will therefore use pseudonyms, remove obvious identifying details from transcripts and reporting, and take a cautious approach to contextual description. Departments, roles, and institutional units will only be described to the extent necessary for analysis. Participants will also be told clearly that every reasonable step will be taken to protect confidentiality, but that a small residual risk of internal recognition may remain. This is a more honest and defensible position than suggesting that anonymity can be absolute in a bounded case study of this kind (Information Commissioner’s Office, 2025).</w:t>
      </w:r>
    </w:p>
    <w:p w14:paraId="17C57451" w14:textId="77777777" w:rsidR="005D262E" w:rsidRDefault="005D262E" w:rsidP="005D262E">
      <w:pPr>
        <w:rPr>
          <w:rFonts w:ascii="Arial" w:hAnsi="Arial" w:cs="Arial"/>
          <w:color w:val="000000" w:themeColor="text1"/>
        </w:rPr>
      </w:pPr>
      <w:r w:rsidRPr="003E734B">
        <w:rPr>
          <w:rFonts w:ascii="Arial" w:hAnsi="Arial" w:cs="Arial"/>
          <w:color w:val="000000" w:themeColor="text1"/>
        </w:rPr>
        <w:t xml:space="preserve">The researcher’s institutional position raises a further ethical issue. Although Insider research can offer advantages, such as contextual knowledge and sensitivity to local meanings, it also carries risks, including role confusion, perceived pressure to participate, and unexamined assumptions. Recent </w:t>
      </w:r>
      <w:r>
        <w:rPr>
          <w:rFonts w:ascii="Arial" w:hAnsi="Arial" w:cs="Arial"/>
          <w:color w:val="000000" w:themeColor="text1"/>
        </w:rPr>
        <w:t xml:space="preserve">research in HE </w:t>
      </w:r>
      <w:r w:rsidRPr="003E734B">
        <w:rPr>
          <w:rFonts w:ascii="Arial" w:hAnsi="Arial" w:cs="Arial"/>
          <w:color w:val="000000" w:themeColor="text1"/>
        </w:rPr>
        <w:t xml:space="preserve">on insider inquiry suggests that such work requires active reflexivity because the ethical tensions involved are ongoing rather than fully resolved in advance (Lewis et al., 2024). </w:t>
      </w:r>
      <w:r w:rsidRPr="00623C13">
        <w:rPr>
          <w:rFonts w:ascii="Arial" w:hAnsi="Arial" w:cs="Arial"/>
          <w:color w:val="000000" w:themeColor="text1"/>
        </w:rPr>
        <w:t>Recruitment will avoid direct approaches where possible and may involve a neutral intermediary or wider circulation route so that invitations do not carry the pressure of a personal request.</w:t>
      </w:r>
    </w:p>
    <w:p w14:paraId="0D0C137B" w14:textId="77777777" w:rsidR="005D262E" w:rsidRDefault="005D262E" w:rsidP="005D262E">
      <w:pPr>
        <w:rPr>
          <w:rFonts w:ascii="Arial" w:hAnsi="Arial" w:cs="Arial"/>
          <w:color w:val="000000" w:themeColor="text1"/>
        </w:rPr>
      </w:pPr>
      <w:r w:rsidRPr="003E734B">
        <w:rPr>
          <w:rFonts w:ascii="Arial" w:hAnsi="Arial" w:cs="Arial"/>
          <w:color w:val="000000" w:themeColor="text1"/>
        </w:rPr>
        <w:t>Interview recordings and transcripts will be stored securely on university-approved systems, accessible only to the researcher and supervisory team. Data will be retained and disposed of in line with university policy and data protection requirements (UK Research and Innovation, 2020; UK Data Service, n.d.).</w:t>
      </w:r>
    </w:p>
    <w:p w14:paraId="2354172C" w14:textId="77777777" w:rsidR="005D262E" w:rsidRPr="003E734B" w:rsidRDefault="005D262E" w:rsidP="005D262E">
      <w:pPr>
        <w:rPr>
          <w:rFonts w:ascii="Arial" w:hAnsi="Arial" w:cs="Arial"/>
          <w:color w:val="000000" w:themeColor="text1"/>
        </w:rPr>
      </w:pPr>
      <w:r w:rsidRPr="003E734B">
        <w:rPr>
          <w:rFonts w:ascii="Arial" w:hAnsi="Arial" w:cs="Arial"/>
          <w:color w:val="000000" w:themeColor="text1"/>
        </w:rPr>
        <w:t xml:space="preserve">Although the study is interpretive rather than evaluative, the analysis may identify tensions </w:t>
      </w:r>
      <w:r>
        <w:rPr>
          <w:rFonts w:ascii="Arial" w:hAnsi="Arial" w:cs="Arial"/>
          <w:color w:val="000000" w:themeColor="text1"/>
        </w:rPr>
        <w:t>among policy language, lecturers' understandings, and students' experiences</w:t>
      </w:r>
      <w:r w:rsidRPr="003E734B">
        <w:rPr>
          <w:rFonts w:ascii="Arial" w:hAnsi="Arial" w:cs="Arial"/>
          <w:color w:val="000000" w:themeColor="text1"/>
        </w:rPr>
        <w:t xml:space="preserve">. Reporting will therefore need to avoid unnecessary attribution while remaining honest about what the data suggests. Mature students may also reflect on experiences of exclusion, uncertainty, or feeling out of place, while lecturers may </w:t>
      </w:r>
      <w:r w:rsidRPr="003E734B">
        <w:rPr>
          <w:rFonts w:ascii="Arial" w:hAnsi="Arial" w:cs="Arial"/>
          <w:color w:val="000000" w:themeColor="text1"/>
        </w:rPr>
        <w:lastRenderedPageBreak/>
        <w:t>describe tensions between professional commitments and institutional constraints. Interviews will therefore be conducted in a way that allows participants to pause, skip questions, or end the conversation if they wish, and relevant support routes will be available where appropriate. In a single-institution study where participants may be colleagues or former students, ethical care extends beyond formal compliance; it runs through every decision about what to ask, how to analyse, and what to report.</w:t>
      </w:r>
    </w:p>
    <w:p w14:paraId="6C09C361" w14:textId="77777777" w:rsidR="005D262E" w:rsidRDefault="005D262E" w:rsidP="005D262E">
      <w:pPr>
        <w:rPr>
          <w:rFonts w:ascii="Arial" w:hAnsi="Arial" w:cs="Arial"/>
          <w:color w:val="000000" w:themeColor="text1"/>
        </w:rPr>
      </w:pPr>
    </w:p>
    <w:p w14:paraId="4D995C9E" w14:textId="77777777" w:rsidR="005D262E" w:rsidRDefault="005D262E" w:rsidP="005D262E">
      <w:pPr>
        <w:rPr>
          <w:rFonts w:ascii="Arial" w:hAnsi="Arial" w:cs="Arial"/>
          <w:color w:val="000000" w:themeColor="text1"/>
        </w:rPr>
      </w:pPr>
    </w:p>
    <w:p w14:paraId="0F830752" w14:textId="77777777" w:rsidR="005D262E" w:rsidRDefault="005D262E" w:rsidP="005D262E">
      <w:pPr>
        <w:rPr>
          <w:rFonts w:ascii="Arial" w:hAnsi="Arial" w:cs="Arial"/>
          <w:color w:val="000000" w:themeColor="text1"/>
        </w:rPr>
      </w:pPr>
    </w:p>
    <w:p w14:paraId="30BC9A2D" w14:textId="77777777" w:rsidR="005D262E" w:rsidRDefault="005D262E" w:rsidP="005D262E">
      <w:pPr>
        <w:rPr>
          <w:rFonts w:ascii="Arial" w:hAnsi="Arial" w:cs="Arial"/>
          <w:color w:val="000000" w:themeColor="text1"/>
        </w:rPr>
      </w:pPr>
    </w:p>
    <w:p w14:paraId="4E736B77" w14:textId="77777777" w:rsidR="005D262E" w:rsidRDefault="005D262E" w:rsidP="005D262E">
      <w:pPr>
        <w:rPr>
          <w:rFonts w:ascii="Arial" w:hAnsi="Arial" w:cs="Arial"/>
          <w:color w:val="000000" w:themeColor="text1"/>
        </w:rPr>
      </w:pPr>
    </w:p>
    <w:p w14:paraId="3CEE9A22" w14:textId="77777777" w:rsidR="005D262E" w:rsidRDefault="005D262E" w:rsidP="005D262E">
      <w:pPr>
        <w:rPr>
          <w:rFonts w:ascii="Arial" w:hAnsi="Arial" w:cs="Arial"/>
          <w:color w:val="000000" w:themeColor="text1"/>
        </w:rPr>
      </w:pPr>
    </w:p>
    <w:p w14:paraId="289BE564" w14:textId="77777777" w:rsidR="005D262E" w:rsidRDefault="005D262E" w:rsidP="005D262E">
      <w:pPr>
        <w:rPr>
          <w:rFonts w:ascii="Arial" w:hAnsi="Arial" w:cs="Arial"/>
          <w:color w:val="000000" w:themeColor="text1"/>
        </w:rPr>
      </w:pPr>
    </w:p>
    <w:p w14:paraId="7FBBFB66" w14:textId="77777777" w:rsidR="005D262E" w:rsidRDefault="005D262E" w:rsidP="005D262E">
      <w:pPr>
        <w:rPr>
          <w:rFonts w:ascii="Arial" w:hAnsi="Arial" w:cs="Arial"/>
          <w:color w:val="000000" w:themeColor="text1"/>
        </w:rPr>
      </w:pPr>
    </w:p>
    <w:p w14:paraId="69A88298" w14:textId="77777777" w:rsidR="005D262E" w:rsidRDefault="005D262E" w:rsidP="005D262E">
      <w:pPr>
        <w:rPr>
          <w:rFonts w:ascii="Arial" w:hAnsi="Arial" w:cs="Arial"/>
          <w:color w:val="000000" w:themeColor="text1"/>
        </w:rPr>
      </w:pPr>
    </w:p>
    <w:p w14:paraId="00A6FBE1" w14:textId="77777777" w:rsidR="005D262E" w:rsidRDefault="005D262E" w:rsidP="005D262E">
      <w:pPr>
        <w:rPr>
          <w:rFonts w:ascii="Arial" w:hAnsi="Arial" w:cs="Arial"/>
          <w:color w:val="000000" w:themeColor="text1"/>
        </w:rPr>
      </w:pPr>
    </w:p>
    <w:p w14:paraId="2119A77B" w14:textId="77777777" w:rsidR="005D262E" w:rsidRDefault="005D262E" w:rsidP="005D262E">
      <w:pPr>
        <w:rPr>
          <w:rFonts w:ascii="Arial" w:hAnsi="Arial" w:cs="Arial"/>
          <w:color w:val="000000" w:themeColor="text1"/>
        </w:rPr>
      </w:pPr>
    </w:p>
    <w:p w14:paraId="703ACAC3" w14:textId="77777777" w:rsidR="005D262E" w:rsidRDefault="005D262E" w:rsidP="005D262E">
      <w:pPr>
        <w:rPr>
          <w:rFonts w:ascii="Arial" w:hAnsi="Arial" w:cs="Arial"/>
          <w:color w:val="000000" w:themeColor="text1"/>
        </w:rPr>
      </w:pPr>
    </w:p>
    <w:p w14:paraId="1A817F35" w14:textId="77777777" w:rsidR="005D262E" w:rsidRDefault="005D262E" w:rsidP="005D262E">
      <w:pPr>
        <w:rPr>
          <w:rFonts w:ascii="Arial" w:hAnsi="Arial" w:cs="Arial"/>
          <w:color w:val="000000" w:themeColor="text1"/>
        </w:rPr>
      </w:pPr>
    </w:p>
    <w:p w14:paraId="74F9E6BF" w14:textId="77777777" w:rsidR="005D262E" w:rsidRDefault="005D262E" w:rsidP="005D262E">
      <w:pPr>
        <w:rPr>
          <w:rFonts w:ascii="Arial" w:hAnsi="Arial" w:cs="Arial"/>
          <w:color w:val="000000" w:themeColor="text1"/>
        </w:rPr>
      </w:pPr>
    </w:p>
    <w:p w14:paraId="32162D11" w14:textId="77777777" w:rsidR="005D262E" w:rsidRDefault="005D262E" w:rsidP="005D262E">
      <w:pPr>
        <w:rPr>
          <w:rFonts w:ascii="Arial" w:hAnsi="Arial" w:cs="Arial"/>
          <w:color w:val="000000" w:themeColor="text1"/>
        </w:rPr>
      </w:pPr>
    </w:p>
    <w:p w14:paraId="17CBAC6F" w14:textId="77777777" w:rsidR="005D262E" w:rsidRDefault="005D262E" w:rsidP="005D262E">
      <w:pPr>
        <w:rPr>
          <w:rFonts w:ascii="Arial" w:hAnsi="Arial" w:cs="Arial"/>
          <w:color w:val="000000" w:themeColor="text1"/>
        </w:rPr>
      </w:pPr>
    </w:p>
    <w:p w14:paraId="7BA2EE32" w14:textId="77777777" w:rsidR="005D262E" w:rsidRDefault="005D262E" w:rsidP="005D262E">
      <w:pPr>
        <w:rPr>
          <w:rFonts w:ascii="Arial" w:hAnsi="Arial" w:cs="Arial"/>
          <w:color w:val="000000" w:themeColor="text1"/>
        </w:rPr>
      </w:pPr>
    </w:p>
    <w:p w14:paraId="3498E622" w14:textId="77777777" w:rsidR="005D262E" w:rsidRDefault="005D262E" w:rsidP="005D262E">
      <w:pPr>
        <w:rPr>
          <w:rFonts w:ascii="Arial" w:hAnsi="Arial" w:cs="Arial"/>
          <w:color w:val="000000" w:themeColor="text1"/>
        </w:rPr>
      </w:pPr>
    </w:p>
    <w:p w14:paraId="68C16477" w14:textId="77777777" w:rsidR="005D262E" w:rsidRDefault="005D262E" w:rsidP="005D262E">
      <w:pPr>
        <w:rPr>
          <w:rFonts w:ascii="Arial" w:hAnsi="Arial" w:cs="Arial"/>
          <w:color w:val="000000" w:themeColor="text1"/>
        </w:rPr>
      </w:pPr>
    </w:p>
    <w:p w14:paraId="5E381952" w14:textId="77777777" w:rsidR="005D262E" w:rsidRDefault="005D262E" w:rsidP="005D262E">
      <w:pPr>
        <w:rPr>
          <w:rFonts w:ascii="Arial" w:hAnsi="Arial" w:cs="Arial"/>
          <w:color w:val="000000" w:themeColor="text1"/>
        </w:rPr>
      </w:pPr>
    </w:p>
    <w:p w14:paraId="293054CE" w14:textId="77777777" w:rsidR="005D262E" w:rsidRDefault="005D262E" w:rsidP="005D262E">
      <w:pPr>
        <w:rPr>
          <w:rFonts w:ascii="Arial" w:hAnsi="Arial" w:cs="Arial"/>
          <w:color w:val="000000" w:themeColor="text1"/>
        </w:rPr>
      </w:pPr>
    </w:p>
    <w:p w14:paraId="3E321989" w14:textId="77777777" w:rsidR="005D262E" w:rsidRDefault="005D262E" w:rsidP="005D262E">
      <w:pPr>
        <w:rPr>
          <w:rFonts w:ascii="Arial" w:hAnsi="Arial" w:cs="Arial"/>
          <w:color w:val="000000" w:themeColor="text1"/>
        </w:rPr>
      </w:pPr>
    </w:p>
    <w:p w14:paraId="230A672D" w14:textId="77777777" w:rsidR="005D262E" w:rsidRDefault="005D262E" w:rsidP="005D262E">
      <w:pPr>
        <w:rPr>
          <w:rFonts w:ascii="Arial" w:hAnsi="Arial" w:cs="Arial"/>
          <w:color w:val="000000" w:themeColor="text1"/>
        </w:rPr>
      </w:pPr>
    </w:p>
    <w:p w14:paraId="6124EAFC" w14:textId="77777777" w:rsidR="005D262E" w:rsidRDefault="005D262E" w:rsidP="005D262E">
      <w:pPr>
        <w:rPr>
          <w:rFonts w:ascii="Arial" w:hAnsi="Arial" w:cs="Arial"/>
          <w:color w:val="000000" w:themeColor="text1"/>
        </w:rPr>
      </w:pPr>
    </w:p>
    <w:p w14:paraId="6057A3E1" w14:textId="77777777" w:rsidR="005D262E" w:rsidRDefault="005D262E" w:rsidP="005D262E">
      <w:pPr>
        <w:ind w:hanging="709"/>
        <w:rPr>
          <w:rFonts w:ascii="Arial" w:hAnsi="Arial" w:cs="Arial"/>
          <w:color w:val="000000" w:themeColor="text1"/>
        </w:rPr>
      </w:pPr>
    </w:p>
    <w:p w14:paraId="1D36E2E1" w14:textId="77777777" w:rsidR="005D262E" w:rsidRPr="003E734B" w:rsidRDefault="005D262E" w:rsidP="005D262E">
      <w:pPr>
        <w:ind w:hanging="709"/>
        <w:rPr>
          <w:rFonts w:ascii="Arial" w:hAnsi="Arial" w:cs="Arial"/>
          <w:b/>
          <w:bCs/>
          <w:color w:val="000000" w:themeColor="text1"/>
        </w:rPr>
      </w:pPr>
      <w:r w:rsidRPr="003E734B">
        <w:rPr>
          <w:rFonts w:ascii="Arial" w:hAnsi="Arial" w:cs="Arial"/>
          <w:b/>
          <w:bCs/>
          <w:color w:val="000000" w:themeColor="text1"/>
        </w:rPr>
        <w:lastRenderedPageBreak/>
        <w:t>References</w:t>
      </w:r>
    </w:p>
    <w:p w14:paraId="5DAA9A0B"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Ahn, M. Y., &amp; Davis, H. H. (2020). Four domains of students’ sense of belonging to university.</w:t>
      </w:r>
      <w:r>
        <w:rPr>
          <w:rFonts w:ascii="Arial" w:hAnsi="Arial" w:cs="Arial"/>
          <w:color w:val="000000" w:themeColor="text1"/>
        </w:rPr>
        <w:t xml:space="preserve"> </w:t>
      </w:r>
      <w:r w:rsidRPr="003E734B">
        <w:rPr>
          <w:rFonts w:ascii="Arial" w:hAnsi="Arial" w:cs="Arial"/>
          <w:i/>
          <w:iCs/>
          <w:color w:val="000000" w:themeColor="text1"/>
        </w:rPr>
        <w:t>Studies in Higher Education, 45</w:t>
      </w:r>
      <w:r w:rsidRPr="003E734B">
        <w:rPr>
          <w:rFonts w:ascii="Arial" w:hAnsi="Arial" w:cs="Arial"/>
          <w:color w:val="000000" w:themeColor="text1"/>
        </w:rPr>
        <w:t>(3), 622–634.</w:t>
      </w:r>
      <w:r>
        <w:rPr>
          <w:rFonts w:ascii="Arial" w:hAnsi="Arial" w:cs="Arial"/>
          <w:color w:val="000000" w:themeColor="text1"/>
        </w:rPr>
        <w:t xml:space="preserve"> </w:t>
      </w:r>
      <w:hyperlink r:id="rId11" w:history="1">
        <w:r w:rsidRPr="00AC37E9">
          <w:rPr>
            <w:rStyle w:val="Hyperlink"/>
            <w:rFonts w:ascii="Arial" w:hAnsi="Arial" w:cs="Arial"/>
          </w:rPr>
          <w:t>https://doi.org/10.1080/03075079.2018.1564902</w:t>
        </w:r>
      </w:hyperlink>
    </w:p>
    <w:p w14:paraId="74E47CB2"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Allen, K.-A., Slaten, C., Hong, S., Lan, M., Craig, H., May, F., &amp; Counted, V. (2024). Belonging in higher education: A twenty-year systematic review.</w:t>
      </w:r>
      <w:r>
        <w:rPr>
          <w:rFonts w:ascii="Arial" w:hAnsi="Arial" w:cs="Arial"/>
          <w:color w:val="000000" w:themeColor="text1"/>
        </w:rPr>
        <w:t xml:space="preserve"> </w:t>
      </w:r>
      <w:r w:rsidRPr="003E734B">
        <w:rPr>
          <w:rFonts w:ascii="Arial" w:hAnsi="Arial" w:cs="Arial"/>
          <w:i/>
          <w:iCs/>
          <w:color w:val="000000" w:themeColor="text1"/>
        </w:rPr>
        <w:t>Journal of University Teaching and Learning Practice, 21</w:t>
      </w:r>
      <w:r w:rsidRPr="003E734B">
        <w:rPr>
          <w:rFonts w:ascii="Arial" w:hAnsi="Arial" w:cs="Arial"/>
          <w:color w:val="000000" w:themeColor="text1"/>
        </w:rPr>
        <w:t>(5), 1–55.</w:t>
      </w:r>
      <w:r>
        <w:rPr>
          <w:rFonts w:ascii="Arial" w:hAnsi="Arial" w:cs="Arial"/>
          <w:color w:val="000000" w:themeColor="text1"/>
        </w:rPr>
        <w:t xml:space="preserve"> </w:t>
      </w:r>
      <w:hyperlink r:id="rId12" w:history="1">
        <w:r w:rsidRPr="00AC37E9">
          <w:rPr>
            <w:rStyle w:val="Hyperlink"/>
            <w:rFonts w:ascii="Arial" w:hAnsi="Arial" w:cs="Arial"/>
          </w:rPr>
          <w:t>https://doi.org/10.53761/s2he6n66</w:t>
        </w:r>
      </w:hyperlink>
    </w:p>
    <w:p w14:paraId="7C90BDA9"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Altes, T. K., &amp; Willemse, M. (2024). Higher education teachers’ understandings of and challenges for inclusion and inclusive learning environments: A systematic literature review.</w:t>
      </w:r>
      <w:r>
        <w:rPr>
          <w:rFonts w:ascii="Arial" w:hAnsi="Arial" w:cs="Arial"/>
          <w:color w:val="000000" w:themeColor="text1"/>
        </w:rPr>
        <w:t xml:space="preserve"> </w:t>
      </w:r>
      <w:r w:rsidRPr="003E734B">
        <w:rPr>
          <w:rFonts w:ascii="Arial" w:hAnsi="Arial" w:cs="Arial"/>
          <w:i/>
          <w:iCs/>
          <w:color w:val="000000" w:themeColor="text1"/>
        </w:rPr>
        <w:t>Educational Research Review, 43</w:t>
      </w:r>
      <w:r w:rsidRPr="003E734B">
        <w:rPr>
          <w:rFonts w:ascii="Arial" w:hAnsi="Arial" w:cs="Arial"/>
          <w:color w:val="000000" w:themeColor="text1"/>
        </w:rPr>
        <w:t>, 100605.</w:t>
      </w:r>
      <w:r>
        <w:rPr>
          <w:rFonts w:ascii="Arial" w:hAnsi="Arial" w:cs="Arial"/>
          <w:color w:val="000000" w:themeColor="text1"/>
        </w:rPr>
        <w:t xml:space="preserve"> </w:t>
      </w:r>
      <w:hyperlink r:id="rId13" w:history="1">
        <w:r w:rsidRPr="00AC37E9">
          <w:rPr>
            <w:rStyle w:val="Hyperlink"/>
            <w:rFonts w:ascii="Arial" w:hAnsi="Arial" w:cs="Arial"/>
          </w:rPr>
          <w:t>https://doi.org/10.1016/j.edurev.2024.100605</w:t>
        </w:r>
      </w:hyperlink>
    </w:p>
    <w:p w14:paraId="57C8E61E"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Atanasova, D., &amp; Papen, U. (2025). UK university teachers on inclusive education: Conceptualizations, practices, opportunities and challenges.</w:t>
      </w:r>
      <w:r>
        <w:rPr>
          <w:rFonts w:ascii="Arial" w:hAnsi="Arial" w:cs="Arial"/>
          <w:color w:val="000000" w:themeColor="text1"/>
        </w:rPr>
        <w:t xml:space="preserve"> </w:t>
      </w:r>
      <w:r w:rsidRPr="003E734B">
        <w:rPr>
          <w:rFonts w:ascii="Arial" w:hAnsi="Arial" w:cs="Arial"/>
          <w:i/>
          <w:iCs/>
          <w:color w:val="000000" w:themeColor="text1"/>
        </w:rPr>
        <w:t>Studies in Higher Education, 51</w:t>
      </w:r>
      <w:r w:rsidRPr="003E734B">
        <w:rPr>
          <w:rFonts w:ascii="Arial" w:hAnsi="Arial" w:cs="Arial"/>
          <w:color w:val="000000" w:themeColor="text1"/>
        </w:rPr>
        <w:t>(1), 54–65.</w:t>
      </w:r>
      <w:r>
        <w:rPr>
          <w:rFonts w:ascii="Arial" w:hAnsi="Arial" w:cs="Arial"/>
          <w:color w:val="000000" w:themeColor="text1"/>
        </w:rPr>
        <w:t xml:space="preserve"> </w:t>
      </w:r>
      <w:hyperlink r:id="rId14" w:history="1">
        <w:r w:rsidRPr="00AC37E9">
          <w:rPr>
            <w:rStyle w:val="Hyperlink"/>
            <w:rFonts w:ascii="Arial" w:hAnsi="Arial" w:cs="Arial"/>
          </w:rPr>
          <w:t>https://doi.org/10.1080/03075079.2025.2455431</w:t>
        </w:r>
      </w:hyperlink>
    </w:p>
    <w:p w14:paraId="5130F220"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Barkas, L. A., Armstrong, P.-A., &amp; Bishop, G. (2022). Is inclusion still an illusion in higher education? Exploring the curriculum through the student voice.</w:t>
      </w:r>
      <w:r>
        <w:rPr>
          <w:rFonts w:ascii="Arial" w:hAnsi="Arial" w:cs="Arial"/>
          <w:color w:val="000000" w:themeColor="text1"/>
        </w:rPr>
        <w:t xml:space="preserve"> </w:t>
      </w:r>
      <w:r w:rsidRPr="003E734B">
        <w:rPr>
          <w:rFonts w:ascii="Arial" w:hAnsi="Arial" w:cs="Arial"/>
          <w:i/>
          <w:iCs/>
          <w:color w:val="000000" w:themeColor="text1"/>
        </w:rPr>
        <w:t>International Journal of Inclusive Education, 26</w:t>
      </w:r>
      <w:r w:rsidRPr="003E734B">
        <w:rPr>
          <w:rFonts w:ascii="Arial" w:hAnsi="Arial" w:cs="Arial"/>
          <w:color w:val="000000" w:themeColor="text1"/>
        </w:rPr>
        <w:t>(11), 1125–1140.</w:t>
      </w:r>
      <w:r>
        <w:rPr>
          <w:rFonts w:ascii="Arial" w:hAnsi="Arial" w:cs="Arial"/>
          <w:color w:val="000000" w:themeColor="text1"/>
        </w:rPr>
        <w:t xml:space="preserve"> </w:t>
      </w:r>
      <w:hyperlink r:id="rId15" w:history="1">
        <w:r w:rsidRPr="00AC37E9">
          <w:rPr>
            <w:rStyle w:val="Hyperlink"/>
            <w:rFonts w:ascii="Arial" w:hAnsi="Arial" w:cs="Arial"/>
          </w:rPr>
          <w:t>https://doi.org/10.1080/13603116.2020.1776777</w:t>
        </w:r>
      </w:hyperlink>
    </w:p>
    <w:p w14:paraId="5DC59EAC"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Baxter, P., &amp; Jack, S. (2008). Qualitative case study methodology: Study design and implementation for novice researchers.</w:t>
      </w:r>
      <w:r>
        <w:rPr>
          <w:rFonts w:ascii="Arial" w:hAnsi="Arial" w:cs="Arial"/>
          <w:color w:val="000000" w:themeColor="text1"/>
        </w:rPr>
        <w:t xml:space="preserve"> </w:t>
      </w:r>
      <w:r w:rsidRPr="003E734B">
        <w:rPr>
          <w:rFonts w:ascii="Arial" w:hAnsi="Arial" w:cs="Arial"/>
          <w:i/>
          <w:iCs/>
          <w:color w:val="000000" w:themeColor="text1"/>
        </w:rPr>
        <w:t>The Qualitative Report, 13</w:t>
      </w:r>
      <w:r w:rsidRPr="003E734B">
        <w:rPr>
          <w:rFonts w:ascii="Arial" w:hAnsi="Arial" w:cs="Arial"/>
          <w:color w:val="000000" w:themeColor="text1"/>
        </w:rPr>
        <w:t>(4), 544–559.</w:t>
      </w:r>
      <w:r>
        <w:rPr>
          <w:rFonts w:ascii="Arial" w:hAnsi="Arial" w:cs="Arial"/>
          <w:color w:val="000000" w:themeColor="text1"/>
        </w:rPr>
        <w:t xml:space="preserve"> </w:t>
      </w:r>
      <w:hyperlink r:id="rId16" w:history="1">
        <w:r w:rsidRPr="00AC37E9">
          <w:rPr>
            <w:rStyle w:val="Hyperlink"/>
            <w:rFonts w:ascii="Arial" w:hAnsi="Arial" w:cs="Arial"/>
          </w:rPr>
          <w:t>https://doi.org/10.46743/2160-3715/2008.1573</w:t>
        </w:r>
      </w:hyperlink>
    </w:p>
    <w:p w14:paraId="01651FA7"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Benson-Egglenton, J. (2022). Whose target group is it anyway? The messy business of enacting widening participation policy.</w:t>
      </w:r>
      <w:r>
        <w:rPr>
          <w:rFonts w:ascii="Arial" w:hAnsi="Arial" w:cs="Arial"/>
          <w:color w:val="000000" w:themeColor="text1"/>
        </w:rPr>
        <w:t xml:space="preserve"> </w:t>
      </w:r>
      <w:r w:rsidRPr="003E734B">
        <w:rPr>
          <w:rFonts w:ascii="Arial" w:hAnsi="Arial" w:cs="Arial"/>
          <w:i/>
          <w:iCs/>
          <w:color w:val="000000" w:themeColor="text1"/>
        </w:rPr>
        <w:t>Journal of Further and Higher Education, 46</w:t>
      </w:r>
      <w:r w:rsidRPr="003E734B">
        <w:rPr>
          <w:rFonts w:ascii="Arial" w:hAnsi="Arial" w:cs="Arial"/>
          <w:color w:val="000000" w:themeColor="text1"/>
        </w:rPr>
        <w:t>(10), 1407–1420.</w:t>
      </w:r>
      <w:r>
        <w:rPr>
          <w:rFonts w:ascii="Arial" w:hAnsi="Arial" w:cs="Arial"/>
          <w:color w:val="000000" w:themeColor="text1"/>
        </w:rPr>
        <w:t xml:space="preserve"> </w:t>
      </w:r>
      <w:hyperlink r:id="rId17" w:history="1">
        <w:r w:rsidRPr="00AC37E9">
          <w:rPr>
            <w:rStyle w:val="Hyperlink"/>
            <w:rFonts w:ascii="Arial" w:hAnsi="Arial" w:cs="Arial"/>
          </w:rPr>
          <w:t>https://doi.org/10.1080/0309877X.2022.2082276</w:t>
        </w:r>
      </w:hyperlink>
    </w:p>
    <w:p w14:paraId="1F7C041D"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Bowen, G. A. (2009). Document analysis as a qualitative research method.</w:t>
      </w:r>
      <w:r>
        <w:rPr>
          <w:rFonts w:ascii="Arial" w:hAnsi="Arial" w:cs="Arial"/>
          <w:color w:val="000000" w:themeColor="text1"/>
        </w:rPr>
        <w:t xml:space="preserve"> </w:t>
      </w:r>
      <w:r w:rsidRPr="003E734B">
        <w:rPr>
          <w:rFonts w:ascii="Arial" w:hAnsi="Arial" w:cs="Arial"/>
          <w:i/>
          <w:iCs/>
          <w:color w:val="000000" w:themeColor="text1"/>
        </w:rPr>
        <w:t>Qualitative Research Journal, 9</w:t>
      </w:r>
      <w:r w:rsidRPr="003E734B">
        <w:rPr>
          <w:rFonts w:ascii="Arial" w:hAnsi="Arial" w:cs="Arial"/>
          <w:color w:val="000000" w:themeColor="text1"/>
        </w:rPr>
        <w:t>(2), 27–40.</w:t>
      </w:r>
      <w:r>
        <w:rPr>
          <w:rFonts w:ascii="Arial" w:hAnsi="Arial" w:cs="Arial"/>
          <w:color w:val="000000" w:themeColor="text1"/>
        </w:rPr>
        <w:t xml:space="preserve"> </w:t>
      </w:r>
      <w:hyperlink r:id="rId18" w:history="1">
        <w:r w:rsidRPr="00AC37E9">
          <w:rPr>
            <w:rStyle w:val="Hyperlink"/>
            <w:rFonts w:ascii="Arial" w:hAnsi="Arial" w:cs="Arial"/>
          </w:rPr>
          <w:t>https://doi.org/10.3316/QRJ0902027</w:t>
        </w:r>
      </w:hyperlink>
    </w:p>
    <w:p w14:paraId="73B69A16"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Braun, V., &amp; Clarke, V. (2006). Using thematic analysis in psychology.</w:t>
      </w:r>
      <w:r>
        <w:rPr>
          <w:rFonts w:ascii="Arial" w:hAnsi="Arial" w:cs="Arial"/>
          <w:color w:val="000000" w:themeColor="text1"/>
        </w:rPr>
        <w:t xml:space="preserve"> </w:t>
      </w:r>
      <w:r w:rsidRPr="003E734B">
        <w:rPr>
          <w:rFonts w:ascii="Arial" w:hAnsi="Arial" w:cs="Arial"/>
          <w:i/>
          <w:iCs/>
          <w:color w:val="000000" w:themeColor="text1"/>
        </w:rPr>
        <w:t>Qualitative Research in Psychology, 3</w:t>
      </w:r>
      <w:r w:rsidRPr="003E734B">
        <w:rPr>
          <w:rFonts w:ascii="Arial" w:hAnsi="Arial" w:cs="Arial"/>
          <w:color w:val="000000" w:themeColor="text1"/>
        </w:rPr>
        <w:t>(2), 77–101.</w:t>
      </w:r>
      <w:r>
        <w:rPr>
          <w:rFonts w:ascii="Arial" w:hAnsi="Arial" w:cs="Arial"/>
          <w:color w:val="000000" w:themeColor="text1"/>
        </w:rPr>
        <w:t xml:space="preserve"> </w:t>
      </w:r>
      <w:hyperlink r:id="rId19" w:history="1">
        <w:r w:rsidRPr="00AC37E9">
          <w:rPr>
            <w:rStyle w:val="Hyperlink"/>
            <w:rFonts w:ascii="Arial" w:hAnsi="Arial" w:cs="Arial"/>
          </w:rPr>
          <w:t>https://doi.org/10.1191/1478088706qp063oa</w:t>
        </w:r>
      </w:hyperlink>
    </w:p>
    <w:p w14:paraId="3F422342" w14:textId="77777777" w:rsidR="005D262E" w:rsidRDefault="005D262E" w:rsidP="005D262E">
      <w:pPr>
        <w:ind w:hanging="720"/>
        <w:rPr>
          <w:rFonts w:ascii="Arial" w:hAnsi="Arial" w:cs="Arial"/>
          <w:color w:val="000000" w:themeColor="text1"/>
        </w:rPr>
      </w:pPr>
      <w:r w:rsidRPr="001D156D">
        <w:rPr>
          <w:rFonts w:ascii="Arial" w:hAnsi="Arial" w:cs="Arial"/>
          <w:color w:val="000000" w:themeColor="text1"/>
        </w:rPr>
        <w:t>Braun, V., &amp; Clarke, V. (2024). Supporting best practice in reflexive thematic analysis reporting in Palliative Medicine: A review of published research and introduction to the Reflexive Thematic Analysis Reporting Guidelines (</w:t>
      </w:r>
      <w:proofErr w:type="spellStart"/>
      <w:r w:rsidRPr="001D156D">
        <w:rPr>
          <w:rFonts w:ascii="Arial" w:hAnsi="Arial" w:cs="Arial"/>
          <w:color w:val="000000" w:themeColor="text1"/>
        </w:rPr>
        <w:t>RTARG</w:t>
      </w:r>
      <w:proofErr w:type="spellEnd"/>
      <w:r w:rsidRPr="001D156D">
        <w:rPr>
          <w:rFonts w:ascii="Arial" w:hAnsi="Arial" w:cs="Arial"/>
          <w:color w:val="000000" w:themeColor="text1"/>
        </w:rPr>
        <w:t xml:space="preserve">). </w:t>
      </w:r>
      <w:r w:rsidRPr="001D156D">
        <w:rPr>
          <w:rFonts w:ascii="Arial" w:hAnsi="Arial" w:cs="Arial"/>
          <w:i/>
          <w:iCs/>
          <w:color w:val="000000" w:themeColor="text1"/>
        </w:rPr>
        <w:t xml:space="preserve">Palliative Medicine, 38(6), </w:t>
      </w:r>
      <w:r w:rsidRPr="001D156D">
        <w:rPr>
          <w:rFonts w:ascii="Arial" w:hAnsi="Arial" w:cs="Arial"/>
          <w:color w:val="000000" w:themeColor="text1"/>
        </w:rPr>
        <w:t>608–616</w:t>
      </w:r>
      <w:r w:rsidRPr="001D156D">
        <w:rPr>
          <w:rFonts w:ascii="Arial" w:hAnsi="Arial" w:cs="Arial"/>
          <w:i/>
          <w:iCs/>
          <w:color w:val="000000" w:themeColor="text1"/>
        </w:rPr>
        <w:t>.</w:t>
      </w:r>
      <w:r w:rsidRPr="001D156D">
        <w:rPr>
          <w:rFonts w:ascii="Arial" w:hAnsi="Arial" w:cs="Arial"/>
          <w:color w:val="000000" w:themeColor="text1"/>
        </w:rPr>
        <w:t xml:space="preserve"> </w:t>
      </w:r>
      <w:hyperlink r:id="rId20" w:history="1">
        <w:r w:rsidRPr="00AC37E9">
          <w:rPr>
            <w:rStyle w:val="Hyperlink"/>
            <w:rFonts w:ascii="Arial" w:hAnsi="Arial" w:cs="Arial"/>
          </w:rPr>
          <w:t>https://doi.org/10.1177/02692163241234800</w:t>
        </w:r>
      </w:hyperlink>
    </w:p>
    <w:p w14:paraId="674F745D"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 xml:space="preserve">Campbell, S., Greenwood, M., Prior, S., Shearer, T., </w:t>
      </w:r>
      <w:proofErr w:type="spellStart"/>
      <w:r w:rsidRPr="003E734B">
        <w:rPr>
          <w:rFonts w:ascii="Arial" w:hAnsi="Arial" w:cs="Arial"/>
          <w:color w:val="000000" w:themeColor="text1"/>
        </w:rPr>
        <w:t>Walkem</w:t>
      </w:r>
      <w:proofErr w:type="spellEnd"/>
      <w:r w:rsidRPr="003E734B">
        <w:rPr>
          <w:rFonts w:ascii="Arial" w:hAnsi="Arial" w:cs="Arial"/>
          <w:color w:val="000000" w:themeColor="text1"/>
        </w:rPr>
        <w:t>, K., Young, S., Bywaters, D., &amp; Walker, K. (2020). Purposive sampling: Complex or simple? Research case examples.</w:t>
      </w:r>
      <w:r>
        <w:rPr>
          <w:rFonts w:ascii="Arial" w:hAnsi="Arial" w:cs="Arial"/>
          <w:color w:val="000000" w:themeColor="text1"/>
        </w:rPr>
        <w:t xml:space="preserve"> </w:t>
      </w:r>
      <w:r w:rsidRPr="003E734B">
        <w:rPr>
          <w:rFonts w:ascii="Arial" w:hAnsi="Arial" w:cs="Arial"/>
          <w:i/>
          <w:iCs/>
          <w:color w:val="000000" w:themeColor="text1"/>
        </w:rPr>
        <w:t>Journal of Research in Nursing, 25</w:t>
      </w:r>
      <w:r w:rsidRPr="003E734B">
        <w:rPr>
          <w:rFonts w:ascii="Arial" w:hAnsi="Arial" w:cs="Arial"/>
          <w:color w:val="000000" w:themeColor="text1"/>
        </w:rPr>
        <w:t>(8), 652–661.</w:t>
      </w:r>
      <w:r>
        <w:rPr>
          <w:rFonts w:ascii="Arial" w:hAnsi="Arial" w:cs="Arial"/>
          <w:color w:val="000000" w:themeColor="text1"/>
        </w:rPr>
        <w:t xml:space="preserve"> </w:t>
      </w:r>
      <w:hyperlink r:id="rId21" w:history="1">
        <w:r w:rsidRPr="00AC37E9">
          <w:rPr>
            <w:rStyle w:val="Hyperlink"/>
            <w:rFonts w:ascii="Arial" w:hAnsi="Arial" w:cs="Arial"/>
          </w:rPr>
          <w:t>https://doi.org/10.1177/1744987120927206</w:t>
        </w:r>
      </w:hyperlink>
    </w:p>
    <w:p w14:paraId="6E30085F"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lastRenderedPageBreak/>
        <w:t>Cleland, J., Buxton, J., Hughes, E., &amp; Patterson, F. (2024). Translating government policy into practice: How new UK medical schools enact widening participation.</w:t>
      </w:r>
      <w:r>
        <w:rPr>
          <w:rFonts w:ascii="Arial" w:hAnsi="Arial" w:cs="Arial"/>
          <w:color w:val="000000" w:themeColor="text1"/>
        </w:rPr>
        <w:t xml:space="preserve"> </w:t>
      </w:r>
      <w:r w:rsidRPr="003E734B">
        <w:rPr>
          <w:rFonts w:ascii="Arial" w:hAnsi="Arial" w:cs="Arial"/>
          <w:i/>
          <w:iCs/>
          <w:color w:val="000000" w:themeColor="text1"/>
        </w:rPr>
        <w:t>Medical Education, 58</w:t>
      </w:r>
      <w:r w:rsidRPr="003E734B">
        <w:rPr>
          <w:rFonts w:ascii="Arial" w:hAnsi="Arial" w:cs="Arial"/>
          <w:color w:val="000000" w:themeColor="text1"/>
        </w:rPr>
        <w:t>(10), 1247–1256.</w:t>
      </w:r>
      <w:r>
        <w:rPr>
          <w:rFonts w:ascii="Arial" w:hAnsi="Arial" w:cs="Arial"/>
          <w:color w:val="000000" w:themeColor="text1"/>
        </w:rPr>
        <w:t xml:space="preserve"> </w:t>
      </w:r>
      <w:hyperlink r:id="rId22" w:history="1">
        <w:r w:rsidRPr="00AC37E9">
          <w:rPr>
            <w:rStyle w:val="Hyperlink"/>
            <w:rFonts w:ascii="Arial" w:hAnsi="Arial" w:cs="Arial"/>
          </w:rPr>
          <w:t>https://doi.org/10.1111/medu.15403</w:t>
        </w:r>
      </w:hyperlink>
    </w:p>
    <w:p w14:paraId="43BE16A1"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Crawford, N., &amp; McKenzie, L. (2023). Localised learning: Mobilising belonging among mature-aged students in low socio-economic status regional and remote areas.</w:t>
      </w:r>
      <w:r>
        <w:rPr>
          <w:rFonts w:ascii="Arial" w:hAnsi="Arial" w:cs="Arial"/>
          <w:color w:val="000000" w:themeColor="text1"/>
        </w:rPr>
        <w:t xml:space="preserve"> </w:t>
      </w:r>
      <w:r w:rsidRPr="003E734B">
        <w:rPr>
          <w:rFonts w:ascii="Arial" w:hAnsi="Arial" w:cs="Arial"/>
          <w:i/>
          <w:iCs/>
          <w:color w:val="000000" w:themeColor="text1"/>
        </w:rPr>
        <w:t>Higher Education, 85</w:t>
      </w:r>
      <w:r w:rsidRPr="003E734B">
        <w:rPr>
          <w:rFonts w:ascii="Arial" w:hAnsi="Arial" w:cs="Arial"/>
          <w:color w:val="000000" w:themeColor="text1"/>
        </w:rPr>
        <w:t>(5), 1021–1040.</w:t>
      </w:r>
      <w:r>
        <w:rPr>
          <w:rFonts w:ascii="Arial" w:hAnsi="Arial" w:cs="Arial"/>
          <w:color w:val="000000" w:themeColor="text1"/>
        </w:rPr>
        <w:t xml:space="preserve"> </w:t>
      </w:r>
      <w:hyperlink r:id="rId23" w:history="1">
        <w:r w:rsidRPr="00AC37E9">
          <w:rPr>
            <w:rStyle w:val="Hyperlink"/>
            <w:rFonts w:ascii="Arial" w:hAnsi="Arial" w:cs="Arial"/>
          </w:rPr>
          <w:t>https://doi.org/10.1007/s10734-022-00877-x</w:t>
        </w:r>
      </w:hyperlink>
    </w:p>
    <w:p w14:paraId="6E76EA8A" w14:textId="77777777" w:rsidR="005D262E" w:rsidRDefault="005D262E" w:rsidP="005D262E">
      <w:pPr>
        <w:ind w:hanging="720"/>
        <w:rPr>
          <w:rFonts w:ascii="Arial" w:hAnsi="Arial" w:cs="Arial"/>
          <w:color w:val="000000" w:themeColor="text1"/>
        </w:rPr>
      </w:pPr>
      <w:r w:rsidRPr="008540B1">
        <w:rPr>
          <w:rFonts w:ascii="Arial" w:hAnsi="Arial" w:cs="Arial"/>
          <w:color w:val="000000" w:themeColor="text1"/>
        </w:rPr>
        <w:t xml:space="preserve">Creswell, J. W., &amp; </w:t>
      </w:r>
      <w:proofErr w:type="spellStart"/>
      <w:r w:rsidRPr="008540B1">
        <w:rPr>
          <w:rFonts w:ascii="Arial" w:hAnsi="Arial" w:cs="Arial"/>
          <w:color w:val="000000" w:themeColor="text1"/>
        </w:rPr>
        <w:t>Poth</w:t>
      </w:r>
      <w:proofErr w:type="spellEnd"/>
      <w:r w:rsidRPr="008540B1">
        <w:rPr>
          <w:rFonts w:ascii="Arial" w:hAnsi="Arial" w:cs="Arial"/>
          <w:color w:val="000000" w:themeColor="text1"/>
        </w:rPr>
        <w:t xml:space="preserve">, C. N. (2018). </w:t>
      </w:r>
      <w:r w:rsidRPr="008540B1">
        <w:rPr>
          <w:rFonts w:ascii="Arial" w:hAnsi="Arial" w:cs="Arial"/>
          <w:i/>
          <w:iCs/>
          <w:color w:val="000000" w:themeColor="text1"/>
        </w:rPr>
        <w:t>Qualitative inquiry and research design: Choosing among five approaches</w:t>
      </w:r>
      <w:r w:rsidRPr="008540B1">
        <w:rPr>
          <w:rFonts w:ascii="Arial" w:hAnsi="Arial" w:cs="Arial"/>
          <w:color w:val="000000" w:themeColor="text1"/>
        </w:rPr>
        <w:t xml:space="preserve"> (4th ed.). SAGE.</w:t>
      </w:r>
    </w:p>
    <w:p w14:paraId="631097FB" w14:textId="77777777" w:rsidR="005D262E" w:rsidRPr="003E734B" w:rsidRDefault="005D262E" w:rsidP="005D262E">
      <w:pPr>
        <w:ind w:hanging="720"/>
        <w:rPr>
          <w:rFonts w:ascii="Arial" w:hAnsi="Arial" w:cs="Arial"/>
          <w:color w:val="000000" w:themeColor="text1"/>
        </w:rPr>
      </w:pPr>
      <w:proofErr w:type="spellStart"/>
      <w:r w:rsidRPr="003E734B">
        <w:rPr>
          <w:rFonts w:ascii="Arial" w:hAnsi="Arial" w:cs="Arial"/>
          <w:color w:val="000000" w:themeColor="text1"/>
        </w:rPr>
        <w:t>DeJonckheere</w:t>
      </w:r>
      <w:proofErr w:type="spellEnd"/>
      <w:r w:rsidRPr="003E734B">
        <w:rPr>
          <w:rFonts w:ascii="Arial" w:hAnsi="Arial" w:cs="Arial"/>
          <w:color w:val="000000" w:themeColor="text1"/>
        </w:rPr>
        <w:t xml:space="preserve">, M., &amp; Vaughn, L. M. (2019). </w:t>
      </w:r>
      <w:proofErr w:type="spellStart"/>
      <w:r w:rsidRPr="003E734B">
        <w:rPr>
          <w:rFonts w:ascii="Arial" w:hAnsi="Arial" w:cs="Arial"/>
          <w:color w:val="000000" w:themeColor="text1"/>
        </w:rPr>
        <w:t>Semistructured</w:t>
      </w:r>
      <w:proofErr w:type="spellEnd"/>
      <w:r w:rsidRPr="003E734B">
        <w:rPr>
          <w:rFonts w:ascii="Arial" w:hAnsi="Arial" w:cs="Arial"/>
          <w:color w:val="000000" w:themeColor="text1"/>
        </w:rPr>
        <w:t xml:space="preserve"> interviewing in primary care research: A balance of relationship and rigour.</w:t>
      </w:r>
      <w:r>
        <w:rPr>
          <w:rFonts w:ascii="Arial" w:hAnsi="Arial" w:cs="Arial"/>
          <w:color w:val="000000" w:themeColor="text1"/>
        </w:rPr>
        <w:t xml:space="preserve"> </w:t>
      </w:r>
      <w:r w:rsidRPr="003E734B">
        <w:rPr>
          <w:rFonts w:ascii="Arial" w:hAnsi="Arial" w:cs="Arial"/>
          <w:i/>
          <w:iCs/>
          <w:color w:val="000000" w:themeColor="text1"/>
        </w:rPr>
        <w:t>Family Medicine and Community Health, 7</w:t>
      </w:r>
      <w:r w:rsidRPr="003E734B">
        <w:rPr>
          <w:rFonts w:ascii="Arial" w:hAnsi="Arial" w:cs="Arial"/>
          <w:color w:val="000000" w:themeColor="text1"/>
        </w:rPr>
        <w:t>(2), e000057.</w:t>
      </w:r>
      <w:r>
        <w:rPr>
          <w:rFonts w:ascii="Arial" w:hAnsi="Arial" w:cs="Arial"/>
          <w:color w:val="000000" w:themeColor="text1"/>
        </w:rPr>
        <w:t xml:space="preserve"> </w:t>
      </w:r>
      <w:hyperlink r:id="rId24" w:history="1">
        <w:r w:rsidRPr="00AC37E9">
          <w:rPr>
            <w:rStyle w:val="Hyperlink"/>
            <w:rFonts w:ascii="Arial" w:hAnsi="Arial" w:cs="Arial"/>
          </w:rPr>
          <w:t>https://doi.org/10.1136/fmch-2018-000057</w:t>
        </w:r>
      </w:hyperlink>
    </w:p>
    <w:p w14:paraId="0EA36F19"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Dodgson, J. E. (2019). Reflexivity in qualitative research.</w:t>
      </w:r>
      <w:r>
        <w:rPr>
          <w:rFonts w:ascii="Arial" w:hAnsi="Arial" w:cs="Arial"/>
          <w:color w:val="000000" w:themeColor="text1"/>
        </w:rPr>
        <w:t xml:space="preserve"> </w:t>
      </w:r>
      <w:r w:rsidRPr="003E734B">
        <w:rPr>
          <w:rFonts w:ascii="Arial" w:hAnsi="Arial" w:cs="Arial"/>
          <w:i/>
          <w:iCs/>
          <w:color w:val="000000" w:themeColor="text1"/>
        </w:rPr>
        <w:t>Journal of Human Lactation, 35</w:t>
      </w:r>
      <w:r w:rsidRPr="003E734B">
        <w:rPr>
          <w:rFonts w:ascii="Arial" w:hAnsi="Arial" w:cs="Arial"/>
          <w:color w:val="000000" w:themeColor="text1"/>
        </w:rPr>
        <w:t>(2), 220–222.</w:t>
      </w:r>
      <w:r>
        <w:rPr>
          <w:rFonts w:ascii="Arial" w:hAnsi="Arial" w:cs="Arial"/>
          <w:color w:val="000000" w:themeColor="text1"/>
        </w:rPr>
        <w:t xml:space="preserve"> </w:t>
      </w:r>
      <w:hyperlink r:id="rId25" w:history="1">
        <w:r w:rsidRPr="00AC37E9">
          <w:rPr>
            <w:rStyle w:val="Hyperlink"/>
            <w:rFonts w:ascii="Arial" w:hAnsi="Arial" w:cs="Arial"/>
          </w:rPr>
          <w:t>https://doi.org/10.1177/0890334419830990</w:t>
        </w:r>
      </w:hyperlink>
    </w:p>
    <w:p w14:paraId="2EE9CFAD"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Hayman, R., Wharton, K., Bell, L., &amp; Bird, L. (2024). Navigating the first year at an English university: Exploring the experiences of mature students through the lens of transition theory.</w:t>
      </w:r>
      <w:r>
        <w:rPr>
          <w:rFonts w:ascii="Arial" w:hAnsi="Arial" w:cs="Arial"/>
          <w:color w:val="000000" w:themeColor="text1"/>
        </w:rPr>
        <w:t xml:space="preserve"> </w:t>
      </w:r>
      <w:r w:rsidRPr="003E734B">
        <w:rPr>
          <w:rFonts w:ascii="Arial" w:hAnsi="Arial" w:cs="Arial"/>
          <w:i/>
          <w:iCs/>
          <w:color w:val="000000" w:themeColor="text1"/>
        </w:rPr>
        <w:t>International Journal of Lifelong Education, 43</w:t>
      </w:r>
      <w:r w:rsidRPr="003E734B">
        <w:rPr>
          <w:rFonts w:ascii="Arial" w:hAnsi="Arial" w:cs="Arial"/>
          <w:color w:val="000000" w:themeColor="text1"/>
        </w:rPr>
        <w:t>(1), 39–51.</w:t>
      </w:r>
      <w:r>
        <w:rPr>
          <w:rFonts w:ascii="Arial" w:hAnsi="Arial" w:cs="Arial"/>
          <w:color w:val="000000" w:themeColor="text1"/>
        </w:rPr>
        <w:t xml:space="preserve"> </w:t>
      </w:r>
      <w:hyperlink r:id="rId26" w:history="1">
        <w:r w:rsidRPr="00AC37E9">
          <w:rPr>
            <w:rStyle w:val="Hyperlink"/>
            <w:rFonts w:ascii="Arial" w:hAnsi="Arial" w:cs="Arial"/>
          </w:rPr>
          <w:t>https://doi.org/10.1080/02601370.2023.2297671</w:t>
        </w:r>
      </w:hyperlink>
    </w:p>
    <w:p w14:paraId="5AD0DF29"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Higher Education Funding Council for Wales. (2021</w:t>
      </w:r>
      <w:proofErr w:type="gramStart"/>
      <w:r w:rsidRPr="003E734B">
        <w:rPr>
          <w:rFonts w:ascii="Arial" w:hAnsi="Arial" w:cs="Arial"/>
          <w:color w:val="000000" w:themeColor="text1"/>
        </w:rPr>
        <w:t>).</w:t>
      </w:r>
      <w:r w:rsidRPr="003E734B">
        <w:rPr>
          <w:rFonts w:ascii="Arial" w:hAnsi="Arial" w:cs="Arial"/>
          <w:i/>
          <w:iCs/>
          <w:color w:val="000000" w:themeColor="text1"/>
        </w:rPr>
        <w:t>Reaching</w:t>
      </w:r>
      <w:proofErr w:type="gramEnd"/>
      <w:r w:rsidRPr="003E734B">
        <w:rPr>
          <w:rFonts w:ascii="Arial" w:hAnsi="Arial" w:cs="Arial"/>
          <w:i/>
          <w:iCs/>
          <w:color w:val="000000" w:themeColor="text1"/>
        </w:rPr>
        <w:t xml:space="preserve"> Wider programme guidance (Circular W21/38HE).</w:t>
      </w:r>
      <w:r>
        <w:rPr>
          <w:rFonts w:ascii="Arial" w:hAnsi="Arial" w:cs="Arial"/>
          <w:i/>
          <w:iCs/>
          <w:color w:val="000000" w:themeColor="text1"/>
        </w:rPr>
        <w:t xml:space="preserve"> </w:t>
      </w:r>
      <w:hyperlink r:id="rId27" w:history="1">
        <w:r w:rsidRPr="00AC37E9">
          <w:rPr>
            <w:rStyle w:val="Hyperlink"/>
            <w:rFonts w:ascii="Arial" w:hAnsi="Arial" w:cs="Arial"/>
          </w:rPr>
          <w:t>https://www.medr.cymru/wp-content/uploads/2024/07/W21-38HE-Reaching-Wider-Programme-guidance-English.pdf</w:t>
        </w:r>
      </w:hyperlink>
    </w:p>
    <w:p w14:paraId="1A0E1465"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Higher Education Funding Council for Wales. (2024).</w:t>
      </w:r>
      <w:r w:rsidRPr="003E734B">
        <w:rPr>
          <w:rFonts w:ascii="Arial" w:hAnsi="Arial" w:cs="Arial"/>
          <w:i/>
          <w:iCs/>
          <w:color w:val="000000" w:themeColor="text1"/>
        </w:rPr>
        <w:t>2025/26 and 2026/27 fee and access plan application guidance (Circular W24/07HE).</w:t>
      </w:r>
      <w:r>
        <w:rPr>
          <w:rFonts w:ascii="Arial" w:hAnsi="Arial" w:cs="Arial"/>
          <w:i/>
          <w:iCs/>
          <w:color w:val="000000" w:themeColor="text1"/>
        </w:rPr>
        <w:t xml:space="preserve"> </w:t>
      </w:r>
      <w:hyperlink r:id="rId28" w:history="1">
        <w:r w:rsidRPr="00AC37E9">
          <w:rPr>
            <w:rStyle w:val="Hyperlink"/>
            <w:rFonts w:ascii="Arial" w:hAnsi="Arial" w:cs="Arial"/>
          </w:rPr>
          <w:t>https://www.medr.cymru/wp-content/uploads/2024/12/W24-07HE-2025_26-and-2026_27-Fee-and-Access-Plan-application-guidance-English.pdf</w:t>
        </w:r>
      </w:hyperlink>
    </w:p>
    <w:p w14:paraId="29311AC5"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Higher Education Statistics Agency. (2026, January 27</w:t>
      </w:r>
      <w:proofErr w:type="gramStart"/>
      <w:r w:rsidRPr="003E734B">
        <w:rPr>
          <w:rFonts w:ascii="Arial" w:hAnsi="Arial" w:cs="Arial"/>
          <w:color w:val="000000" w:themeColor="text1"/>
        </w:rPr>
        <w:t>).</w:t>
      </w:r>
      <w:r w:rsidRPr="003E734B">
        <w:rPr>
          <w:rFonts w:ascii="Arial" w:hAnsi="Arial" w:cs="Arial"/>
          <w:i/>
          <w:iCs/>
          <w:color w:val="000000" w:themeColor="text1"/>
        </w:rPr>
        <w:t>Higher</w:t>
      </w:r>
      <w:proofErr w:type="gramEnd"/>
      <w:r w:rsidRPr="003E734B">
        <w:rPr>
          <w:rFonts w:ascii="Arial" w:hAnsi="Arial" w:cs="Arial"/>
          <w:i/>
          <w:iCs/>
          <w:color w:val="000000" w:themeColor="text1"/>
        </w:rPr>
        <w:t xml:space="preserve"> education student statistics: UK, 2024/25.</w:t>
      </w:r>
      <w:r>
        <w:rPr>
          <w:rFonts w:ascii="Arial" w:hAnsi="Arial" w:cs="Arial"/>
          <w:i/>
          <w:iCs/>
          <w:color w:val="000000" w:themeColor="text1"/>
        </w:rPr>
        <w:t xml:space="preserve"> </w:t>
      </w:r>
      <w:hyperlink r:id="rId29" w:history="1">
        <w:r w:rsidRPr="00AC37E9">
          <w:rPr>
            <w:rStyle w:val="Hyperlink"/>
            <w:rFonts w:ascii="Arial" w:hAnsi="Arial" w:cs="Arial"/>
          </w:rPr>
          <w:t>https://www.hesa.ac.uk/news/27-01-2026/sb272-higher-education-student-statistics</w:t>
        </w:r>
      </w:hyperlink>
    </w:p>
    <w:p w14:paraId="5BDCB442"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Hope, J., &amp; Quinlan, K. M. (2020). Staying local: How mature, working-class students on a satellite campus leverage community cultural wealth.</w:t>
      </w:r>
      <w:r>
        <w:rPr>
          <w:rFonts w:ascii="Arial" w:hAnsi="Arial" w:cs="Arial"/>
          <w:color w:val="000000" w:themeColor="text1"/>
        </w:rPr>
        <w:t xml:space="preserve"> </w:t>
      </w:r>
      <w:r w:rsidRPr="003E734B">
        <w:rPr>
          <w:rFonts w:ascii="Arial" w:hAnsi="Arial" w:cs="Arial"/>
          <w:i/>
          <w:iCs/>
          <w:color w:val="000000" w:themeColor="text1"/>
        </w:rPr>
        <w:t>Studies in Higher Education, 46</w:t>
      </w:r>
      <w:r w:rsidRPr="003E734B">
        <w:rPr>
          <w:rFonts w:ascii="Arial" w:hAnsi="Arial" w:cs="Arial"/>
          <w:color w:val="000000" w:themeColor="text1"/>
        </w:rPr>
        <w:t>(12), 2542–2555.</w:t>
      </w:r>
      <w:r>
        <w:rPr>
          <w:rFonts w:ascii="Arial" w:hAnsi="Arial" w:cs="Arial"/>
          <w:color w:val="000000" w:themeColor="text1"/>
        </w:rPr>
        <w:t xml:space="preserve"> </w:t>
      </w:r>
      <w:hyperlink r:id="rId30" w:history="1">
        <w:r w:rsidRPr="00AC37E9">
          <w:rPr>
            <w:rStyle w:val="Hyperlink"/>
            <w:rFonts w:ascii="Arial" w:hAnsi="Arial" w:cs="Arial"/>
          </w:rPr>
          <w:t>https://doi.org/10.1080/03075079.2020.1725874</w:t>
        </w:r>
      </w:hyperlink>
    </w:p>
    <w:p w14:paraId="3CFC26C3"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Hyett, N., Kenny, A., &amp; Dickson-Swift, V. (2014). Methodology or method? A critical review of qualitative case study reports.</w:t>
      </w:r>
      <w:r>
        <w:rPr>
          <w:rFonts w:ascii="Arial" w:hAnsi="Arial" w:cs="Arial"/>
          <w:color w:val="000000" w:themeColor="text1"/>
        </w:rPr>
        <w:t xml:space="preserve"> </w:t>
      </w:r>
      <w:r w:rsidRPr="003E734B">
        <w:rPr>
          <w:rFonts w:ascii="Arial" w:hAnsi="Arial" w:cs="Arial"/>
          <w:i/>
          <w:iCs/>
          <w:color w:val="000000" w:themeColor="text1"/>
        </w:rPr>
        <w:t>International Journal of Qualitative Studies on Health and Well-being, 9</w:t>
      </w:r>
      <w:r w:rsidRPr="003E734B">
        <w:rPr>
          <w:rFonts w:ascii="Arial" w:hAnsi="Arial" w:cs="Arial"/>
          <w:color w:val="000000" w:themeColor="text1"/>
        </w:rPr>
        <w:t>, Article 23606.</w:t>
      </w:r>
      <w:r>
        <w:rPr>
          <w:rFonts w:ascii="Arial" w:hAnsi="Arial" w:cs="Arial"/>
          <w:color w:val="000000" w:themeColor="text1"/>
        </w:rPr>
        <w:t xml:space="preserve"> </w:t>
      </w:r>
      <w:hyperlink r:id="rId31" w:history="1">
        <w:r w:rsidRPr="00AC37E9">
          <w:rPr>
            <w:rStyle w:val="Hyperlink"/>
            <w:rFonts w:ascii="Arial" w:hAnsi="Arial" w:cs="Arial"/>
          </w:rPr>
          <w:t>https://doi.org/10.3402/qhw.v9.23606</w:t>
        </w:r>
      </w:hyperlink>
    </w:p>
    <w:p w14:paraId="3067D810"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Information Commissioner’s Office. (2025, March 28</w:t>
      </w:r>
      <w:proofErr w:type="gramStart"/>
      <w:r w:rsidRPr="003E734B">
        <w:rPr>
          <w:rFonts w:ascii="Arial" w:hAnsi="Arial" w:cs="Arial"/>
          <w:color w:val="000000" w:themeColor="text1"/>
        </w:rPr>
        <w:t>).</w:t>
      </w:r>
      <w:r w:rsidRPr="003E734B">
        <w:rPr>
          <w:rFonts w:ascii="Arial" w:hAnsi="Arial" w:cs="Arial"/>
          <w:i/>
          <w:iCs/>
          <w:color w:val="000000" w:themeColor="text1"/>
        </w:rPr>
        <w:t>About</w:t>
      </w:r>
      <w:proofErr w:type="gramEnd"/>
      <w:r w:rsidRPr="003E734B">
        <w:rPr>
          <w:rFonts w:ascii="Arial" w:hAnsi="Arial" w:cs="Arial"/>
          <w:i/>
          <w:iCs/>
          <w:color w:val="000000" w:themeColor="text1"/>
        </w:rPr>
        <w:t xml:space="preserve"> this guidance: Anonymisation and pseudonymisation.</w:t>
      </w:r>
      <w:r>
        <w:rPr>
          <w:rFonts w:ascii="Arial" w:hAnsi="Arial" w:cs="Arial"/>
          <w:i/>
          <w:iCs/>
          <w:color w:val="000000" w:themeColor="text1"/>
        </w:rPr>
        <w:t xml:space="preserve"> </w:t>
      </w:r>
      <w:hyperlink r:id="rId32" w:history="1">
        <w:r w:rsidRPr="00AC37E9">
          <w:rPr>
            <w:rStyle w:val="Hyperlink"/>
            <w:rFonts w:ascii="Arial" w:hAnsi="Arial" w:cs="Arial"/>
          </w:rPr>
          <w:t>https://ico.org.uk/for-organisations/uk-gdpr-guidance-and-resources/data-sharing/anonymisation/about-this-guidance/</w:t>
        </w:r>
      </w:hyperlink>
    </w:p>
    <w:p w14:paraId="1AD8B3C2"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lastRenderedPageBreak/>
        <w:t>Krstić, C., Krstić, L., Tulloch, A., Agius, S., Warren, A., &amp; Doody, G. (2021). The experience of widening participation students in undergraduate medical education in the UK: A qualitative systematic review.</w:t>
      </w:r>
      <w:r>
        <w:rPr>
          <w:rFonts w:ascii="Arial" w:hAnsi="Arial" w:cs="Arial"/>
          <w:color w:val="000000" w:themeColor="text1"/>
        </w:rPr>
        <w:t xml:space="preserve"> </w:t>
      </w:r>
      <w:r w:rsidRPr="003E734B">
        <w:rPr>
          <w:rFonts w:ascii="Arial" w:hAnsi="Arial" w:cs="Arial"/>
          <w:i/>
          <w:iCs/>
          <w:color w:val="000000" w:themeColor="text1"/>
        </w:rPr>
        <w:t>Medical Teacher, 43</w:t>
      </w:r>
      <w:r w:rsidRPr="003E734B">
        <w:rPr>
          <w:rFonts w:ascii="Arial" w:hAnsi="Arial" w:cs="Arial"/>
          <w:color w:val="000000" w:themeColor="text1"/>
        </w:rPr>
        <w:t>(9), 1044–1053.</w:t>
      </w:r>
      <w:r>
        <w:rPr>
          <w:rFonts w:ascii="Arial" w:hAnsi="Arial" w:cs="Arial"/>
          <w:color w:val="000000" w:themeColor="text1"/>
        </w:rPr>
        <w:t xml:space="preserve"> </w:t>
      </w:r>
      <w:hyperlink r:id="rId33" w:history="1">
        <w:r w:rsidRPr="00AC37E9">
          <w:rPr>
            <w:rStyle w:val="Hyperlink"/>
            <w:rFonts w:ascii="Arial" w:hAnsi="Arial" w:cs="Arial"/>
          </w:rPr>
          <w:t>https://doi.org/10.1080/0142159X.2021.1908976</w:t>
        </w:r>
      </w:hyperlink>
    </w:p>
    <w:p w14:paraId="0674DA12"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 xml:space="preserve">Lewis, M. J., </w:t>
      </w:r>
      <w:proofErr w:type="spellStart"/>
      <w:r w:rsidRPr="003E734B">
        <w:rPr>
          <w:rFonts w:ascii="Arial" w:hAnsi="Arial" w:cs="Arial"/>
          <w:color w:val="000000" w:themeColor="text1"/>
        </w:rPr>
        <w:t>Belluigi</w:t>
      </w:r>
      <w:proofErr w:type="spellEnd"/>
      <w:r w:rsidRPr="003E734B">
        <w:rPr>
          <w:rFonts w:ascii="Arial" w:hAnsi="Arial" w:cs="Arial"/>
          <w:color w:val="000000" w:themeColor="text1"/>
        </w:rPr>
        <w:t>, D. Z., &amp; Thacker, I. (2024). Telling tales out of school: Considerations of ‘insider’ research in higher education.</w:t>
      </w:r>
      <w:r>
        <w:rPr>
          <w:rFonts w:ascii="Arial" w:hAnsi="Arial" w:cs="Arial"/>
          <w:color w:val="000000" w:themeColor="text1"/>
        </w:rPr>
        <w:t xml:space="preserve"> </w:t>
      </w:r>
      <w:r w:rsidRPr="003E734B">
        <w:rPr>
          <w:rFonts w:ascii="Arial" w:hAnsi="Arial" w:cs="Arial"/>
          <w:i/>
          <w:iCs/>
          <w:color w:val="000000" w:themeColor="text1"/>
        </w:rPr>
        <w:t>Teaching in Higher Education, 29</w:t>
      </w:r>
      <w:r w:rsidRPr="003E734B">
        <w:rPr>
          <w:rFonts w:ascii="Arial" w:hAnsi="Arial" w:cs="Arial"/>
          <w:color w:val="000000" w:themeColor="text1"/>
        </w:rPr>
        <w:t>(7), 1832–1844.</w:t>
      </w:r>
      <w:r>
        <w:rPr>
          <w:rFonts w:ascii="Arial" w:hAnsi="Arial" w:cs="Arial"/>
          <w:color w:val="000000" w:themeColor="text1"/>
        </w:rPr>
        <w:t xml:space="preserve"> </w:t>
      </w:r>
      <w:hyperlink r:id="rId34" w:history="1">
        <w:r w:rsidRPr="00AC37E9">
          <w:rPr>
            <w:rStyle w:val="Hyperlink"/>
            <w:rFonts w:ascii="Arial" w:hAnsi="Arial" w:cs="Arial"/>
          </w:rPr>
          <w:t>https://doi.org/10.1080/13562517.2024.2354263</w:t>
        </w:r>
      </w:hyperlink>
    </w:p>
    <w:p w14:paraId="4BDE87AE"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Mallman, M., &amp; Lee, H. (2016). Stigmatised learners: Mature-age students negotiating university culture.</w:t>
      </w:r>
      <w:r>
        <w:rPr>
          <w:rFonts w:ascii="Arial" w:hAnsi="Arial" w:cs="Arial"/>
          <w:color w:val="000000" w:themeColor="text1"/>
        </w:rPr>
        <w:t xml:space="preserve"> </w:t>
      </w:r>
      <w:r w:rsidRPr="003E734B">
        <w:rPr>
          <w:rFonts w:ascii="Arial" w:hAnsi="Arial" w:cs="Arial"/>
          <w:i/>
          <w:iCs/>
          <w:color w:val="000000" w:themeColor="text1"/>
        </w:rPr>
        <w:t>British Journal of Sociology of Education, 37</w:t>
      </w:r>
      <w:r w:rsidRPr="003E734B">
        <w:rPr>
          <w:rFonts w:ascii="Arial" w:hAnsi="Arial" w:cs="Arial"/>
          <w:color w:val="000000" w:themeColor="text1"/>
        </w:rPr>
        <w:t>(5), 684–701.</w:t>
      </w:r>
      <w:r>
        <w:rPr>
          <w:rFonts w:ascii="Arial" w:hAnsi="Arial" w:cs="Arial"/>
          <w:color w:val="000000" w:themeColor="text1"/>
        </w:rPr>
        <w:t xml:space="preserve"> </w:t>
      </w:r>
      <w:hyperlink r:id="rId35" w:history="1">
        <w:r w:rsidRPr="00AC37E9">
          <w:rPr>
            <w:rStyle w:val="Hyperlink"/>
            <w:rFonts w:ascii="Arial" w:hAnsi="Arial" w:cs="Arial"/>
          </w:rPr>
          <w:t>https://doi.org/10.1080/01425692.2014.973017</w:t>
        </w:r>
      </w:hyperlink>
    </w:p>
    <w:p w14:paraId="3307FF52"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Medr. (2025</w:t>
      </w:r>
      <w:proofErr w:type="gramStart"/>
      <w:r w:rsidRPr="003E734B">
        <w:rPr>
          <w:rFonts w:ascii="Arial" w:hAnsi="Arial" w:cs="Arial"/>
          <w:color w:val="000000" w:themeColor="text1"/>
        </w:rPr>
        <w:t>).</w:t>
      </w:r>
      <w:r w:rsidRPr="003E734B">
        <w:rPr>
          <w:rFonts w:ascii="Arial" w:hAnsi="Arial" w:cs="Arial"/>
          <w:i/>
          <w:iCs/>
          <w:color w:val="000000" w:themeColor="text1"/>
        </w:rPr>
        <w:t>Strategic</w:t>
      </w:r>
      <w:proofErr w:type="gramEnd"/>
      <w:r w:rsidRPr="003E734B">
        <w:rPr>
          <w:rFonts w:ascii="Arial" w:hAnsi="Arial" w:cs="Arial"/>
          <w:i/>
          <w:iCs/>
          <w:color w:val="000000" w:themeColor="text1"/>
        </w:rPr>
        <w:t xml:space="preserve"> plan 2025–2030.</w:t>
      </w:r>
      <w:r>
        <w:rPr>
          <w:rFonts w:ascii="Arial" w:hAnsi="Arial" w:cs="Arial"/>
          <w:i/>
          <w:iCs/>
          <w:color w:val="000000" w:themeColor="text1"/>
        </w:rPr>
        <w:t xml:space="preserve"> </w:t>
      </w:r>
      <w:hyperlink r:id="rId36" w:history="1">
        <w:r w:rsidRPr="00AC37E9">
          <w:rPr>
            <w:rStyle w:val="Hyperlink"/>
            <w:rFonts w:ascii="Arial" w:hAnsi="Arial" w:cs="Arial"/>
          </w:rPr>
          <w:t>https://www.medr.cymru/wp-content/uploads/2025/03/Medr-Strategic-Plan-2025-2030.pdf</w:t>
        </w:r>
      </w:hyperlink>
    </w:p>
    <w:p w14:paraId="54DAAFD9" w14:textId="77777777" w:rsidR="005D262E" w:rsidRDefault="005D262E" w:rsidP="005D262E">
      <w:pPr>
        <w:ind w:hanging="720"/>
        <w:rPr>
          <w:rFonts w:ascii="Arial" w:hAnsi="Arial" w:cs="Arial"/>
          <w:color w:val="000000" w:themeColor="text1"/>
        </w:rPr>
      </w:pPr>
      <w:r w:rsidRPr="00E72EC9">
        <w:rPr>
          <w:rFonts w:ascii="Arial" w:hAnsi="Arial" w:cs="Arial"/>
          <w:color w:val="000000" w:themeColor="text1"/>
        </w:rPr>
        <w:t xml:space="preserve">Mezirow, J. (1991). </w:t>
      </w:r>
      <w:r w:rsidRPr="00E72EC9">
        <w:rPr>
          <w:rFonts w:ascii="Arial" w:hAnsi="Arial" w:cs="Arial"/>
          <w:i/>
          <w:iCs/>
          <w:color w:val="000000" w:themeColor="text1"/>
        </w:rPr>
        <w:t>Transformative dimensions of adult learning</w:t>
      </w:r>
      <w:r w:rsidRPr="00E72EC9">
        <w:rPr>
          <w:rFonts w:ascii="Arial" w:hAnsi="Arial" w:cs="Arial"/>
          <w:color w:val="000000" w:themeColor="text1"/>
        </w:rPr>
        <w:t>. Jossey-Bass.</w:t>
      </w:r>
    </w:p>
    <w:p w14:paraId="64990779"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 xml:space="preserve">Muthanna, A., &amp; </w:t>
      </w:r>
      <w:proofErr w:type="spellStart"/>
      <w:r w:rsidRPr="003E734B">
        <w:rPr>
          <w:rFonts w:ascii="Arial" w:hAnsi="Arial" w:cs="Arial"/>
          <w:color w:val="000000" w:themeColor="text1"/>
        </w:rPr>
        <w:t>Alduais</w:t>
      </w:r>
      <w:proofErr w:type="spellEnd"/>
      <w:r w:rsidRPr="003E734B">
        <w:rPr>
          <w:rFonts w:ascii="Arial" w:hAnsi="Arial" w:cs="Arial"/>
          <w:color w:val="000000" w:themeColor="text1"/>
        </w:rPr>
        <w:t>, A. (2023). The interrelationship of reflexivity, sensitivity and integrity in conducting interviews.</w:t>
      </w:r>
      <w:r>
        <w:rPr>
          <w:rFonts w:ascii="Arial" w:hAnsi="Arial" w:cs="Arial"/>
          <w:color w:val="000000" w:themeColor="text1"/>
        </w:rPr>
        <w:t xml:space="preserve"> </w:t>
      </w:r>
      <w:proofErr w:type="spellStart"/>
      <w:r w:rsidRPr="003E734B">
        <w:rPr>
          <w:rFonts w:ascii="Arial" w:hAnsi="Arial" w:cs="Arial"/>
          <w:i/>
          <w:iCs/>
          <w:color w:val="000000" w:themeColor="text1"/>
        </w:rPr>
        <w:t>Behavioral</w:t>
      </w:r>
      <w:proofErr w:type="spellEnd"/>
      <w:r w:rsidRPr="003E734B">
        <w:rPr>
          <w:rFonts w:ascii="Arial" w:hAnsi="Arial" w:cs="Arial"/>
          <w:i/>
          <w:iCs/>
          <w:color w:val="000000" w:themeColor="text1"/>
        </w:rPr>
        <w:t xml:space="preserve"> Sciences, 13</w:t>
      </w:r>
      <w:r w:rsidRPr="003E734B">
        <w:rPr>
          <w:rFonts w:ascii="Arial" w:hAnsi="Arial" w:cs="Arial"/>
          <w:color w:val="000000" w:themeColor="text1"/>
        </w:rPr>
        <w:t>(3), Article 218.</w:t>
      </w:r>
      <w:r>
        <w:rPr>
          <w:rFonts w:ascii="Arial" w:hAnsi="Arial" w:cs="Arial"/>
          <w:color w:val="000000" w:themeColor="text1"/>
        </w:rPr>
        <w:t xml:space="preserve"> </w:t>
      </w:r>
      <w:hyperlink r:id="rId37" w:history="1">
        <w:r w:rsidRPr="00AC37E9">
          <w:rPr>
            <w:rStyle w:val="Hyperlink"/>
            <w:rFonts w:ascii="Arial" w:hAnsi="Arial" w:cs="Arial"/>
          </w:rPr>
          <w:t>https://doi.org/10.3390/bs13030218</w:t>
        </w:r>
      </w:hyperlink>
    </w:p>
    <w:p w14:paraId="5DC09F85"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Negrea, V., &amp; Gartland, C. (2025). An umbrella review of widening participation in higher education: Strategies, challenges, and research gaps.</w:t>
      </w:r>
      <w:r>
        <w:rPr>
          <w:rFonts w:ascii="Arial" w:hAnsi="Arial" w:cs="Arial"/>
          <w:color w:val="000000" w:themeColor="text1"/>
        </w:rPr>
        <w:t xml:space="preserve"> </w:t>
      </w:r>
      <w:r w:rsidRPr="003E734B">
        <w:rPr>
          <w:rFonts w:ascii="Arial" w:hAnsi="Arial" w:cs="Arial"/>
          <w:i/>
          <w:iCs/>
          <w:color w:val="000000" w:themeColor="text1"/>
        </w:rPr>
        <w:t>Review of Education, 13</w:t>
      </w:r>
      <w:r w:rsidRPr="003E734B">
        <w:rPr>
          <w:rFonts w:ascii="Arial" w:hAnsi="Arial" w:cs="Arial"/>
          <w:color w:val="000000" w:themeColor="text1"/>
        </w:rPr>
        <w:t>(3), e70120.</w:t>
      </w:r>
      <w:r>
        <w:rPr>
          <w:rFonts w:ascii="Arial" w:hAnsi="Arial" w:cs="Arial"/>
          <w:color w:val="000000" w:themeColor="text1"/>
        </w:rPr>
        <w:t xml:space="preserve"> </w:t>
      </w:r>
      <w:hyperlink r:id="rId38" w:history="1">
        <w:r w:rsidRPr="00AC37E9">
          <w:rPr>
            <w:rStyle w:val="Hyperlink"/>
            <w:rFonts w:ascii="Arial" w:hAnsi="Arial" w:cs="Arial"/>
          </w:rPr>
          <w:t>https://doi.org/10.1002/rev3.70120</w:t>
        </w:r>
      </w:hyperlink>
    </w:p>
    <w:p w14:paraId="41B4A71B"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Office for Students. (2024</w:t>
      </w:r>
      <w:proofErr w:type="gramStart"/>
      <w:r w:rsidRPr="003E734B">
        <w:rPr>
          <w:rFonts w:ascii="Arial" w:hAnsi="Arial" w:cs="Arial"/>
          <w:color w:val="000000" w:themeColor="text1"/>
        </w:rPr>
        <w:t>).</w:t>
      </w:r>
      <w:r w:rsidRPr="003E734B">
        <w:rPr>
          <w:rFonts w:ascii="Arial" w:hAnsi="Arial" w:cs="Arial"/>
          <w:i/>
          <w:iCs/>
          <w:color w:val="000000" w:themeColor="text1"/>
        </w:rPr>
        <w:t>Financial</w:t>
      </w:r>
      <w:proofErr w:type="gramEnd"/>
      <w:r w:rsidRPr="003E734B">
        <w:rPr>
          <w:rFonts w:ascii="Arial" w:hAnsi="Arial" w:cs="Arial"/>
          <w:i/>
          <w:iCs/>
          <w:color w:val="000000" w:themeColor="text1"/>
        </w:rPr>
        <w:t xml:space="preserve"> sustainability of higher education providers in England 2024.</w:t>
      </w:r>
      <w:r>
        <w:rPr>
          <w:rFonts w:ascii="Arial" w:hAnsi="Arial" w:cs="Arial"/>
          <w:i/>
          <w:iCs/>
          <w:color w:val="000000" w:themeColor="text1"/>
        </w:rPr>
        <w:t xml:space="preserve"> </w:t>
      </w:r>
      <w:hyperlink r:id="rId39" w:history="1">
        <w:r w:rsidRPr="00AC37E9">
          <w:rPr>
            <w:rStyle w:val="Hyperlink"/>
            <w:rFonts w:ascii="Arial" w:hAnsi="Arial" w:cs="Arial"/>
          </w:rPr>
          <w:t>https://www.officeforstudents.org.uk/media/ly1buqlj/financial-sustainability-report2024.pdf</w:t>
        </w:r>
      </w:hyperlink>
    </w:p>
    <w:p w14:paraId="4A7B7EF7"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Office for Students. (2026</w:t>
      </w:r>
      <w:proofErr w:type="gramStart"/>
      <w:r w:rsidRPr="003E734B">
        <w:rPr>
          <w:rFonts w:ascii="Arial" w:hAnsi="Arial" w:cs="Arial"/>
          <w:color w:val="000000" w:themeColor="text1"/>
        </w:rPr>
        <w:t>).</w:t>
      </w:r>
      <w:r w:rsidRPr="003E734B">
        <w:rPr>
          <w:rFonts w:ascii="Arial" w:hAnsi="Arial" w:cs="Arial"/>
          <w:i/>
          <w:iCs/>
          <w:color w:val="000000" w:themeColor="text1"/>
        </w:rPr>
        <w:t>Access</w:t>
      </w:r>
      <w:proofErr w:type="gramEnd"/>
      <w:r w:rsidRPr="003E734B">
        <w:rPr>
          <w:rFonts w:ascii="Arial" w:hAnsi="Arial" w:cs="Arial"/>
          <w:i/>
          <w:iCs/>
          <w:color w:val="000000" w:themeColor="text1"/>
        </w:rPr>
        <w:t xml:space="preserve"> and participation data dashboard.</w:t>
      </w:r>
      <w:r>
        <w:rPr>
          <w:rFonts w:ascii="Arial" w:hAnsi="Arial" w:cs="Arial"/>
          <w:i/>
          <w:iCs/>
          <w:color w:val="000000" w:themeColor="text1"/>
        </w:rPr>
        <w:t xml:space="preserve"> </w:t>
      </w:r>
      <w:hyperlink r:id="rId40" w:history="1">
        <w:r w:rsidRPr="00AC37E9">
          <w:rPr>
            <w:rStyle w:val="Hyperlink"/>
            <w:rFonts w:ascii="Arial" w:hAnsi="Arial" w:cs="Arial"/>
          </w:rPr>
          <w:t>https://www.officeforstudents.org.uk/data-and-analysis/access-and-participation-data-dashboard/</w:t>
        </w:r>
      </w:hyperlink>
    </w:p>
    <w:p w14:paraId="7EC2A07E"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Olaniyan, F.-V. (2021). Paying the widening participation penalty: Racial and ethnic minority students and mental health in British universities.</w:t>
      </w:r>
      <w:r>
        <w:rPr>
          <w:rFonts w:ascii="Arial" w:hAnsi="Arial" w:cs="Arial"/>
          <w:color w:val="000000" w:themeColor="text1"/>
        </w:rPr>
        <w:t xml:space="preserve"> </w:t>
      </w:r>
      <w:r w:rsidRPr="003E734B">
        <w:rPr>
          <w:rFonts w:ascii="Arial" w:hAnsi="Arial" w:cs="Arial"/>
          <w:i/>
          <w:iCs/>
          <w:color w:val="000000" w:themeColor="text1"/>
        </w:rPr>
        <w:t>Analyses of Social Issues and Public Policy, 21</w:t>
      </w:r>
      <w:r w:rsidRPr="003E734B">
        <w:rPr>
          <w:rFonts w:ascii="Arial" w:hAnsi="Arial" w:cs="Arial"/>
          <w:color w:val="000000" w:themeColor="text1"/>
        </w:rPr>
        <w:t>(1), 735–761. https://doi.org/10.1111/asap.12242</w:t>
      </w:r>
    </w:p>
    <w:p w14:paraId="0B940F04"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 xml:space="preserve">O’Toole, M., Dunnett, S., Brennan, M., Calvard, T., &amp; </w:t>
      </w:r>
      <w:proofErr w:type="spellStart"/>
      <w:r w:rsidRPr="003E734B">
        <w:rPr>
          <w:rFonts w:ascii="Arial" w:hAnsi="Arial" w:cs="Arial"/>
          <w:color w:val="000000" w:themeColor="text1"/>
        </w:rPr>
        <w:t>Fakeyeva</w:t>
      </w:r>
      <w:proofErr w:type="spellEnd"/>
      <w:r w:rsidRPr="003E734B">
        <w:rPr>
          <w:rFonts w:ascii="Arial" w:hAnsi="Arial" w:cs="Arial"/>
          <w:color w:val="000000" w:themeColor="text1"/>
        </w:rPr>
        <w:t>, L. (2024). Widening participation in Scotland 1997–2021: A semi-systematic literature review and avenues for further research.</w:t>
      </w:r>
      <w:r>
        <w:rPr>
          <w:rFonts w:ascii="Arial" w:hAnsi="Arial" w:cs="Arial"/>
          <w:color w:val="000000" w:themeColor="text1"/>
        </w:rPr>
        <w:t xml:space="preserve"> </w:t>
      </w:r>
      <w:r w:rsidRPr="003E734B">
        <w:rPr>
          <w:rFonts w:ascii="Arial" w:hAnsi="Arial" w:cs="Arial"/>
          <w:i/>
          <w:iCs/>
          <w:color w:val="000000" w:themeColor="text1"/>
        </w:rPr>
        <w:t>British Educational Research Journal, 50</w:t>
      </w:r>
      <w:r w:rsidRPr="003E734B">
        <w:rPr>
          <w:rFonts w:ascii="Arial" w:hAnsi="Arial" w:cs="Arial"/>
          <w:color w:val="000000" w:themeColor="text1"/>
        </w:rPr>
        <w:t>(4), 1655–1675.</w:t>
      </w:r>
      <w:r>
        <w:rPr>
          <w:rFonts w:ascii="Arial" w:hAnsi="Arial" w:cs="Arial"/>
          <w:color w:val="000000" w:themeColor="text1"/>
        </w:rPr>
        <w:t xml:space="preserve"> </w:t>
      </w:r>
      <w:hyperlink r:id="rId41" w:history="1">
        <w:r w:rsidRPr="00AC37E9">
          <w:rPr>
            <w:rStyle w:val="Hyperlink"/>
            <w:rFonts w:ascii="Arial" w:hAnsi="Arial" w:cs="Arial"/>
          </w:rPr>
          <w:t>https://doi.org/10.1002/berj.3991</w:t>
        </w:r>
      </w:hyperlink>
    </w:p>
    <w:p w14:paraId="4A10CF10"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Peat, G., Rodriguez, A., &amp; Smith, J. (2019). Interpretative phenomenological analysis applied to healthcare research.</w:t>
      </w:r>
      <w:r>
        <w:rPr>
          <w:rFonts w:ascii="Arial" w:hAnsi="Arial" w:cs="Arial"/>
          <w:color w:val="000000" w:themeColor="text1"/>
        </w:rPr>
        <w:t xml:space="preserve"> </w:t>
      </w:r>
      <w:r w:rsidRPr="003E734B">
        <w:rPr>
          <w:rFonts w:ascii="Arial" w:hAnsi="Arial" w:cs="Arial"/>
          <w:i/>
          <w:iCs/>
          <w:color w:val="000000" w:themeColor="text1"/>
        </w:rPr>
        <w:t>Evidence-Based Nursing, 22</w:t>
      </w:r>
      <w:r w:rsidRPr="003E734B">
        <w:rPr>
          <w:rFonts w:ascii="Arial" w:hAnsi="Arial" w:cs="Arial"/>
          <w:color w:val="000000" w:themeColor="text1"/>
        </w:rPr>
        <w:t>(1), 7–9.</w:t>
      </w:r>
      <w:r>
        <w:rPr>
          <w:rFonts w:ascii="Arial" w:hAnsi="Arial" w:cs="Arial"/>
          <w:color w:val="000000" w:themeColor="text1"/>
        </w:rPr>
        <w:t xml:space="preserve"> </w:t>
      </w:r>
      <w:hyperlink r:id="rId42" w:history="1">
        <w:r w:rsidRPr="00AC37E9">
          <w:rPr>
            <w:rStyle w:val="Hyperlink"/>
            <w:rFonts w:ascii="Arial" w:hAnsi="Arial" w:cs="Arial"/>
          </w:rPr>
          <w:t>https://doi.org/10.1136/ebnurs-2018-103017</w:t>
        </w:r>
      </w:hyperlink>
    </w:p>
    <w:p w14:paraId="01E48503"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lastRenderedPageBreak/>
        <w:t>Pearce, N. (2017). Older mature undergraduate students: Challenges, assets and transitions.</w:t>
      </w:r>
      <w:r>
        <w:rPr>
          <w:rFonts w:ascii="Arial" w:hAnsi="Arial" w:cs="Arial"/>
          <w:color w:val="000000" w:themeColor="text1"/>
        </w:rPr>
        <w:t xml:space="preserve"> </w:t>
      </w:r>
      <w:r w:rsidRPr="003E734B">
        <w:rPr>
          <w:rFonts w:ascii="Arial" w:hAnsi="Arial" w:cs="Arial"/>
          <w:i/>
          <w:iCs/>
          <w:color w:val="000000" w:themeColor="text1"/>
        </w:rPr>
        <w:t>Widening Participation and Lifelong Learning, 19</w:t>
      </w:r>
      <w:r w:rsidRPr="003E734B">
        <w:rPr>
          <w:rFonts w:ascii="Arial" w:hAnsi="Arial" w:cs="Arial"/>
          <w:color w:val="000000" w:themeColor="text1"/>
        </w:rPr>
        <w:t>(1), 59–76.</w:t>
      </w:r>
      <w:r>
        <w:rPr>
          <w:rFonts w:ascii="Arial" w:hAnsi="Arial" w:cs="Arial"/>
          <w:color w:val="000000" w:themeColor="text1"/>
        </w:rPr>
        <w:t xml:space="preserve"> </w:t>
      </w:r>
      <w:hyperlink r:id="rId43" w:history="1">
        <w:r w:rsidRPr="00AC37E9">
          <w:rPr>
            <w:rStyle w:val="Hyperlink"/>
            <w:rFonts w:ascii="Arial" w:hAnsi="Arial" w:cs="Arial"/>
          </w:rPr>
          <w:t>https://doi.org/10.5456/WPLL.19.1.59</w:t>
        </w:r>
      </w:hyperlink>
    </w:p>
    <w:p w14:paraId="36CF82A8"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Pietkiewicz, I., &amp; Smith, J. A. (2014). A practical guide to using interpretative phenomenological analysis in qualitative research psychology.</w:t>
      </w:r>
      <w:r>
        <w:rPr>
          <w:rFonts w:ascii="Arial" w:hAnsi="Arial" w:cs="Arial"/>
          <w:color w:val="000000" w:themeColor="text1"/>
        </w:rPr>
        <w:t xml:space="preserve"> </w:t>
      </w:r>
      <w:r w:rsidRPr="003E734B">
        <w:rPr>
          <w:rFonts w:ascii="Arial" w:hAnsi="Arial" w:cs="Arial"/>
          <w:i/>
          <w:iCs/>
          <w:color w:val="000000" w:themeColor="text1"/>
        </w:rPr>
        <w:t>Psychological Journal, 20</w:t>
      </w:r>
      <w:r w:rsidRPr="003E734B">
        <w:rPr>
          <w:rFonts w:ascii="Arial" w:hAnsi="Arial" w:cs="Arial"/>
          <w:color w:val="000000" w:themeColor="text1"/>
        </w:rPr>
        <w:t>(1), 7–14.</w:t>
      </w:r>
      <w:r>
        <w:rPr>
          <w:rFonts w:ascii="Arial" w:hAnsi="Arial" w:cs="Arial"/>
          <w:color w:val="000000" w:themeColor="text1"/>
        </w:rPr>
        <w:t xml:space="preserve"> </w:t>
      </w:r>
      <w:hyperlink r:id="rId44" w:history="1">
        <w:r w:rsidRPr="00AC37E9">
          <w:rPr>
            <w:rStyle w:val="Hyperlink"/>
            <w:rFonts w:ascii="Arial" w:hAnsi="Arial" w:cs="Arial"/>
          </w:rPr>
          <w:t>https://doi.org/10.14691/CPPJ.20.1.7</w:t>
        </w:r>
      </w:hyperlink>
    </w:p>
    <w:p w14:paraId="51D43435"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Rainford, J. (2021). Working with/in institutions: How policy enactment in widening participation is shaped through practitioners’ experience.</w:t>
      </w:r>
      <w:r>
        <w:rPr>
          <w:rFonts w:ascii="Arial" w:hAnsi="Arial" w:cs="Arial"/>
          <w:color w:val="000000" w:themeColor="text1"/>
        </w:rPr>
        <w:t xml:space="preserve"> </w:t>
      </w:r>
      <w:r w:rsidRPr="003E734B">
        <w:rPr>
          <w:rFonts w:ascii="Arial" w:hAnsi="Arial" w:cs="Arial"/>
          <w:i/>
          <w:iCs/>
          <w:color w:val="000000" w:themeColor="text1"/>
        </w:rPr>
        <w:t>British Journal of Sociology of Education, 42</w:t>
      </w:r>
      <w:r w:rsidRPr="003E734B">
        <w:rPr>
          <w:rFonts w:ascii="Arial" w:hAnsi="Arial" w:cs="Arial"/>
          <w:color w:val="000000" w:themeColor="text1"/>
        </w:rPr>
        <w:t>(2), 287–303.</w:t>
      </w:r>
      <w:r>
        <w:rPr>
          <w:rFonts w:ascii="Arial" w:hAnsi="Arial" w:cs="Arial"/>
          <w:color w:val="000000" w:themeColor="text1"/>
        </w:rPr>
        <w:t xml:space="preserve"> </w:t>
      </w:r>
      <w:hyperlink r:id="rId45" w:history="1">
        <w:r w:rsidRPr="00AC37E9">
          <w:rPr>
            <w:rStyle w:val="Hyperlink"/>
            <w:rFonts w:ascii="Arial" w:hAnsi="Arial" w:cs="Arial"/>
          </w:rPr>
          <w:t>https://doi.org/10.1080/01425692.2020.1865130</w:t>
        </w:r>
      </w:hyperlink>
    </w:p>
    <w:p w14:paraId="54E3C98B"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Smith, J. A. (2009). An introduction to interpretative phenomenological analysis.</w:t>
      </w:r>
      <w:r>
        <w:rPr>
          <w:rFonts w:ascii="Arial" w:hAnsi="Arial" w:cs="Arial"/>
          <w:color w:val="000000" w:themeColor="text1"/>
        </w:rPr>
        <w:t xml:space="preserve"> </w:t>
      </w:r>
      <w:r w:rsidRPr="003E734B">
        <w:rPr>
          <w:rFonts w:ascii="Arial" w:hAnsi="Arial" w:cs="Arial"/>
          <w:i/>
          <w:iCs/>
          <w:color w:val="000000" w:themeColor="text1"/>
        </w:rPr>
        <w:t>Occupational Therapy in Mental Health, 25</w:t>
      </w:r>
      <w:r w:rsidRPr="003E734B">
        <w:rPr>
          <w:rFonts w:ascii="Arial" w:hAnsi="Arial" w:cs="Arial"/>
          <w:color w:val="000000" w:themeColor="text1"/>
        </w:rPr>
        <w:t>(1), 3–7.</w:t>
      </w:r>
      <w:r>
        <w:rPr>
          <w:rFonts w:ascii="Arial" w:hAnsi="Arial" w:cs="Arial"/>
          <w:color w:val="000000" w:themeColor="text1"/>
        </w:rPr>
        <w:t xml:space="preserve"> </w:t>
      </w:r>
      <w:hyperlink r:id="rId46" w:history="1">
        <w:r w:rsidRPr="00AC37E9">
          <w:rPr>
            <w:rStyle w:val="Hyperlink"/>
            <w:rFonts w:ascii="Arial" w:hAnsi="Arial" w:cs="Arial"/>
          </w:rPr>
          <w:t>https://doi.org/10.1080/01642120802530056</w:t>
        </w:r>
      </w:hyperlink>
    </w:p>
    <w:p w14:paraId="41B7AFBD"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 xml:space="preserve">Stentiford, L., &amp; </w:t>
      </w:r>
      <w:proofErr w:type="spellStart"/>
      <w:r w:rsidRPr="003E734B">
        <w:rPr>
          <w:rFonts w:ascii="Arial" w:hAnsi="Arial" w:cs="Arial"/>
          <w:color w:val="000000" w:themeColor="text1"/>
        </w:rPr>
        <w:t>Koutsouris</w:t>
      </w:r>
      <w:proofErr w:type="spellEnd"/>
      <w:r w:rsidRPr="003E734B">
        <w:rPr>
          <w:rFonts w:ascii="Arial" w:hAnsi="Arial" w:cs="Arial"/>
          <w:color w:val="000000" w:themeColor="text1"/>
        </w:rPr>
        <w:t>, G. (2021). What are inclusive pedagogies in higher education? A systematic scoping review.</w:t>
      </w:r>
      <w:r>
        <w:rPr>
          <w:rFonts w:ascii="Arial" w:hAnsi="Arial" w:cs="Arial"/>
          <w:color w:val="000000" w:themeColor="text1"/>
        </w:rPr>
        <w:t xml:space="preserve"> </w:t>
      </w:r>
      <w:r w:rsidRPr="003E734B">
        <w:rPr>
          <w:rFonts w:ascii="Arial" w:hAnsi="Arial" w:cs="Arial"/>
          <w:i/>
          <w:iCs/>
          <w:color w:val="000000" w:themeColor="text1"/>
        </w:rPr>
        <w:t>Studies in Higher Education, 46</w:t>
      </w:r>
      <w:r w:rsidRPr="003E734B">
        <w:rPr>
          <w:rFonts w:ascii="Arial" w:hAnsi="Arial" w:cs="Arial"/>
          <w:color w:val="000000" w:themeColor="text1"/>
        </w:rPr>
        <w:t>(11), 2245–2261.</w:t>
      </w:r>
      <w:r>
        <w:rPr>
          <w:rFonts w:ascii="Arial" w:hAnsi="Arial" w:cs="Arial"/>
          <w:color w:val="000000" w:themeColor="text1"/>
        </w:rPr>
        <w:t xml:space="preserve"> </w:t>
      </w:r>
      <w:hyperlink r:id="rId47" w:history="1">
        <w:r w:rsidRPr="00AC37E9">
          <w:rPr>
            <w:rStyle w:val="Hyperlink"/>
            <w:rFonts w:ascii="Arial" w:hAnsi="Arial" w:cs="Arial"/>
          </w:rPr>
          <w:t>https://doi.org/10.1080/03075079.2020.1716322</w:t>
        </w:r>
      </w:hyperlink>
    </w:p>
    <w:p w14:paraId="3EDDC21F"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lang w:val="pl-PL"/>
        </w:rPr>
        <w:t xml:space="preserve">Tham, A., Raciti, M., &amp; Dale, J. (2023). </w:t>
      </w:r>
      <w:r w:rsidRPr="003E734B">
        <w:rPr>
          <w:rFonts w:ascii="Arial" w:hAnsi="Arial" w:cs="Arial"/>
          <w:color w:val="000000" w:themeColor="text1"/>
        </w:rPr>
        <w:t>Widening participation between 2001 and 2021: A systematic literature review and research agenda.</w:t>
      </w:r>
      <w:r>
        <w:rPr>
          <w:rFonts w:ascii="Arial" w:hAnsi="Arial" w:cs="Arial"/>
          <w:color w:val="000000" w:themeColor="text1"/>
        </w:rPr>
        <w:t xml:space="preserve"> </w:t>
      </w:r>
      <w:r w:rsidRPr="003E734B">
        <w:rPr>
          <w:rFonts w:ascii="Arial" w:hAnsi="Arial" w:cs="Arial"/>
          <w:i/>
          <w:iCs/>
          <w:color w:val="000000" w:themeColor="text1"/>
        </w:rPr>
        <w:t>Journal of University Teaching and Learning Practice, 20</w:t>
      </w:r>
      <w:r w:rsidRPr="003E734B">
        <w:rPr>
          <w:rFonts w:ascii="Arial" w:hAnsi="Arial" w:cs="Arial"/>
          <w:color w:val="000000" w:themeColor="text1"/>
        </w:rPr>
        <w:t>(6), Article 16.</w:t>
      </w:r>
      <w:r>
        <w:rPr>
          <w:rFonts w:ascii="Arial" w:hAnsi="Arial" w:cs="Arial"/>
          <w:color w:val="000000" w:themeColor="text1"/>
        </w:rPr>
        <w:t xml:space="preserve"> </w:t>
      </w:r>
      <w:hyperlink r:id="rId48" w:history="1">
        <w:r w:rsidRPr="00AC37E9">
          <w:rPr>
            <w:rStyle w:val="Hyperlink"/>
            <w:rFonts w:ascii="Arial" w:hAnsi="Arial" w:cs="Arial"/>
          </w:rPr>
          <w:t>https://doi.org/10.53761/1.20.6.16</w:t>
        </w:r>
      </w:hyperlink>
    </w:p>
    <w:p w14:paraId="5C6CFEA5" w14:textId="77777777" w:rsidR="005D262E" w:rsidRDefault="005D262E" w:rsidP="005D262E">
      <w:pPr>
        <w:ind w:hanging="720"/>
        <w:rPr>
          <w:rFonts w:ascii="Arial" w:hAnsi="Arial" w:cs="Arial"/>
          <w:color w:val="000000" w:themeColor="text1"/>
        </w:rPr>
      </w:pPr>
      <w:r w:rsidRPr="004D76EC">
        <w:rPr>
          <w:rFonts w:ascii="Arial" w:hAnsi="Arial" w:cs="Arial"/>
          <w:color w:val="000000" w:themeColor="text1"/>
        </w:rPr>
        <w:t xml:space="preserve">Tracy, S. J. (2010). Qualitative quality: Eight "big-tent" criteria for excellent qualitative research. </w:t>
      </w:r>
      <w:r w:rsidRPr="004D76EC">
        <w:rPr>
          <w:rFonts w:ascii="Arial" w:hAnsi="Arial" w:cs="Arial"/>
          <w:i/>
          <w:iCs/>
          <w:color w:val="000000" w:themeColor="text1"/>
        </w:rPr>
        <w:t>Qualitative Inquiry, 16</w:t>
      </w:r>
      <w:r w:rsidRPr="004D76EC">
        <w:rPr>
          <w:rFonts w:ascii="Arial" w:hAnsi="Arial" w:cs="Arial"/>
          <w:color w:val="000000" w:themeColor="text1"/>
        </w:rPr>
        <w:t xml:space="preserve">(10), 837–851. </w:t>
      </w:r>
      <w:hyperlink r:id="rId49" w:history="1">
        <w:r w:rsidRPr="004D76EC">
          <w:rPr>
            <w:rStyle w:val="Hyperlink"/>
            <w:rFonts w:ascii="Arial" w:hAnsi="Arial" w:cs="Arial"/>
          </w:rPr>
          <w:t>https://doi.org/10.1177/1077800410383121</w:t>
        </w:r>
      </w:hyperlink>
    </w:p>
    <w:p w14:paraId="5C71E28C"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UCAS. (2025, February 13</w:t>
      </w:r>
      <w:proofErr w:type="gramStart"/>
      <w:r w:rsidRPr="003E734B">
        <w:rPr>
          <w:rFonts w:ascii="Arial" w:hAnsi="Arial" w:cs="Arial"/>
          <w:color w:val="000000" w:themeColor="text1"/>
        </w:rPr>
        <w:t>).</w:t>
      </w:r>
      <w:r w:rsidRPr="003E734B">
        <w:rPr>
          <w:rFonts w:ascii="Arial" w:hAnsi="Arial" w:cs="Arial"/>
          <w:i/>
          <w:iCs/>
          <w:color w:val="000000" w:themeColor="text1"/>
        </w:rPr>
        <w:t>UCAS</w:t>
      </w:r>
      <w:proofErr w:type="gramEnd"/>
      <w:r w:rsidRPr="003E734B">
        <w:rPr>
          <w:rFonts w:ascii="Arial" w:hAnsi="Arial" w:cs="Arial"/>
          <w:i/>
          <w:iCs/>
          <w:color w:val="000000" w:themeColor="text1"/>
        </w:rPr>
        <w:t xml:space="preserve"> releases undergraduate January equal consideration applicant data for 2025.</w:t>
      </w:r>
      <w:r>
        <w:rPr>
          <w:rFonts w:ascii="Arial" w:hAnsi="Arial" w:cs="Arial"/>
          <w:i/>
          <w:iCs/>
          <w:color w:val="000000" w:themeColor="text1"/>
        </w:rPr>
        <w:t xml:space="preserve"> </w:t>
      </w:r>
      <w:hyperlink r:id="rId50" w:history="1">
        <w:r w:rsidRPr="00AC37E9">
          <w:rPr>
            <w:rStyle w:val="Hyperlink"/>
            <w:rFonts w:ascii="Arial" w:hAnsi="Arial" w:cs="Arial"/>
          </w:rPr>
          <w:t>https://www.ucas.com/corporate/news-and-key-documents/news/ucas-releases-undergraduate-january-equal-consideration-applicant-data-2025</w:t>
        </w:r>
      </w:hyperlink>
    </w:p>
    <w:p w14:paraId="180CF033"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UCAS. (2026, January 28</w:t>
      </w:r>
      <w:proofErr w:type="gramStart"/>
      <w:r w:rsidRPr="003E734B">
        <w:rPr>
          <w:rFonts w:ascii="Arial" w:hAnsi="Arial" w:cs="Arial"/>
          <w:color w:val="000000" w:themeColor="text1"/>
        </w:rPr>
        <w:t>).</w:t>
      </w:r>
      <w:r w:rsidRPr="003E734B">
        <w:rPr>
          <w:rFonts w:ascii="Arial" w:hAnsi="Arial" w:cs="Arial"/>
          <w:i/>
          <w:iCs/>
          <w:color w:val="000000" w:themeColor="text1"/>
        </w:rPr>
        <w:t>Growing</w:t>
      </w:r>
      <w:proofErr w:type="gramEnd"/>
      <w:r w:rsidRPr="003E734B">
        <w:rPr>
          <w:rFonts w:ascii="Arial" w:hAnsi="Arial" w:cs="Arial"/>
          <w:i/>
          <w:iCs/>
          <w:color w:val="000000" w:themeColor="text1"/>
        </w:rPr>
        <w:t xml:space="preserve"> 18-year-old population pushes UK university applicant numbers higher.</w:t>
      </w:r>
      <w:r>
        <w:rPr>
          <w:rFonts w:ascii="Arial" w:hAnsi="Arial" w:cs="Arial"/>
          <w:i/>
          <w:iCs/>
          <w:color w:val="000000" w:themeColor="text1"/>
        </w:rPr>
        <w:t xml:space="preserve"> </w:t>
      </w:r>
      <w:hyperlink r:id="rId51" w:history="1">
        <w:r w:rsidRPr="00AC37E9">
          <w:rPr>
            <w:rStyle w:val="Hyperlink"/>
            <w:rFonts w:ascii="Arial" w:hAnsi="Arial" w:cs="Arial"/>
          </w:rPr>
          <w:t>https://www.ucas.com/corporate/news-and-key-documents/news/growing-18-year-old-population-pushes-uk-university-applicant-numbers-higher</w:t>
        </w:r>
      </w:hyperlink>
    </w:p>
    <w:p w14:paraId="4367981D"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UK Data Service. (n.d.</w:t>
      </w:r>
      <w:proofErr w:type="gramStart"/>
      <w:r w:rsidRPr="003E734B">
        <w:rPr>
          <w:rFonts w:ascii="Arial" w:hAnsi="Arial" w:cs="Arial"/>
          <w:color w:val="000000" w:themeColor="text1"/>
        </w:rPr>
        <w:t>).</w:t>
      </w:r>
      <w:r w:rsidRPr="003E734B">
        <w:rPr>
          <w:rFonts w:ascii="Arial" w:hAnsi="Arial" w:cs="Arial"/>
          <w:i/>
          <w:iCs/>
          <w:color w:val="000000" w:themeColor="text1"/>
        </w:rPr>
        <w:t>The</w:t>
      </w:r>
      <w:proofErr w:type="gramEnd"/>
      <w:r w:rsidRPr="003E734B">
        <w:rPr>
          <w:rFonts w:ascii="Arial" w:hAnsi="Arial" w:cs="Arial"/>
          <w:i/>
          <w:iCs/>
          <w:color w:val="000000" w:themeColor="text1"/>
        </w:rPr>
        <w:t xml:space="preserve"> Data Protection Act and GDPR.</w:t>
      </w:r>
      <w:r>
        <w:rPr>
          <w:rFonts w:ascii="Arial" w:hAnsi="Arial" w:cs="Arial"/>
          <w:i/>
          <w:iCs/>
          <w:color w:val="000000" w:themeColor="text1"/>
        </w:rPr>
        <w:t xml:space="preserve"> </w:t>
      </w:r>
      <w:hyperlink r:id="rId52" w:history="1">
        <w:r w:rsidRPr="00AC37E9">
          <w:rPr>
            <w:rStyle w:val="Hyperlink"/>
            <w:rFonts w:ascii="Arial" w:hAnsi="Arial" w:cs="Arial"/>
          </w:rPr>
          <w:t>https://ukdataservice.ac.uk/learning-hub/research-data-management/data-protection/data-protection-legislation/data-protection-act-and-gdpr/</w:t>
        </w:r>
      </w:hyperlink>
    </w:p>
    <w:p w14:paraId="7843643A"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UK Research and Innovation. (2020</w:t>
      </w:r>
      <w:proofErr w:type="gramStart"/>
      <w:r w:rsidRPr="003E734B">
        <w:rPr>
          <w:rFonts w:ascii="Arial" w:hAnsi="Arial" w:cs="Arial"/>
          <w:color w:val="000000" w:themeColor="text1"/>
        </w:rPr>
        <w:t>).</w:t>
      </w:r>
      <w:r w:rsidRPr="003E734B">
        <w:rPr>
          <w:rFonts w:ascii="Arial" w:hAnsi="Arial" w:cs="Arial"/>
          <w:i/>
          <w:iCs/>
          <w:color w:val="000000" w:themeColor="text1"/>
        </w:rPr>
        <w:t>GDPR</w:t>
      </w:r>
      <w:proofErr w:type="gramEnd"/>
      <w:r w:rsidRPr="003E734B">
        <w:rPr>
          <w:rFonts w:ascii="Arial" w:hAnsi="Arial" w:cs="Arial"/>
          <w:i/>
          <w:iCs/>
          <w:color w:val="000000" w:themeColor="text1"/>
        </w:rPr>
        <w:t>: Lawful basis, research consent and confidentiality.</w:t>
      </w:r>
      <w:r>
        <w:rPr>
          <w:rFonts w:ascii="Arial" w:hAnsi="Arial" w:cs="Arial"/>
          <w:i/>
          <w:iCs/>
          <w:color w:val="000000" w:themeColor="text1"/>
        </w:rPr>
        <w:t xml:space="preserve"> </w:t>
      </w:r>
      <w:hyperlink r:id="rId53" w:history="1">
        <w:r w:rsidRPr="00AC37E9">
          <w:rPr>
            <w:rStyle w:val="Hyperlink"/>
            <w:rFonts w:ascii="Arial" w:hAnsi="Arial" w:cs="Arial"/>
          </w:rPr>
          <w:t>https://www.ukri.org/wp-content/uploads/2021/08/MRC-0208212-GDPR-lawful-basis-research-consent-and-confidentiality.pdf</w:t>
        </w:r>
      </w:hyperlink>
    </w:p>
    <w:p w14:paraId="4C690127"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Universities UK. (2024).</w:t>
      </w:r>
      <w:r w:rsidRPr="003E734B">
        <w:rPr>
          <w:rFonts w:ascii="Arial" w:hAnsi="Arial" w:cs="Arial"/>
          <w:i/>
          <w:iCs/>
          <w:color w:val="000000" w:themeColor="text1"/>
        </w:rPr>
        <w:t>UK higher education financial sustainability report.</w:t>
      </w:r>
      <w:r>
        <w:rPr>
          <w:rFonts w:ascii="Arial" w:hAnsi="Arial" w:cs="Arial"/>
          <w:i/>
          <w:iCs/>
          <w:color w:val="000000" w:themeColor="text1"/>
        </w:rPr>
        <w:t xml:space="preserve"> </w:t>
      </w:r>
      <w:hyperlink r:id="rId54" w:history="1">
        <w:r w:rsidRPr="00AC37E9">
          <w:rPr>
            <w:rStyle w:val="Hyperlink"/>
            <w:rFonts w:ascii="Arial" w:hAnsi="Arial" w:cs="Arial"/>
          </w:rPr>
          <w:t>https://www.universitiesuk.ac.uk/sites/default/files/field/downloads/2024-01/pwc-uk-higher-education-financial-sustainability-report-january-2024.pdf</w:t>
        </w:r>
      </w:hyperlink>
    </w:p>
    <w:p w14:paraId="735E0736"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lastRenderedPageBreak/>
        <w:t>Welsh Government. (2024</w:t>
      </w:r>
      <w:proofErr w:type="gramStart"/>
      <w:r w:rsidRPr="003E734B">
        <w:rPr>
          <w:rFonts w:ascii="Arial" w:hAnsi="Arial" w:cs="Arial"/>
          <w:color w:val="000000" w:themeColor="text1"/>
        </w:rPr>
        <w:t>).</w:t>
      </w:r>
      <w:r w:rsidRPr="003E734B">
        <w:rPr>
          <w:rFonts w:ascii="Arial" w:hAnsi="Arial" w:cs="Arial"/>
          <w:i/>
          <w:iCs/>
          <w:color w:val="000000" w:themeColor="text1"/>
        </w:rPr>
        <w:t>Statement</w:t>
      </w:r>
      <w:proofErr w:type="gramEnd"/>
      <w:r w:rsidRPr="003E734B">
        <w:rPr>
          <w:rFonts w:ascii="Arial" w:hAnsi="Arial" w:cs="Arial"/>
          <w:i/>
          <w:iCs/>
          <w:color w:val="000000" w:themeColor="text1"/>
        </w:rPr>
        <w:t xml:space="preserve"> of strategic priorities for tertiary education and research and innovation.</w:t>
      </w:r>
      <w:r>
        <w:rPr>
          <w:rFonts w:ascii="Arial" w:hAnsi="Arial" w:cs="Arial"/>
          <w:i/>
          <w:iCs/>
          <w:color w:val="000000" w:themeColor="text1"/>
        </w:rPr>
        <w:t xml:space="preserve"> </w:t>
      </w:r>
      <w:hyperlink r:id="rId55" w:history="1">
        <w:r w:rsidRPr="00AC37E9">
          <w:rPr>
            <w:rStyle w:val="Hyperlink"/>
            <w:rFonts w:ascii="Arial" w:hAnsi="Arial" w:cs="Arial"/>
          </w:rPr>
          <w:t>https://www.gov.wales/statement-strategic-priorities-tertiary-education-and-research-and-innovation-html</w:t>
        </w:r>
      </w:hyperlink>
    </w:p>
    <w:p w14:paraId="79479ED8"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Yip, S. Y. (2024). Positionality and reflexivity: Negotiating insider-outsider positions within and across cultures.</w:t>
      </w:r>
      <w:r>
        <w:rPr>
          <w:rFonts w:ascii="Arial" w:hAnsi="Arial" w:cs="Arial"/>
          <w:color w:val="000000" w:themeColor="text1"/>
        </w:rPr>
        <w:t xml:space="preserve"> </w:t>
      </w:r>
      <w:r w:rsidRPr="003E734B">
        <w:rPr>
          <w:rFonts w:ascii="Arial" w:hAnsi="Arial" w:cs="Arial"/>
          <w:i/>
          <w:iCs/>
          <w:color w:val="000000" w:themeColor="text1"/>
        </w:rPr>
        <w:t>International Journal of Research &amp; Method in Education, 47</w:t>
      </w:r>
      <w:r w:rsidRPr="003E734B">
        <w:rPr>
          <w:rFonts w:ascii="Arial" w:hAnsi="Arial" w:cs="Arial"/>
          <w:color w:val="000000" w:themeColor="text1"/>
        </w:rPr>
        <w:t>(3), 222–232.</w:t>
      </w:r>
      <w:r>
        <w:rPr>
          <w:rFonts w:ascii="Arial" w:hAnsi="Arial" w:cs="Arial"/>
          <w:color w:val="000000" w:themeColor="text1"/>
        </w:rPr>
        <w:t xml:space="preserve"> </w:t>
      </w:r>
      <w:hyperlink r:id="rId56" w:history="1">
        <w:r w:rsidRPr="00AC37E9">
          <w:rPr>
            <w:rStyle w:val="Hyperlink"/>
            <w:rFonts w:ascii="Arial" w:hAnsi="Arial" w:cs="Arial"/>
          </w:rPr>
          <w:t>https://doi.org/10.1080/1743727X.2023.2266375</w:t>
        </w:r>
      </w:hyperlink>
    </w:p>
    <w:p w14:paraId="4BA5CAF7" w14:textId="77777777" w:rsidR="005D262E" w:rsidRPr="003E734B" w:rsidRDefault="005D262E" w:rsidP="005D262E">
      <w:pPr>
        <w:ind w:hanging="720"/>
        <w:rPr>
          <w:rFonts w:ascii="Arial" w:hAnsi="Arial" w:cs="Arial"/>
          <w:color w:val="000000" w:themeColor="text1"/>
        </w:rPr>
      </w:pPr>
      <w:r w:rsidRPr="003E734B">
        <w:rPr>
          <w:rFonts w:ascii="Arial" w:hAnsi="Arial" w:cs="Arial"/>
          <w:color w:val="000000" w:themeColor="text1"/>
        </w:rPr>
        <w:t>Younger, K., Gascoine, L., Menzies, V., &amp; Torgerson, C. (2018). A systematic review of evidence on the effectiveness of interventions and strategies for widening participation in higher education.</w:t>
      </w:r>
      <w:r>
        <w:rPr>
          <w:rFonts w:ascii="Arial" w:hAnsi="Arial" w:cs="Arial"/>
          <w:color w:val="000000" w:themeColor="text1"/>
        </w:rPr>
        <w:t xml:space="preserve"> </w:t>
      </w:r>
      <w:r w:rsidRPr="003E734B">
        <w:rPr>
          <w:rFonts w:ascii="Arial" w:hAnsi="Arial" w:cs="Arial"/>
          <w:i/>
          <w:iCs/>
          <w:color w:val="000000" w:themeColor="text1"/>
        </w:rPr>
        <w:t>Journal of Further and Higher Education, 43</w:t>
      </w:r>
      <w:r w:rsidRPr="003E734B">
        <w:rPr>
          <w:rFonts w:ascii="Arial" w:hAnsi="Arial" w:cs="Arial"/>
          <w:color w:val="000000" w:themeColor="text1"/>
        </w:rPr>
        <w:t>(6), 742–773.</w:t>
      </w:r>
      <w:r>
        <w:rPr>
          <w:rFonts w:ascii="Arial" w:hAnsi="Arial" w:cs="Arial"/>
          <w:color w:val="000000" w:themeColor="text1"/>
        </w:rPr>
        <w:t xml:space="preserve"> </w:t>
      </w:r>
      <w:hyperlink r:id="rId57" w:history="1">
        <w:r w:rsidRPr="00AC37E9">
          <w:rPr>
            <w:rStyle w:val="Hyperlink"/>
            <w:rFonts w:ascii="Arial" w:hAnsi="Arial" w:cs="Arial"/>
          </w:rPr>
          <w:t>https://doi.org/10.1080/0309877X.2017.1404558</w:t>
        </w:r>
      </w:hyperlink>
    </w:p>
    <w:p w14:paraId="3268415E" w14:textId="77777777" w:rsidR="005D262E" w:rsidRDefault="005D262E" w:rsidP="005D262E">
      <w:pPr>
        <w:rPr>
          <w:b/>
          <w:bCs/>
          <w:color w:val="7030A0"/>
        </w:rPr>
      </w:pPr>
    </w:p>
    <w:p w14:paraId="64A0929B" w14:textId="77777777" w:rsidR="005D262E" w:rsidRDefault="005D262E" w:rsidP="005D262E">
      <w:pPr>
        <w:rPr>
          <w:b/>
          <w:bCs/>
          <w:color w:val="7030A0"/>
        </w:rPr>
      </w:pPr>
    </w:p>
    <w:p w14:paraId="7F252DE1" w14:textId="77777777" w:rsidR="005D262E" w:rsidRDefault="005D262E" w:rsidP="005D262E">
      <w:pPr>
        <w:rPr>
          <w:b/>
          <w:bCs/>
          <w:color w:val="7030A0"/>
        </w:rPr>
      </w:pPr>
    </w:p>
    <w:p w14:paraId="505E0E51" w14:textId="77777777" w:rsidR="005D262E" w:rsidRDefault="005D262E" w:rsidP="005D262E">
      <w:pPr>
        <w:rPr>
          <w:b/>
          <w:bCs/>
          <w:color w:val="7030A0"/>
        </w:rPr>
      </w:pPr>
    </w:p>
    <w:p w14:paraId="435823C0" w14:textId="77777777" w:rsidR="005D262E" w:rsidRDefault="005D262E" w:rsidP="005D262E">
      <w:pPr>
        <w:rPr>
          <w:b/>
          <w:bCs/>
          <w:color w:val="7030A0"/>
        </w:rPr>
      </w:pPr>
    </w:p>
    <w:p w14:paraId="27604CED" w14:textId="77777777" w:rsidR="005D262E" w:rsidRDefault="005D262E" w:rsidP="005D262E">
      <w:pPr>
        <w:rPr>
          <w:b/>
          <w:bCs/>
          <w:color w:val="7030A0"/>
        </w:rPr>
      </w:pPr>
    </w:p>
    <w:p w14:paraId="3473E136" w14:textId="77777777" w:rsidR="005D262E" w:rsidRDefault="005D262E" w:rsidP="005D262E">
      <w:pPr>
        <w:rPr>
          <w:b/>
          <w:bCs/>
          <w:color w:val="7030A0"/>
        </w:rPr>
      </w:pPr>
    </w:p>
    <w:p w14:paraId="5C93A889" w14:textId="77777777" w:rsidR="005D262E" w:rsidRDefault="005D262E" w:rsidP="005D262E">
      <w:pPr>
        <w:rPr>
          <w:b/>
          <w:bCs/>
          <w:color w:val="7030A0"/>
        </w:rPr>
      </w:pPr>
    </w:p>
    <w:p w14:paraId="27B57A65" w14:textId="77777777" w:rsidR="005D262E" w:rsidRDefault="005D262E" w:rsidP="005D262E">
      <w:pPr>
        <w:rPr>
          <w:b/>
          <w:bCs/>
          <w:color w:val="7030A0"/>
        </w:rPr>
      </w:pPr>
    </w:p>
    <w:p w14:paraId="78253A5F" w14:textId="77777777" w:rsidR="005D262E" w:rsidRDefault="005D262E" w:rsidP="005D262E">
      <w:pPr>
        <w:rPr>
          <w:b/>
          <w:bCs/>
          <w:color w:val="7030A0"/>
        </w:rPr>
      </w:pPr>
    </w:p>
    <w:p w14:paraId="473D4BDE" w14:textId="77777777" w:rsidR="005D262E" w:rsidRDefault="005D262E" w:rsidP="005D262E">
      <w:pPr>
        <w:rPr>
          <w:b/>
          <w:bCs/>
          <w:color w:val="7030A0"/>
        </w:rPr>
      </w:pPr>
    </w:p>
    <w:p w14:paraId="15945925" w14:textId="77777777" w:rsidR="005D262E" w:rsidRDefault="005D262E" w:rsidP="005D262E">
      <w:pPr>
        <w:rPr>
          <w:b/>
          <w:bCs/>
          <w:color w:val="7030A0"/>
        </w:rPr>
      </w:pPr>
    </w:p>
    <w:p w14:paraId="772C9D94" w14:textId="77777777" w:rsidR="005D262E" w:rsidRDefault="005D262E" w:rsidP="005D262E">
      <w:pPr>
        <w:rPr>
          <w:b/>
          <w:bCs/>
          <w:color w:val="7030A0"/>
        </w:rPr>
      </w:pPr>
    </w:p>
    <w:p w14:paraId="05A63F5D" w14:textId="77777777" w:rsidR="005D262E" w:rsidRDefault="005D262E" w:rsidP="005D262E">
      <w:pPr>
        <w:rPr>
          <w:b/>
          <w:bCs/>
          <w:color w:val="7030A0"/>
        </w:rPr>
      </w:pPr>
    </w:p>
    <w:p w14:paraId="55D98B5B" w14:textId="77777777" w:rsidR="005D262E" w:rsidRDefault="005D262E" w:rsidP="005D262E">
      <w:pPr>
        <w:rPr>
          <w:b/>
          <w:bCs/>
          <w:color w:val="7030A0"/>
        </w:rPr>
      </w:pPr>
    </w:p>
    <w:p w14:paraId="15C40138" w14:textId="77777777" w:rsidR="005D262E" w:rsidRDefault="005D262E" w:rsidP="005D262E">
      <w:pPr>
        <w:rPr>
          <w:b/>
          <w:bCs/>
          <w:color w:val="7030A0"/>
        </w:rPr>
      </w:pPr>
    </w:p>
    <w:p w14:paraId="1B6F8F0C" w14:textId="77777777" w:rsidR="005D262E" w:rsidRDefault="005D262E" w:rsidP="005D262E">
      <w:pPr>
        <w:rPr>
          <w:b/>
          <w:bCs/>
          <w:color w:val="7030A0"/>
        </w:rPr>
      </w:pPr>
    </w:p>
    <w:p w14:paraId="21CF80B3" w14:textId="77777777" w:rsidR="005D262E" w:rsidRDefault="005D262E" w:rsidP="005D262E">
      <w:pPr>
        <w:rPr>
          <w:b/>
          <w:bCs/>
          <w:color w:val="7030A0"/>
        </w:rPr>
      </w:pPr>
    </w:p>
    <w:p w14:paraId="3089157D" w14:textId="77777777" w:rsidR="005D262E" w:rsidRDefault="005D262E" w:rsidP="005D262E">
      <w:pPr>
        <w:rPr>
          <w:b/>
          <w:bCs/>
          <w:color w:val="7030A0"/>
        </w:rPr>
      </w:pPr>
    </w:p>
    <w:p w14:paraId="160A3AAC" w14:textId="77777777" w:rsidR="005D262E" w:rsidRDefault="005D262E" w:rsidP="005D262E">
      <w:pPr>
        <w:rPr>
          <w:b/>
          <w:bCs/>
          <w:color w:val="7030A0"/>
        </w:rPr>
      </w:pPr>
    </w:p>
    <w:p w14:paraId="21799F4B" w14:textId="77777777" w:rsidR="005D262E" w:rsidRPr="00C219D8" w:rsidRDefault="005D262E" w:rsidP="005D262E">
      <w:pPr>
        <w:ind w:left="-1134"/>
        <w:rPr>
          <w:rFonts w:ascii="Arial" w:hAnsi="Arial" w:cs="Arial"/>
          <w:b/>
          <w:bCs/>
          <w:color w:val="000000" w:themeColor="text1"/>
        </w:rPr>
      </w:pPr>
      <w:r w:rsidRPr="00C219D8">
        <w:rPr>
          <w:rFonts w:ascii="Arial" w:hAnsi="Arial" w:cs="Arial"/>
          <w:b/>
          <w:bCs/>
          <w:color w:val="000000" w:themeColor="text1"/>
        </w:rPr>
        <w:lastRenderedPageBreak/>
        <w:t>Appendix A</w:t>
      </w:r>
      <w:r w:rsidRPr="00C219D8">
        <w:rPr>
          <w:rFonts w:ascii="Arial" w:hAnsi="Arial" w:cs="Arial"/>
          <w:b/>
          <w:bCs/>
          <w:color w:val="000000" w:themeColor="text1"/>
        </w:rPr>
        <w:br/>
        <w:t>Conceptual Design of the Proposed Study</w:t>
      </w:r>
    </w:p>
    <w:p w14:paraId="51E0CCAC" w14:textId="77777777" w:rsidR="005D262E" w:rsidRDefault="005D262E" w:rsidP="005D262E">
      <w:pPr>
        <w:ind w:left="-1134"/>
        <w:rPr>
          <w:rFonts w:ascii="Arial" w:hAnsi="Arial" w:cs="Arial"/>
          <w:i/>
          <w:iCs/>
          <w:color w:val="000000" w:themeColor="text1"/>
          <w:sz w:val="20"/>
          <w:szCs w:val="20"/>
        </w:rPr>
      </w:pPr>
      <w:r w:rsidRPr="00C219D8">
        <w:rPr>
          <w:rFonts w:ascii="Arial" w:hAnsi="Arial" w:cs="Arial"/>
          <w:b/>
          <w:bCs/>
          <w:color w:val="000000" w:themeColor="text1"/>
          <w:sz w:val="20"/>
          <w:szCs w:val="20"/>
        </w:rPr>
        <w:t>Figure A1</w:t>
      </w:r>
      <w:r w:rsidRPr="00C219D8">
        <w:rPr>
          <w:rFonts w:ascii="Arial" w:hAnsi="Arial" w:cs="Arial"/>
          <w:color w:val="000000" w:themeColor="text1"/>
          <w:sz w:val="20"/>
          <w:szCs w:val="20"/>
        </w:rPr>
        <w:br/>
      </w:r>
      <w:r w:rsidRPr="00C219D8">
        <w:rPr>
          <w:rFonts w:ascii="Arial" w:hAnsi="Arial" w:cs="Arial"/>
          <w:i/>
          <w:iCs/>
          <w:color w:val="000000" w:themeColor="text1"/>
          <w:sz w:val="20"/>
          <w:szCs w:val="20"/>
        </w:rPr>
        <w:t>From Policy to Practice: Mature Students’ Experiences of Widening Participation and Lecturers’ Understandings in One South Wales Institution</w:t>
      </w:r>
    </w:p>
    <w:p w14:paraId="3818C6D0" w14:textId="77777777" w:rsidR="005D262E" w:rsidRPr="00035166" w:rsidRDefault="005D262E" w:rsidP="005D262E">
      <w:pPr>
        <w:ind w:left="-1134"/>
        <w:rPr>
          <w:rFonts w:ascii="Arial" w:hAnsi="Arial" w:cs="Arial"/>
          <w:color w:val="000000" w:themeColor="text1"/>
          <w:sz w:val="20"/>
          <w:szCs w:val="20"/>
        </w:rPr>
      </w:pPr>
      <w:r>
        <w:rPr>
          <w:rFonts w:ascii="Arial" w:hAnsi="Arial" w:cs="Arial"/>
          <w:noProof/>
          <w:color w:val="000000" w:themeColor="text1"/>
          <w:sz w:val="20"/>
          <w:szCs w:val="20"/>
        </w:rPr>
        <w:drawing>
          <wp:inline distT="0" distB="0" distL="0" distR="0" wp14:anchorId="7D29AD79" wp14:editId="42F10294">
            <wp:extent cx="7150162" cy="5962810"/>
            <wp:effectExtent l="0" t="0" r="0" b="0"/>
            <wp:docPr id="14191143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7180351" cy="5987986"/>
                    </a:xfrm>
                    <a:prstGeom prst="rect">
                      <a:avLst/>
                    </a:prstGeom>
                    <a:noFill/>
                  </pic:spPr>
                </pic:pic>
              </a:graphicData>
            </a:graphic>
          </wp:inline>
        </w:drawing>
      </w:r>
    </w:p>
    <w:p w14:paraId="298FFBB8" w14:textId="77777777" w:rsidR="005D262E" w:rsidRPr="00C219D8" w:rsidRDefault="005D262E" w:rsidP="005D262E">
      <w:pPr>
        <w:ind w:hanging="993"/>
        <w:rPr>
          <w:rFonts w:ascii="Arial" w:hAnsi="Arial" w:cs="Arial"/>
          <w:i/>
          <w:iCs/>
          <w:color w:val="000000" w:themeColor="text1"/>
          <w:sz w:val="16"/>
          <w:szCs w:val="16"/>
        </w:rPr>
      </w:pPr>
      <w:r w:rsidRPr="00C219D8">
        <w:rPr>
          <w:rFonts w:ascii="Arial" w:hAnsi="Arial" w:cs="Arial"/>
          <w:i/>
          <w:iCs/>
          <w:color w:val="000000" w:themeColor="text1"/>
          <w:sz w:val="16"/>
          <w:szCs w:val="16"/>
        </w:rPr>
        <w:t>Note. The author’s own conceptual design. ChatGPT was used to support the visual formatting of the diagram.</w:t>
      </w:r>
    </w:p>
    <w:p w14:paraId="13B899BD" w14:textId="77777777" w:rsidR="005D262E" w:rsidRDefault="005D262E" w:rsidP="005D262E">
      <w:pPr>
        <w:ind w:hanging="1134"/>
        <w:rPr>
          <w:b/>
          <w:bCs/>
          <w:color w:val="000000" w:themeColor="text1"/>
          <w:sz w:val="16"/>
          <w:szCs w:val="16"/>
        </w:rPr>
      </w:pPr>
    </w:p>
    <w:p w14:paraId="2BEE9D9C" w14:textId="77777777" w:rsidR="005D262E" w:rsidRDefault="005D262E" w:rsidP="005D262E">
      <w:pPr>
        <w:ind w:hanging="1134"/>
        <w:rPr>
          <w:b/>
          <w:bCs/>
          <w:color w:val="000000" w:themeColor="text1"/>
          <w:sz w:val="16"/>
          <w:szCs w:val="16"/>
        </w:rPr>
      </w:pPr>
    </w:p>
    <w:p w14:paraId="7C213B1E" w14:textId="77777777" w:rsidR="005D262E" w:rsidRDefault="005D262E" w:rsidP="005D262E">
      <w:pPr>
        <w:ind w:hanging="1134"/>
        <w:rPr>
          <w:b/>
          <w:bCs/>
          <w:color w:val="000000" w:themeColor="text1"/>
          <w:sz w:val="16"/>
          <w:szCs w:val="16"/>
        </w:rPr>
      </w:pPr>
    </w:p>
    <w:p w14:paraId="21E5D8C0" w14:textId="77777777" w:rsidR="005D262E" w:rsidRDefault="005D262E" w:rsidP="005D262E">
      <w:pPr>
        <w:ind w:hanging="1134"/>
        <w:rPr>
          <w:b/>
          <w:bCs/>
          <w:color w:val="000000" w:themeColor="text1"/>
          <w:sz w:val="16"/>
          <w:szCs w:val="16"/>
        </w:rPr>
      </w:pPr>
    </w:p>
    <w:p w14:paraId="09B8F221" w14:textId="77777777" w:rsidR="005D262E" w:rsidRDefault="005D262E" w:rsidP="005D262E">
      <w:pPr>
        <w:ind w:hanging="1134"/>
        <w:rPr>
          <w:b/>
          <w:bCs/>
          <w:color w:val="000000" w:themeColor="text1"/>
          <w:sz w:val="16"/>
          <w:szCs w:val="16"/>
        </w:rPr>
      </w:pPr>
    </w:p>
    <w:p w14:paraId="172D8E31" w14:textId="77777777" w:rsidR="005D262E" w:rsidRDefault="005D262E" w:rsidP="005D262E">
      <w:pPr>
        <w:ind w:left="-1134"/>
        <w:rPr>
          <w:b/>
          <w:bCs/>
          <w:color w:val="000000" w:themeColor="text1"/>
        </w:rPr>
      </w:pPr>
      <w:r w:rsidRPr="00C219D8">
        <w:rPr>
          <w:b/>
          <w:bCs/>
          <w:color w:val="000000" w:themeColor="text1"/>
        </w:rPr>
        <w:lastRenderedPageBreak/>
        <w:t>Appendix</w:t>
      </w:r>
      <w:r>
        <w:rPr>
          <w:b/>
          <w:bCs/>
          <w:color w:val="000000" w:themeColor="text1"/>
        </w:rPr>
        <w:t xml:space="preserve"> B</w:t>
      </w:r>
      <w:r>
        <w:rPr>
          <w:b/>
          <w:bCs/>
          <w:color w:val="000000" w:themeColor="text1"/>
        </w:rPr>
        <w:br/>
        <w:t>Proposal Presentation</w:t>
      </w:r>
    </w:p>
    <w:p w14:paraId="49B4BC1A" w14:textId="77777777" w:rsidR="005D262E" w:rsidRDefault="005D262E" w:rsidP="005D262E">
      <w:pPr>
        <w:ind w:left="-1134"/>
        <w:rPr>
          <w:b/>
          <w:bCs/>
          <w:color w:val="000000" w:themeColor="text1"/>
        </w:rPr>
      </w:pPr>
    </w:p>
    <w:p w14:paraId="35A1042B" w14:textId="77777777" w:rsidR="005D262E" w:rsidRPr="00B66F44" w:rsidRDefault="005D262E" w:rsidP="005D262E">
      <w:pPr>
        <w:ind w:left="-1134"/>
        <w:rPr>
          <w:b/>
          <w:bCs/>
          <w:i/>
          <w:iCs/>
          <w:color w:val="000000" w:themeColor="text1"/>
        </w:rPr>
      </w:pPr>
      <w:r w:rsidRPr="00B66F44">
        <w:rPr>
          <w:b/>
          <w:bCs/>
          <w:i/>
          <w:iCs/>
          <w:color w:val="000000" w:themeColor="text1"/>
        </w:rPr>
        <w:t>Uploaded to Turnitin via Moodle</w:t>
      </w:r>
    </w:p>
    <w:p w14:paraId="61614212" w14:textId="77777777" w:rsidR="00C219D8" w:rsidRDefault="00C219D8" w:rsidP="002D0A6A">
      <w:pPr>
        <w:ind w:hanging="1134"/>
        <w:rPr>
          <w:b/>
          <w:bCs/>
          <w:color w:val="000000" w:themeColor="text1"/>
          <w:sz w:val="16"/>
          <w:szCs w:val="16"/>
        </w:rPr>
      </w:pPr>
    </w:p>
    <w:p w14:paraId="442F1467" w14:textId="77777777" w:rsidR="00C219D8" w:rsidRDefault="00C219D8" w:rsidP="002D0A6A">
      <w:pPr>
        <w:ind w:hanging="1134"/>
        <w:rPr>
          <w:b/>
          <w:bCs/>
          <w:color w:val="000000" w:themeColor="text1"/>
          <w:sz w:val="16"/>
          <w:szCs w:val="16"/>
        </w:rPr>
      </w:pPr>
    </w:p>
    <w:p w14:paraId="06A77BF6" w14:textId="77777777" w:rsidR="00035166" w:rsidRDefault="00035166" w:rsidP="002D0A6A">
      <w:pPr>
        <w:ind w:hanging="1134"/>
        <w:rPr>
          <w:b/>
          <w:bCs/>
          <w:color w:val="000000" w:themeColor="text1"/>
          <w:sz w:val="16"/>
          <w:szCs w:val="16"/>
        </w:rPr>
      </w:pPr>
    </w:p>
    <w:p w14:paraId="7B3EFA40" w14:textId="77777777" w:rsidR="00035166" w:rsidRDefault="00035166" w:rsidP="002D0A6A">
      <w:pPr>
        <w:ind w:hanging="1134"/>
        <w:rPr>
          <w:b/>
          <w:bCs/>
          <w:color w:val="000000" w:themeColor="text1"/>
          <w:sz w:val="16"/>
          <w:szCs w:val="16"/>
        </w:rPr>
      </w:pPr>
    </w:p>
    <w:p w14:paraId="6015D5D1" w14:textId="77777777" w:rsidR="00C219D8" w:rsidRDefault="00C219D8" w:rsidP="002D0A6A">
      <w:pPr>
        <w:ind w:hanging="1134"/>
        <w:rPr>
          <w:b/>
          <w:bCs/>
          <w:color w:val="000000" w:themeColor="text1"/>
          <w:sz w:val="16"/>
          <w:szCs w:val="16"/>
        </w:rPr>
      </w:pPr>
    </w:p>
    <w:p w14:paraId="541DB6BB" w14:textId="1E78F8B1" w:rsidR="00B66F44" w:rsidRDefault="00C219D8" w:rsidP="00B66F44">
      <w:pPr>
        <w:ind w:left="-1134"/>
        <w:rPr>
          <w:b/>
          <w:bCs/>
          <w:color w:val="000000" w:themeColor="text1"/>
        </w:rPr>
      </w:pPr>
      <w:r w:rsidRPr="00C219D8">
        <w:rPr>
          <w:b/>
          <w:bCs/>
          <w:color w:val="000000" w:themeColor="text1"/>
        </w:rPr>
        <w:t>Appendix</w:t>
      </w:r>
      <w:r w:rsidR="00B66F44">
        <w:rPr>
          <w:b/>
          <w:bCs/>
          <w:color w:val="000000" w:themeColor="text1"/>
        </w:rPr>
        <w:t xml:space="preserve"> B</w:t>
      </w:r>
      <w:r w:rsidR="00B66F44">
        <w:rPr>
          <w:b/>
          <w:bCs/>
          <w:color w:val="000000" w:themeColor="text1"/>
        </w:rPr>
        <w:br/>
        <w:t>Proposal Presentation</w:t>
      </w:r>
    </w:p>
    <w:p w14:paraId="0BBDB502" w14:textId="77777777" w:rsidR="00B66F44" w:rsidRDefault="00B66F44" w:rsidP="00B66F44">
      <w:pPr>
        <w:ind w:left="-1134"/>
        <w:rPr>
          <w:b/>
          <w:bCs/>
          <w:color w:val="000000" w:themeColor="text1"/>
        </w:rPr>
      </w:pPr>
    </w:p>
    <w:p w14:paraId="3169D6A5" w14:textId="7F4F40E1" w:rsidR="00B66F44" w:rsidRPr="00B66F44" w:rsidRDefault="00B66F44" w:rsidP="00B66F44">
      <w:pPr>
        <w:ind w:left="-1134"/>
        <w:rPr>
          <w:b/>
          <w:bCs/>
          <w:i/>
          <w:iCs/>
          <w:color w:val="000000" w:themeColor="text1"/>
        </w:rPr>
      </w:pPr>
      <w:r w:rsidRPr="00B66F44">
        <w:rPr>
          <w:b/>
          <w:bCs/>
          <w:i/>
          <w:iCs/>
          <w:color w:val="000000" w:themeColor="text1"/>
        </w:rPr>
        <w:t>Uploaded to Turnitin via Moodle</w:t>
      </w:r>
    </w:p>
    <w:p w14:paraId="0CCBA2CD" w14:textId="77777777" w:rsidR="00B66F44" w:rsidRPr="00C219D8" w:rsidRDefault="00B66F44" w:rsidP="002D0A6A">
      <w:pPr>
        <w:ind w:hanging="1134"/>
        <w:rPr>
          <w:b/>
          <w:bCs/>
          <w:color w:val="000000" w:themeColor="text1"/>
        </w:rPr>
      </w:pPr>
    </w:p>
    <w:sectPr w:rsidR="00B66F44" w:rsidRPr="00C219D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4F23CF" w14:textId="77777777" w:rsidR="00832D04" w:rsidRDefault="00832D04" w:rsidP="00E43C8A">
      <w:pPr>
        <w:spacing w:after="0" w:line="240" w:lineRule="auto"/>
      </w:pPr>
      <w:r>
        <w:separator/>
      </w:r>
    </w:p>
  </w:endnote>
  <w:endnote w:type="continuationSeparator" w:id="0">
    <w:p w14:paraId="4EFA224C" w14:textId="77777777" w:rsidR="00832D04" w:rsidRDefault="00832D04" w:rsidP="00E43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488451"/>
      <w:docPartObj>
        <w:docPartGallery w:val="Page Numbers (Bottom of Page)"/>
        <w:docPartUnique/>
      </w:docPartObj>
    </w:sdtPr>
    <w:sdtEndPr>
      <w:rPr>
        <w:noProof/>
      </w:rPr>
    </w:sdtEndPr>
    <w:sdtContent>
      <w:p w14:paraId="07B7620E" w14:textId="30AC6CB6" w:rsidR="000771EE" w:rsidRDefault="000771EE">
        <w:pPr>
          <w:pStyle w:val="Footer"/>
          <w:jc w:val="right"/>
        </w:pPr>
        <w:r>
          <w:fldChar w:fldCharType="begin"/>
        </w:r>
        <w:r>
          <w:instrText xml:space="preserve"> PAGE   \* MERGEFORMAT </w:instrText>
        </w:r>
        <w:r>
          <w:fldChar w:fldCharType="separate"/>
        </w:r>
        <w:r>
          <w:rPr>
            <w:noProof/>
          </w:rPr>
          <w:t>2</w:t>
        </w:r>
        <w:r>
          <w:rPr>
            <w:noProof/>
          </w:rPr>
          <w:fldChar w:fldCharType="end"/>
        </w:r>
        <w:r>
          <w:rPr>
            <w:noProof/>
          </w:rPr>
          <w:t xml:space="preserve"> </w:t>
        </w:r>
        <w:r w:rsidRPr="000771EE">
          <w:rPr>
            <w:noProof/>
            <w:sz w:val="12"/>
            <w:szCs w:val="12"/>
          </w:rPr>
          <w:t>KW/7003</w:t>
        </w:r>
      </w:p>
    </w:sdtContent>
  </w:sdt>
  <w:p w14:paraId="63B90C75" w14:textId="77777777" w:rsidR="00E43C8A" w:rsidRDefault="00E43C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529A62" w14:textId="77777777" w:rsidR="00832D04" w:rsidRDefault="00832D04" w:rsidP="00E43C8A">
      <w:pPr>
        <w:spacing w:after="0" w:line="240" w:lineRule="auto"/>
      </w:pPr>
      <w:r>
        <w:separator/>
      </w:r>
    </w:p>
  </w:footnote>
  <w:footnote w:type="continuationSeparator" w:id="0">
    <w:p w14:paraId="45F69E48" w14:textId="77777777" w:rsidR="00832D04" w:rsidRDefault="00832D04" w:rsidP="00E43C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215824"/>
    <w:multiLevelType w:val="multilevel"/>
    <w:tmpl w:val="2CE6F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0213E4D"/>
    <w:multiLevelType w:val="multilevel"/>
    <w:tmpl w:val="9BE63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5029661">
    <w:abstractNumId w:val="1"/>
  </w:num>
  <w:num w:numId="2" w16cid:durableId="1776513280">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F0F"/>
    <w:rsid w:val="00010D5B"/>
    <w:rsid w:val="00022331"/>
    <w:rsid w:val="000268BB"/>
    <w:rsid w:val="00035166"/>
    <w:rsid w:val="00036DD0"/>
    <w:rsid w:val="000771EE"/>
    <w:rsid w:val="00083626"/>
    <w:rsid w:val="00087847"/>
    <w:rsid w:val="00091EDC"/>
    <w:rsid w:val="000A2572"/>
    <w:rsid w:val="000A40A5"/>
    <w:rsid w:val="000C6B94"/>
    <w:rsid w:val="000E2B19"/>
    <w:rsid w:val="000F0F2D"/>
    <w:rsid w:val="001129C0"/>
    <w:rsid w:val="0012249E"/>
    <w:rsid w:val="001234B5"/>
    <w:rsid w:val="00130539"/>
    <w:rsid w:val="001357EF"/>
    <w:rsid w:val="00166C27"/>
    <w:rsid w:val="0018216B"/>
    <w:rsid w:val="001B4E60"/>
    <w:rsid w:val="001B655E"/>
    <w:rsid w:val="001D156D"/>
    <w:rsid w:val="001E6A3E"/>
    <w:rsid w:val="001E70B0"/>
    <w:rsid w:val="00215DB3"/>
    <w:rsid w:val="00232F0F"/>
    <w:rsid w:val="0024176C"/>
    <w:rsid w:val="00272A50"/>
    <w:rsid w:val="00295A83"/>
    <w:rsid w:val="002A26E4"/>
    <w:rsid w:val="002B2C87"/>
    <w:rsid w:val="002B4A35"/>
    <w:rsid w:val="002C3EF2"/>
    <w:rsid w:val="002D0A6A"/>
    <w:rsid w:val="002D3949"/>
    <w:rsid w:val="00310D0E"/>
    <w:rsid w:val="0033078C"/>
    <w:rsid w:val="003442F3"/>
    <w:rsid w:val="00346CD0"/>
    <w:rsid w:val="00355563"/>
    <w:rsid w:val="003805AC"/>
    <w:rsid w:val="003B0990"/>
    <w:rsid w:val="003B7B31"/>
    <w:rsid w:val="003C184A"/>
    <w:rsid w:val="003D6B3C"/>
    <w:rsid w:val="003E734B"/>
    <w:rsid w:val="003F2C1B"/>
    <w:rsid w:val="0044530C"/>
    <w:rsid w:val="0044613C"/>
    <w:rsid w:val="0046789F"/>
    <w:rsid w:val="00473327"/>
    <w:rsid w:val="004D76EC"/>
    <w:rsid w:val="00504274"/>
    <w:rsid w:val="005141CF"/>
    <w:rsid w:val="00520C2F"/>
    <w:rsid w:val="005360E8"/>
    <w:rsid w:val="0054290F"/>
    <w:rsid w:val="00572EAF"/>
    <w:rsid w:val="005C1C8F"/>
    <w:rsid w:val="005D262E"/>
    <w:rsid w:val="005E669A"/>
    <w:rsid w:val="005E7CA8"/>
    <w:rsid w:val="005F419C"/>
    <w:rsid w:val="00612F10"/>
    <w:rsid w:val="00623747"/>
    <w:rsid w:val="00623C13"/>
    <w:rsid w:val="00662F5D"/>
    <w:rsid w:val="006642F8"/>
    <w:rsid w:val="00694937"/>
    <w:rsid w:val="006C37F6"/>
    <w:rsid w:val="006F6B9D"/>
    <w:rsid w:val="00700041"/>
    <w:rsid w:val="0072177C"/>
    <w:rsid w:val="00730296"/>
    <w:rsid w:val="00736484"/>
    <w:rsid w:val="007854BA"/>
    <w:rsid w:val="007871C3"/>
    <w:rsid w:val="007D10A0"/>
    <w:rsid w:val="007E6822"/>
    <w:rsid w:val="0080679F"/>
    <w:rsid w:val="008142FA"/>
    <w:rsid w:val="00822227"/>
    <w:rsid w:val="00832D04"/>
    <w:rsid w:val="0083397B"/>
    <w:rsid w:val="008540B1"/>
    <w:rsid w:val="008A2EC5"/>
    <w:rsid w:val="008B5CD4"/>
    <w:rsid w:val="008C29A8"/>
    <w:rsid w:val="008D57C8"/>
    <w:rsid w:val="00906D83"/>
    <w:rsid w:val="009114C1"/>
    <w:rsid w:val="009128A3"/>
    <w:rsid w:val="00914FD7"/>
    <w:rsid w:val="00925BB4"/>
    <w:rsid w:val="009478E9"/>
    <w:rsid w:val="00954A60"/>
    <w:rsid w:val="00970677"/>
    <w:rsid w:val="00994196"/>
    <w:rsid w:val="009A67CD"/>
    <w:rsid w:val="009B0E41"/>
    <w:rsid w:val="009D4619"/>
    <w:rsid w:val="009E38EB"/>
    <w:rsid w:val="009F660D"/>
    <w:rsid w:val="00A33096"/>
    <w:rsid w:val="00A52214"/>
    <w:rsid w:val="00A70DB9"/>
    <w:rsid w:val="00A913A9"/>
    <w:rsid w:val="00AD0972"/>
    <w:rsid w:val="00AD4D71"/>
    <w:rsid w:val="00AD6D97"/>
    <w:rsid w:val="00B14284"/>
    <w:rsid w:val="00B33054"/>
    <w:rsid w:val="00B43A1B"/>
    <w:rsid w:val="00B6458C"/>
    <w:rsid w:val="00B66F44"/>
    <w:rsid w:val="00B775C0"/>
    <w:rsid w:val="00B92714"/>
    <w:rsid w:val="00BE0D1B"/>
    <w:rsid w:val="00C210AB"/>
    <w:rsid w:val="00C219D8"/>
    <w:rsid w:val="00C40C91"/>
    <w:rsid w:val="00C4259E"/>
    <w:rsid w:val="00D141DD"/>
    <w:rsid w:val="00D6249B"/>
    <w:rsid w:val="00D65DC6"/>
    <w:rsid w:val="00D9049F"/>
    <w:rsid w:val="00DB4630"/>
    <w:rsid w:val="00DE073A"/>
    <w:rsid w:val="00DE0932"/>
    <w:rsid w:val="00E40B83"/>
    <w:rsid w:val="00E43C8A"/>
    <w:rsid w:val="00E72EC9"/>
    <w:rsid w:val="00EC019E"/>
    <w:rsid w:val="00F14784"/>
    <w:rsid w:val="00F55907"/>
    <w:rsid w:val="00FB5FDF"/>
    <w:rsid w:val="00FC628A"/>
    <w:rsid w:val="00FE5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EDC74"/>
  <w15:chartTrackingRefBased/>
  <w15:docId w15:val="{95EB0F87-8D2A-4B03-8D0E-7A08CC873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A6A"/>
  </w:style>
  <w:style w:type="paragraph" w:styleId="Heading1">
    <w:name w:val="heading 1"/>
    <w:basedOn w:val="Normal"/>
    <w:next w:val="Normal"/>
    <w:link w:val="Heading1Char"/>
    <w:uiPriority w:val="9"/>
    <w:qFormat/>
    <w:rsid w:val="00232F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2F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2F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2F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2F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2F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2F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2F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2F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F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2F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2F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2F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2F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2F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2F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2F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2F0F"/>
    <w:rPr>
      <w:rFonts w:eastAsiaTheme="majorEastAsia" w:cstheme="majorBidi"/>
      <w:color w:val="272727" w:themeColor="text1" w:themeTint="D8"/>
    </w:rPr>
  </w:style>
  <w:style w:type="paragraph" w:styleId="Title">
    <w:name w:val="Title"/>
    <w:basedOn w:val="Normal"/>
    <w:next w:val="Normal"/>
    <w:link w:val="TitleChar"/>
    <w:uiPriority w:val="10"/>
    <w:qFormat/>
    <w:rsid w:val="00232F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2F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2F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2F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2F0F"/>
    <w:pPr>
      <w:spacing w:before="160"/>
      <w:jc w:val="center"/>
    </w:pPr>
    <w:rPr>
      <w:i/>
      <w:iCs/>
      <w:color w:val="404040" w:themeColor="text1" w:themeTint="BF"/>
    </w:rPr>
  </w:style>
  <w:style w:type="character" w:customStyle="1" w:styleId="QuoteChar">
    <w:name w:val="Quote Char"/>
    <w:basedOn w:val="DefaultParagraphFont"/>
    <w:link w:val="Quote"/>
    <w:uiPriority w:val="29"/>
    <w:rsid w:val="00232F0F"/>
    <w:rPr>
      <w:i/>
      <w:iCs/>
      <w:color w:val="404040" w:themeColor="text1" w:themeTint="BF"/>
    </w:rPr>
  </w:style>
  <w:style w:type="paragraph" w:styleId="ListParagraph">
    <w:name w:val="List Paragraph"/>
    <w:basedOn w:val="Normal"/>
    <w:uiPriority w:val="34"/>
    <w:qFormat/>
    <w:rsid w:val="00232F0F"/>
    <w:pPr>
      <w:ind w:left="720"/>
      <w:contextualSpacing/>
    </w:pPr>
  </w:style>
  <w:style w:type="character" w:styleId="IntenseEmphasis">
    <w:name w:val="Intense Emphasis"/>
    <w:basedOn w:val="DefaultParagraphFont"/>
    <w:uiPriority w:val="21"/>
    <w:qFormat/>
    <w:rsid w:val="00232F0F"/>
    <w:rPr>
      <w:i/>
      <w:iCs/>
      <w:color w:val="0F4761" w:themeColor="accent1" w:themeShade="BF"/>
    </w:rPr>
  </w:style>
  <w:style w:type="paragraph" w:styleId="IntenseQuote">
    <w:name w:val="Intense Quote"/>
    <w:basedOn w:val="Normal"/>
    <w:next w:val="Normal"/>
    <w:link w:val="IntenseQuoteChar"/>
    <w:uiPriority w:val="30"/>
    <w:qFormat/>
    <w:rsid w:val="00232F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2F0F"/>
    <w:rPr>
      <w:i/>
      <w:iCs/>
      <w:color w:val="0F4761" w:themeColor="accent1" w:themeShade="BF"/>
    </w:rPr>
  </w:style>
  <w:style w:type="character" w:styleId="IntenseReference">
    <w:name w:val="Intense Reference"/>
    <w:basedOn w:val="DefaultParagraphFont"/>
    <w:uiPriority w:val="32"/>
    <w:qFormat/>
    <w:rsid w:val="00232F0F"/>
    <w:rPr>
      <w:b/>
      <w:bCs/>
      <w:smallCaps/>
      <w:color w:val="0F4761" w:themeColor="accent1" w:themeShade="BF"/>
      <w:spacing w:val="5"/>
    </w:rPr>
  </w:style>
  <w:style w:type="character" w:styleId="Hyperlink">
    <w:name w:val="Hyperlink"/>
    <w:basedOn w:val="DefaultParagraphFont"/>
    <w:uiPriority w:val="99"/>
    <w:unhideWhenUsed/>
    <w:rsid w:val="000A40A5"/>
    <w:rPr>
      <w:color w:val="467886" w:themeColor="hyperlink"/>
      <w:u w:val="single"/>
    </w:rPr>
  </w:style>
  <w:style w:type="character" w:styleId="UnresolvedMention">
    <w:name w:val="Unresolved Mention"/>
    <w:basedOn w:val="DefaultParagraphFont"/>
    <w:uiPriority w:val="99"/>
    <w:semiHidden/>
    <w:unhideWhenUsed/>
    <w:rsid w:val="000A40A5"/>
    <w:rPr>
      <w:color w:val="605E5C"/>
      <w:shd w:val="clear" w:color="auto" w:fill="E1DFDD"/>
    </w:rPr>
  </w:style>
  <w:style w:type="paragraph" w:styleId="Header">
    <w:name w:val="header"/>
    <w:basedOn w:val="Normal"/>
    <w:link w:val="HeaderChar"/>
    <w:uiPriority w:val="99"/>
    <w:unhideWhenUsed/>
    <w:rsid w:val="00E43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C8A"/>
  </w:style>
  <w:style w:type="paragraph" w:styleId="Footer">
    <w:name w:val="footer"/>
    <w:basedOn w:val="Normal"/>
    <w:link w:val="FooterChar"/>
    <w:uiPriority w:val="99"/>
    <w:unhideWhenUsed/>
    <w:rsid w:val="00E43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C8A"/>
  </w:style>
  <w:style w:type="character" w:styleId="FollowedHyperlink">
    <w:name w:val="FollowedHyperlink"/>
    <w:basedOn w:val="DefaultParagraphFont"/>
    <w:uiPriority w:val="99"/>
    <w:semiHidden/>
    <w:unhideWhenUsed/>
    <w:rsid w:val="00215DB3"/>
    <w:rPr>
      <w:color w:val="96607D" w:themeColor="followedHyperlink"/>
      <w:u w:val="single"/>
    </w:rPr>
  </w:style>
  <w:style w:type="table" w:styleId="TableGrid">
    <w:name w:val="Table Grid"/>
    <w:basedOn w:val="TableNormal"/>
    <w:uiPriority w:val="39"/>
    <w:rsid w:val="009128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E72E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2EC9"/>
    <w:rPr>
      <w:sz w:val="20"/>
      <w:szCs w:val="20"/>
    </w:rPr>
  </w:style>
  <w:style w:type="character" w:styleId="FootnoteReference">
    <w:name w:val="footnote reference"/>
    <w:basedOn w:val="DefaultParagraphFont"/>
    <w:uiPriority w:val="99"/>
    <w:semiHidden/>
    <w:unhideWhenUsed/>
    <w:rsid w:val="00E72EC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edurev.2024.100605" TargetMode="External"/><Relationship Id="rId18" Type="http://schemas.openxmlformats.org/officeDocument/2006/relationships/hyperlink" Target="https://doi.org/10.3316/QRJ0902027" TargetMode="External"/><Relationship Id="rId26" Type="http://schemas.openxmlformats.org/officeDocument/2006/relationships/hyperlink" Target="https://doi.org/10.1080/02601370.2023.2297671" TargetMode="External"/><Relationship Id="rId39" Type="http://schemas.openxmlformats.org/officeDocument/2006/relationships/hyperlink" Target="https://www.officeforstudents.org.uk/media/ly1buqlj/financial-sustainability-report2024.pdf" TargetMode="External"/><Relationship Id="rId21" Type="http://schemas.openxmlformats.org/officeDocument/2006/relationships/hyperlink" Target="https://doi.org/10.1177/1744987120927206" TargetMode="External"/><Relationship Id="rId34" Type="http://schemas.openxmlformats.org/officeDocument/2006/relationships/hyperlink" Target="https://doi.org/10.1080/13562517.2024.2354263" TargetMode="External"/><Relationship Id="rId42" Type="http://schemas.openxmlformats.org/officeDocument/2006/relationships/hyperlink" Target="https://doi.org/10.1136/ebnurs-2018-103017" TargetMode="External"/><Relationship Id="rId47" Type="http://schemas.openxmlformats.org/officeDocument/2006/relationships/hyperlink" Target="https://doi.org/10.1080/03075079.2020.1716322" TargetMode="External"/><Relationship Id="rId50" Type="http://schemas.openxmlformats.org/officeDocument/2006/relationships/hyperlink" Target="https://www.ucas.com/corporate/news-and-key-documents/news/ucas-releases-undergraduate-january-equal-consideration-applicant-data-2025" TargetMode="External"/><Relationship Id="rId55" Type="http://schemas.openxmlformats.org/officeDocument/2006/relationships/hyperlink" Target="https://www.gov.wales/statement-strategic-priorities-tertiary-education-and-research-and-innovation-html"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46743/2160-3715/2008.1573" TargetMode="External"/><Relationship Id="rId29" Type="http://schemas.openxmlformats.org/officeDocument/2006/relationships/hyperlink" Target="https://www.hesa.ac.uk/news/27-01-2026/sb272-higher-education-student-statistics" TargetMode="External"/><Relationship Id="rId11" Type="http://schemas.openxmlformats.org/officeDocument/2006/relationships/hyperlink" Target="https://doi.org/10.1080/03075079.2018.1564902" TargetMode="External"/><Relationship Id="rId24" Type="http://schemas.openxmlformats.org/officeDocument/2006/relationships/hyperlink" Target="https://doi.org/10.1136/fmch-2018-000057" TargetMode="External"/><Relationship Id="rId32" Type="http://schemas.openxmlformats.org/officeDocument/2006/relationships/hyperlink" Target="https://ico.org.uk/for-organisations/uk-gdpr-guidance-and-resources/data-sharing/anonymisation/about-this-guidance/" TargetMode="External"/><Relationship Id="rId37" Type="http://schemas.openxmlformats.org/officeDocument/2006/relationships/hyperlink" Target="https://doi.org/10.3390/bs13030218" TargetMode="External"/><Relationship Id="rId40" Type="http://schemas.openxmlformats.org/officeDocument/2006/relationships/hyperlink" Target="https://www.officeforstudents.org.uk/data-and-analysis/access-and-participation-data-dashboard/" TargetMode="External"/><Relationship Id="rId45" Type="http://schemas.openxmlformats.org/officeDocument/2006/relationships/hyperlink" Target="https://doi.org/10.1080/01425692.2020.1865130" TargetMode="External"/><Relationship Id="rId53" Type="http://schemas.openxmlformats.org/officeDocument/2006/relationships/hyperlink" Target="https://www.ukri.org/wp-content/uploads/2021/08/MRC-0208212-GDPR-lawful-basis-research-consent-and-confidentiality.pdf" TargetMode="External"/><Relationship Id="rId58" Type="http://schemas.openxmlformats.org/officeDocument/2006/relationships/image" Target="media/image1.png"/><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hyperlink" Target="https://doi.org/10.1191/1478088706qp063oa" TargetMode="External"/><Relationship Id="rId14" Type="http://schemas.openxmlformats.org/officeDocument/2006/relationships/hyperlink" Target="https://doi.org/10.1080/03075079.2025.2455431" TargetMode="External"/><Relationship Id="rId22" Type="http://schemas.openxmlformats.org/officeDocument/2006/relationships/hyperlink" Target="https://doi.org/10.1111/medu.15403" TargetMode="External"/><Relationship Id="rId27" Type="http://schemas.openxmlformats.org/officeDocument/2006/relationships/hyperlink" Target="https://www.medr.cymru/wp-content/uploads/2024/07/W21-38HE-Reaching-Wider-Programme-guidance-English.pdf" TargetMode="External"/><Relationship Id="rId30" Type="http://schemas.openxmlformats.org/officeDocument/2006/relationships/hyperlink" Target="https://doi.org/10.1080/03075079.2020.1725874" TargetMode="External"/><Relationship Id="rId35" Type="http://schemas.openxmlformats.org/officeDocument/2006/relationships/hyperlink" Target="https://doi.org/10.1080/01425692.2014.973017" TargetMode="External"/><Relationship Id="rId43" Type="http://schemas.openxmlformats.org/officeDocument/2006/relationships/hyperlink" Target="https://doi.org/10.5456/WPLL.19.1.59" TargetMode="External"/><Relationship Id="rId48" Type="http://schemas.openxmlformats.org/officeDocument/2006/relationships/hyperlink" Target="https://doi.org/10.53761/1.20.6.16" TargetMode="External"/><Relationship Id="rId56" Type="http://schemas.openxmlformats.org/officeDocument/2006/relationships/hyperlink" Target="https://doi.org/10.1080/1743727X.2023.2266375" TargetMode="External"/><Relationship Id="rId8" Type="http://schemas.openxmlformats.org/officeDocument/2006/relationships/webSettings" Target="webSettings.xml"/><Relationship Id="rId51" Type="http://schemas.openxmlformats.org/officeDocument/2006/relationships/hyperlink" Target="https://www.ucas.com/corporate/news-and-key-documents/news/growing-18-year-old-population-pushes-uk-university-applicant-numbers-higher" TargetMode="External"/><Relationship Id="rId3" Type="http://schemas.openxmlformats.org/officeDocument/2006/relationships/customXml" Target="../customXml/item3.xml"/><Relationship Id="rId12" Type="http://schemas.openxmlformats.org/officeDocument/2006/relationships/hyperlink" Target="https://doi.org/10.53761/s2he6n66" TargetMode="External"/><Relationship Id="rId17" Type="http://schemas.openxmlformats.org/officeDocument/2006/relationships/hyperlink" Target="https://doi.org/10.1080/0309877X.2022.2082276" TargetMode="External"/><Relationship Id="rId25" Type="http://schemas.openxmlformats.org/officeDocument/2006/relationships/hyperlink" Target="https://doi.org/10.1177/0890334419830990" TargetMode="External"/><Relationship Id="rId33" Type="http://schemas.openxmlformats.org/officeDocument/2006/relationships/hyperlink" Target="https://doi.org/10.1080/0142159X.2021.1908976" TargetMode="External"/><Relationship Id="rId38" Type="http://schemas.openxmlformats.org/officeDocument/2006/relationships/hyperlink" Target="https://doi.org/10.1002/rev3.70120" TargetMode="External"/><Relationship Id="rId46" Type="http://schemas.openxmlformats.org/officeDocument/2006/relationships/hyperlink" Target="https://doi.org/10.1080/01642120802530056" TargetMode="External"/><Relationship Id="rId59" Type="http://schemas.openxmlformats.org/officeDocument/2006/relationships/footer" Target="footer1.xml"/><Relationship Id="rId20" Type="http://schemas.openxmlformats.org/officeDocument/2006/relationships/hyperlink" Target="https://doi.org/10.1177/02692163241234800" TargetMode="External"/><Relationship Id="rId41" Type="http://schemas.openxmlformats.org/officeDocument/2006/relationships/hyperlink" Target="https://doi.org/10.1002/berj.3991" TargetMode="External"/><Relationship Id="rId54" Type="http://schemas.openxmlformats.org/officeDocument/2006/relationships/hyperlink" Target="https://www.universitiesuk.ac.uk/sites/default/files/field/downloads/2024-01/pwc-uk-higher-education-financial-sustainability-report-january-2024.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80/13603116.2020.1776777" TargetMode="External"/><Relationship Id="rId23" Type="http://schemas.openxmlformats.org/officeDocument/2006/relationships/hyperlink" Target="https://doi.org/10.1007/s10734-022-00877-x" TargetMode="External"/><Relationship Id="rId28" Type="http://schemas.openxmlformats.org/officeDocument/2006/relationships/hyperlink" Target="https://www.medr.cymru/wp-content/uploads/2024/12/W24-07HE-2025_26-and-2026_27-Fee-and-Access-Plan-application-guidance-English.pdf" TargetMode="External"/><Relationship Id="rId36" Type="http://schemas.openxmlformats.org/officeDocument/2006/relationships/hyperlink" Target="https://www.medr.cymru/wp-content/uploads/2025/03/Medr-Strategic-Plan-2025-2030.pdf" TargetMode="External"/><Relationship Id="rId49" Type="http://schemas.openxmlformats.org/officeDocument/2006/relationships/hyperlink" Target="https://doi.org/10.1177/1077800410383121" TargetMode="External"/><Relationship Id="rId57" Type="http://schemas.openxmlformats.org/officeDocument/2006/relationships/hyperlink" Target="https://doi.org/10.1080/0309877X.2017.1404558" TargetMode="External"/><Relationship Id="rId10" Type="http://schemas.openxmlformats.org/officeDocument/2006/relationships/endnotes" Target="endnotes.xml"/><Relationship Id="rId31" Type="http://schemas.openxmlformats.org/officeDocument/2006/relationships/hyperlink" Target="https://doi.org/10.3402/qhw.v9.23606" TargetMode="External"/><Relationship Id="rId44" Type="http://schemas.openxmlformats.org/officeDocument/2006/relationships/hyperlink" Target="https://doi.org/10.14691/CPPJ.20.1.7" TargetMode="External"/><Relationship Id="rId52" Type="http://schemas.openxmlformats.org/officeDocument/2006/relationships/hyperlink" Target="https://ukdataservice.ac.uk/learning-hub/research-data-management/data-protection/data-protection-legislation/data-protection-act-and-gdpr/"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b8d8ad0-312e-46a2-9327-b65a0e9852c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DE7180B2459040B8ADB0F36372BEBE" ma:contentTypeVersion="17" ma:contentTypeDescription="Create a new document." ma:contentTypeScope="" ma:versionID="cd0ac59e25356f30c62f16dfdb9c8566">
  <xsd:schema xmlns:xsd="http://www.w3.org/2001/XMLSchema" xmlns:xs="http://www.w3.org/2001/XMLSchema" xmlns:p="http://schemas.microsoft.com/office/2006/metadata/properties" xmlns:ns3="fb8d8ad0-312e-46a2-9327-b65a0e9852ce" xmlns:ns4="9267ca95-43da-40e6-a5f4-91ddd9965bdf" targetNamespace="http://schemas.microsoft.com/office/2006/metadata/properties" ma:root="true" ma:fieldsID="375649234e1674732e458ac9d33bafd9" ns3:_="" ns4:_="">
    <xsd:import namespace="fb8d8ad0-312e-46a2-9327-b65a0e9852ce"/>
    <xsd:import namespace="9267ca95-43da-40e6-a5f4-91ddd9965bd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8d8ad0-312e-46a2-9327-b65a0e9852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267ca95-43da-40e6-a5f4-91ddd9965bdf"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0F2E6B-BFF1-4B2D-A1F2-13C564E31B1B}">
  <ds:schemaRefs>
    <ds:schemaRef ds:uri="http://schemas.microsoft.com/sharepoint/v3/contenttype/forms"/>
  </ds:schemaRefs>
</ds:datastoreItem>
</file>

<file path=customXml/itemProps2.xml><?xml version="1.0" encoding="utf-8"?>
<ds:datastoreItem xmlns:ds="http://schemas.openxmlformats.org/officeDocument/2006/customXml" ds:itemID="{9F8533C4-BC66-4BBD-9653-91504D9D18EF}">
  <ds:schemaRefs>
    <ds:schemaRef ds:uri="http://schemas.microsoft.com/office/2006/metadata/properties"/>
    <ds:schemaRef ds:uri="http://schemas.microsoft.com/office/infopath/2007/PartnerControls"/>
    <ds:schemaRef ds:uri="fb8d8ad0-312e-46a2-9327-b65a0e9852ce"/>
  </ds:schemaRefs>
</ds:datastoreItem>
</file>

<file path=customXml/itemProps3.xml><?xml version="1.0" encoding="utf-8"?>
<ds:datastoreItem xmlns:ds="http://schemas.openxmlformats.org/officeDocument/2006/customXml" ds:itemID="{3EBC6F38-4DB2-4348-8B74-7DB2ABDD00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8d8ad0-312e-46a2-9327-b65a0e9852ce"/>
    <ds:schemaRef ds:uri="9267ca95-43da-40e6-a5f4-91ddd9965b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40D5FD5-B464-497D-BEDA-4BD5E01420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4676</TotalTime>
  <Pages>18</Pages>
  <Words>6854</Words>
  <Characters>39071</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Karine Williams</dc:creator>
  <cp:keywords/>
  <dc:description/>
  <cp:lastModifiedBy>Karine Williams</cp:lastModifiedBy>
  <cp:revision>62</cp:revision>
  <cp:lastPrinted>2026-05-14T15:29:00Z</cp:lastPrinted>
  <dcterms:created xsi:type="dcterms:W3CDTF">2026-04-13T16:06:00Z</dcterms:created>
  <dcterms:modified xsi:type="dcterms:W3CDTF">2026-05-16T18:34:00Z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0x01010045DE7180B2459040B8ADB0F36372BEBE</vt:lpwstr>
  </property>
  <property fmtid="{D5CDD505-2E9C-101B-9397-08002B2CF9AE}" pid="3" name="GrammarlyDocumentId">
    <vt:lpwstr>d73b3bcc-9994-430a-8649-bebca51086c7</vt:lpwstr>
  </property>
</Properties>
</file>