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B2E73" w14:textId="77777777" w:rsidR="00287E94" w:rsidRPr="00287E94" w:rsidRDefault="00287E94" w:rsidP="00287E94">
      <w:pPr>
        <w:spacing w:after="120" w:line="360" w:lineRule="auto"/>
        <w:jc w:val="both"/>
        <w:rPr>
          <w:rFonts w:ascii="Palatino Linotype" w:hAnsi="Palatino Linotype"/>
          <w:b/>
          <w:szCs w:val="24"/>
          <w:lang w:val="en-GB"/>
        </w:rPr>
      </w:pPr>
      <w:r w:rsidRPr="00287E94">
        <w:rPr>
          <w:rFonts w:ascii="Palatino Linotype" w:hAnsi="Palatino Linotype"/>
          <w:b/>
          <w:szCs w:val="24"/>
          <w:lang w:val="en-GB"/>
        </w:rPr>
        <w:t>Monks and Merchants: Religious trade between India, China, and Japan</w:t>
      </w:r>
      <w:r w:rsidRPr="00287E94">
        <w:rPr>
          <w:rFonts w:ascii="Palatino Linotype" w:hAnsi="Palatino Linotype"/>
          <w:b/>
          <w:szCs w:val="24"/>
          <w:lang w:val="en-GB"/>
        </w:rPr>
        <w:t xml:space="preserve"> </w:t>
      </w:r>
    </w:p>
    <w:p w14:paraId="4483A0C0" w14:textId="3E01D2F6" w:rsidR="00287E94" w:rsidRPr="00287E94" w:rsidRDefault="00287E94" w:rsidP="00287E94">
      <w:pPr>
        <w:spacing w:after="120" w:line="360" w:lineRule="auto"/>
        <w:jc w:val="both"/>
        <w:rPr>
          <w:rFonts w:ascii="Palatino Linotype" w:hAnsi="Palatino Linotype"/>
          <w:b/>
          <w:szCs w:val="24"/>
          <w:lang w:val="en-GB"/>
        </w:rPr>
      </w:pPr>
      <w:r w:rsidRPr="00287E94">
        <w:rPr>
          <w:rFonts w:ascii="Palatino Linotype" w:hAnsi="Palatino Linotype"/>
          <w:b/>
          <w:szCs w:val="24"/>
          <w:lang w:val="en-GB"/>
        </w:rPr>
        <w:t>1. Introduction</w:t>
      </w:r>
    </w:p>
    <w:p w14:paraId="08BAB63A" w14:textId="6000C372"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 xml:space="preserve">In her book </w:t>
      </w:r>
      <w:r w:rsidRPr="00287E94">
        <w:rPr>
          <w:rFonts w:ascii="Palatino Linotype" w:hAnsi="Palatino Linotype"/>
          <w:i/>
          <w:szCs w:val="24"/>
          <w:lang w:val="en-GB"/>
        </w:rPr>
        <w:t>The Sextants of Beijing: Global Currents in Chinese History</w:t>
      </w:r>
      <w:r w:rsidRPr="00287E94">
        <w:rPr>
          <w:rFonts w:ascii="Palatino Linotype" w:hAnsi="Palatino Linotype"/>
          <w:szCs w:val="24"/>
          <w:lang w:val="en-GB"/>
        </w:rPr>
        <w:t xml:space="preserve"> Joanna </w:t>
      </w:r>
      <w:proofErr w:type="spellStart"/>
      <w:r w:rsidRPr="00287E94">
        <w:rPr>
          <w:rFonts w:ascii="Palatino Linotype" w:hAnsi="Palatino Linotype"/>
          <w:szCs w:val="24"/>
          <w:lang w:val="en-GB"/>
        </w:rPr>
        <w:t>Waley</w:t>
      </w:r>
      <w:proofErr w:type="spellEnd"/>
      <w:r w:rsidRPr="00287E94">
        <w:rPr>
          <w:rFonts w:ascii="Palatino Linotype" w:hAnsi="Palatino Linotype"/>
          <w:szCs w:val="24"/>
          <w:lang w:val="en-GB"/>
        </w:rPr>
        <w:t xml:space="preserve">-Cohen opens the first chapter entitled “Early Chinese Cosmopolitanism” with a reference to </w:t>
      </w:r>
      <w:proofErr w:type="spellStart"/>
      <w:r w:rsidRPr="00287E94">
        <w:rPr>
          <w:rFonts w:ascii="Palatino Linotype" w:hAnsi="Palatino Linotype"/>
          <w:szCs w:val="24"/>
          <w:lang w:val="en-GB"/>
        </w:rPr>
        <w:t>Xuanzang</w:t>
      </w:r>
      <w:proofErr w:type="spellEnd"/>
      <w:r w:rsidRPr="00287E94">
        <w:rPr>
          <w:rFonts w:ascii="Palatino Linotype" w:hAnsi="Palatino Linotype"/>
          <w:szCs w:val="24"/>
          <w:lang w:val="en-GB"/>
        </w:rPr>
        <w:t xml:space="preserve">, a Chinese monk who travelled to India in search of Buddhist scriptures. </w:t>
      </w:r>
      <w:proofErr w:type="spellStart"/>
      <w:r w:rsidRPr="00287E94">
        <w:rPr>
          <w:rFonts w:ascii="Palatino Linotype" w:hAnsi="Palatino Linotype"/>
          <w:szCs w:val="24"/>
          <w:lang w:val="en-GB"/>
        </w:rPr>
        <w:t>Xuanzang’s</w:t>
      </w:r>
      <w:proofErr w:type="spellEnd"/>
      <w:r w:rsidRPr="00287E94">
        <w:rPr>
          <w:rFonts w:ascii="Palatino Linotype" w:hAnsi="Palatino Linotype"/>
          <w:szCs w:val="24"/>
          <w:lang w:val="en-GB"/>
        </w:rPr>
        <w:t xml:space="preserve"> journey lasted from 629 to 645. In 646 he completed a description of his travels on imperial request. The “</w:t>
      </w:r>
      <w:r w:rsidRPr="00287E94">
        <w:rPr>
          <w:rFonts w:ascii="Palatino Linotype" w:hAnsi="Palatino Linotype"/>
          <w:szCs w:val="24"/>
          <w:lang w:val="en"/>
        </w:rPr>
        <w:t>Journey to the West in the Great Tang Dynasty” (</w:t>
      </w:r>
      <w:r w:rsidRPr="00287E94">
        <w:rPr>
          <w:rFonts w:ascii="Palatino Linotype" w:eastAsia="FZKai-Z03" w:hAnsi="Palatino Linotype"/>
          <w:szCs w:val="24"/>
          <w:lang w:val="en"/>
        </w:rPr>
        <w:t>大唐西域記</w:t>
      </w:r>
      <w:r w:rsidRPr="00287E94">
        <w:rPr>
          <w:rFonts w:ascii="Palatino Linotype" w:hAnsi="Palatino Linotype"/>
          <w:szCs w:val="24"/>
          <w:lang w:val="en"/>
        </w:rPr>
        <w:t xml:space="preserve">), as his description was called, became the basis for further dramatization of </w:t>
      </w:r>
      <w:r w:rsidRPr="00287E94">
        <w:rPr>
          <w:rFonts w:ascii="Palatino Linotype" w:hAnsi="Palatino Linotype"/>
          <w:szCs w:val="24"/>
          <w:lang w:val="en-GB"/>
        </w:rPr>
        <w:t xml:space="preserve">his epic journey for stage performance. </w:t>
      </w:r>
      <w:proofErr w:type="spellStart"/>
      <w:r w:rsidRPr="00287E94">
        <w:rPr>
          <w:rFonts w:ascii="Palatino Linotype" w:hAnsi="Palatino Linotype"/>
          <w:szCs w:val="24"/>
          <w:lang w:val="en-GB"/>
        </w:rPr>
        <w:t>Xuanzang’s</w:t>
      </w:r>
      <w:proofErr w:type="spellEnd"/>
      <w:r w:rsidRPr="00287E94">
        <w:rPr>
          <w:rFonts w:ascii="Palatino Linotype" w:hAnsi="Palatino Linotype"/>
          <w:szCs w:val="24"/>
          <w:lang w:val="en-GB"/>
        </w:rPr>
        <w:t xml:space="preserve"> story was told and retold by storytellers all over China. Since then it has become a standard theme of popular literature. “As the saga of </w:t>
      </w:r>
      <w:proofErr w:type="spellStart"/>
      <w:r w:rsidRPr="00287E94">
        <w:rPr>
          <w:rFonts w:ascii="Palatino Linotype" w:hAnsi="Palatino Linotype"/>
          <w:szCs w:val="24"/>
          <w:lang w:val="en-GB"/>
        </w:rPr>
        <w:t>Xuanzang’s</w:t>
      </w:r>
      <w:proofErr w:type="spellEnd"/>
      <w:r w:rsidRPr="00287E94">
        <w:rPr>
          <w:rFonts w:ascii="Palatino Linotype" w:hAnsi="Palatino Linotype"/>
          <w:szCs w:val="24"/>
          <w:lang w:val="en-GB"/>
        </w:rPr>
        <w:t xml:space="preserve"> journey was told and retold,” </w:t>
      </w:r>
      <w:proofErr w:type="spellStart"/>
      <w:r w:rsidRPr="00287E94">
        <w:rPr>
          <w:rFonts w:ascii="Palatino Linotype" w:hAnsi="Palatino Linotype"/>
          <w:szCs w:val="24"/>
          <w:lang w:val="en-GB"/>
        </w:rPr>
        <w:t>Waley</w:t>
      </w:r>
      <w:proofErr w:type="spellEnd"/>
      <w:r w:rsidRPr="00287E94">
        <w:rPr>
          <w:rFonts w:ascii="Palatino Linotype" w:hAnsi="Palatino Linotype"/>
          <w:szCs w:val="24"/>
          <w:lang w:val="en-GB"/>
        </w:rPr>
        <w:t xml:space="preserve">-Cohen asserts, “it embedded the idea of international exchange into the Chinese tradition from a very early period.” (11) Similarly, when assessing the impact of Buddhist monks and merchants on the emerging East Asian world order, Charles Holcombe stresses that </w:t>
      </w:r>
    </w:p>
    <w:p w14:paraId="7DED85B1" w14:textId="77777777" w:rsidR="00287E94" w:rsidRPr="00287E94" w:rsidRDefault="00287E94" w:rsidP="00287E94">
      <w:pPr>
        <w:pStyle w:val="Zitat"/>
        <w:spacing w:after="120" w:line="360" w:lineRule="auto"/>
        <w:rPr>
          <w:rFonts w:ascii="Palatino Linotype" w:hAnsi="Palatino Linotype"/>
          <w:szCs w:val="24"/>
          <w:lang w:val="en-GB"/>
        </w:rPr>
      </w:pPr>
      <w:r w:rsidRPr="00287E94">
        <w:rPr>
          <w:rFonts w:ascii="Palatino Linotype" w:hAnsi="Palatino Linotype"/>
          <w:szCs w:val="24"/>
          <w:lang w:val="en-GB"/>
        </w:rPr>
        <w:t>[b]</w:t>
      </w:r>
      <w:proofErr w:type="spellStart"/>
      <w:r w:rsidRPr="00287E94">
        <w:rPr>
          <w:rFonts w:ascii="Palatino Linotype" w:hAnsi="Palatino Linotype"/>
          <w:szCs w:val="24"/>
          <w:lang w:val="en-GB"/>
        </w:rPr>
        <w:t>oth</w:t>
      </w:r>
      <w:proofErr w:type="spellEnd"/>
      <w:r w:rsidRPr="00287E94">
        <w:rPr>
          <w:rFonts w:ascii="Palatino Linotype" w:hAnsi="Palatino Linotype"/>
          <w:szCs w:val="24"/>
          <w:lang w:val="en-GB"/>
        </w:rPr>
        <w:t xml:space="preserve"> trade and Buddhism played critical roles in the process of forging a common culture for traditional East Asia, but both also transcended purely regional perspectives. By penetrating the barriers of East Asian civilization and linking it to a much wider world, these two related outside forces conspired to generate 'new cultural configurations' and draw 'new cultural boundary lines' in East Asia.</w:t>
      </w:r>
      <w:r w:rsidRPr="00287E94">
        <w:rPr>
          <w:rStyle w:val="FootnoteReference"/>
          <w:rFonts w:ascii="Palatino Linotype" w:hAnsi="Palatino Linotype"/>
          <w:sz w:val="24"/>
          <w:szCs w:val="24"/>
          <w:lang w:val="en-GB"/>
        </w:rPr>
        <w:footnoteReference w:id="1"/>
      </w:r>
    </w:p>
    <w:p w14:paraId="1C2EC11A"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Just as Chinese Buddhists travelled to India in search of Buddhist scriptures and learned teachers, so Japanese Buddhists journeyed to China. “</w:t>
      </w:r>
      <w:proofErr w:type="gramStart"/>
      <w:r w:rsidRPr="00287E94">
        <w:rPr>
          <w:rFonts w:ascii="Palatino Linotype" w:hAnsi="Palatino Linotype"/>
          <w:szCs w:val="24"/>
          <w:lang w:val="en-GB"/>
        </w:rPr>
        <w:t>Thus</w:t>
      </w:r>
      <w:proofErr w:type="gramEnd"/>
      <w:r w:rsidRPr="00287E94">
        <w:rPr>
          <w:rFonts w:ascii="Palatino Linotype" w:hAnsi="Palatino Linotype"/>
          <w:szCs w:val="24"/>
          <w:lang w:val="en-GB"/>
        </w:rPr>
        <w:t xml:space="preserve"> the network of international contacts forged in the Tang did not merely draw foreign imports into China but also spawned the outward extension of Chinese influence into much of East </w:t>
      </w:r>
      <w:r w:rsidRPr="00287E94">
        <w:rPr>
          <w:rFonts w:ascii="Palatino Linotype" w:hAnsi="Palatino Linotype"/>
          <w:szCs w:val="24"/>
          <w:lang w:val="en-GB"/>
        </w:rPr>
        <w:lastRenderedPageBreak/>
        <w:t>Asia” under the flag of what Charles Holcombe has called the “Buddhist Internationalisation.”</w:t>
      </w:r>
      <w:r w:rsidRPr="00287E94">
        <w:rPr>
          <w:rStyle w:val="FootnoteReference"/>
          <w:rFonts w:ascii="Palatino Linotype" w:hAnsi="Palatino Linotype"/>
          <w:sz w:val="24"/>
          <w:szCs w:val="24"/>
          <w:lang w:val="en-GB"/>
        </w:rPr>
        <w:footnoteReference w:id="2"/>
      </w:r>
    </w:p>
    <w:p w14:paraId="48B2C834"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In this lecture I would like to take a closer look at the political, economic, and cultural exchanges between the East Asian states by specifically looking at the journeys of Buddhist travellers in the medieval period. In which ways did Buddhist travellers contribute to the making of an East Asian universal order? How did this emerging order influence the self-understanding of the Chinese empire as being co-extensive with all-under-Heaven?</w:t>
      </w:r>
    </w:p>
    <w:p w14:paraId="0DB750DB" w14:textId="77777777" w:rsidR="00287E94" w:rsidRPr="00287E94" w:rsidRDefault="00287E94" w:rsidP="00287E94">
      <w:pPr>
        <w:spacing w:after="120" w:line="360" w:lineRule="auto"/>
        <w:jc w:val="both"/>
        <w:rPr>
          <w:rFonts w:ascii="Palatino Linotype" w:hAnsi="Palatino Linotype"/>
          <w:color w:val="000000"/>
          <w:szCs w:val="24"/>
          <w:lang w:val="en-GB"/>
        </w:rPr>
      </w:pPr>
      <w:r w:rsidRPr="00287E94">
        <w:rPr>
          <w:rFonts w:ascii="Palatino Linotype" w:hAnsi="Palatino Linotype"/>
          <w:color w:val="000000"/>
          <w:szCs w:val="24"/>
          <w:lang w:val="en-GB"/>
        </w:rPr>
        <w:t>Early Chinese contact with other civilizations occurred in three broad overlapping categories of equal importance: 1) politics, including both diplomacy and warfare; 2) religion and intellectual exchange; and 3) trade, in which Chinese silk and later porcelain figured prominently. I will try to show that Buddhist monks were involved in all three areas using examples from the period of the division between North and South through the Tang.</w:t>
      </w:r>
    </w:p>
    <w:p w14:paraId="4CA58C7E" w14:textId="77777777" w:rsidR="00287E94" w:rsidRPr="00287E94" w:rsidRDefault="00287E94" w:rsidP="00287E94">
      <w:pPr>
        <w:pStyle w:val="BodyText"/>
        <w:spacing w:after="120" w:line="360" w:lineRule="auto"/>
        <w:jc w:val="both"/>
        <w:rPr>
          <w:rFonts w:ascii="Palatino Linotype" w:hAnsi="Palatino Linotype"/>
          <w:bCs w:val="0"/>
        </w:rPr>
      </w:pPr>
      <w:r w:rsidRPr="00287E94">
        <w:rPr>
          <w:rFonts w:ascii="Palatino Linotype" w:hAnsi="Palatino Linotype"/>
        </w:rPr>
        <w:t xml:space="preserve">2. </w:t>
      </w:r>
      <w:r w:rsidRPr="00287E94">
        <w:rPr>
          <w:rFonts w:ascii="Palatino Linotype" w:hAnsi="Palatino Linotype"/>
          <w:bCs w:val="0"/>
        </w:rPr>
        <w:t>Monks and Merchants</w:t>
      </w:r>
    </w:p>
    <w:p w14:paraId="060B9AB0"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 xml:space="preserve">169 Chinese monks are known today who travelled to India in quest of the dharma between the 4th and 8th centuries. In addition to these Chinese travellers, an unknown number of foreign monks travelled the central Asian overland routes which became the renowned “Silk Roads”. “Silk road” is a term coined by the German geographer and explorer Ferdinand Freiherr von </w:t>
      </w:r>
      <w:proofErr w:type="spellStart"/>
      <w:r w:rsidRPr="00287E94">
        <w:rPr>
          <w:rFonts w:ascii="Palatino Linotype" w:hAnsi="Palatino Linotype"/>
          <w:szCs w:val="24"/>
          <w:lang w:val="en-GB"/>
        </w:rPr>
        <w:t>Richthofen</w:t>
      </w:r>
      <w:proofErr w:type="spellEnd"/>
      <w:r w:rsidRPr="00287E94">
        <w:rPr>
          <w:rFonts w:ascii="Palatino Linotype" w:hAnsi="Palatino Linotype"/>
          <w:szCs w:val="24"/>
          <w:lang w:val="en-GB"/>
        </w:rPr>
        <w:t xml:space="preserve"> in 1877. I use the plural “Silk Roads” in order to distinguish the northern Silk Road that branches off east of Dunhuang and runs along the northern rim of the Taklamakan desert from the southern route that encloses the desert in the south. Early contact between India and China and the initial transmission of Buddhism into China were undoubtedly achieved by camel caravans on the Silk Roads. However, after the Han dynasty sea borne commerce became a strong rival to trade on the Silk Roads, especially in the maritime oriented southern </w:t>
      </w:r>
      <w:r w:rsidRPr="00287E94">
        <w:rPr>
          <w:rFonts w:ascii="Palatino Linotype" w:hAnsi="Palatino Linotype"/>
          <w:szCs w:val="24"/>
          <w:lang w:val="en-GB"/>
        </w:rPr>
        <w:lastRenderedPageBreak/>
        <w:t>state of Wu of the Three Kingdoms. We know of large numbers of Buddhist monks that arrived in South China on merchantmen. (More precisely: We know that merchantmen from Southeast Asia arrived at the South China shores only because Buddhist hagiographical sources contain information that those ships also brought foreign monks to China.</w:t>
      </w:r>
    </w:p>
    <w:p w14:paraId="063A0E69"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 xml:space="preserve">While the primary goal of the Chinese Buddhist travellers abroad certainly was to collect Buddhist scriptures and relics – relics means the bones and teeth of the Buddha - as well as to meet with famous masters in the homeland of their religion, we should not overlook that religious quest often went hand in hand with what could be called “religiously motivated trade” in “holy accoutrements”. Some scholars have estimated that the volume of this trade across the South Seas exceeded the older secular elite demand for luxury items. It is always difficult to get real numbers in Chinese social history, so the precise volume of this kind of trade is difficult to measure. We have no reason, however, to doubt the fact that the Buddhist </w:t>
      </w:r>
      <w:proofErr w:type="spellStart"/>
      <w:r w:rsidRPr="00287E94">
        <w:rPr>
          <w:rFonts w:ascii="Palatino Linotype" w:hAnsi="Palatino Linotype"/>
          <w:szCs w:val="24"/>
          <w:lang w:val="en-GB"/>
        </w:rPr>
        <w:t>pilgrimaes</w:t>
      </w:r>
      <w:proofErr w:type="spellEnd"/>
      <w:r w:rsidRPr="00287E94">
        <w:rPr>
          <w:rFonts w:ascii="Palatino Linotype" w:hAnsi="Palatino Linotype"/>
          <w:szCs w:val="24"/>
          <w:lang w:val="en-GB"/>
        </w:rPr>
        <w:t xml:space="preserve"> stimulated the circulation of both goods and ideas.</w:t>
      </w:r>
    </w:p>
    <w:p w14:paraId="7C4775A8"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 xml:space="preserve">To give you an idea of the amount and quality of commodities involved in this “holy trade” let me cite the example of the Tang monk </w:t>
      </w:r>
      <w:proofErr w:type="spellStart"/>
      <w:r w:rsidRPr="00287E94">
        <w:rPr>
          <w:rFonts w:ascii="Palatino Linotype" w:hAnsi="Palatino Linotype"/>
          <w:szCs w:val="24"/>
          <w:lang w:val="en-GB"/>
        </w:rPr>
        <w:t>Jianzhen</w:t>
      </w:r>
      <w:proofErr w:type="spellEnd"/>
      <w:r w:rsidRPr="00287E94">
        <w:rPr>
          <w:rFonts w:ascii="Palatino Linotype" w:hAnsi="Palatino Linotype"/>
          <w:szCs w:val="24"/>
          <w:lang w:val="en-GB"/>
        </w:rPr>
        <w:t xml:space="preserve"> </w:t>
      </w:r>
      <w:r w:rsidRPr="00287E94">
        <w:rPr>
          <w:rFonts w:ascii="Palatino Linotype" w:hAnsi="Palatino Linotype"/>
          <w:szCs w:val="24"/>
          <w:lang w:val="en-GB" w:eastAsia="zh-CN"/>
        </w:rPr>
        <w:t>鑑真</w:t>
      </w:r>
      <w:r w:rsidRPr="00287E94">
        <w:rPr>
          <w:rFonts w:ascii="Palatino Linotype" w:hAnsi="Palatino Linotype"/>
          <w:szCs w:val="24"/>
          <w:lang w:val="en-GB"/>
        </w:rPr>
        <w:t xml:space="preserve"> (jap. </w:t>
      </w:r>
      <w:proofErr w:type="spellStart"/>
      <w:r w:rsidRPr="00287E94">
        <w:rPr>
          <w:rFonts w:ascii="Palatino Linotype" w:hAnsi="Palatino Linotype"/>
          <w:szCs w:val="24"/>
          <w:lang w:val="en-GB"/>
        </w:rPr>
        <w:t>Ganjin</w:t>
      </w:r>
      <w:proofErr w:type="spellEnd"/>
      <w:r w:rsidRPr="00287E94">
        <w:rPr>
          <w:rFonts w:ascii="Palatino Linotype" w:hAnsi="Palatino Linotype"/>
          <w:szCs w:val="24"/>
          <w:lang w:val="en-GB"/>
        </w:rPr>
        <w:t>, 688-763), who in 743 had gathered the following items for shipment to Japan:</w:t>
      </w:r>
    </w:p>
    <w:p w14:paraId="5C79B1FB" w14:textId="77777777" w:rsidR="00287E94" w:rsidRPr="00287E94" w:rsidRDefault="00287E94" w:rsidP="00287E94">
      <w:pPr>
        <w:pStyle w:val="Zitat"/>
        <w:spacing w:after="120" w:line="360" w:lineRule="auto"/>
        <w:rPr>
          <w:rFonts w:ascii="Palatino Linotype" w:eastAsia="Times New Roman" w:hAnsi="Palatino Linotype"/>
          <w:szCs w:val="24"/>
          <w:lang w:val="en-US"/>
        </w:rPr>
      </w:pPr>
      <w:r w:rsidRPr="00287E94">
        <w:rPr>
          <w:rFonts w:ascii="Palatino Linotype" w:hAnsi="Palatino Linotype"/>
          <w:szCs w:val="24"/>
          <w:lang w:val="en-US"/>
        </w:rPr>
        <w:t xml:space="preserve">the </w:t>
      </w:r>
      <w:proofErr w:type="spellStart"/>
      <w:r w:rsidRPr="00287E94">
        <w:rPr>
          <w:rFonts w:ascii="Palatino Linotype" w:hAnsi="Palatino Linotype"/>
          <w:i/>
          <w:iCs/>
          <w:szCs w:val="24"/>
          <w:lang w:val="en-US"/>
        </w:rPr>
        <w:t>Avatamsaka</w:t>
      </w:r>
      <w:proofErr w:type="spellEnd"/>
      <w:r w:rsidRPr="00287E94">
        <w:rPr>
          <w:rFonts w:ascii="Palatino Linotype" w:hAnsi="Palatino Linotype"/>
          <w:i/>
          <w:iCs/>
          <w:szCs w:val="24"/>
          <w:lang w:val="en-US"/>
        </w:rPr>
        <w:t xml:space="preserve"> </w:t>
      </w:r>
      <w:proofErr w:type="spellStart"/>
      <w:r w:rsidRPr="00287E94">
        <w:rPr>
          <w:rFonts w:ascii="Palatino Linotype" w:hAnsi="Palatino Linotype"/>
          <w:i/>
          <w:iCs/>
          <w:szCs w:val="24"/>
          <w:lang w:val="en-US"/>
        </w:rPr>
        <w:t>Sūtra</w:t>
      </w:r>
      <w:proofErr w:type="spellEnd"/>
      <w:r w:rsidRPr="00287E94">
        <w:rPr>
          <w:rFonts w:ascii="Palatino Linotype" w:hAnsi="Palatino Linotype"/>
          <w:i/>
          <w:iCs/>
          <w:szCs w:val="24"/>
          <w:lang w:val="en-US"/>
        </w:rPr>
        <w:t xml:space="preserve">, </w:t>
      </w:r>
      <w:r w:rsidRPr="00287E94">
        <w:rPr>
          <w:rFonts w:ascii="Palatino Linotype" w:hAnsi="Palatino Linotype"/>
          <w:szCs w:val="24"/>
          <w:lang w:val="en-US"/>
        </w:rPr>
        <w:t xml:space="preserve">the </w:t>
      </w:r>
      <w:r w:rsidRPr="00287E94">
        <w:rPr>
          <w:rFonts w:ascii="Palatino Linotype" w:hAnsi="Palatino Linotype"/>
          <w:i/>
          <w:iCs/>
          <w:szCs w:val="24"/>
          <w:lang w:val="en-US"/>
        </w:rPr>
        <w:t xml:space="preserve">Greater </w:t>
      </w:r>
      <w:proofErr w:type="spellStart"/>
      <w:r w:rsidRPr="00287E94">
        <w:rPr>
          <w:rFonts w:ascii="Palatino Linotype" w:hAnsi="Palatino Linotype"/>
          <w:i/>
          <w:iCs/>
          <w:szCs w:val="24"/>
          <w:lang w:val="en-US"/>
        </w:rPr>
        <w:t>Prajñāpāramitā</w:t>
      </w:r>
      <w:proofErr w:type="spellEnd"/>
      <w:r w:rsidRPr="00287E94">
        <w:rPr>
          <w:rFonts w:ascii="Palatino Linotype" w:hAnsi="Palatino Linotype"/>
          <w:i/>
          <w:iCs/>
          <w:spacing w:val="-2"/>
          <w:szCs w:val="24"/>
          <w:lang w:val="en-US"/>
        </w:rPr>
        <w:t xml:space="preserve"> </w:t>
      </w:r>
      <w:proofErr w:type="spellStart"/>
      <w:r w:rsidRPr="00287E94">
        <w:rPr>
          <w:rFonts w:ascii="Palatino Linotype" w:hAnsi="Palatino Linotype"/>
          <w:i/>
          <w:iCs/>
          <w:spacing w:val="-2"/>
          <w:szCs w:val="24"/>
          <w:lang w:val="en-US"/>
        </w:rPr>
        <w:t>Sūtra</w:t>
      </w:r>
      <w:proofErr w:type="spellEnd"/>
      <w:r w:rsidRPr="00287E94">
        <w:rPr>
          <w:rFonts w:ascii="Palatino Linotype" w:hAnsi="Palatino Linotype"/>
          <w:i/>
          <w:iCs/>
          <w:spacing w:val="-2"/>
          <w:szCs w:val="24"/>
          <w:lang w:val="en-US"/>
        </w:rPr>
        <w:t xml:space="preserve">, </w:t>
      </w:r>
      <w:r w:rsidRPr="00287E94">
        <w:rPr>
          <w:rFonts w:ascii="Palatino Linotype" w:hAnsi="Palatino Linotype"/>
          <w:spacing w:val="-2"/>
          <w:szCs w:val="24"/>
          <w:lang w:val="en-US"/>
        </w:rPr>
        <w:t xml:space="preserve">the </w:t>
      </w:r>
      <w:proofErr w:type="spellStart"/>
      <w:r w:rsidRPr="00287E94">
        <w:rPr>
          <w:rFonts w:ascii="Palatino Linotype" w:hAnsi="Palatino Linotype"/>
          <w:i/>
          <w:iCs/>
          <w:spacing w:val="-2"/>
          <w:szCs w:val="24"/>
          <w:lang w:val="en-US"/>
        </w:rPr>
        <w:t>Mahāsamghāta</w:t>
      </w:r>
      <w:proofErr w:type="spellEnd"/>
      <w:r w:rsidRPr="00287E94">
        <w:rPr>
          <w:rFonts w:ascii="Palatino Linotype" w:hAnsi="Palatino Linotype"/>
          <w:i/>
          <w:iCs/>
          <w:spacing w:val="-2"/>
          <w:szCs w:val="24"/>
          <w:lang w:val="en-US"/>
        </w:rPr>
        <w:t xml:space="preserve"> </w:t>
      </w:r>
      <w:proofErr w:type="spellStart"/>
      <w:r w:rsidRPr="00287E94">
        <w:rPr>
          <w:rFonts w:ascii="Palatino Linotype" w:hAnsi="Palatino Linotype"/>
          <w:i/>
          <w:iCs/>
          <w:spacing w:val="-2"/>
          <w:szCs w:val="24"/>
          <w:lang w:val="en-US"/>
        </w:rPr>
        <w:t>Sūtra</w:t>
      </w:r>
      <w:proofErr w:type="spellEnd"/>
      <w:r w:rsidRPr="00287E94">
        <w:rPr>
          <w:rFonts w:ascii="Palatino Linotype" w:hAnsi="Palatino Linotype"/>
          <w:i/>
          <w:iCs/>
          <w:spacing w:val="-2"/>
          <w:szCs w:val="24"/>
          <w:lang w:val="en-US"/>
        </w:rPr>
        <w:t xml:space="preserve">, </w:t>
      </w:r>
      <w:r w:rsidRPr="00287E94">
        <w:rPr>
          <w:rFonts w:ascii="Palatino Linotype" w:hAnsi="Palatino Linotype"/>
          <w:spacing w:val="-2"/>
          <w:szCs w:val="24"/>
          <w:lang w:val="en-US"/>
        </w:rPr>
        <w:t xml:space="preserve">and the </w:t>
      </w:r>
      <w:r w:rsidRPr="00287E94">
        <w:rPr>
          <w:rFonts w:ascii="Palatino Linotype" w:hAnsi="Palatino Linotype"/>
          <w:i/>
          <w:iCs/>
          <w:spacing w:val="-2"/>
          <w:szCs w:val="24"/>
          <w:lang w:val="en-US"/>
        </w:rPr>
        <w:t xml:space="preserve">Greater </w:t>
      </w:r>
      <w:r w:rsidRPr="00287E94">
        <w:rPr>
          <w:rFonts w:ascii="Palatino Linotype" w:hAnsi="Palatino Linotype"/>
          <w:i/>
          <w:iCs/>
          <w:szCs w:val="24"/>
          <w:lang w:val="en-US"/>
        </w:rPr>
        <w:t xml:space="preserve">Nirvana </w:t>
      </w:r>
      <w:proofErr w:type="spellStart"/>
      <w:r w:rsidRPr="00287E94">
        <w:rPr>
          <w:rFonts w:ascii="Palatino Linotype" w:hAnsi="Palatino Linotype"/>
          <w:i/>
          <w:iCs/>
          <w:szCs w:val="24"/>
          <w:lang w:val="en-US"/>
        </w:rPr>
        <w:t>Sūtra</w:t>
      </w:r>
      <w:proofErr w:type="spellEnd"/>
      <w:r w:rsidRPr="00287E94">
        <w:rPr>
          <w:rFonts w:ascii="Palatino Linotype" w:hAnsi="Palatino Linotype"/>
          <w:i/>
          <w:iCs/>
          <w:szCs w:val="24"/>
          <w:lang w:val="en-US"/>
        </w:rPr>
        <w:t xml:space="preserve">, </w:t>
      </w:r>
      <w:r w:rsidRPr="00287E94">
        <w:rPr>
          <w:rFonts w:ascii="Palatino Linotype" w:hAnsi="Palatino Linotype"/>
          <w:szCs w:val="24"/>
          <w:lang w:val="en-US"/>
        </w:rPr>
        <w:t xml:space="preserve">all inscribed in gold, and one hundred other sutras and commentaries; of Buddhist images, a painting of </w:t>
      </w:r>
      <w:r w:rsidRPr="00287E94">
        <w:rPr>
          <w:rFonts w:ascii="Palatino Linotype" w:hAnsi="Palatino Linotype"/>
          <w:spacing w:val="-2"/>
          <w:szCs w:val="24"/>
          <w:lang w:val="en-US"/>
        </w:rPr>
        <w:t xml:space="preserve">the Five Buddhas of Wisdom and another of the Bejeweled </w:t>
      </w:r>
      <w:r w:rsidRPr="00287E94">
        <w:rPr>
          <w:rFonts w:ascii="Palatino Linotype" w:hAnsi="Palatino Linotype"/>
          <w:szCs w:val="24"/>
          <w:lang w:val="en-US"/>
        </w:rPr>
        <w:t>Buddha, one gold-encrusted statue, and a six-panel screen depicting Buddhas and bodhisattvas; of ceremonial equip</w:t>
      </w:r>
      <w:r w:rsidRPr="00287E94">
        <w:rPr>
          <w:rFonts w:ascii="Palatino Linotype" w:hAnsi="Palatino Linotype"/>
          <w:spacing w:val="-2"/>
          <w:szCs w:val="24"/>
          <w:lang w:val="en-US"/>
        </w:rPr>
        <w:t xml:space="preserve">ment, panels displaying the lunar calendric and solar cyclic </w:t>
      </w:r>
      <w:r w:rsidRPr="00287E94">
        <w:rPr>
          <w:rFonts w:ascii="Palatino Linotype" w:hAnsi="Palatino Linotype"/>
          <w:szCs w:val="24"/>
          <w:lang w:val="en-US"/>
        </w:rPr>
        <w:t xml:space="preserve">charts, one hundred and twenty </w:t>
      </w:r>
      <w:proofErr w:type="spellStart"/>
      <w:r w:rsidRPr="00287E94">
        <w:rPr>
          <w:rFonts w:ascii="Palatino Linotype" w:hAnsi="Palatino Linotype"/>
          <w:szCs w:val="24"/>
          <w:lang w:val="en-US"/>
        </w:rPr>
        <w:t>Bodhimandala</w:t>
      </w:r>
      <w:proofErr w:type="spellEnd"/>
      <w:r w:rsidRPr="00287E94">
        <w:rPr>
          <w:rFonts w:ascii="Palatino Linotype" w:hAnsi="Palatino Linotype"/>
          <w:szCs w:val="24"/>
          <w:lang w:val="en-US"/>
        </w:rPr>
        <w:t xml:space="preserve"> banners, fourteen beaded banners, eight hand-banners with jade rings, fifty sutra containers inlaid with mother-of-pearl, twenty copper jars, twenty-four floral rugs, one thousand clerical stoles, one thousand clerical robes, one thousand </w:t>
      </w:r>
      <w:r w:rsidRPr="00287E94">
        <w:rPr>
          <w:rFonts w:ascii="Palatino Linotype" w:hAnsi="Palatino Linotype"/>
          <w:spacing w:val="-3"/>
          <w:szCs w:val="24"/>
          <w:lang w:val="en-US"/>
        </w:rPr>
        <w:t>chairs, four large copper canopies, forty bamboo-leaf cano</w:t>
      </w:r>
      <w:r w:rsidRPr="00287E94">
        <w:rPr>
          <w:rFonts w:ascii="Palatino Linotype" w:hAnsi="Palatino Linotype"/>
          <w:spacing w:val="-3"/>
          <w:szCs w:val="24"/>
          <w:lang w:val="en-US"/>
        </w:rPr>
        <w:softHyphen/>
      </w:r>
      <w:r w:rsidRPr="00287E94">
        <w:rPr>
          <w:rFonts w:ascii="Palatino Linotype" w:hAnsi="Palatino Linotype"/>
          <w:szCs w:val="24"/>
          <w:lang w:val="en-US"/>
        </w:rPr>
        <w:lastRenderedPageBreak/>
        <w:t xml:space="preserve">pies, twenty large copper basins as well as twenty more of intermediate size and forty-four of a smaller size, eighty </w:t>
      </w:r>
      <w:r w:rsidRPr="00287E94">
        <w:rPr>
          <w:rFonts w:ascii="Palatino Linotype" w:hAnsi="Palatino Linotype"/>
          <w:spacing w:val="-3"/>
          <w:szCs w:val="24"/>
          <w:lang w:val="en-US"/>
        </w:rPr>
        <w:t xml:space="preserve">copper plates measuring a foot in diameter and two hundred </w:t>
      </w:r>
      <w:r w:rsidRPr="00287E94">
        <w:rPr>
          <w:rFonts w:ascii="Palatino Linotype" w:hAnsi="Palatino Linotype"/>
          <w:szCs w:val="24"/>
          <w:lang w:val="en-US"/>
        </w:rPr>
        <w:t xml:space="preserve">more of a smaller dimension, sixteen white rattan baskets, </w:t>
      </w:r>
      <w:r w:rsidRPr="00287E94">
        <w:rPr>
          <w:rFonts w:ascii="Palatino Linotype" w:hAnsi="Palatino Linotype"/>
          <w:spacing w:val="-5"/>
          <w:szCs w:val="24"/>
          <w:lang w:val="en-US"/>
        </w:rPr>
        <w:t>and six polychrome rattan baskets.</w:t>
      </w:r>
    </w:p>
    <w:p w14:paraId="43ADBF14" w14:textId="77777777" w:rsidR="00287E94" w:rsidRPr="00287E94" w:rsidRDefault="00287E94" w:rsidP="00287E94">
      <w:pPr>
        <w:pStyle w:val="Zitat"/>
        <w:spacing w:after="120" w:line="360" w:lineRule="auto"/>
        <w:rPr>
          <w:rFonts w:ascii="Palatino Linotype" w:eastAsia="Times New Roman" w:hAnsi="Palatino Linotype"/>
          <w:szCs w:val="24"/>
          <w:lang w:val="en-US"/>
        </w:rPr>
      </w:pPr>
      <w:r w:rsidRPr="00287E94">
        <w:rPr>
          <w:rFonts w:ascii="Palatino Linotype" w:hAnsi="Palatino Linotype"/>
          <w:spacing w:val="-4"/>
          <w:szCs w:val="24"/>
          <w:lang w:val="en-US"/>
        </w:rPr>
        <w:t xml:space="preserve">Of medicines and aromatics, twenty globules of musk, and </w:t>
      </w:r>
      <w:r w:rsidRPr="00287E94">
        <w:rPr>
          <w:rFonts w:ascii="Palatino Linotype" w:hAnsi="Palatino Linotype"/>
          <w:spacing w:val="-2"/>
          <w:szCs w:val="24"/>
          <w:lang w:val="en-US"/>
        </w:rPr>
        <w:t xml:space="preserve">more than six hundred pounds in all of </w:t>
      </w:r>
      <w:proofErr w:type="spellStart"/>
      <w:r w:rsidRPr="00287E94">
        <w:rPr>
          <w:rFonts w:ascii="Palatino Linotype" w:hAnsi="Palatino Linotype"/>
          <w:spacing w:val="-2"/>
          <w:szCs w:val="24"/>
          <w:lang w:val="en-US"/>
        </w:rPr>
        <w:t>aloeswood</w:t>
      </w:r>
      <w:proofErr w:type="spellEnd"/>
      <w:r w:rsidRPr="00287E94">
        <w:rPr>
          <w:rFonts w:ascii="Palatino Linotype" w:hAnsi="Palatino Linotype"/>
          <w:spacing w:val="-2"/>
          <w:szCs w:val="24"/>
          <w:lang w:val="en-US"/>
        </w:rPr>
        <w:t xml:space="preserve">, onycha, </w:t>
      </w:r>
      <w:r w:rsidRPr="00287E94">
        <w:rPr>
          <w:rFonts w:ascii="Palatino Linotype" w:hAnsi="Palatino Linotype"/>
          <w:spacing w:val="-4"/>
          <w:szCs w:val="24"/>
          <w:lang w:val="en-US"/>
        </w:rPr>
        <w:t xml:space="preserve">valerian, camphor, a perfume called </w:t>
      </w:r>
      <w:r w:rsidRPr="00287E94">
        <w:rPr>
          <w:rFonts w:ascii="Palatino Linotype" w:hAnsi="Palatino Linotype"/>
          <w:i/>
          <w:iCs/>
          <w:spacing w:val="-4"/>
          <w:szCs w:val="24"/>
          <w:lang w:val="en-US"/>
        </w:rPr>
        <w:t>tan-</w:t>
      </w:r>
      <w:proofErr w:type="spellStart"/>
      <w:r w:rsidRPr="00287E94">
        <w:rPr>
          <w:rFonts w:ascii="Palatino Linotype" w:hAnsi="Palatino Linotype"/>
          <w:i/>
          <w:iCs/>
          <w:spacing w:val="-4"/>
          <w:szCs w:val="24"/>
          <w:lang w:val="en-US"/>
        </w:rPr>
        <w:t>t'ang</w:t>
      </w:r>
      <w:proofErr w:type="spellEnd"/>
      <w:r w:rsidRPr="00287E94">
        <w:rPr>
          <w:rFonts w:ascii="Palatino Linotype" w:hAnsi="Palatino Linotype"/>
          <w:i/>
          <w:iCs/>
          <w:spacing w:val="-4"/>
          <w:szCs w:val="24"/>
          <w:lang w:val="en-US"/>
        </w:rPr>
        <w:t xml:space="preserve">, </w:t>
      </w:r>
      <w:r w:rsidRPr="00287E94">
        <w:rPr>
          <w:rFonts w:ascii="Palatino Linotype" w:hAnsi="Palatino Linotype"/>
          <w:spacing w:val="-4"/>
          <w:szCs w:val="24"/>
          <w:lang w:val="en-US"/>
        </w:rPr>
        <w:t xml:space="preserve">benzoin, light </w:t>
      </w:r>
      <w:proofErr w:type="spellStart"/>
      <w:r w:rsidRPr="00287E94">
        <w:rPr>
          <w:rFonts w:ascii="Palatino Linotype" w:hAnsi="Palatino Linotype"/>
          <w:szCs w:val="24"/>
          <w:lang w:val="en-US"/>
        </w:rPr>
        <w:t>aloeswood</w:t>
      </w:r>
      <w:proofErr w:type="spellEnd"/>
      <w:r w:rsidRPr="00287E94">
        <w:rPr>
          <w:rFonts w:ascii="Palatino Linotype" w:hAnsi="Palatino Linotype"/>
          <w:szCs w:val="24"/>
          <w:lang w:val="en-US"/>
        </w:rPr>
        <w:t xml:space="preserve">, essence of sweet basil, </w:t>
      </w:r>
      <w:proofErr w:type="spellStart"/>
      <w:r w:rsidRPr="00287E94">
        <w:rPr>
          <w:rFonts w:ascii="Palatino Linotype" w:hAnsi="Palatino Linotype"/>
          <w:szCs w:val="24"/>
          <w:lang w:val="en-US"/>
        </w:rPr>
        <w:t>costusroot</w:t>
      </w:r>
      <w:proofErr w:type="spellEnd"/>
      <w:r w:rsidRPr="00287E94">
        <w:rPr>
          <w:rFonts w:ascii="Palatino Linotype" w:hAnsi="Palatino Linotype"/>
          <w:szCs w:val="24"/>
          <w:lang w:val="en-US"/>
        </w:rPr>
        <w:t xml:space="preserve">, and frankincense; some five hundred pounds of myrobalan, pepper, </w:t>
      </w:r>
      <w:r w:rsidRPr="00287E94">
        <w:rPr>
          <w:rFonts w:ascii="Palatino Linotype" w:hAnsi="Palatino Linotype"/>
          <w:spacing w:val="-4"/>
          <w:szCs w:val="24"/>
          <w:lang w:val="en-US"/>
        </w:rPr>
        <w:t xml:space="preserve">asafetida, crystal sugar, and sugar cane; forty gallons of bee's honey; and eighty bundles of sugarcane stalks. Included also </w:t>
      </w:r>
      <w:r w:rsidRPr="00287E94">
        <w:rPr>
          <w:rFonts w:ascii="Palatino Linotype" w:hAnsi="Palatino Linotype"/>
          <w:szCs w:val="24"/>
          <w:lang w:val="en-US"/>
        </w:rPr>
        <w:t xml:space="preserve">were such items as ten thousand strings of bronze coins, </w:t>
      </w:r>
      <w:r w:rsidRPr="00287E94">
        <w:rPr>
          <w:rFonts w:ascii="Palatino Linotype" w:hAnsi="Palatino Linotype"/>
          <w:spacing w:val="-4"/>
          <w:szCs w:val="24"/>
          <w:lang w:val="en-US"/>
        </w:rPr>
        <w:t xml:space="preserve">another ten thousand of </w:t>
      </w:r>
      <w:proofErr w:type="spellStart"/>
      <w:r w:rsidRPr="00287E94">
        <w:rPr>
          <w:rFonts w:ascii="Palatino Linotype" w:hAnsi="Palatino Linotype"/>
          <w:i/>
          <w:iCs/>
          <w:spacing w:val="-4"/>
          <w:szCs w:val="24"/>
          <w:lang w:val="en-US"/>
        </w:rPr>
        <w:t>cheng-lu</w:t>
      </w:r>
      <w:proofErr w:type="spellEnd"/>
      <w:r w:rsidRPr="00287E94">
        <w:rPr>
          <w:rFonts w:ascii="Palatino Linotype" w:hAnsi="Palatino Linotype"/>
          <w:i/>
          <w:iCs/>
          <w:spacing w:val="-4"/>
          <w:szCs w:val="24"/>
          <w:lang w:val="en-US"/>
        </w:rPr>
        <w:t xml:space="preserve"> </w:t>
      </w:r>
      <w:r w:rsidRPr="00287E94">
        <w:rPr>
          <w:rFonts w:ascii="Palatino Linotype" w:hAnsi="Palatino Linotype"/>
          <w:spacing w:val="-4"/>
          <w:szCs w:val="24"/>
          <w:lang w:val="en-US"/>
        </w:rPr>
        <w:t xml:space="preserve">coins, five thousand strings </w:t>
      </w:r>
      <w:r w:rsidRPr="00287E94">
        <w:rPr>
          <w:rFonts w:ascii="Palatino Linotype" w:hAnsi="Palatino Linotype"/>
          <w:spacing w:val="-3"/>
          <w:szCs w:val="24"/>
          <w:lang w:val="en-US"/>
        </w:rPr>
        <w:t>of</w:t>
      </w:r>
      <w:r w:rsidRPr="00287E94">
        <w:rPr>
          <w:rFonts w:ascii="Palatino Linotype" w:hAnsi="Palatino Linotype"/>
          <w:i/>
          <w:iCs/>
          <w:spacing w:val="-3"/>
          <w:szCs w:val="24"/>
          <w:lang w:val="en-US"/>
        </w:rPr>
        <w:t xml:space="preserve"> tzu-</w:t>
      </w:r>
      <w:proofErr w:type="spellStart"/>
      <w:r w:rsidRPr="00287E94">
        <w:rPr>
          <w:rFonts w:ascii="Palatino Linotype" w:hAnsi="Palatino Linotype"/>
          <w:i/>
          <w:iCs/>
          <w:spacing w:val="-3"/>
          <w:szCs w:val="24"/>
          <w:lang w:val="en-US"/>
        </w:rPr>
        <w:t>pien</w:t>
      </w:r>
      <w:proofErr w:type="spellEnd"/>
      <w:r w:rsidRPr="00287E94">
        <w:rPr>
          <w:rFonts w:ascii="Palatino Linotype" w:hAnsi="Palatino Linotype"/>
          <w:i/>
          <w:iCs/>
          <w:spacing w:val="-3"/>
          <w:szCs w:val="24"/>
          <w:lang w:val="en-US"/>
        </w:rPr>
        <w:t xml:space="preserve"> </w:t>
      </w:r>
      <w:r w:rsidRPr="00287E94">
        <w:rPr>
          <w:rFonts w:ascii="Palatino Linotype" w:hAnsi="Palatino Linotype"/>
          <w:spacing w:val="-3"/>
          <w:szCs w:val="24"/>
          <w:lang w:val="en-US"/>
        </w:rPr>
        <w:t>coins, twenty gauze hoods, and thirty linen shoes.</w:t>
      </w:r>
      <w:r w:rsidRPr="00287E94">
        <w:rPr>
          <w:rStyle w:val="FootnoteReference"/>
          <w:rFonts w:ascii="Palatino Linotype" w:hAnsi="Palatino Linotype"/>
          <w:spacing w:val="-3"/>
          <w:sz w:val="24"/>
          <w:szCs w:val="24"/>
          <w:lang w:val="en-US"/>
        </w:rPr>
        <w:footnoteReference w:id="3"/>
      </w:r>
    </w:p>
    <w:p w14:paraId="7B883462"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 xml:space="preserve">Besides the seventeen monks, a number of jade workers, painters, and people skilled in carving, encasing, and casting also decided to travel to Japan with </w:t>
      </w:r>
      <w:proofErr w:type="spellStart"/>
      <w:r w:rsidRPr="00287E94">
        <w:rPr>
          <w:rFonts w:ascii="Palatino Linotype" w:hAnsi="Palatino Linotype"/>
          <w:szCs w:val="24"/>
          <w:lang w:val="en-GB"/>
        </w:rPr>
        <w:t>Jianzhen</w:t>
      </w:r>
      <w:proofErr w:type="spellEnd"/>
      <w:r w:rsidRPr="00287E94">
        <w:rPr>
          <w:rFonts w:ascii="Palatino Linotype" w:hAnsi="Palatino Linotype"/>
          <w:szCs w:val="24"/>
          <w:lang w:val="en-GB"/>
        </w:rPr>
        <w:t xml:space="preserve">. After five futile attempts to reach Japan, </w:t>
      </w:r>
      <w:proofErr w:type="spellStart"/>
      <w:r w:rsidRPr="00287E94">
        <w:rPr>
          <w:rFonts w:ascii="Palatino Linotype" w:hAnsi="Palatino Linotype"/>
          <w:szCs w:val="24"/>
          <w:lang w:val="en-GB"/>
        </w:rPr>
        <w:t>Jianzhen</w:t>
      </w:r>
      <w:proofErr w:type="spellEnd"/>
      <w:r w:rsidRPr="00287E94">
        <w:rPr>
          <w:rFonts w:ascii="Palatino Linotype" w:hAnsi="Palatino Linotype"/>
          <w:szCs w:val="24"/>
          <w:lang w:val="en-GB"/>
        </w:rPr>
        <w:t xml:space="preserve"> finally arrived at the island in 754 on the ship of the Japanese ambassador and other high-ranking officials of the eleventh Japanese delegation to China. Twelve years had passed since the first attempt to travel to Japan in 742. </w:t>
      </w:r>
      <w:proofErr w:type="spellStart"/>
      <w:r w:rsidRPr="00287E94">
        <w:rPr>
          <w:rFonts w:ascii="Palatino Linotype" w:hAnsi="Palatino Linotype"/>
          <w:szCs w:val="24"/>
          <w:lang w:val="en-GB"/>
        </w:rPr>
        <w:t>Ganjin</w:t>
      </w:r>
      <w:proofErr w:type="spellEnd"/>
      <w:r w:rsidRPr="00287E94">
        <w:rPr>
          <w:rFonts w:ascii="Palatino Linotype" w:hAnsi="Palatino Linotype"/>
          <w:szCs w:val="24"/>
          <w:lang w:val="en-GB"/>
        </w:rPr>
        <w:t xml:space="preserve"> not only brought orthodox forms of the Buddhist </w:t>
      </w:r>
      <w:proofErr w:type="spellStart"/>
      <w:r w:rsidRPr="00287E94">
        <w:rPr>
          <w:rFonts w:ascii="Palatino Linotype" w:hAnsi="Palatino Linotype"/>
          <w:i/>
          <w:szCs w:val="24"/>
          <w:lang w:val="en-GB"/>
        </w:rPr>
        <w:t>vinaya</w:t>
      </w:r>
      <w:proofErr w:type="spellEnd"/>
      <w:r w:rsidRPr="00287E94">
        <w:rPr>
          <w:rFonts w:ascii="Palatino Linotype" w:hAnsi="Palatino Linotype"/>
          <w:szCs w:val="24"/>
          <w:lang w:val="en-GB"/>
        </w:rPr>
        <w:t>, the monk’s rules, to Japan, but also taught Chinese-style pharmacology.</w:t>
      </w:r>
    </w:p>
    <w:p w14:paraId="334E96CD" w14:textId="77777777"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 xml:space="preserve">It is possible that </w:t>
      </w:r>
      <w:proofErr w:type="spellStart"/>
      <w:r w:rsidRPr="00287E94">
        <w:rPr>
          <w:rFonts w:ascii="Palatino Linotype" w:hAnsi="Palatino Linotype"/>
          <w:szCs w:val="24"/>
          <w:lang w:val="en-GB"/>
        </w:rPr>
        <w:t>Jianzhen</w:t>
      </w:r>
      <w:proofErr w:type="spellEnd"/>
      <w:r w:rsidRPr="00287E94">
        <w:rPr>
          <w:rFonts w:ascii="Palatino Linotype" w:hAnsi="Palatino Linotype"/>
          <w:szCs w:val="24"/>
          <w:lang w:val="en-GB"/>
        </w:rPr>
        <w:t xml:space="preserve"> assembled the commodities listed above not for sale but as presents to his Japanese brethren and that “trade” is therefore a misnomer. Other </w:t>
      </w:r>
      <w:r w:rsidRPr="00287E94">
        <w:rPr>
          <w:rFonts w:ascii="Palatino Linotype" w:hAnsi="Palatino Linotype"/>
          <w:szCs w:val="24"/>
          <w:lang w:val="en-GB"/>
        </w:rPr>
        <w:br/>
        <w:t>Tang sources prove beyond doubt, however, that monks were involved not only in trade, but in the transmission of “food technology”:</w:t>
      </w:r>
    </w:p>
    <w:p w14:paraId="68FC1268" w14:textId="77777777" w:rsidR="00287E94" w:rsidRPr="00287E94" w:rsidRDefault="00287E94" w:rsidP="00287E94">
      <w:pPr>
        <w:pStyle w:val="Zitat"/>
        <w:spacing w:after="120" w:line="360" w:lineRule="auto"/>
        <w:rPr>
          <w:rFonts w:ascii="Palatino Linotype" w:hAnsi="Palatino Linotype"/>
          <w:szCs w:val="24"/>
          <w:lang w:val="en-GB"/>
        </w:rPr>
      </w:pPr>
      <w:r w:rsidRPr="00287E94">
        <w:rPr>
          <w:rFonts w:ascii="Palatino Linotype" w:hAnsi="Palatino Linotype"/>
          <w:szCs w:val="24"/>
          <w:lang w:val="en-GB"/>
        </w:rPr>
        <w:t xml:space="preserve">In the twenty-first year of the </w:t>
      </w:r>
      <w:proofErr w:type="spellStart"/>
      <w:r w:rsidRPr="00287E94">
        <w:rPr>
          <w:rFonts w:ascii="Palatino Linotype" w:hAnsi="Palatino Linotype"/>
          <w:szCs w:val="24"/>
          <w:lang w:val="en-GB"/>
        </w:rPr>
        <w:t>Zhenguan</w:t>
      </w:r>
      <w:proofErr w:type="spellEnd"/>
      <w:r w:rsidRPr="00287E94">
        <w:rPr>
          <w:rFonts w:ascii="Palatino Linotype" w:hAnsi="Palatino Linotype"/>
          <w:szCs w:val="24"/>
          <w:lang w:val="en-GB"/>
        </w:rPr>
        <w:t xml:space="preserve"> ear [647], Magadha for the </w:t>
      </w:r>
      <w:proofErr w:type="gramStart"/>
      <w:r w:rsidRPr="00287E94">
        <w:rPr>
          <w:rFonts w:ascii="Palatino Linotype" w:hAnsi="Palatino Linotype"/>
          <w:szCs w:val="24"/>
          <w:lang w:val="en-GB"/>
        </w:rPr>
        <w:t>first time</w:t>
      </w:r>
      <w:proofErr w:type="gramEnd"/>
      <w:r w:rsidRPr="00287E94">
        <w:rPr>
          <w:rFonts w:ascii="Palatino Linotype" w:hAnsi="Palatino Linotype"/>
          <w:szCs w:val="24"/>
          <w:lang w:val="en-GB"/>
        </w:rPr>
        <w:t xml:space="preserve"> dispatched envoys to establish communication with the Son of Heaven. They </w:t>
      </w:r>
      <w:r w:rsidRPr="00287E94">
        <w:rPr>
          <w:rFonts w:ascii="Palatino Linotype" w:hAnsi="Palatino Linotype"/>
          <w:szCs w:val="24"/>
          <w:lang w:val="en-GB"/>
        </w:rPr>
        <w:lastRenderedPageBreak/>
        <w:t xml:space="preserve">presented the </w:t>
      </w:r>
      <w:r w:rsidRPr="00287E94">
        <w:rPr>
          <w:rFonts w:ascii="Palatino Linotype" w:hAnsi="Palatino Linotype"/>
          <w:i/>
          <w:szCs w:val="24"/>
          <w:lang w:val="en-GB"/>
        </w:rPr>
        <w:t>bodhi</w:t>
      </w:r>
      <w:r w:rsidRPr="00287E94">
        <w:rPr>
          <w:rFonts w:ascii="Palatino Linotype" w:hAnsi="Palatino Linotype"/>
          <w:szCs w:val="24"/>
          <w:lang w:val="en-GB"/>
        </w:rPr>
        <w:t xml:space="preserve"> tree, a tree resembling the poplar. [Emperor] </w:t>
      </w:r>
      <w:proofErr w:type="spellStart"/>
      <w:r w:rsidRPr="00287E94">
        <w:rPr>
          <w:rFonts w:ascii="Palatino Linotype" w:hAnsi="Palatino Linotype"/>
          <w:szCs w:val="24"/>
          <w:lang w:val="en-GB"/>
        </w:rPr>
        <w:t>Taizong</w:t>
      </w:r>
      <w:proofErr w:type="spellEnd"/>
      <w:r w:rsidRPr="00287E94">
        <w:rPr>
          <w:rFonts w:ascii="Palatino Linotype" w:hAnsi="Palatino Linotype"/>
          <w:szCs w:val="24"/>
          <w:lang w:val="en-GB"/>
        </w:rPr>
        <w:t xml:space="preserve"> then dispatched envoys to obtain the method of boiling sugar. [When this was obtained], he ordered that sugarcane be submitted from Yangzhou. The juice was extracted by pressing [the cane in a mortar] as if [preparing] a dosage [of medicine]. It far surpassed that of the Western regions in </w:t>
      </w:r>
      <w:proofErr w:type="spellStart"/>
      <w:r w:rsidRPr="00287E94">
        <w:rPr>
          <w:rFonts w:ascii="Palatino Linotype" w:hAnsi="Palatino Linotype"/>
          <w:szCs w:val="24"/>
          <w:lang w:val="en-GB"/>
        </w:rPr>
        <w:t>color</w:t>
      </w:r>
      <w:proofErr w:type="spellEnd"/>
      <w:r w:rsidRPr="00287E94">
        <w:rPr>
          <w:rFonts w:ascii="Palatino Linotype" w:hAnsi="Palatino Linotype"/>
          <w:szCs w:val="24"/>
          <w:lang w:val="en-GB"/>
        </w:rPr>
        <w:t xml:space="preserve"> and </w:t>
      </w:r>
      <w:proofErr w:type="spellStart"/>
      <w:r w:rsidRPr="00287E94">
        <w:rPr>
          <w:rFonts w:ascii="Palatino Linotype" w:hAnsi="Palatino Linotype"/>
          <w:szCs w:val="24"/>
          <w:lang w:val="en-GB"/>
        </w:rPr>
        <w:t>flavor</w:t>
      </w:r>
      <w:proofErr w:type="spellEnd"/>
      <w:r w:rsidRPr="00287E94">
        <w:rPr>
          <w:rFonts w:ascii="Palatino Linotype" w:hAnsi="Palatino Linotype"/>
          <w:szCs w:val="24"/>
          <w:lang w:val="en-GB"/>
        </w:rPr>
        <w:t>.</w:t>
      </w:r>
      <w:r w:rsidRPr="00287E94">
        <w:rPr>
          <w:rStyle w:val="FootnoteReference"/>
          <w:rFonts w:ascii="Palatino Linotype" w:hAnsi="Palatino Linotype"/>
          <w:sz w:val="24"/>
          <w:szCs w:val="24"/>
          <w:lang w:val="en-GB"/>
        </w:rPr>
        <w:footnoteReference w:id="4"/>
      </w:r>
    </w:p>
    <w:p w14:paraId="295B1B1D" w14:textId="77777777" w:rsidR="00287E94" w:rsidRPr="00287E94" w:rsidRDefault="00287E94" w:rsidP="00287E94">
      <w:pPr>
        <w:pStyle w:val="Text"/>
        <w:spacing w:after="120" w:line="360" w:lineRule="auto"/>
        <w:ind w:firstLine="0"/>
        <w:rPr>
          <w:rFonts w:ascii="Palatino Linotype" w:hAnsi="Palatino Linotype"/>
          <w:szCs w:val="24"/>
          <w:lang w:val="en-GB"/>
        </w:rPr>
      </w:pPr>
      <w:r w:rsidRPr="00287E94">
        <w:rPr>
          <w:rFonts w:ascii="Palatino Linotype" w:hAnsi="Palatino Linotype"/>
          <w:szCs w:val="24"/>
          <w:lang w:val="en-GB"/>
        </w:rPr>
        <w:t xml:space="preserve">Roughly a hundred years earlier, an embassy to the Liang dynasty from the state of </w:t>
      </w:r>
      <w:proofErr w:type="spellStart"/>
      <w:r w:rsidRPr="00287E94">
        <w:rPr>
          <w:rFonts w:ascii="Palatino Linotype" w:hAnsi="Palatino Linotype"/>
          <w:szCs w:val="24"/>
          <w:lang w:val="en-GB"/>
        </w:rPr>
        <w:t>Paekche</w:t>
      </w:r>
      <w:proofErr w:type="spellEnd"/>
      <w:r w:rsidRPr="00287E94">
        <w:rPr>
          <w:rFonts w:ascii="Palatino Linotype" w:hAnsi="Palatino Linotype"/>
          <w:szCs w:val="24"/>
          <w:lang w:val="en-GB"/>
        </w:rPr>
        <w:t xml:space="preserve"> in Korea requested and received not only copies of Buddhist scriptures but also physicians, craftsmen, painters, and specialists in the </w:t>
      </w:r>
      <w:proofErr w:type="spellStart"/>
      <w:r w:rsidRPr="00287E94">
        <w:rPr>
          <w:rFonts w:ascii="Palatino Linotype" w:hAnsi="Palatino Linotype"/>
          <w:i/>
          <w:szCs w:val="24"/>
          <w:lang w:val="en-GB"/>
        </w:rPr>
        <w:t>Shijing</w:t>
      </w:r>
      <w:proofErr w:type="spellEnd"/>
      <w:r w:rsidRPr="00287E94">
        <w:rPr>
          <w:rFonts w:ascii="Palatino Linotype" w:hAnsi="Palatino Linotype"/>
          <w:szCs w:val="24"/>
          <w:lang w:val="en-GB"/>
        </w:rPr>
        <w:t xml:space="preserve">, the </w:t>
      </w:r>
      <w:r w:rsidRPr="00287E94">
        <w:rPr>
          <w:rFonts w:ascii="Palatino Linotype" w:hAnsi="Palatino Linotype"/>
          <w:i/>
          <w:szCs w:val="24"/>
          <w:lang w:val="en-GB"/>
        </w:rPr>
        <w:t>Book of Songs</w:t>
      </w:r>
      <w:r w:rsidRPr="00287E94">
        <w:rPr>
          <w:rFonts w:ascii="Palatino Linotype" w:hAnsi="Palatino Linotype"/>
          <w:szCs w:val="24"/>
          <w:lang w:val="en-GB"/>
        </w:rPr>
        <w:t>.</w:t>
      </w:r>
    </w:p>
    <w:p w14:paraId="272C00A0" w14:textId="77777777" w:rsidR="00287E94" w:rsidRPr="00287E94" w:rsidRDefault="00287E94" w:rsidP="00287E94">
      <w:pPr>
        <w:pStyle w:val="Text"/>
        <w:spacing w:after="120" w:line="360" w:lineRule="auto"/>
        <w:ind w:firstLine="0"/>
        <w:rPr>
          <w:rFonts w:ascii="Palatino Linotype" w:hAnsi="Palatino Linotype"/>
          <w:szCs w:val="24"/>
          <w:lang w:val="en-GB"/>
        </w:rPr>
      </w:pPr>
      <w:r w:rsidRPr="00287E94">
        <w:rPr>
          <w:rFonts w:ascii="Palatino Linotype" w:hAnsi="Palatino Linotype"/>
          <w:szCs w:val="24"/>
          <w:lang w:val="en-GB"/>
        </w:rPr>
        <w:t xml:space="preserve">Now, while trade in Buddhist objects certainly flourished during the medieval period, one has to stress that this trade happened largely outside the state’s tribute system.  It was, in other words, private commercial activity. The Chinese state was often not in favour of unrestricted trade. The Tang dynasty, in particular, because it was vigorous and powerful and had the means to enforce the will of its rulers, has been relatively successful in regulating trade and securing its borders. In 714, for example, an imperial command enumerated various commodities that were not allowed to pass into the hands of foreigners living along the </w:t>
      </w:r>
      <w:proofErr w:type="spellStart"/>
      <w:r w:rsidRPr="00287E94">
        <w:rPr>
          <w:rFonts w:ascii="Palatino Linotype" w:hAnsi="Palatino Linotype"/>
          <w:szCs w:val="24"/>
          <w:lang w:val="en-GB"/>
        </w:rPr>
        <w:t>northwestern</w:t>
      </w:r>
      <w:proofErr w:type="spellEnd"/>
      <w:r w:rsidRPr="00287E94">
        <w:rPr>
          <w:rFonts w:ascii="Palatino Linotype" w:hAnsi="Palatino Linotype"/>
          <w:szCs w:val="24"/>
          <w:lang w:val="en-GB"/>
        </w:rPr>
        <w:t xml:space="preserve"> frontier. Another edict of 743 ordered the complete termination of trade across the western border despite its acknowledged profitability. The reasons were of a strategic nature. A strong dynasty could thus stifle economic development. Dynastic splendour was not always equivalent to general economic prosperity and vigorous international trade relations.</w:t>
      </w:r>
    </w:p>
    <w:p w14:paraId="5E20D2D7" w14:textId="77777777" w:rsidR="00287E94" w:rsidRPr="00287E94" w:rsidRDefault="00287E94" w:rsidP="00287E94">
      <w:pPr>
        <w:pStyle w:val="Text"/>
        <w:spacing w:after="120" w:line="360" w:lineRule="auto"/>
        <w:ind w:firstLine="0"/>
        <w:rPr>
          <w:rFonts w:ascii="Palatino Linotype" w:hAnsi="Palatino Linotype"/>
          <w:szCs w:val="24"/>
          <w:lang w:val="en-GB"/>
        </w:rPr>
      </w:pPr>
      <w:r w:rsidRPr="00287E94">
        <w:rPr>
          <w:rFonts w:ascii="Palatino Linotype" w:hAnsi="Palatino Linotype"/>
          <w:szCs w:val="24"/>
          <w:lang w:val="en-GB"/>
        </w:rPr>
        <w:t xml:space="preserve">Besides their own commercial activities, Buddhist monks and institutions were involved in other kinds of business transactions. First hand evidence is scarce, but there is evidence that Buddhist monks in Dunhuang signed their names on treaties as arbiters of property disputes and witnesses of commercial deals. Other financial practices, for instance the running of pawn shops, mutual financing associations, the </w:t>
      </w:r>
      <w:r w:rsidRPr="00287E94">
        <w:rPr>
          <w:rFonts w:ascii="Palatino Linotype" w:hAnsi="Palatino Linotype"/>
          <w:szCs w:val="24"/>
          <w:lang w:val="en-GB"/>
        </w:rPr>
        <w:lastRenderedPageBreak/>
        <w:t>sale of auction or lottery tickets, were associated with the monasteries or the Buddhist establishment in general.</w:t>
      </w:r>
      <w:r w:rsidRPr="00287E94">
        <w:rPr>
          <w:rStyle w:val="FootnoteReference"/>
          <w:rFonts w:ascii="Palatino Linotype" w:hAnsi="Palatino Linotype"/>
          <w:sz w:val="24"/>
          <w:szCs w:val="24"/>
          <w:lang w:val="en-GB"/>
        </w:rPr>
        <w:footnoteReference w:id="5"/>
      </w:r>
    </w:p>
    <w:p w14:paraId="2C455E58" w14:textId="77777777" w:rsidR="00287E94" w:rsidRPr="00287E94" w:rsidRDefault="00287E94" w:rsidP="00287E94">
      <w:pPr>
        <w:pStyle w:val="Text"/>
        <w:spacing w:after="120" w:line="360" w:lineRule="auto"/>
        <w:ind w:firstLine="0"/>
        <w:rPr>
          <w:rFonts w:ascii="Palatino Linotype" w:hAnsi="Palatino Linotype"/>
          <w:b/>
          <w:szCs w:val="24"/>
          <w:lang w:val="en-GB"/>
        </w:rPr>
      </w:pPr>
    </w:p>
    <w:p w14:paraId="7C412072" w14:textId="77777777" w:rsidR="00287E94" w:rsidRPr="00287E94" w:rsidRDefault="00287E94" w:rsidP="00287E94">
      <w:pPr>
        <w:pStyle w:val="Text"/>
        <w:spacing w:after="120" w:line="360" w:lineRule="auto"/>
        <w:ind w:firstLine="0"/>
        <w:rPr>
          <w:rFonts w:ascii="Palatino Linotype" w:hAnsi="Palatino Linotype"/>
          <w:b/>
          <w:szCs w:val="24"/>
          <w:lang w:val="en-GB"/>
        </w:rPr>
      </w:pPr>
      <w:r w:rsidRPr="00287E94">
        <w:rPr>
          <w:rFonts w:ascii="Palatino Linotype" w:hAnsi="Palatino Linotype"/>
          <w:b/>
          <w:szCs w:val="24"/>
          <w:lang w:val="en-GB"/>
        </w:rPr>
        <w:t>3. Embassies and monks</w:t>
      </w:r>
    </w:p>
    <w:p w14:paraId="6986A461" w14:textId="77777777" w:rsidR="00287E94" w:rsidRPr="00287E94" w:rsidRDefault="00287E94" w:rsidP="00287E94">
      <w:pPr>
        <w:pStyle w:val="Text"/>
        <w:spacing w:after="120" w:line="360" w:lineRule="auto"/>
        <w:ind w:firstLine="0"/>
        <w:rPr>
          <w:rFonts w:ascii="Palatino Linotype" w:hAnsi="Palatino Linotype"/>
          <w:szCs w:val="24"/>
          <w:lang w:val="en-GB"/>
        </w:rPr>
      </w:pPr>
      <w:r w:rsidRPr="00287E94">
        <w:rPr>
          <w:rFonts w:ascii="Palatino Linotype" w:hAnsi="Palatino Linotype"/>
          <w:szCs w:val="24"/>
          <w:lang w:val="en-GB"/>
        </w:rPr>
        <w:t xml:space="preserve">We know from another source, the </w:t>
      </w:r>
      <w:r w:rsidRPr="00287E94">
        <w:rPr>
          <w:rFonts w:ascii="Palatino Linotype" w:hAnsi="Palatino Linotype"/>
          <w:i/>
          <w:szCs w:val="24"/>
          <w:lang w:val="en-GB"/>
        </w:rPr>
        <w:t xml:space="preserve">Xu </w:t>
      </w:r>
      <w:proofErr w:type="spellStart"/>
      <w:r w:rsidRPr="00287E94">
        <w:rPr>
          <w:rFonts w:ascii="Palatino Linotype" w:hAnsi="Palatino Linotype"/>
          <w:i/>
          <w:szCs w:val="24"/>
          <w:lang w:val="en-GB"/>
        </w:rPr>
        <w:t>Gaoseng</w:t>
      </w:r>
      <w:proofErr w:type="spellEnd"/>
      <w:r w:rsidRPr="00287E94">
        <w:rPr>
          <w:rFonts w:ascii="Palatino Linotype" w:hAnsi="Palatino Linotype"/>
          <w:i/>
          <w:szCs w:val="24"/>
          <w:lang w:val="en-GB"/>
        </w:rPr>
        <w:t xml:space="preserve"> </w:t>
      </w:r>
      <w:proofErr w:type="spellStart"/>
      <w:r w:rsidRPr="00287E94">
        <w:rPr>
          <w:rFonts w:ascii="Palatino Linotype" w:hAnsi="Palatino Linotype"/>
          <w:i/>
          <w:szCs w:val="24"/>
          <w:lang w:val="en-GB"/>
        </w:rPr>
        <w:t>zhuan</w:t>
      </w:r>
      <w:proofErr w:type="spellEnd"/>
      <w:r w:rsidRPr="00287E94">
        <w:rPr>
          <w:rFonts w:ascii="Palatino Linotype" w:hAnsi="Palatino Linotype"/>
          <w:i/>
          <w:szCs w:val="24"/>
          <w:lang w:val="en-GB"/>
        </w:rPr>
        <w:t xml:space="preserve"> </w:t>
      </w:r>
      <w:r w:rsidRPr="00287E94">
        <w:rPr>
          <w:rFonts w:ascii="Palatino Linotype" w:hAnsi="Palatino Linotype"/>
          <w:szCs w:val="24"/>
          <w:lang w:val="en-GB"/>
        </w:rPr>
        <w:t xml:space="preserve">(Further Biographies of Eminent Monks) that the emissaries were Buddhist monks under the leadership of </w:t>
      </w:r>
      <w:proofErr w:type="spellStart"/>
      <w:r w:rsidRPr="00287E94">
        <w:rPr>
          <w:rFonts w:ascii="Palatino Linotype" w:hAnsi="Palatino Linotype"/>
          <w:szCs w:val="24"/>
          <w:lang w:val="en-GB"/>
        </w:rPr>
        <w:t>Xuanzang</w:t>
      </w:r>
      <w:proofErr w:type="spellEnd"/>
      <w:r w:rsidRPr="00287E94">
        <w:rPr>
          <w:rFonts w:ascii="Palatino Linotype" w:hAnsi="Palatino Linotype"/>
          <w:szCs w:val="24"/>
          <w:lang w:val="en-GB"/>
        </w:rPr>
        <w:t xml:space="preserve">. The use of monks as emissaries is not unusual in medieval China. Japanese monks played a prominent role in relations between the Japanese court and the Tang court in </w:t>
      </w:r>
      <w:proofErr w:type="spellStart"/>
      <w:r w:rsidRPr="00287E94">
        <w:rPr>
          <w:rFonts w:ascii="Palatino Linotype" w:hAnsi="Palatino Linotype"/>
          <w:szCs w:val="24"/>
          <w:lang w:val="en-GB"/>
        </w:rPr>
        <w:t>Chang’an</w:t>
      </w:r>
      <w:proofErr w:type="spellEnd"/>
      <w:r w:rsidRPr="00287E94">
        <w:rPr>
          <w:rFonts w:ascii="Palatino Linotype" w:hAnsi="Palatino Linotype"/>
          <w:szCs w:val="24"/>
          <w:lang w:val="en-GB"/>
        </w:rPr>
        <w:t>. 19 Japanese embassies were dispatched to the Tang court, the first one 630, the last one 894. Chinese rulers were generally interested in prominent monks – whether Chinese or foreign - arriving from abroad. In addition to new texts and doctrines the monks often brought valuable information concerning military matters, geography, customs and habits of foreign peoples; as the above example suggests they also brought rare objects or technologies how to produce them. In short, monks were crucial for gathering intelligence on foreign states in the broadest sense. It may be principally for this reason that Chinese emperors and local officials kept an especially close eye on the movements of well-known monks. According to Tang law, Chinese and foreigners, except for diplomats on official business, were “not permitted to leave or enter the country’s borders.”</w:t>
      </w:r>
      <w:r w:rsidRPr="00287E94">
        <w:rPr>
          <w:rStyle w:val="FootnoteReference"/>
          <w:rFonts w:ascii="Palatino Linotype" w:hAnsi="Palatino Linotype"/>
          <w:sz w:val="24"/>
          <w:szCs w:val="24"/>
          <w:lang w:val="en-GB"/>
        </w:rPr>
        <w:footnoteReference w:id="6"/>
      </w:r>
      <w:r w:rsidRPr="00287E94">
        <w:rPr>
          <w:rFonts w:ascii="Palatino Linotype" w:hAnsi="Palatino Linotype"/>
          <w:szCs w:val="24"/>
          <w:lang w:val="en-GB"/>
        </w:rPr>
        <w:t xml:space="preserve"> It might have been the experience of </w:t>
      </w:r>
      <w:proofErr w:type="spellStart"/>
      <w:r w:rsidRPr="00287E94">
        <w:rPr>
          <w:rFonts w:ascii="Palatino Linotype" w:hAnsi="Palatino Linotype"/>
          <w:szCs w:val="24"/>
          <w:lang w:val="en-GB"/>
        </w:rPr>
        <w:t>Xuanzang</w:t>
      </w:r>
      <w:proofErr w:type="spellEnd"/>
      <w:r w:rsidRPr="00287E94">
        <w:rPr>
          <w:rFonts w:ascii="Palatino Linotype" w:hAnsi="Palatino Linotype"/>
          <w:szCs w:val="24"/>
          <w:lang w:val="en-GB"/>
        </w:rPr>
        <w:t xml:space="preserve"> (600-664), who in 626 had been denied permission to leave the country, that prompted </w:t>
      </w:r>
      <w:proofErr w:type="spellStart"/>
      <w:r w:rsidRPr="00287E94">
        <w:rPr>
          <w:rFonts w:ascii="Palatino Linotype" w:hAnsi="Palatino Linotype"/>
          <w:szCs w:val="24"/>
          <w:lang w:val="en-GB"/>
        </w:rPr>
        <w:t>Jianzhen</w:t>
      </w:r>
      <w:proofErr w:type="spellEnd"/>
      <w:r w:rsidRPr="00287E94">
        <w:rPr>
          <w:rFonts w:ascii="Palatino Linotype" w:hAnsi="Palatino Linotype"/>
          <w:szCs w:val="24"/>
          <w:lang w:val="en-GB"/>
        </w:rPr>
        <w:t xml:space="preserve"> to conceal his travel plans. To avoid trouble, </w:t>
      </w:r>
      <w:proofErr w:type="spellStart"/>
      <w:r w:rsidRPr="00287E94">
        <w:rPr>
          <w:rFonts w:ascii="Palatino Linotype" w:hAnsi="Palatino Linotype"/>
          <w:szCs w:val="24"/>
          <w:lang w:val="en-GB"/>
        </w:rPr>
        <w:t>Jianzhen</w:t>
      </w:r>
      <w:proofErr w:type="spellEnd"/>
      <w:r w:rsidRPr="00287E94">
        <w:rPr>
          <w:rFonts w:ascii="Palatino Linotype" w:hAnsi="Palatino Linotype"/>
          <w:szCs w:val="24"/>
          <w:lang w:val="en-GB"/>
        </w:rPr>
        <w:t xml:space="preserve"> claimed that he was preparing for a trip t</w:t>
      </w:r>
      <w:bookmarkStart w:id="0" w:name="_GoBack"/>
      <w:bookmarkEnd w:id="0"/>
      <w:r w:rsidRPr="00287E94">
        <w:rPr>
          <w:rFonts w:ascii="Palatino Linotype" w:hAnsi="Palatino Linotype"/>
          <w:szCs w:val="24"/>
          <w:lang w:val="en-GB"/>
        </w:rPr>
        <w:t xml:space="preserve">o the </w:t>
      </w:r>
      <w:proofErr w:type="spellStart"/>
      <w:r w:rsidRPr="00287E94">
        <w:rPr>
          <w:rFonts w:ascii="Palatino Linotype" w:hAnsi="Palatino Linotype"/>
          <w:szCs w:val="24"/>
          <w:lang w:val="en-GB"/>
        </w:rPr>
        <w:t>Guoqing</w:t>
      </w:r>
      <w:proofErr w:type="spellEnd"/>
      <w:r w:rsidRPr="00287E94">
        <w:rPr>
          <w:rFonts w:ascii="Palatino Linotype" w:hAnsi="Palatino Linotype"/>
          <w:szCs w:val="24"/>
          <w:lang w:val="en-GB"/>
        </w:rPr>
        <w:t xml:space="preserve"> Temple at Mt. </w:t>
      </w:r>
      <w:proofErr w:type="spellStart"/>
      <w:r w:rsidRPr="00287E94">
        <w:rPr>
          <w:rFonts w:ascii="Palatino Linotype" w:hAnsi="Palatino Linotype"/>
          <w:szCs w:val="24"/>
          <w:lang w:val="en-GB"/>
        </w:rPr>
        <w:t>Tiantai</w:t>
      </w:r>
      <w:proofErr w:type="spellEnd"/>
      <w:r w:rsidRPr="00287E94">
        <w:rPr>
          <w:rFonts w:ascii="Palatino Linotype" w:hAnsi="Palatino Linotype"/>
          <w:szCs w:val="24"/>
          <w:lang w:val="en-GB"/>
        </w:rPr>
        <w:t xml:space="preserve"> (present Zhejiang Province) to make donations. More than once, however, information about the planned journey was disclosed to officials who tried to dissuade the monk from realising his intentions.</w:t>
      </w:r>
    </w:p>
    <w:p w14:paraId="6D5D1DE3" w14:textId="77777777" w:rsidR="00287E94" w:rsidRPr="00287E94" w:rsidRDefault="00287E94" w:rsidP="00287E94">
      <w:pPr>
        <w:pStyle w:val="Text"/>
        <w:spacing w:after="120" w:line="360" w:lineRule="auto"/>
        <w:ind w:firstLine="0"/>
        <w:rPr>
          <w:rFonts w:ascii="Palatino Linotype" w:hAnsi="Palatino Linotype"/>
          <w:szCs w:val="24"/>
          <w:lang w:val="en-GB"/>
        </w:rPr>
      </w:pPr>
      <w:r w:rsidRPr="00287E94">
        <w:rPr>
          <w:rFonts w:ascii="Palatino Linotype" w:hAnsi="Palatino Linotype"/>
          <w:szCs w:val="24"/>
          <w:lang w:val="en-GB"/>
        </w:rPr>
        <w:lastRenderedPageBreak/>
        <w:t xml:space="preserve">While the commercial character of the embassies and the aim to gather military intelligence is readily visible, some missions were also driven by more personal motives on part of the Chinese emperors. Tang </w:t>
      </w:r>
      <w:proofErr w:type="spellStart"/>
      <w:r w:rsidRPr="00287E94">
        <w:rPr>
          <w:rFonts w:ascii="Palatino Linotype" w:hAnsi="Palatino Linotype"/>
          <w:szCs w:val="24"/>
          <w:lang w:val="en-GB"/>
        </w:rPr>
        <w:t>Taizong</w:t>
      </w:r>
      <w:proofErr w:type="spellEnd"/>
      <w:r w:rsidRPr="00287E94">
        <w:rPr>
          <w:rFonts w:ascii="Palatino Linotype" w:hAnsi="Palatino Linotype"/>
          <w:szCs w:val="24"/>
          <w:lang w:val="en-GB"/>
        </w:rPr>
        <w:t xml:space="preserve"> (r. 626-649) is a good example. </w:t>
      </w:r>
      <w:proofErr w:type="spellStart"/>
      <w:r w:rsidRPr="00287E94">
        <w:rPr>
          <w:rFonts w:ascii="Palatino Linotype" w:hAnsi="Palatino Linotype"/>
          <w:szCs w:val="24"/>
          <w:lang w:val="en-GB"/>
        </w:rPr>
        <w:t>Taizong</w:t>
      </w:r>
      <w:proofErr w:type="spellEnd"/>
      <w:r w:rsidRPr="00287E94">
        <w:rPr>
          <w:rFonts w:ascii="Palatino Linotype" w:hAnsi="Palatino Linotype"/>
          <w:szCs w:val="24"/>
          <w:lang w:val="en-GB"/>
        </w:rPr>
        <w:t xml:space="preserve"> became severely ill toward the end of his reign and it was his failing health which sparked his interest in Buddhism. One major motive behind the embassy the Tang sent to India in 648 was the wish to obtain drugs which would help the emperor recover from his illness. The ambassador dutifully brought a physician to China who is reported to have been an Indian expert in preparing longevity drugs.</w:t>
      </w:r>
    </w:p>
    <w:p w14:paraId="36B9A329" w14:textId="1856DF0F" w:rsidR="00287E94" w:rsidRPr="00287E94" w:rsidRDefault="00287E94" w:rsidP="00287E94">
      <w:pPr>
        <w:spacing w:after="120" w:line="360" w:lineRule="auto"/>
        <w:jc w:val="both"/>
        <w:rPr>
          <w:rFonts w:ascii="Palatino Linotype" w:hAnsi="Palatino Linotype"/>
          <w:szCs w:val="24"/>
          <w:lang w:val="en-GB"/>
        </w:rPr>
      </w:pPr>
      <w:r w:rsidRPr="00287E94">
        <w:rPr>
          <w:rFonts w:ascii="Palatino Linotype" w:hAnsi="Palatino Linotype"/>
          <w:szCs w:val="24"/>
          <w:lang w:val="en-GB"/>
        </w:rPr>
        <w:t>Why, on the other hand, were the Japanese interested in Buddhism? Buddhist sutras had first been brought to Japan in the sixth century (538) and in 607 a Japanese ambassador for the first time acquired a Buddhist scripture in China, a copy of the Lotus sutra. The Yamato ruler’s interest in Buddhism was spurred by their desire to use Buddhism to promote political unification. They identified themselves with the Buddha and portrayed Buddha as occupying a higher plane than the native Japanese deities. When they had achieved political unification, the Japanese rulers advocated Buddhism as a protecting force for the nation and as a source providing ideological support</w:t>
      </w:r>
      <w:r w:rsidRPr="00287E94">
        <w:rPr>
          <w:rFonts w:ascii="Palatino Linotype" w:hAnsi="Palatino Linotype"/>
          <w:szCs w:val="24"/>
          <w:lang w:val="en-GB"/>
        </w:rPr>
        <w:t>.</w:t>
      </w:r>
    </w:p>
    <w:sectPr w:rsidR="00287E94" w:rsidRPr="00287E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74BB9" w14:textId="77777777" w:rsidR="00287E94" w:rsidRDefault="00287E94" w:rsidP="00287E94">
      <w:pPr>
        <w:spacing w:line="240" w:lineRule="auto"/>
      </w:pPr>
      <w:r>
        <w:separator/>
      </w:r>
    </w:p>
  </w:endnote>
  <w:endnote w:type="continuationSeparator" w:id="0">
    <w:p w14:paraId="1CB5C2E4" w14:textId="77777777" w:rsidR="00287E94" w:rsidRDefault="00287E94" w:rsidP="00287E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Batang">
    <w:altName w:val="바탕"/>
    <w:panose1 w:val="02030600000101010101"/>
    <w:charset w:val="81"/>
    <w:family w:val="roman"/>
    <w:pitch w:val="variable"/>
    <w:sig w:usb0="B00002AF" w:usb1="69D77CFB" w:usb2="00000030" w:usb3="00000000" w:csb0="0008009F" w:csb1="00000000"/>
  </w:font>
  <w:font w:name="Palatino Linotype">
    <w:panose1 w:val="02040502050505030304"/>
    <w:charset w:val="00"/>
    <w:family w:val="roman"/>
    <w:pitch w:val="variable"/>
    <w:sig w:usb0="E0000287" w:usb1="40000013" w:usb2="00000000" w:usb3="00000000" w:csb0="0000019F" w:csb1="00000000"/>
  </w:font>
  <w:font w:name="FZKai-Z03">
    <w:altName w:val="Microsoft YaHei"/>
    <w:charset w:val="86"/>
    <w:family w:val="auto"/>
    <w:pitch w:val="variable"/>
    <w:sig w:usb0="800002BF" w:usb1="3BCF7CF8" w:usb2="00000016" w:usb3="00000000" w:csb0="0004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E2424" w14:textId="77777777" w:rsidR="00287E94" w:rsidRDefault="00287E94" w:rsidP="00287E94">
      <w:pPr>
        <w:spacing w:line="240" w:lineRule="auto"/>
      </w:pPr>
      <w:r>
        <w:separator/>
      </w:r>
    </w:p>
  </w:footnote>
  <w:footnote w:type="continuationSeparator" w:id="0">
    <w:p w14:paraId="593FD5EF" w14:textId="77777777" w:rsidR="00287E94" w:rsidRDefault="00287E94" w:rsidP="00287E94">
      <w:pPr>
        <w:spacing w:line="240" w:lineRule="auto"/>
      </w:pPr>
      <w:r>
        <w:continuationSeparator/>
      </w:r>
    </w:p>
  </w:footnote>
  <w:footnote w:id="1">
    <w:p w14:paraId="34A292F1" w14:textId="77777777" w:rsidR="00287E94" w:rsidRDefault="00287E94" w:rsidP="00287E94">
      <w:pPr>
        <w:pStyle w:val="FootnoteText"/>
        <w:rPr>
          <w:lang w:val="en-US"/>
        </w:rPr>
      </w:pPr>
      <w:r>
        <w:rPr>
          <w:rStyle w:val="FootnoteReference"/>
        </w:rPr>
        <w:footnoteRef/>
      </w:r>
      <w:r>
        <w:rPr>
          <w:lang w:val="en-US"/>
        </w:rPr>
        <w:t xml:space="preserve"> Holcombe, </w:t>
      </w:r>
      <w:r>
        <w:rPr>
          <w:i/>
          <w:lang w:val="en-US"/>
        </w:rPr>
        <w:t xml:space="preserve">Genesis of </w:t>
      </w:r>
      <w:smartTag w:uri="urn:schemas-microsoft-com:office:smarttags" w:element="place">
        <w:r>
          <w:rPr>
            <w:i/>
            <w:lang w:val="en-US"/>
          </w:rPr>
          <w:t>East Asia</w:t>
        </w:r>
      </w:smartTag>
      <w:r>
        <w:rPr>
          <w:lang w:val="en-US"/>
        </w:rPr>
        <w:t>, 93.</w:t>
      </w:r>
    </w:p>
  </w:footnote>
  <w:footnote w:id="2">
    <w:p w14:paraId="5BEBF806" w14:textId="77777777" w:rsidR="00287E94" w:rsidRDefault="00287E94" w:rsidP="00287E94">
      <w:pPr>
        <w:pStyle w:val="FootnoteText"/>
        <w:rPr>
          <w:lang w:val="en-US"/>
        </w:rPr>
      </w:pPr>
      <w:r>
        <w:rPr>
          <w:rStyle w:val="FootnoteReference"/>
        </w:rPr>
        <w:footnoteRef/>
      </w:r>
      <w:r>
        <w:rPr>
          <w:lang w:val="en-US"/>
        </w:rPr>
        <w:t xml:space="preserve"> </w:t>
      </w:r>
      <w:proofErr w:type="spellStart"/>
      <w:r>
        <w:rPr>
          <w:lang w:val="en-US"/>
        </w:rPr>
        <w:t>Waley</w:t>
      </w:r>
      <w:proofErr w:type="spellEnd"/>
      <w:r>
        <w:rPr>
          <w:lang w:val="en-US"/>
        </w:rPr>
        <w:t xml:space="preserve">-Cohen, </w:t>
      </w:r>
      <w:r>
        <w:rPr>
          <w:i/>
          <w:lang w:val="en-US"/>
        </w:rPr>
        <w:t xml:space="preserve">Sextants of </w:t>
      </w:r>
      <w:smartTag w:uri="urn:schemas-microsoft-com:office:smarttags" w:element="place">
        <w:smartTag w:uri="urn:schemas-microsoft-com:office:smarttags" w:element="City">
          <w:r>
            <w:rPr>
              <w:i/>
              <w:lang w:val="en-US"/>
            </w:rPr>
            <w:t>Beijing</w:t>
          </w:r>
        </w:smartTag>
      </w:smartTag>
      <w:r>
        <w:rPr>
          <w:lang w:val="en-US"/>
        </w:rPr>
        <w:t>, 31.</w:t>
      </w:r>
    </w:p>
  </w:footnote>
  <w:footnote w:id="3">
    <w:p w14:paraId="0696DB2B" w14:textId="77777777" w:rsidR="00287E94" w:rsidRDefault="00287E94" w:rsidP="00287E94">
      <w:pPr>
        <w:pStyle w:val="FootnoteText"/>
        <w:rPr>
          <w:lang w:val="en-GB"/>
        </w:rPr>
      </w:pPr>
      <w:r>
        <w:rPr>
          <w:rStyle w:val="FootnoteReference"/>
        </w:rPr>
        <w:footnoteRef/>
      </w:r>
      <w:r>
        <w:rPr>
          <w:lang w:val="en-GB"/>
        </w:rPr>
        <w:t xml:space="preserve"> Inoue, </w:t>
      </w:r>
      <w:r>
        <w:rPr>
          <w:i/>
          <w:lang w:val="en-GB"/>
        </w:rPr>
        <w:t xml:space="preserve">The Roof Tile of </w:t>
      </w:r>
      <w:proofErr w:type="spellStart"/>
      <w:r>
        <w:rPr>
          <w:i/>
          <w:lang w:val="en-GB"/>
        </w:rPr>
        <w:t>Tempyō</w:t>
      </w:r>
      <w:proofErr w:type="spellEnd"/>
      <w:r>
        <w:rPr>
          <w:lang w:val="en-GB"/>
        </w:rPr>
        <w:t>, 58-59.</w:t>
      </w:r>
    </w:p>
  </w:footnote>
  <w:footnote w:id="4">
    <w:p w14:paraId="6462C40E" w14:textId="77777777" w:rsidR="00287E94" w:rsidRDefault="00287E94" w:rsidP="00287E94">
      <w:pPr>
        <w:pStyle w:val="FootnoteText"/>
        <w:rPr>
          <w:lang w:val="en-GB"/>
        </w:rPr>
      </w:pPr>
      <w:r>
        <w:rPr>
          <w:rStyle w:val="FootnoteReference"/>
        </w:rPr>
        <w:footnoteRef/>
      </w:r>
      <w:r>
        <w:rPr>
          <w:lang w:val="en-GB"/>
        </w:rPr>
        <w:t xml:space="preserve"> </w:t>
      </w:r>
      <w:proofErr w:type="spellStart"/>
      <w:r>
        <w:rPr>
          <w:lang w:val="en-GB"/>
        </w:rPr>
        <w:t>Kieschnick</w:t>
      </w:r>
      <w:proofErr w:type="spellEnd"/>
      <w:r>
        <w:rPr>
          <w:lang w:val="en-GB"/>
        </w:rPr>
        <w:t xml:space="preserve">, </w:t>
      </w:r>
      <w:r>
        <w:rPr>
          <w:i/>
          <w:lang w:val="en-GB"/>
        </w:rPr>
        <w:t>Impact</w:t>
      </w:r>
      <w:r>
        <w:rPr>
          <w:lang w:val="en-GB"/>
        </w:rPr>
        <w:t>, 257.</w:t>
      </w:r>
    </w:p>
  </w:footnote>
  <w:footnote w:id="5">
    <w:p w14:paraId="3C083935" w14:textId="77777777" w:rsidR="00287E94" w:rsidRPr="00A35AA8" w:rsidRDefault="00287E94" w:rsidP="00287E94">
      <w:pPr>
        <w:pStyle w:val="FootnoteText"/>
        <w:rPr>
          <w:lang w:val="en-US"/>
        </w:rPr>
      </w:pPr>
      <w:r>
        <w:rPr>
          <w:rStyle w:val="FootnoteReference"/>
        </w:rPr>
        <w:footnoteRef/>
      </w:r>
      <w:r w:rsidRPr="00A35AA8">
        <w:rPr>
          <w:lang w:val="en-US"/>
        </w:rPr>
        <w:t xml:space="preserve"> </w:t>
      </w:r>
      <w:r>
        <w:rPr>
          <w:lang w:val="en-US"/>
        </w:rPr>
        <w:t xml:space="preserve">Liu, </w:t>
      </w:r>
      <w:r>
        <w:rPr>
          <w:i/>
          <w:lang w:val="en-US"/>
        </w:rPr>
        <w:t xml:space="preserve">Ancient </w:t>
      </w:r>
      <w:smartTag w:uri="urn:schemas-microsoft-com:office:smarttags" w:element="country-region">
        <w:r>
          <w:rPr>
            <w:i/>
            <w:lang w:val="en-US"/>
          </w:rPr>
          <w:t>India</w:t>
        </w:r>
      </w:smartTag>
      <w:r>
        <w:rPr>
          <w:i/>
          <w:lang w:val="en-US"/>
        </w:rPr>
        <w:t xml:space="preserve"> and </w:t>
      </w:r>
      <w:smartTag w:uri="urn:schemas-microsoft-com:office:smarttags" w:element="place">
        <w:smartTag w:uri="urn:schemas-microsoft-com:office:smarttags" w:element="country-region">
          <w:r>
            <w:rPr>
              <w:i/>
              <w:lang w:val="en-US"/>
            </w:rPr>
            <w:t>China</w:t>
          </w:r>
        </w:smartTag>
      </w:smartTag>
      <w:r>
        <w:rPr>
          <w:lang w:val="en-US"/>
        </w:rPr>
        <w:t>, pp. 120-123.</w:t>
      </w:r>
    </w:p>
  </w:footnote>
  <w:footnote w:id="6">
    <w:p w14:paraId="22878437" w14:textId="77777777" w:rsidR="00287E94" w:rsidRDefault="00287E94" w:rsidP="00287E94">
      <w:pPr>
        <w:pStyle w:val="FootnoteText"/>
        <w:rPr>
          <w:lang w:val="en-GB"/>
        </w:rPr>
      </w:pPr>
      <w:r>
        <w:rPr>
          <w:rStyle w:val="FootnoteReference"/>
        </w:rPr>
        <w:footnoteRef/>
      </w:r>
      <w:r>
        <w:rPr>
          <w:lang w:val="en-GB"/>
        </w:rPr>
        <w:t xml:space="preserve"> Wang </w:t>
      </w:r>
      <w:proofErr w:type="spellStart"/>
      <w:r>
        <w:rPr>
          <w:lang w:val="en-GB"/>
        </w:rPr>
        <w:t>Zhenping</w:t>
      </w:r>
      <w:proofErr w:type="spellEnd"/>
      <w:r>
        <w:rPr>
          <w:lang w:val="en-GB"/>
        </w:rPr>
        <w:t xml:space="preserve">, </w:t>
      </w:r>
      <w:r>
        <w:rPr>
          <w:i/>
          <w:lang w:val="en-GB"/>
        </w:rPr>
        <w:t xml:space="preserve">Ambassadors from the </w:t>
      </w:r>
      <w:smartTag w:uri="urn:schemas-microsoft-com:office:smarttags" w:element="place">
        <w:r>
          <w:rPr>
            <w:i/>
            <w:lang w:val="en-GB"/>
          </w:rPr>
          <w:t>Islands</w:t>
        </w:r>
      </w:smartTag>
      <w:r>
        <w:rPr>
          <w:i/>
          <w:lang w:val="en-GB"/>
        </w:rPr>
        <w:t xml:space="preserve"> of Immortals</w:t>
      </w:r>
      <w:r>
        <w:rPr>
          <w:lang w:val="en-GB"/>
        </w:rPr>
        <w:t>, 210.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A016FF"/>
    <w:multiLevelType w:val="hybridMultilevel"/>
    <w:tmpl w:val="E280CA2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E94"/>
    <w:rsid w:val="0000737A"/>
    <w:rsid w:val="00034493"/>
    <w:rsid w:val="00035519"/>
    <w:rsid w:val="00046170"/>
    <w:rsid w:val="00067EE0"/>
    <w:rsid w:val="00071D87"/>
    <w:rsid w:val="00075880"/>
    <w:rsid w:val="00091931"/>
    <w:rsid w:val="000C2B1E"/>
    <w:rsid w:val="000C6BC8"/>
    <w:rsid w:val="000D0087"/>
    <w:rsid w:val="000D1998"/>
    <w:rsid w:val="000D4ECB"/>
    <w:rsid w:val="000E5F1D"/>
    <w:rsid w:val="000F24E5"/>
    <w:rsid w:val="000F301E"/>
    <w:rsid w:val="00101ACD"/>
    <w:rsid w:val="00126C76"/>
    <w:rsid w:val="00146D59"/>
    <w:rsid w:val="00171147"/>
    <w:rsid w:val="00190FBD"/>
    <w:rsid w:val="001C2684"/>
    <w:rsid w:val="001C5EB4"/>
    <w:rsid w:val="001D5B21"/>
    <w:rsid w:val="00230C6B"/>
    <w:rsid w:val="00242E46"/>
    <w:rsid w:val="0028070D"/>
    <w:rsid w:val="00287E94"/>
    <w:rsid w:val="002D0CA4"/>
    <w:rsid w:val="002D7865"/>
    <w:rsid w:val="0030249B"/>
    <w:rsid w:val="0030258E"/>
    <w:rsid w:val="00306B44"/>
    <w:rsid w:val="0033269E"/>
    <w:rsid w:val="00334451"/>
    <w:rsid w:val="003811DA"/>
    <w:rsid w:val="00392308"/>
    <w:rsid w:val="003A75D5"/>
    <w:rsid w:val="003B17EC"/>
    <w:rsid w:val="003E55BF"/>
    <w:rsid w:val="003F21A2"/>
    <w:rsid w:val="00421127"/>
    <w:rsid w:val="004213FC"/>
    <w:rsid w:val="004D3430"/>
    <w:rsid w:val="00532982"/>
    <w:rsid w:val="00565BDB"/>
    <w:rsid w:val="0058102E"/>
    <w:rsid w:val="005A4105"/>
    <w:rsid w:val="005A6ED7"/>
    <w:rsid w:val="005B2702"/>
    <w:rsid w:val="005B5D66"/>
    <w:rsid w:val="005E33DF"/>
    <w:rsid w:val="005E6946"/>
    <w:rsid w:val="00665704"/>
    <w:rsid w:val="00692042"/>
    <w:rsid w:val="0069604A"/>
    <w:rsid w:val="00696738"/>
    <w:rsid w:val="006B0DFB"/>
    <w:rsid w:val="006D1051"/>
    <w:rsid w:val="006D5468"/>
    <w:rsid w:val="006D7F26"/>
    <w:rsid w:val="006E26C8"/>
    <w:rsid w:val="007149BE"/>
    <w:rsid w:val="007534B5"/>
    <w:rsid w:val="00794E7D"/>
    <w:rsid w:val="007C230F"/>
    <w:rsid w:val="007C6470"/>
    <w:rsid w:val="007D7203"/>
    <w:rsid w:val="007E1CA9"/>
    <w:rsid w:val="00811C58"/>
    <w:rsid w:val="00824065"/>
    <w:rsid w:val="008643DD"/>
    <w:rsid w:val="008D3B1E"/>
    <w:rsid w:val="008F053C"/>
    <w:rsid w:val="009065B4"/>
    <w:rsid w:val="0099046E"/>
    <w:rsid w:val="009C4646"/>
    <w:rsid w:val="009D58E9"/>
    <w:rsid w:val="009F7AAB"/>
    <w:rsid w:val="00A23E10"/>
    <w:rsid w:val="00A529B8"/>
    <w:rsid w:val="00A62D5E"/>
    <w:rsid w:val="00A67B9E"/>
    <w:rsid w:val="00AA3713"/>
    <w:rsid w:val="00AB068C"/>
    <w:rsid w:val="00AC47A2"/>
    <w:rsid w:val="00AD217D"/>
    <w:rsid w:val="00B010CF"/>
    <w:rsid w:val="00B1251A"/>
    <w:rsid w:val="00B17879"/>
    <w:rsid w:val="00B360B4"/>
    <w:rsid w:val="00B43F84"/>
    <w:rsid w:val="00B60475"/>
    <w:rsid w:val="00B91114"/>
    <w:rsid w:val="00BB0CD1"/>
    <w:rsid w:val="00BC73FF"/>
    <w:rsid w:val="00BE561B"/>
    <w:rsid w:val="00C13907"/>
    <w:rsid w:val="00C2388B"/>
    <w:rsid w:val="00C54E0D"/>
    <w:rsid w:val="00C747CA"/>
    <w:rsid w:val="00CC562E"/>
    <w:rsid w:val="00CD3D61"/>
    <w:rsid w:val="00CE1A1B"/>
    <w:rsid w:val="00D27ABF"/>
    <w:rsid w:val="00D34942"/>
    <w:rsid w:val="00D52A27"/>
    <w:rsid w:val="00DC002B"/>
    <w:rsid w:val="00DE3389"/>
    <w:rsid w:val="00DE667F"/>
    <w:rsid w:val="00E12DA9"/>
    <w:rsid w:val="00E24A97"/>
    <w:rsid w:val="00E7292E"/>
    <w:rsid w:val="00E90D35"/>
    <w:rsid w:val="00E934C3"/>
    <w:rsid w:val="00EB7FE6"/>
    <w:rsid w:val="00EC04F2"/>
    <w:rsid w:val="00EC5BAF"/>
    <w:rsid w:val="00F20892"/>
    <w:rsid w:val="00F434A1"/>
    <w:rsid w:val="00FC2F80"/>
    <w:rsid w:val="00FC7C06"/>
    <w:rsid w:val="00FF27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1026"/>
    <o:shapelayout v:ext="edit">
      <o:idmap v:ext="edit" data="1"/>
    </o:shapelayout>
  </w:shapeDefaults>
  <w:decimalSymbol w:val="."/>
  <w:listSeparator w:val=","/>
  <w14:docId w14:val="3ADF5BCE"/>
  <w15:chartTrackingRefBased/>
  <w15:docId w15:val="{7DD6EF2A-2126-4427-AF8D-EACA3C255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87E94"/>
    <w:pPr>
      <w:overflowPunct w:val="0"/>
      <w:autoSpaceDE w:val="0"/>
      <w:autoSpaceDN w:val="0"/>
      <w:adjustRightInd w:val="0"/>
      <w:spacing w:after="0" w:line="288" w:lineRule="auto"/>
      <w:textAlignment w:val="baseline"/>
    </w:pPr>
    <w:rPr>
      <w:rFonts w:ascii="Times New Roman" w:eastAsia="SimSun" w:hAnsi="Times New Roman" w:cs="Times New Roman"/>
      <w:sz w:val="24"/>
      <w:szCs w:val="20"/>
      <w:lang w:val="de-DE" w:eastAsia="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Zitat">
    <w:name w:val="Zitat"/>
    <w:basedOn w:val="Text"/>
    <w:next w:val="Text"/>
    <w:rsid w:val="00287E94"/>
    <w:pPr>
      <w:spacing w:before="240" w:after="240"/>
      <w:ind w:left="567" w:firstLine="0"/>
    </w:pPr>
  </w:style>
  <w:style w:type="paragraph" w:customStyle="1" w:styleId="Text">
    <w:name w:val="Text"/>
    <w:basedOn w:val="Normal"/>
    <w:rsid w:val="00287E94"/>
    <w:pPr>
      <w:ind w:firstLine="567"/>
      <w:jc w:val="both"/>
    </w:pPr>
  </w:style>
  <w:style w:type="paragraph" w:styleId="FootnoteText">
    <w:name w:val="footnote text"/>
    <w:basedOn w:val="Normal"/>
    <w:link w:val="FootnoteTextChar"/>
    <w:semiHidden/>
    <w:rsid w:val="00287E94"/>
    <w:pPr>
      <w:tabs>
        <w:tab w:val="left" w:pos="454"/>
      </w:tabs>
      <w:spacing w:after="80"/>
      <w:ind w:left="454" w:hanging="454"/>
      <w:jc w:val="both"/>
    </w:pPr>
    <w:rPr>
      <w:sz w:val="20"/>
    </w:rPr>
  </w:style>
  <w:style w:type="character" w:customStyle="1" w:styleId="FootnoteTextChar">
    <w:name w:val="Footnote Text Char"/>
    <w:basedOn w:val="DefaultParagraphFont"/>
    <w:link w:val="FootnoteText"/>
    <w:semiHidden/>
    <w:rsid w:val="00287E94"/>
    <w:rPr>
      <w:rFonts w:ascii="Times New Roman" w:eastAsia="SimSun" w:hAnsi="Times New Roman" w:cs="Times New Roman"/>
      <w:sz w:val="20"/>
      <w:szCs w:val="20"/>
      <w:lang w:val="de-DE" w:eastAsia="de-DE"/>
    </w:rPr>
  </w:style>
  <w:style w:type="character" w:styleId="FootnoteReference">
    <w:name w:val="footnote reference"/>
    <w:basedOn w:val="DefaultParagraphFont"/>
    <w:semiHidden/>
    <w:rsid w:val="00287E94"/>
    <w:rPr>
      <w:rFonts w:ascii="Times New Roman" w:hAnsi="Times New Roman"/>
      <w:sz w:val="20"/>
      <w:vertAlign w:val="superscript"/>
    </w:rPr>
  </w:style>
  <w:style w:type="paragraph" w:styleId="BodyText">
    <w:name w:val="Body Text"/>
    <w:basedOn w:val="Normal"/>
    <w:link w:val="BodyTextChar"/>
    <w:rsid w:val="00287E94"/>
    <w:pPr>
      <w:suppressAutoHyphens/>
      <w:overflowPunct/>
      <w:autoSpaceDE/>
      <w:autoSpaceDN/>
      <w:adjustRightInd/>
      <w:spacing w:line="240" w:lineRule="auto"/>
      <w:textAlignment w:val="auto"/>
    </w:pPr>
    <w:rPr>
      <w:rFonts w:eastAsia="Batang"/>
      <w:b/>
      <w:bCs/>
      <w:szCs w:val="24"/>
      <w:lang w:val="en-GB" w:eastAsia="ar-SA"/>
    </w:rPr>
  </w:style>
  <w:style w:type="character" w:customStyle="1" w:styleId="BodyTextChar">
    <w:name w:val="Body Text Char"/>
    <w:basedOn w:val="DefaultParagraphFont"/>
    <w:link w:val="BodyText"/>
    <w:rsid w:val="00287E94"/>
    <w:rPr>
      <w:rFonts w:ascii="Times New Roman" w:eastAsia="Batang" w:hAnsi="Times New Roman" w:cs="Times New Roman"/>
      <w:b/>
      <w:bCs/>
      <w:sz w:val="24"/>
      <w:szCs w:val="24"/>
      <w:lang w:eastAsia="ar-SA"/>
    </w:rPr>
  </w:style>
  <w:style w:type="character" w:styleId="Hyperlink">
    <w:name w:val="Hyperlink"/>
    <w:basedOn w:val="DefaultParagraphFont"/>
    <w:rsid w:val="00287E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11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8" ma:contentTypeDescription="Create a new document." ma:contentTypeScope="" ma:versionID="0c46ae59ddbb3a55852b2bb5960dcb0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2370013f94ca6e0a6a6283afb0a9eb5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element name="LastSharedByUser" ma:index="24" nillable="true" ma:displayName="Last Shared By User" ma:description="" ma:internalName="LastSharedByUser" ma:readOnly="true">
      <xsd:simpleType>
        <xsd:restriction base="dms:Note">
          <xsd:maxLength value="255"/>
        </xsd:restriction>
      </xsd:simpleType>
    </xsd:element>
    <xsd:element name="LastSharedByTime" ma:index="25"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description="" ma:hidden="true" ma:internalName="MediaServiceDateTaken" ma:readOnly="true">
      <xsd:simpleType>
        <xsd:restriction base="dms:Text"/>
      </xsd:simpleType>
    </xsd:element>
    <xsd:element name="MediaServiceAutoTags" ma:index="29" nillable="true" ma:displayName="MediaServiceAutoTags" ma:description="" ma:internalName="MediaServiceAutoTags" ma:readOnly="true">
      <xsd:simpleType>
        <xsd:restriction base="dms:Text"/>
      </xsd:simpleType>
    </xsd:element>
    <xsd:element name="MediaServiceLocation" ma:index="30" nillable="true" ma:displayName="MediaServiceLocation" ma:descrip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GenerationTime" ma:index="33" nillable="true" ma:displayName="MediaServiceGenerationTime" ma:hidden="true" ma:internalName="MediaServiceGenerationTime" ma:readOnly="true">
      <xsd:simpleType>
        <xsd:restriction base="dms:Text"/>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CultureName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AppVersion xmlns="696490a5-0429-499a-a254-a60426c02ef0" xsi:nil="true"/>
    <Self_Registration_Enabled xmlns="696490a5-0429-499a-a254-a60426c02ef0" xsi:nil="true"/>
    <Invited_Students xmlns="696490a5-0429-499a-a254-a60426c02ef0" xsi:nil="true"/>
  </documentManagement>
</p:properties>
</file>

<file path=customXml/itemProps1.xml><?xml version="1.0" encoding="utf-8"?>
<ds:datastoreItem xmlns:ds="http://schemas.openxmlformats.org/officeDocument/2006/customXml" ds:itemID="{84818AC5-B159-4F8E-A68B-59EDC86705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4E035F-1A1B-4353-A294-72F8922F02F1}">
  <ds:schemaRefs>
    <ds:schemaRef ds:uri="http://schemas.microsoft.com/sharepoint/v3/contenttype/forms"/>
  </ds:schemaRefs>
</ds:datastoreItem>
</file>

<file path=customXml/itemProps3.xml><?xml version="1.0" encoding="utf-8"?>
<ds:datastoreItem xmlns:ds="http://schemas.openxmlformats.org/officeDocument/2006/customXml" ds:itemID="{15672FBC-0DA4-47B3-9A80-3427143F6C34}">
  <ds:schemaRefs>
    <ds:schemaRef ds:uri="d2d6d51c-be45-489c-bfaa-c0c3d4c0c982"/>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1943</Words>
  <Characters>11078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1</cp:revision>
  <dcterms:created xsi:type="dcterms:W3CDTF">2020-12-03T00:04:00Z</dcterms:created>
  <dcterms:modified xsi:type="dcterms:W3CDTF">2020-12-03T00:07:00Z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