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4E2F0452" w14:textId="77777777" w:rsidR="00A455C0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095822DD" w14:textId="21695C4B" w:rsidR="004A02F4" w:rsidRDefault="00A455C0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Times New Roman" w:hAnsi="Times New Roman" w:cs="Times New Roman"/>
          <w:sz w:val="24"/>
          <w:szCs w:val="24"/>
        </w:rPr>
        <w:t>C.) (Smith, 2022)</w:t>
      </w:r>
      <w:r w:rsidR="004A02F4"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A257A10" w14:textId="1DF68FF0" w:rsidR="008F028E" w:rsidRPr="008F028E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Times New Roman" w:hAnsi="Times New Roman" w:cs="Times New Roman"/>
          <w:color w:val="404040" w:themeColor="text1" w:themeTint="BF"/>
          <w:sz w:val="24"/>
          <w:szCs w:val="24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281ED8">
        <w:rPr>
          <w:rFonts w:ascii="Times New Roman" w:hAnsi="Times New Roman" w:cs="Times New Roman"/>
          <w:color w:val="404040" w:themeColor="text1" w:themeTint="BF"/>
          <w:sz w:val="24"/>
          <w:szCs w:val="24"/>
        </w:rPr>
        <w:t>B.) (Smith, 2022, p.15)</w:t>
      </w:r>
    </w:p>
    <w:p w14:paraId="700DC044" w14:textId="40438A82" w:rsidR="001F746A" w:rsidRPr="007E7971" w:rsidRDefault="001F746A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>
        <w:lastRenderedPageBreak/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34A1225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674475">
        <w:rPr>
          <w:rFonts w:ascii="Times New Roman" w:hAnsi="Times New Roman" w:cs="Times New Roman"/>
          <w:sz w:val="24"/>
          <w:szCs w:val="24"/>
        </w:rPr>
        <w:t>A.) (Smith and Jones, 2021)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7C987E1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A62FF0">
        <w:rPr>
          <w:rFonts w:ascii="Times New Roman" w:hAnsi="Times New Roman" w:cs="Times New Roman"/>
          <w:sz w:val="24"/>
          <w:szCs w:val="24"/>
        </w:rPr>
        <w:t>Smith, J. (2022)</w:t>
      </w:r>
      <w:r w:rsidR="00BA778D">
        <w:rPr>
          <w:rFonts w:ascii="Times New Roman" w:hAnsi="Times New Roman" w:cs="Times New Roman"/>
          <w:sz w:val="24"/>
          <w:szCs w:val="24"/>
        </w:rPr>
        <w:t xml:space="preserve"> </w:t>
      </w:r>
      <w:r w:rsidR="00BA778D">
        <w:rPr>
          <w:rFonts w:ascii="Times New Roman" w:hAnsi="Times New Roman" w:cs="Times New Roman"/>
          <w:i/>
          <w:iCs/>
          <w:sz w:val="24"/>
          <w:szCs w:val="24"/>
        </w:rPr>
        <w:t xml:space="preserve">Understanding Care. </w:t>
      </w:r>
      <w:r w:rsidR="001B4366">
        <w:rPr>
          <w:rFonts w:ascii="Times New Roman" w:hAnsi="Times New Roman" w:cs="Times New Roman"/>
          <w:sz w:val="24"/>
          <w:szCs w:val="24"/>
        </w:rPr>
        <w:t>London: S</w:t>
      </w:r>
      <w:r w:rsidR="00C64D36">
        <w:rPr>
          <w:rFonts w:ascii="Times New Roman" w:hAnsi="Times New Roman" w:cs="Times New Roman"/>
          <w:sz w:val="24"/>
          <w:szCs w:val="24"/>
        </w:rPr>
        <w:t>age.</w:t>
      </w:r>
      <w:r w:rsidR="00BA778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6EF1B43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707E0">
        <w:rPr>
          <w:rFonts w:ascii="Times New Roman" w:hAnsi="Times New Roman" w:cs="Times New Roman"/>
          <w:sz w:val="24"/>
          <w:szCs w:val="24"/>
        </w:rPr>
        <w:t xml:space="preserve">Social care Institute </w:t>
      </w:r>
      <w:r w:rsidR="00897971">
        <w:rPr>
          <w:rFonts w:ascii="Times New Roman" w:hAnsi="Times New Roman" w:cs="Times New Roman"/>
          <w:sz w:val="24"/>
          <w:szCs w:val="24"/>
        </w:rPr>
        <w:t xml:space="preserve">for Excellence (2024) </w:t>
      </w:r>
      <w:r w:rsidR="00F810AF">
        <w:rPr>
          <w:rFonts w:ascii="Times New Roman" w:hAnsi="Times New Roman" w:cs="Times New Roman"/>
          <w:i/>
          <w:iCs/>
          <w:sz w:val="24"/>
          <w:szCs w:val="24"/>
        </w:rPr>
        <w:t xml:space="preserve">Safeguarding adults sharing information. </w:t>
      </w:r>
      <w:r w:rsidR="00F810A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="001E1522" w:rsidRPr="00CC5A1D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  <w:r w:rsidR="001E1522" w:rsidRPr="00CC5A1D">
          <w:rPr>
            <w:rStyle w:val="Hyperlink"/>
            <w:rFonts w:ascii="Cambria" w:hAnsi="Cambria"/>
            <w:sz w:val="24"/>
            <w:szCs w:val="24"/>
          </w:rPr>
          <w:t>www.scie.org.uk/safeguarding/adults/practice/sharing-information</w:t>
        </w:r>
      </w:hyperlink>
      <w:r w:rsidR="001E1522">
        <w:rPr>
          <w:rFonts w:ascii="Cambria" w:hAnsi="Cambria"/>
          <w:sz w:val="24"/>
          <w:szCs w:val="24"/>
        </w:rPr>
        <w:t xml:space="preserve"> </w:t>
      </w:r>
      <w:r w:rsidR="00316A9B">
        <w:rPr>
          <w:rFonts w:ascii="Times New Roman" w:hAnsi="Times New Roman" w:cs="Times New Roman"/>
          <w:sz w:val="24"/>
          <w:szCs w:val="24"/>
        </w:rPr>
        <w:t>(Accessed: 10 October 2025)</w:t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499AAFB6" w:rsidR="008E070C" w:rsidRPr="007A48A0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Times New Roman" w:hAnsi="Times New Roman" w:cs="Times New Roman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7A48A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A48A0">
        <w:rPr>
          <w:rFonts w:ascii="Times New Roman" w:hAnsi="Times New Roman" w:cs="Times New Roman"/>
          <w:color w:val="404040"/>
          <w:sz w:val="24"/>
          <w:szCs w:val="24"/>
        </w:rPr>
        <w:t>Book.</w:t>
      </w:r>
    </w:p>
    <w:p w14:paraId="361BB3D4" w14:textId="36C70C69" w:rsidR="008E070C" w:rsidRPr="00340B10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Times New Roman" w:hAnsi="Times New Roman" w:cs="Times New Roman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340B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340B10">
        <w:rPr>
          <w:rFonts w:ascii="Times New Roman" w:hAnsi="Times New Roman" w:cs="Times New Roman"/>
          <w:color w:val="404040"/>
          <w:sz w:val="24"/>
          <w:szCs w:val="24"/>
        </w:rPr>
        <w:t>Connelly and Forsyth (2012)</w:t>
      </w:r>
    </w:p>
    <w:p w14:paraId="5FCE8BA1" w14:textId="3DBBCFB3" w:rsidR="008E070C" w:rsidRPr="00340B10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Times New Roman" w:hAnsi="Times New Roman" w:cs="Times New Roman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340B10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340B10">
        <w:rPr>
          <w:rFonts w:ascii="Times New Roman" w:hAnsi="Times New Roman" w:cs="Times New Roman"/>
          <w:color w:val="404040"/>
          <w:sz w:val="24"/>
          <w:szCs w:val="24"/>
        </w:rPr>
        <w:t>(Connelly and Forsyth, 2012)</w:t>
      </w:r>
    </w:p>
    <w:p w14:paraId="60A7AF17" w14:textId="3D924283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6A18C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6A18C4">
        <w:rPr>
          <w:rFonts w:ascii="Times New Roman" w:hAnsi="Times New Roman" w:cs="Times New Roman"/>
          <w:color w:val="404040"/>
          <w:sz w:val="24"/>
          <w:szCs w:val="24"/>
        </w:rPr>
        <w:t>Connelly, J. and Forsyth</w:t>
      </w:r>
      <w:r w:rsidR="00C32797">
        <w:rPr>
          <w:rFonts w:ascii="Times New Roman" w:hAnsi="Times New Roman" w:cs="Times New Roman"/>
          <w:color w:val="404040"/>
          <w:sz w:val="24"/>
          <w:szCs w:val="24"/>
        </w:rPr>
        <w:t xml:space="preserve">, P. (2012) </w:t>
      </w:r>
      <w:r w:rsidR="00C32797">
        <w:rPr>
          <w:rFonts w:ascii="Times New Roman" w:hAnsi="Times New Roman" w:cs="Times New Roman"/>
          <w:i/>
          <w:iCs/>
          <w:color w:val="404040"/>
          <w:sz w:val="24"/>
          <w:szCs w:val="24"/>
        </w:rPr>
        <w:t xml:space="preserve">Essay </w:t>
      </w:r>
      <w:r w:rsidR="007E4571">
        <w:rPr>
          <w:rFonts w:ascii="Times New Roman" w:hAnsi="Times New Roman" w:cs="Times New Roman"/>
          <w:i/>
          <w:iCs/>
          <w:color w:val="404040"/>
          <w:sz w:val="24"/>
          <w:szCs w:val="24"/>
        </w:rPr>
        <w:t>W</w:t>
      </w:r>
      <w:r w:rsidR="00C32797">
        <w:rPr>
          <w:rFonts w:ascii="Times New Roman" w:hAnsi="Times New Roman" w:cs="Times New Roman"/>
          <w:i/>
          <w:iCs/>
          <w:color w:val="404040"/>
          <w:sz w:val="24"/>
          <w:szCs w:val="24"/>
        </w:rPr>
        <w:t xml:space="preserve">riting </w:t>
      </w:r>
      <w:r w:rsidR="007E4571">
        <w:rPr>
          <w:rFonts w:ascii="Times New Roman" w:hAnsi="Times New Roman" w:cs="Times New Roman"/>
          <w:i/>
          <w:iCs/>
          <w:color w:val="404040"/>
          <w:sz w:val="24"/>
          <w:szCs w:val="24"/>
        </w:rPr>
        <w:t>S</w:t>
      </w:r>
      <w:r w:rsidR="00C32797">
        <w:rPr>
          <w:rFonts w:ascii="Times New Roman" w:hAnsi="Times New Roman" w:cs="Times New Roman"/>
          <w:i/>
          <w:iCs/>
          <w:color w:val="404040"/>
          <w:sz w:val="24"/>
          <w:szCs w:val="24"/>
        </w:rPr>
        <w:t>kills</w:t>
      </w:r>
      <w:r w:rsidR="007E4571">
        <w:rPr>
          <w:rFonts w:ascii="Times New Roman" w:hAnsi="Times New Roman" w:cs="Times New Roman"/>
          <w:i/>
          <w:iCs/>
          <w:color w:val="404040"/>
          <w:sz w:val="24"/>
          <w:szCs w:val="24"/>
        </w:rPr>
        <w:t xml:space="preserve">: Essential techniques to gain top marks. </w:t>
      </w:r>
      <w:r w:rsidR="00EF025D">
        <w:rPr>
          <w:rFonts w:ascii="Times New Roman" w:hAnsi="Times New Roman" w:cs="Times New Roman"/>
          <w:color w:val="404040"/>
          <w:sz w:val="24"/>
          <w:szCs w:val="24"/>
        </w:rPr>
        <w:t>2</w:t>
      </w:r>
      <w:r w:rsidR="00EF025D" w:rsidRPr="00EF025D">
        <w:rPr>
          <w:rFonts w:ascii="Times New Roman" w:hAnsi="Times New Roman" w:cs="Times New Roman"/>
          <w:color w:val="404040"/>
          <w:sz w:val="24"/>
          <w:szCs w:val="24"/>
          <w:vertAlign w:val="superscript"/>
        </w:rPr>
        <w:t>nd</w:t>
      </w:r>
      <w:r w:rsidR="00EF025D">
        <w:rPr>
          <w:rFonts w:ascii="Times New Roman" w:hAnsi="Times New Roman" w:cs="Times New Roman"/>
          <w:color w:val="404040"/>
          <w:sz w:val="24"/>
          <w:szCs w:val="24"/>
        </w:rPr>
        <w:t xml:space="preserve"> </w:t>
      </w:r>
      <w:proofErr w:type="spellStart"/>
      <w:r w:rsidR="00EF025D">
        <w:rPr>
          <w:rFonts w:ascii="Times New Roman" w:hAnsi="Times New Roman" w:cs="Times New Roman"/>
          <w:color w:val="404040"/>
          <w:sz w:val="24"/>
          <w:szCs w:val="24"/>
        </w:rPr>
        <w:t>edn</w:t>
      </w:r>
      <w:proofErr w:type="spellEnd"/>
      <w:r w:rsidR="00EF025D">
        <w:rPr>
          <w:rFonts w:ascii="Times New Roman" w:hAnsi="Times New Roman" w:cs="Times New Roman"/>
          <w:color w:val="404040"/>
          <w:sz w:val="24"/>
          <w:szCs w:val="24"/>
        </w:rPr>
        <w:t xml:space="preserve">. </w:t>
      </w:r>
      <w:r w:rsidR="0076063A">
        <w:rPr>
          <w:rFonts w:ascii="Times New Roman" w:hAnsi="Times New Roman" w:cs="Times New Roman"/>
          <w:color w:val="404040"/>
          <w:sz w:val="24"/>
          <w:szCs w:val="24"/>
        </w:rPr>
        <w:t xml:space="preserve">India: </w:t>
      </w:r>
      <w:proofErr w:type="spellStart"/>
      <w:r w:rsidR="0076063A">
        <w:rPr>
          <w:rFonts w:ascii="Times New Roman" w:hAnsi="Times New Roman" w:cs="Times New Roman"/>
          <w:color w:val="404040"/>
          <w:sz w:val="24"/>
          <w:szCs w:val="24"/>
        </w:rPr>
        <w:t>Repika</w:t>
      </w:r>
      <w:proofErr w:type="spellEnd"/>
      <w:r w:rsidR="0076063A">
        <w:rPr>
          <w:rFonts w:ascii="Times New Roman" w:hAnsi="Times New Roman" w:cs="Times New Roman"/>
          <w:color w:val="404040"/>
          <w:sz w:val="24"/>
          <w:szCs w:val="24"/>
        </w:rPr>
        <w:t xml:space="preserve"> Press Pvt Ltd.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693B3201" w:rsidR="00F02448" w:rsidRPr="0076063A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Times New Roman" w:hAnsi="Times New Roman" w:cs="Times New Roman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76063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6063A">
        <w:rPr>
          <w:rFonts w:ascii="Times New Roman" w:hAnsi="Times New Roman" w:cs="Times New Roman"/>
          <w:color w:val="404040"/>
          <w:sz w:val="24"/>
          <w:szCs w:val="24"/>
        </w:rPr>
        <w:t>Journal article.</w:t>
      </w:r>
    </w:p>
    <w:p w14:paraId="758B4806" w14:textId="2525EB11" w:rsidR="00F02448" w:rsidRPr="0076063A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Times New Roman" w:hAnsi="Times New Roman" w:cs="Times New Roman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76063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76063A">
        <w:rPr>
          <w:rFonts w:ascii="Times New Roman" w:hAnsi="Times New Roman" w:cs="Times New Roman"/>
          <w:color w:val="404040"/>
          <w:sz w:val="24"/>
          <w:szCs w:val="24"/>
        </w:rPr>
        <w:t>Callinan</w:t>
      </w:r>
      <w:r w:rsidR="006358E7">
        <w:rPr>
          <w:rFonts w:ascii="Times New Roman" w:hAnsi="Times New Roman" w:cs="Times New Roman"/>
          <w:color w:val="404040"/>
          <w:sz w:val="24"/>
          <w:szCs w:val="24"/>
        </w:rPr>
        <w:t>, van der Zee and Wilson (2018)</w:t>
      </w:r>
    </w:p>
    <w:p w14:paraId="7B570756" w14:textId="001C6DDE" w:rsidR="00F02448" w:rsidRPr="00ED1EAB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Times New Roman" w:hAnsi="Times New Roman" w:cs="Times New Roman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ED1EAB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ED1EAB">
        <w:rPr>
          <w:rFonts w:ascii="Times New Roman" w:hAnsi="Times New Roman" w:cs="Times New Roman"/>
          <w:color w:val="404040"/>
          <w:sz w:val="24"/>
          <w:szCs w:val="24"/>
        </w:rPr>
        <w:t>(Callinan, van der Zee and Wilson</w:t>
      </w:r>
      <w:r w:rsidR="00B24BBC">
        <w:rPr>
          <w:rFonts w:ascii="Times New Roman" w:hAnsi="Times New Roman" w:cs="Times New Roman"/>
          <w:color w:val="404040"/>
          <w:sz w:val="24"/>
          <w:szCs w:val="24"/>
        </w:rPr>
        <w:t>, 2018)</w:t>
      </w:r>
    </w:p>
    <w:p w14:paraId="54C16381" w14:textId="77803D11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B24B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24BBC">
        <w:rPr>
          <w:rFonts w:ascii="Times New Roman" w:hAnsi="Times New Roman" w:cs="Times New Roman"/>
          <w:color w:val="404040"/>
          <w:sz w:val="24"/>
          <w:szCs w:val="24"/>
        </w:rPr>
        <w:t>Callinan, C., J.</w:t>
      </w:r>
      <w:r w:rsidR="0020314E">
        <w:rPr>
          <w:rFonts w:ascii="Times New Roman" w:hAnsi="Times New Roman" w:cs="Times New Roman"/>
          <w:color w:val="404040"/>
          <w:sz w:val="24"/>
          <w:szCs w:val="24"/>
        </w:rPr>
        <w:t>, van der Zee, E. and Wilson, G. (2018) ‘</w:t>
      </w:r>
      <w:r w:rsidR="007C5EF7">
        <w:rPr>
          <w:rFonts w:ascii="Times New Roman" w:hAnsi="Times New Roman" w:cs="Times New Roman"/>
          <w:color w:val="404040"/>
          <w:sz w:val="24"/>
          <w:szCs w:val="24"/>
        </w:rPr>
        <w:t xml:space="preserve">Developing essay writing skills: an evaluation of the modelling </w:t>
      </w:r>
      <w:r w:rsidR="007C5EF7">
        <w:rPr>
          <w:rFonts w:ascii="Times New Roman" w:hAnsi="Times New Roman" w:cs="Times New Roman"/>
          <w:color w:val="404040"/>
          <w:sz w:val="24"/>
          <w:szCs w:val="24"/>
        </w:rPr>
        <w:t>behaviour</w:t>
      </w:r>
      <w:r w:rsidR="007C5EF7">
        <w:rPr>
          <w:rFonts w:ascii="Times New Roman" w:hAnsi="Times New Roman" w:cs="Times New Roman"/>
          <w:color w:val="404040"/>
          <w:sz w:val="24"/>
          <w:szCs w:val="24"/>
        </w:rPr>
        <w:t xml:space="preserve"> method and the influence of student </w:t>
      </w:r>
      <w:r w:rsidR="006E5353">
        <w:rPr>
          <w:rFonts w:ascii="Times New Roman" w:hAnsi="Times New Roman" w:cs="Times New Roman"/>
          <w:color w:val="404040"/>
          <w:sz w:val="24"/>
          <w:szCs w:val="24"/>
        </w:rPr>
        <w:t xml:space="preserve">self-efficacy’ </w:t>
      </w:r>
      <w:r w:rsidR="006E5353">
        <w:rPr>
          <w:rFonts w:ascii="Times New Roman" w:hAnsi="Times New Roman" w:cs="Times New Roman"/>
          <w:i/>
          <w:iCs/>
          <w:color w:val="404040"/>
          <w:sz w:val="24"/>
          <w:szCs w:val="24"/>
        </w:rPr>
        <w:t xml:space="preserve">Journal of Further and Higher Education. </w:t>
      </w:r>
      <w:r w:rsidR="00534AAC">
        <w:rPr>
          <w:rFonts w:ascii="Times New Roman" w:hAnsi="Times New Roman" w:cs="Times New Roman"/>
          <w:color w:val="404040"/>
          <w:sz w:val="24"/>
          <w:szCs w:val="24"/>
        </w:rPr>
        <w:t>42(5)</w:t>
      </w:r>
      <w:r w:rsidR="00D24D64">
        <w:rPr>
          <w:rFonts w:ascii="Times New Roman" w:hAnsi="Times New Roman" w:cs="Times New Roman"/>
          <w:color w:val="404040"/>
          <w:sz w:val="24"/>
          <w:szCs w:val="24"/>
        </w:rPr>
        <w:t>, pp.</w:t>
      </w:r>
      <w:r w:rsidR="00FE674B">
        <w:rPr>
          <w:rFonts w:ascii="Times New Roman" w:hAnsi="Times New Roman" w:cs="Times New Roman"/>
          <w:color w:val="404040"/>
          <w:sz w:val="24"/>
          <w:szCs w:val="24"/>
        </w:rPr>
        <w:t xml:space="preserve"> </w:t>
      </w:r>
      <w:r w:rsidR="00D24D64">
        <w:rPr>
          <w:rFonts w:ascii="Times New Roman" w:hAnsi="Times New Roman" w:cs="Times New Roman"/>
          <w:color w:val="404040"/>
          <w:sz w:val="24"/>
          <w:szCs w:val="24"/>
        </w:rPr>
        <w:t xml:space="preserve">608-622. </w:t>
      </w:r>
      <w:r w:rsidR="00FE674B">
        <w:rPr>
          <w:rFonts w:ascii="Times New Roman" w:hAnsi="Times New Roman" w:cs="Times New Roman"/>
          <w:color w:val="404040"/>
          <w:sz w:val="24"/>
          <w:szCs w:val="24"/>
        </w:rPr>
        <w:t xml:space="preserve">Available at: </w:t>
      </w:r>
      <w:hyperlink r:id="rId20" w:history="1">
        <w:r w:rsidR="004D4905" w:rsidRPr="00CC5A1D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https://doi.org/10.1080/0309877x.2017.1302564</w:t>
        </w:r>
      </w:hyperlink>
      <w:r w:rsidR="004D4905">
        <w:rPr>
          <w:rFonts w:ascii="Times New Roman" w:hAnsi="Times New Roman" w:cs="Times New Roman"/>
          <w:color w:val="404040"/>
          <w:sz w:val="24"/>
          <w:szCs w:val="24"/>
        </w:rPr>
        <w:t xml:space="preserve"> </w:t>
      </w:r>
      <w:r w:rsidR="006E5353">
        <w:rPr>
          <w:rFonts w:ascii="Times New Roman" w:hAnsi="Times New Roman" w:cs="Times New Roman"/>
          <w:color w:val="404040"/>
          <w:sz w:val="24"/>
          <w:szCs w:val="24"/>
        </w:rPr>
        <w:t xml:space="preserve"> 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39F8EC92" w:rsidR="00216CC6" w:rsidRPr="004D4905" w:rsidRDefault="004D49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28DFEBAA" w:rsidR="00216CC6" w:rsidRPr="004D4905" w:rsidRDefault="004D490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48211A7A" w:rsidR="00216CC6" w:rsidRPr="004D4905" w:rsidRDefault="004D49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1F837BAB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011D7E">
        <w:rPr>
          <w:rFonts w:ascii="Cambria" w:hAnsi="Cambria"/>
          <w:sz w:val="24"/>
          <w:szCs w:val="24"/>
        </w:rPr>
        <w:t xml:space="preserve"> </w:t>
      </w:r>
      <w:r w:rsidR="00011D7E">
        <w:rPr>
          <w:rFonts w:ascii="Times New Roman" w:hAnsi="Times New Roman" w:cs="Times New Roman"/>
          <w:sz w:val="24"/>
          <w:szCs w:val="24"/>
        </w:rPr>
        <w:t>(Brown, 2022)</w:t>
      </w:r>
      <w:r>
        <w:rPr>
          <w:rFonts w:ascii="Cambria" w:hAnsi="Cambria"/>
          <w:sz w:val="24"/>
          <w:szCs w:val="24"/>
        </w:rPr>
        <w:t>.</w:t>
      </w:r>
      <w:r w:rsidR="00A824B7">
        <w:rPr>
          <w:rFonts w:ascii="Cambria" w:hAnsi="Cambria"/>
          <w:sz w:val="24"/>
          <w:szCs w:val="24"/>
        </w:rPr>
        <w:t xml:space="preserve"> </w:t>
      </w:r>
      <w:r w:rsidR="00A824B7">
        <w:rPr>
          <w:rFonts w:ascii="Times New Roman" w:hAnsi="Times New Roman" w:cs="Times New Roman"/>
          <w:sz w:val="24"/>
          <w:szCs w:val="24"/>
        </w:rPr>
        <w:t>According to Smith (2022)</w:t>
      </w:r>
      <w:r>
        <w:rPr>
          <w:rFonts w:ascii="Cambria" w:hAnsi="Cambria"/>
          <w:sz w:val="24"/>
          <w:szCs w:val="24"/>
        </w:rPr>
        <w:t xml:space="preserve"> </w:t>
      </w:r>
      <w:r w:rsidR="00A824B7">
        <w:rPr>
          <w:rFonts w:ascii="Cambria" w:hAnsi="Cambria"/>
          <w:sz w:val="24"/>
          <w:szCs w:val="24"/>
        </w:rPr>
        <w:t>c</w:t>
      </w:r>
      <w:r>
        <w:rPr>
          <w:rFonts w:ascii="Cambria" w:hAnsi="Cambria"/>
          <w:sz w:val="24"/>
          <w:szCs w:val="24"/>
        </w:rPr>
        <w:t>ommunication between professionals is essential for safe care. Reflective practice supports lifelong learning</w:t>
      </w:r>
      <w:r w:rsidR="00A824B7">
        <w:rPr>
          <w:rFonts w:ascii="Cambria" w:hAnsi="Cambria"/>
          <w:sz w:val="24"/>
          <w:szCs w:val="24"/>
        </w:rPr>
        <w:t xml:space="preserve"> (</w:t>
      </w:r>
      <w:r w:rsidR="00A824B7">
        <w:rPr>
          <w:rFonts w:ascii="Times New Roman" w:hAnsi="Times New Roman" w:cs="Times New Roman"/>
          <w:sz w:val="24"/>
          <w:szCs w:val="24"/>
        </w:rPr>
        <w:t>NHS England, 2023)</w:t>
      </w:r>
      <w:r>
        <w:rPr>
          <w:rFonts w:ascii="Cambria" w:hAnsi="Cambria"/>
          <w:sz w:val="24"/>
          <w:szCs w:val="24"/>
        </w:rPr>
        <w:t>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0806F84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A824B7">
        <w:rPr>
          <w:rFonts w:ascii="Times New Roman" w:hAnsi="Times New Roman" w:cs="Times New Roman"/>
          <w:sz w:val="24"/>
          <w:szCs w:val="24"/>
        </w:rPr>
        <w:t>B.) Using another perso</w:t>
      </w:r>
      <w:r w:rsidR="00F32CD7">
        <w:rPr>
          <w:rFonts w:ascii="Times New Roman" w:hAnsi="Times New Roman" w:cs="Times New Roman"/>
          <w:sz w:val="24"/>
          <w:szCs w:val="24"/>
        </w:rPr>
        <w:t>n’s ideas without acknowledging them.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2E214A7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 w:rsidR="00F32CD7">
        <w:rPr>
          <w:rFonts w:ascii="Times New Roman" w:hAnsi="Times New Roman" w:cs="Times New Roman"/>
        </w:rPr>
        <w:t>A.) and C.)</w:t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28463BF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D817F8">
        <w:rPr>
          <w:rFonts w:ascii="Times New Roman" w:hAnsi="Times New Roman" w:cs="Times New Roman"/>
          <w:sz w:val="24"/>
          <w:szCs w:val="24"/>
        </w:rPr>
        <w:t>B.)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2138146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D817F8">
        <w:t>D.)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621745B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D817F8">
        <w:t>C.)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4EEA59" w14:textId="77777777" w:rsidR="00831AAE" w:rsidRDefault="00831AAE" w:rsidP="001E7F7E">
      <w:pPr>
        <w:spacing w:after="0" w:line="240" w:lineRule="auto"/>
      </w:pPr>
      <w:r>
        <w:separator/>
      </w:r>
    </w:p>
  </w:endnote>
  <w:endnote w:type="continuationSeparator" w:id="0">
    <w:p w14:paraId="2CA7BA0D" w14:textId="77777777" w:rsidR="00831AAE" w:rsidRDefault="00831AAE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6B4C02" w14:textId="77777777" w:rsidR="00831AAE" w:rsidRDefault="00831AAE" w:rsidP="001E7F7E">
      <w:pPr>
        <w:spacing w:after="0" w:line="240" w:lineRule="auto"/>
      </w:pPr>
      <w:r>
        <w:separator/>
      </w:r>
    </w:p>
  </w:footnote>
  <w:footnote w:type="continuationSeparator" w:id="0">
    <w:p w14:paraId="3D91CA3A" w14:textId="77777777" w:rsidR="00831AAE" w:rsidRDefault="00831AAE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11D7E"/>
    <w:rsid w:val="00016EC3"/>
    <w:rsid w:val="000555C3"/>
    <w:rsid w:val="0009617C"/>
    <w:rsid w:val="000B319E"/>
    <w:rsid w:val="000B3D0C"/>
    <w:rsid w:val="000D523D"/>
    <w:rsid w:val="001122D8"/>
    <w:rsid w:val="00123D64"/>
    <w:rsid w:val="00132123"/>
    <w:rsid w:val="001641F9"/>
    <w:rsid w:val="00193859"/>
    <w:rsid w:val="001A1E41"/>
    <w:rsid w:val="001B4133"/>
    <w:rsid w:val="001B4366"/>
    <w:rsid w:val="001C4258"/>
    <w:rsid w:val="001E1522"/>
    <w:rsid w:val="001E5451"/>
    <w:rsid w:val="001E7D9C"/>
    <w:rsid w:val="001E7F7E"/>
    <w:rsid w:val="001F746A"/>
    <w:rsid w:val="00202EF5"/>
    <w:rsid w:val="0020314E"/>
    <w:rsid w:val="00216CC6"/>
    <w:rsid w:val="002208D5"/>
    <w:rsid w:val="00241A91"/>
    <w:rsid w:val="0025666C"/>
    <w:rsid w:val="00266A4F"/>
    <w:rsid w:val="00281ED8"/>
    <w:rsid w:val="00285A37"/>
    <w:rsid w:val="00290607"/>
    <w:rsid w:val="00294205"/>
    <w:rsid w:val="002A3359"/>
    <w:rsid w:val="002D0E26"/>
    <w:rsid w:val="002D6488"/>
    <w:rsid w:val="002E7F87"/>
    <w:rsid w:val="00316A9B"/>
    <w:rsid w:val="00340B10"/>
    <w:rsid w:val="0036487E"/>
    <w:rsid w:val="00386DFA"/>
    <w:rsid w:val="003B5FCF"/>
    <w:rsid w:val="003F362D"/>
    <w:rsid w:val="00401107"/>
    <w:rsid w:val="0040462C"/>
    <w:rsid w:val="00450A52"/>
    <w:rsid w:val="00460D2E"/>
    <w:rsid w:val="00463427"/>
    <w:rsid w:val="004A02F4"/>
    <w:rsid w:val="004A1A3B"/>
    <w:rsid w:val="004D4905"/>
    <w:rsid w:val="004E70B1"/>
    <w:rsid w:val="004F5BF0"/>
    <w:rsid w:val="00534AAC"/>
    <w:rsid w:val="005569D6"/>
    <w:rsid w:val="005A3BA3"/>
    <w:rsid w:val="005C34BE"/>
    <w:rsid w:val="005C420B"/>
    <w:rsid w:val="005F2662"/>
    <w:rsid w:val="005F3ECB"/>
    <w:rsid w:val="00607423"/>
    <w:rsid w:val="006176FC"/>
    <w:rsid w:val="006307CB"/>
    <w:rsid w:val="006358E7"/>
    <w:rsid w:val="00644CC8"/>
    <w:rsid w:val="00674475"/>
    <w:rsid w:val="00681D21"/>
    <w:rsid w:val="006A18C4"/>
    <w:rsid w:val="006B54CD"/>
    <w:rsid w:val="006D42FF"/>
    <w:rsid w:val="006E346F"/>
    <w:rsid w:val="006E5353"/>
    <w:rsid w:val="006F73EE"/>
    <w:rsid w:val="00701489"/>
    <w:rsid w:val="00710B48"/>
    <w:rsid w:val="00721A55"/>
    <w:rsid w:val="0076063A"/>
    <w:rsid w:val="007647E2"/>
    <w:rsid w:val="00765392"/>
    <w:rsid w:val="007A48A0"/>
    <w:rsid w:val="007A50D8"/>
    <w:rsid w:val="007C5EF7"/>
    <w:rsid w:val="007C769C"/>
    <w:rsid w:val="007E0792"/>
    <w:rsid w:val="007E4571"/>
    <w:rsid w:val="007E7971"/>
    <w:rsid w:val="008104AB"/>
    <w:rsid w:val="00831AAE"/>
    <w:rsid w:val="00836F1D"/>
    <w:rsid w:val="008470DD"/>
    <w:rsid w:val="008707E0"/>
    <w:rsid w:val="00871029"/>
    <w:rsid w:val="00897971"/>
    <w:rsid w:val="008C2BE9"/>
    <w:rsid w:val="008E070C"/>
    <w:rsid w:val="008F028E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455C0"/>
    <w:rsid w:val="00A62FF0"/>
    <w:rsid w:val="00A80874"/>
    <w:rsid w:val="00A824B7"/>
    <w:rsid w:val="00AA5818"/>
    <w:rsid w:val="00AB4977"/>
    <w:rsid w:val="00AF33FD"/>
    <w:rsid w:val="00B24BBC"/>
    <w:rsid w:val="00B549A7"/>
    <w:rsid w:val="00B72B93"/>
    <w:rsid w:val="00B841B5"/>
    <w:rsid w:val="00B91B72"/>
    <w:rsid w:val="00BA05B1"/>
    <w:rsid w:val="00BA778D"/>
    <w:rsid w:val="00BB78D0"/>
    <w:rsid w:val="00BD1B72"/>
    <w:rsid w:val="00BD65D4"/>
    <w:rsid w:val="00BF016B"/>
    <w:rsid w:val="00C01391"/>
    <w:rsid w:val="00C311C3"/>
    <w:rsid w:val="00C32797"/>
    <w:rsid w:val="00C40C30"/>
    <w:rsid w:val="00C4135F"/>
    <w:rsid w:val="00C64D36"/>
    <w:rsid w:val="00CA4E09"/>
    <w:rsid w:val="00CD6924"/>
    <w:rsid w:val="00D04A1C"/>
    <w:rsid w:val="00D059DD"/>
    <w:rsid w:val="00D15BFB"/>
    <w:rsid w:val="00D24D64"/>
    <w:rsid w:val="00D359B5"/>
    <w:rsid w:val="00D45F98"/>
    <w:rsid w:val="00D749CB"/>
    <w:rsid w:val="00D817F8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1EAB"/>
    <w:rsid w:val="00ED2A72"/>
    <w:rsid w:val="00EF025D"/>
    <w:rsid w:val="00F02448"/>
    <w:rsid w:val="00F06C89"/>
    <w:rsid w:val="00F32CD7"/>
    <w:rsid w:val="00F60146"/>
    <w:rsid w:val="00F810AF"/>
    <w:rsid w:val="00F92E54"/>
    <w:rsid w:val="00FA4E0C"/>
    <w:rsid w:val="00FE674B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image" Target="media/image2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hyperlink" Target="https://doi.org/10.1080/0309877x.2017.1302564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eader" Target="header3.xml"/><Relationship Id="rId10" Type="http://schemas.openxmlformats.org/officeDocument/2006/relationships/hyperlink" Target="https://www.scie.org.uk/safeguarding/adults/practice/sharing-information" TargetMode="External"/><Relationship Id="rId19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F26711-6E2C-4378-8B3D-23B6B22315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24827B2-9BBE-44EF-8DC3-B28657A8DB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AD49C6-2FBE-4770-9919-AC23A459D63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11</Pages>
  <Words>752</Words>
  <Characters>4291</Characters>
  <Application>Microsoft Office Word</Application>
  <DocSecurity>0</DocSecurity>
  <Lines>35</Lines>
  <Paragraphs>10</Paragraphs>
  <ScaleCrop>false</ScaleCrop>
  <Company/>
  <LinksUpToDate>false</LinksUpToDate>
  <CharactersWithSpaces>5033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Kaylie Banner (2606072)</cp:lastModifiedBy>
  <cp:revision>39</cp:revision>
  <dcterms:created xsi:type="dcterms:W3CDTF">2026-10-02T09:00:00Z</dcterms:created>
  <dcterms:modified xsi:type="dcterms:W3CDTF">2026-10-02T09:38:00Z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