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rFonts w:ascii="Times" w:cs="Times" w:eastAsia="Times" w:hAnsi="Times"/>
          <w:sz w:val="28"/>
          <w:szCs w:val="28"/>
          <w:u w:val="single"/>
        </w:rPr>
      </w:pPr>
      <w:r w:rsidDel="00000000" w:rsidR="00000000" w:rsidRPr="00000000">
        <w:rPr>
          <w:rFonts w:ascii="Times" w:cs="Times" w:eastAsia="Times" w:hAnsi="Times"/>
          <w:sz w:val="28"/>
          <w:szCs w:val="28"/>
          <w:u w:val="single"/>
          <w:rtl w:val="0"/>
        </w:rPr>
        <w:t xml:space="preserve">Gobbet Test (25%)</w:t>
      </w:r>
    </w:p>
    <w:p w:rsidR="00000000" w:rsidDel="00000000" w:rsidP="00000000" w:rsidRDefault="00000000" w:rsidRPr="00000000" w14:paraId="00000002">
      <w:pPr>
        <w:jc w:val="center"/>
        <w:rPr>
          <w:rFonts w:ascii="Times" w:cs="Times" w:eastAsia="Times" w:hAnsi="Times"/>
          <w:sz w:val="28"/>
          <w:szCs w:val="28"/>
          <w:u w:val="single"/>
        </w:rPr>
      </w:pPr>
      <w:r w:rsidDel="00000000" w:rsidR="00000000" w:rsidRPr="00000000">
        <w:rPr>
          <w:rFonts w:ascii="Times" w:cs="Times" w:eastAsia="Times" w:hAnsi="Times"/>
          <w:sz w:val="28"/>
          <w:szCs w:val="28"/>
          <w:u w:val="single"/>
          <w:rtl w:val="0"/>
        </w:rPr>
        <w:t xml:space="preserve">Word Count: 1216</w:t>
      </w:r>
    </w:p>
    <w:p w:rsidR="00000000" w:rsidDel="00000000" w:rsidP="00000000" w:rsidRDefault="00000000" w:rsidRPr="00000000" w14:paraId="00000003">
      <w:pPr>
        <w:jc w:val="center"/>
        <w:rPr>
          <w:rFonts w:ascii="Times" w:cs="Times" w:eastAsia="Times" w:hAnsi="Times"/>
          <w:sz w:val="28"/>
          <w:szCs w:val="28"/>
          <w:u w:val="single"/>
        </w:rPr>
      </w:pPr>
      <w:r w:rsidDel="00000000" w:rsidR="00000000" w:rsidRPr="00000000">
        <w:rPr>
          <w:rFonts w:ascii="Times" w:cs="Times" w:eastAsia="Times" w:hAnsi="Times"/>
          <w:sz w:val="28"/>
          <w:szCs w:val="28"/>
          <w:u w:val="single"/>
          <w:rtl w:val="0"/>
        </w:rPr>
        <w:t xml:space="preserve">The Ascent of Mount Ventoux</w:t>
      </w:r>
    </w:p>
    <w:p w:rsidR="00000000" w:rsidDel="00000000" w:rsidP="00000000" w:rsidRDefault="00000000" w:rsidRPr="00000000" w14:paraId="00000004">
      <w:pPr>
        <w:rPr>
          <w:rFonts w:ascii="Times" w:cs="Times" w:eastAsia="Times" w:hAnsi="Times"/>
          <w:sz w:val="28"/>
          <w:szCs w:val="28"/>
        </w:rPr>
      </w:pPr>
      <w:r w:rsidDel="00000000" w:rsidR="00000000" w:rsidRPr="00000000">
        <w:rPr>
          <w:rtl w:val="0"/>
        </w:rPr>
      </w:r>
    </w:p>
    <w:p w:rsidR="00000000" w:rsidDel="00000000" w:rsidP="00000000" w:rsidRDefault="00000000" w:rsidRPr="00000000" w14:paraId="00000005">
      <w:pPr>
        <w:rPr>
          <w:rFonts w:ascii="Times" w:cs="Times" w:eastAsia="Times" w:hAnsi="Times"/>
          <w:sz w:val="24"/>
          <w:szCs w:val="24"/>
        </w:rPr>
      </w:pPr>
      <w:r w:rsidDel="00000000" w:rsidR="00000000" w:rsidRPr="00000000">
        <w:rPr>
          <w:rFonts w:ascii="Times" w:cs="Times" w:eastAsia="Times" w:hAnsi="Times"/>
          <w:sz w:val="24"/>
          <w:szCs w:val="24"/>
          <w:rtl w:val="0"/>
        </w:rPr>
        <w:t xml:space="preserve">On the 26th of April 1336, Francesco Petrarch and his brother - Gherardo - climbed Mount Ventoux</w:t>
      </w:r>
      <w:r w:rsidDel="00000000" w:rsidR="00000000" w:rsidRPr="00000000">
        <w:rPr>
          <w:rFonts w:ascii="Times" w:cs="Times" w:eastAsia="Times" w:hAnsi="Times"/>
          <w:sz w:val="24"/>
          <w:szCs w:val="24"/>
          <w:vertAlign w:val="superscript"/>
        </w:rPr>
        <w:footnoteReference w:customMarkFollows="0" w:id="0"/>
      </w:r>
      <w:r w:rsidDel="00000000" w:rsidR="00000000" w:rsidRPr="00000000">
        <w:rPr>
          <w:rFonts w:ascii="Times" w:cs="Times" w:eastAsia="Times" w:hAnsi="Times"/>
          <w:sz w:val="24"/>
          <w:szCs w:val="24"/>
          <w:rtl w:val="0"/>
        </w:rPr>
        <w:t xml:space="preserve">, a french mountain sometimes referred to as ‘The Giant of Provence’ due to its location in the Provence Region of France</w:t>
      </w:r>
      <w:r w:rsidDel="00000000" w:rsidR="00000000" w:rsidRPr="00000000">
        <w:rPr>
          <w:rFonts w:ascii="Times" w:cs="Times" w:eastAsia="Times" w:hAnsi="Times"/>
          <w:sz w:val="24"/>
          <w:szCs w:val="24"/>
          <w:vertAlign w:val="superscript"/>
        </w:rPr>
        <w:footnoteReference w:customMarkFollows="0" w:id="1"/>
      </w:r>
      <w:r w:rsidDel="00000000" w:rsidR="00000000" w:rsidRPr="00000000">
        <w:rPr>
          <w:rFonts w:ascii="Times" w:cs="Times" w:eastAsia="Times" w:hAnsi="Times"/>
          <w:sz w:val="24"/>
          <w:szCs w:val="24"/>
          <w:rtl w:val="0"/>
        </w:rPr>
        <w:t xml:space="preserve">. He did this for recreational purposes, allowing him to reflect upon his life, his choices, and human morality - which can be seen when he writes in regards to his thoughts that they “may direct themselves at last toward the single, true, certain, and everlasting good”</w:t>
      </w:r>
      <w:r w:rsidDel="00000000" w:rsidR="00000000" w:rsidRPr="00000000">
        <w:rPr>
          <w:rFonts w:ascii="Times" w:cs="Times" w:eastAsia="Times" w:hAnsi="Times"/>
          <w:sz w:val="24"/>
          <w:szCs w:val="24"/>
          <w:vertAlign w:val="superscript"/>
        </w:rPr>
        <w:footnoteReference w:customMarkFollows="0" w:id="2"/>
      </w:r>
      <w:r w:rsidDel="00000000" w:rsidR="00000000" w:rsidRPr="00000000">
        <w:rPr>
          <w:rFonts w:ascii="Times" w:cs="Times" w:eastAsia="Times" w:hAnsi="Times"/>
          <w:sz w:val="24"/>
          <w:szCs w:val="24"/>
          <w:rtl w:val="0"/>
        </w:rPr>
        <w:t xml:space="preserve">. The above quotation is taken from a letter he wrote after his ascension, where he read St Augustine's ‘Confessions’, a gift from the recipient of the letter and his former confessor: Francesco Dionigi da Borgo San Sepulcro</w:t>
      </w:r>
      <w:r w:rsidDel="00000000" w:rsidR="00000000" w:rsidRPr="00000000">
        <w:rPr>
          <w:rFonts w:ascii="Times" w:cs="Times" w:eastAsia="Times" w:hAnsi="Times"/>
          <w:sz w:val="24"/>
          <w:szCs w:val="24"/>
          <w:vertAlign w:val="superscript"/>
        </w:rPr>
        <w:footnoteReference w:customMarkFollows="0" w:id="3"/>
      </w:r>
      <w:r w:rsidDel="00000000" w:rsidR="00000000" w:rsidRPr="00000000">
        <w:rPr>
          <w:rFonts w:ascii="Times" w:cs="Times" w:eastAsia="Times" w:hAnsi="Times"/>
          <w:sz w:val="24"/>
          <w:szCs w:val="24"/>
          <w:rtl w:val="0"/>
        </w:rPr>
        <w:t xml:space="preserve">.</w:t>
      </w:r>
    </w:p>
    <w:p w:rsidR="00000000" w:rsidDel="00000000" w:rsidP="00000000" w:rsidRDefault="00000000" w:rsidRPr="00000000" w14:paraId="00000006">
      <w:pPr>
        <w:rPr>
          <w:rFonts w:ascii="Times" w:cs="Times" w:eastAsia="Times" w:hAnsi="Times"/>
          <w:sz w:val="24"/>
          <w:szCs w:val="24"/>
        </w:rPr>
      </w:pPr>
      <w:r w:rsidDel="00000000" w:rsidR="00000000" w:rsidRPr="00000000">
        <w:rPr>
          <w:rFonts w:ascii="Times" w:cs="Times" w:eastAsia="Times" w:hAnsi="Times"/>
          <w:sz w:val="24"/>
          <w:szCs w:val="24"/>
          <w:rtl w:val="0"/>
        </w:rPr>
        <w:t xml:space="preserve">This letter is now known to us as Petrarch’s ‘Ascent of Mount Ventoux’</w:t>
      </w:r>
      <w:r w:rsidDel="00000000" w:rsidR="00000000" w:rsidRPr="00000000">
        <w:rPr>
          <w:rFonts w:ascii="Times" w:cs="Times" w:eastAsia="Times" w:hAnsi="Times"/>
          <w:sz w:val="24"/>
          <w:szCs w:val="24"/>
          <w:vertAlign w:val="superscript"/>
        </w:rPr>
        <w:footnoteReference w:customMarkFollows="0" w:id="4"/>
      </w:r>
      <w:r w:rsidDel="00000000" w:rsidR="00000000" w:rsidRPr="00000000">
        <w:rPr>
          <w:rFonts w:ascii="Times" w:cs="Times" w:eastAsia="Times" w:hAnsi="Times"/>
          <w:sz w:val="24"/>
          <w:szCs w:val="24"/>
          <w:rtl w:val="0"/>
        </w:rPr>
        <w:t xml:space="preserve"> and is widely available in paper format within compilations of his work, as well as online.</w:t>
      </w:r>
    </w:p>
    <w:p w:rsidR="00000000" w:rsidDel="00000000" w:rsidP="00000000" w:rsidRDefault="00000000" w:rsidRPr="00000000" w14:paraId="00000007">
      <w:pPr>
        <w:rPr>
          <w:rFonts w:ascii="Times" w:cs="Times" w:eastAsia="Times" w:hAnsi="Times"/>
          <w:sz w:val="24"/>
          <w:szCs w:val="24"/>
        </w:rPr>
      </w:pPr>
      <w:r w:rsidDel="00000000" w:rsidR="00000000" w:rsidRPr="00000000">
        <w:rPr>
          <w:rFonts w:ascii="Times" w:cs="Times" w:eastAsia="Times" w:hAnsi="Times"/>
          <w:sz w:val="24"/>
          <w:szCs w:val="24"/>
          <w:rtl w:val="0"/>
        </w:rPr>
        <w:t xml:space="preserve">However, this was not the only letter that Petrarch wrote during his lifetime, with many of his intended recipients having been deceased for centuries. One letter he wrote is most commonly known as Petrarch’s ‘Letter to Homer’</w:t>
      </w:r>
      <w:r w:rsidDel="00000000" w:rsidR="00000000" w:rsidRPr="00000000">
        <w:rPr>
          <w:rFonts w:ascii="Times" w:cs="Times" w:eastAsia="Times" w:hAnsi="Times"/>
          <w:sz w:val="24"/>
          <w:szCs w:val="24"/>
          <w:vertAlign w:val="superscript"/>
        </w:rPr>
        <w:footnoteReference w:customMarkFollows="0" w:id="5"/>
      </w:r>
      <w:r w:rsidDel="00000000" w:rsidR="00000000" w:rsidRPr="00000000">
        <w:rPr>
          <w:rFonts w:ascii="Times" w:cs="Times" w:eastAsia="Times" w:hAnsi="Times"/>
          <w:sz w:val="24"/>
          <w:szCs w:val="24"/>
          <w:rtl w:val="0"/>
        </w:rPr>
        <w:t xml:space="preserve">, in which he complains that he has much to learn from the poet but is unable to, not because Homer</w:t>
      </w:r>
      <w:r w:rsidDel="00000000" w:rsidR="00000000" w:rsidRPr="00000000">
        <w:rPr>
          <w:rFonts w:ascii="Times" w:cs="Times" w:eastAsia="Times" w:hAnsi="Times"/>
          <w:sz w:val="24"/>
          <w:szCs w:val="24"/>
          <w:vertAlign w:val="superscript"/>
        </w:rPr>
        <w:footnoteReference w:customMarkFollows="0" w:id="6"/>
      </w:r>
      <w:r w:rsidDel="00000000" w:rsidR="00000000" w:rsidRPr="00000000">
        <w:rPr>
          <w:rFonts w:ascii="Times" w:cs="Times" w:eastAsia="Times" w:hAnsi="Times"/>
          <w:sz w:val="24"/>
          <w:szCs w:val="24"/>
          <w:rtl w:val="0"/>
        </w:rPr>
        <w:t xml:space="preserve"> - the author of the Iliad</w:t>
      </w:r>
      <w:r w:rsidDel="00000000" w:rsidR="00000000" w:rsidRPr="00000000">
        <w:rPr>
          <w:rFonts w:ascii="Times" w:cs="Times" w:eastAsia="Times" w:hAnsi="Times"/>
          <w:sz w:val="24"/>
          <w:szCs w:val="24"/>
          <w:vertAlign w:val="superscript"/>
        </w:rPr>
        <w:footnoteReference w:customMarkFollows="0" w:id="7"/>
      </w:r>
      <w:r w:rsidDel="00000000" w:rsidR="00000000" w:rsidRPr="00000000">
        <w:rPr>
          <w:rFonts w:ascii="Times" w:cs="Times" w:eastAsia="Times" w:hAnsi="Times"/>
          <w:sz w:val="24"/>
          <w:szCs w:val="24"/>
          <w:rtl w:val="0"/>
        </w:rPr>
        <w:t xml:space="preserve"> and the Odyssey</w:t>
      </w:r>
      <w:r w:rsidDel="00000000" w:rsidR="00000000" w:rsidRPr="00000000">
        <w:rPr>
          <w:rFonts w:ascii="Times" w:cs="Times" w:eastAsia="Times" w:hAnsi="Times"/>
          <w:sz w:val="24"/>
          <w:szCs w:val="24"/>
          <w:vertAlign w:val="superscript"/>
        </w:rPr>
        <w:footnoteReference w:customMarkFollows="0" w:id="8"/>
      </w:r>
      <w:r w:rsidDel="00000000" w:rsidR="00000000" w:rsidRPr="00000000">
        <w:rPr>
          <w:rFonts w:ascii="Times" w:cs="Times" w:eastAsia="Times" w:hAnsi="Times"/>
          <w:sz w:val="24"/>
          <w:szCs w:val="24"/>
          <w:rtl w:val="0"/>
        </w:rPr>
        <w:t xml:space="preserve"> - had died over a thousand years before, but because they did not speak the same language. This is seen as Petrarch discusses his procrastination in writing the letter to him and says “I should really have done if it had not been for the lack of common language”, with the writer understanding Latin, and Homer’s vernacular being Greek</w:t>
      </w:r>
      <w:r w:rsidDel="00000000" w:rsidR="00000000" w:rsidRPr="00000000">
        <w:rPr>
          <w:rFonts w:ascii="Times" w:cs="Times" w:eastAsia="Times" w:hAnsi="Times"/>
          <w:sz w:val="24"/>
          <w:szCs w:val="24"/>
          <w:vertAlign w:val="superscript"/>
        </w:rPr>
        <w:footnoteReference w:customMarkFollows="0" w:id="9"/>
      </w:r>
      <w:r w:rsidDel="00000000" w:rsidR="00000000" w:rsidRPr="00000000">
        <w:rPr>
          <w:rFonts w:ascii="Times" w:cs="Times" w:eastAsia="Times" w:hAnsi="Times"/>
          <w:sz w:val="24"/>
          <w:szCs w:val="24"/>
          <w:rtl w:val="0"/>
        </w:rPr>
        <w:t xml:space="preserve">.</w:t>
      </w:r>
    </w:p>
    <w:p w:rsidR="00000000" w:rsidDel="00000000" w:rsidP="00000000" w:rsidRDefault="00000000" w:rsidRPr="00000000" w14:paraId="00000008">
      <w:pPr>
        <w:rPr>
          <w:rFonts w:ascii="Times" w:cs="Times" w:eastAsia="Times" w:hAnsi="Times"/>
          <w:sz w:val="24"/>
          <w:szCs w:val="24"/>
        </w:rPr>
      </w:pPr>
      <w:r w:rsidDel="00000000" w:rsidR="00000000" w:rsidRPr="00000000">
        <w:rPr>
          <w:rtl w:val="0"/>
        </w:rPr>
      </w:r>
    </w:p>
    <w:p w:rsidR="00000000" w:rsidDel="00000000" w:rsidP="00000000" w:rsidRDefault="00000000" w:rsidRPr="00000000" w14:paraId="00000009">
      <w:pPr>
        <w:rPr>
          <w:rFonts w:ascii="Times" w:cs="Times" w:eastAsia="Times" w:hAnsi="Times"/>
          <w:sz w:val="24"/>
          <w:szCs w:val="24"/>
        </w:rPr>
      </w:pPr>
      <w:r w:rsidDel="00000000" w:rsidR="00000000" w:rsidRPr="00000000">
        <w:rPr>
          <w:rFonts w:ascii="Times" w:cs="Times" w:eastAsia="Times" w:hAnsi="Times"/>
          <w:sz w:val="24"/>
          <w:szCs w:val="24"/>
          <w:rtl w:val="0"/>
        </w:rPr>
        <w:t xml:space="preserve">One of the main ideas that Petrarch discusses is how he cannot help but be in love with a woman he refers to as Laura</w:t>
      </w:r>
      <w:r w:rsidDel="00000000" w:rsidR="00000000" w:rsidRPr="00000000">
        <w:rPr>
          <w:rFonts w:ascii="Times" w:cs="Times" w:eastAsia="Times" w:hAnsi="Times"/>
          <w:sz w:val="24"/>
          <w:szCs w:val="24"/>
          <w:vertAlign w:val="superscript"/>
        </w:rPr>
        <w:footnoteReference w:customMarkFollows="0" w:id="10"/>
      </w:r>
      <w:r w:rsidDel="00000000" w:rsidR="00000000" w:rsidRPr="00000000">
        <w:rPr>
          <w:rFonts w:ascii="Times" w:cs="Times" w:eastAsia="Times" w:hAnsi="Times"/>
          <w:sz w:val="24"/>
          <w:szCs w:val="24"/>
          <w:rtl w:val="0"/>
        </w:rPr>
        <w:t xml:space="preserve">. While he is aware that his feelings are unrequited, he goes back and forth with himself in deciding whether he is able to suppress his feelings or not. He expresses this in saying “I love, but love what I would not love, what I would that I might hate”</w:t>
      </w:r>
      <w:r w:rsidDel="00000000" w:rsidR="00000000" w:rsidRPr="00000000">
        <w:rPr>
          <w:rFonts w:ascii="Times" w:cs="Times" w:eastAsia="Times" w:hAnsi="Times"/>
          <w:sz w:val="24"/>
          <w:szCs w:val="24"/>
          <w:vertAlign w:val="superscript"/>
        </w:rPr>
        <w:footnoteReference w:customMarkFollows="0" w:id="11"/>
      </w:r>
      <w:r w:rsidDel="00000000" w:rsidR="00000000" w:rsidRPr="00000000">
        <w:rPr>
          <w:rFonts w:ascii="Times" w:cs="Times" w:eastAsia="Times" w:hAnsi="Times"/>
          <w:sz w:val="24"/>
          <w:szCs w:val="24"/>
          <w:rtl w:val="0"/>
        </w:rPr>
        <w:t xml:space="preserve">, which demonstrates how he feels that a hatred toward her would hurt him less than allowing his affection toward her to continue.</w:t>
      </w:r>
    </w:p>
    <w:p w:rsidR="00000000" w:rsidDel="00000000" w:rsidP="00000000" w:rsidRDefault="00000000" w:rsidRPr="00000000" w14:paraId="0000000A">
      <w:pPr>
        <w:rPr>
          <w:rFonts w:ascii="Times" w:cs="Times" w:eastAsia="Times" w:hAnsi="Times"/>
          <w:sz w:val="24"/>
          <w:szCs w:val="24"/>
        </w:rPr>
      </w:pPr>
      <w:r w:rsidDel="00000000" w:rsidR="00000000" w:rsidRPr="00000000">
        <w:rPr>
          <w:rFonts w:ascii="Times" w:cs="Times" w:eastAsia="Times" w:hAnsi="Times"/>
          <w:sz w:val="24"/>
          <w:szCs w:val="24"/>
          <w:rtl w:val="0"/>
        </w:rPr>
        <w:t xml:space="preserve">Within this part of the text, there is a lack of eloquence, as he fails to gain clarity on how to feel towards the woman, which is reflective of the complexities of love and romance provided by romantic literature within the Renaissance era. Although this period was heavily influenced by Ancient Greek and Rome, literature demonstrates the differences between these times in antiquity and the renaissance when it comes to Romance, as well as explaining why Petrarch felt so overcome with emotion towards Laura and dissatisfied at the lack of reciprocation in his feelings.</w:t>
      </w:r>
    </w:p>
    <w:p w:rsidR="00000000" w:rsidDel="00000000" w:rsidP="00000000" w:rsidRDefault="00000000" w:rsidRPr="00000000" w14:paraId="0000000B">
      <w:pPr>
        <w:rPr>
          <w:rFonts w:ascii="Times" w:cs="Times" w:eastAsia="Times" w:hAnsi="Times"/>
          <w:sz w:val="24"/>
          <w:szCs w:val="24"/>
        </w:rPr>
      </w:pPr>
      <w:r w:rsidDel="00000000" w:rsidR="00000000" w:rsidRPr="00000000">
        <w:rPr>
          <w:rFonts w:ascii="Times" w:cs="Times" w:eastAsia="Times" w:hAnsi="Times"/>
          <w:sz w:val="24"/>
          <w:szCs w:val="24"/>
          <w:rtl w:val="0"/>
        </w:rPr>
        <w:t xml:space="preserve">Claire Caracouzinos of the New South Wales Department of Education identifies three key features of love stories originating in Ancient Greece</w:t>
      </w:r>
      <w:r w:rsidDel="00000000" w:rsidR="00000000" w:rsidRPr="00000000">
        <w:rPr>
          <w:rFonts w:ascii="Times" w:cs="Times" w:eastAsia="Times" w:hAnsi="Times"/>
          <w:sz w:val="24"/>
          <w:szCs w:val="24"/>
          <w:vertAlign w:val="superscript"/>
        </w:rPr>
        <w:footnoteReference w:customMarkFollows="0" w:id="12"/>
      </w:r>
      <w:r w:rsidDel="00000000" w:rsidR="00000000" w:rsidRPr="00000000">
        <w:rPr>
          <w:rFonts w:ascii="Times" w:cs="Times" w:eastAsia="Times" w:hAnsi="Times"/>
          <w:sz w:val="24"/>
          <w:szCs w:val="24"/>
          <w:rtl w:val="0"/>
        </w:rPr>
        <w:t xml:space="preserve">. The first feature is that the couples often meet and fall in love immediately, such as in the Xenophon of Ephesus</w:t>
      </w:r>
      <w:r w:rsidDel="00000000" w:rsidR="00000000" w:rsidRPr="00000000">
        <w:rPr>
          <w:rFonts w:ascii="Times" w:cs="Times" w:eastAsia="Times" w:hAnsi="Times"/>
          <w:sz w:val="24"/>
          <w:szCs w:val="24"/>
          <w:vertAlign w:val="superscript"/>
        </w:rPr>
        <w:footnoteReference w:customMarkFollows="0" w:id="13"/>
      </w:r>
      <w:r w:rsidDel="00000000" w:rsidR="00000000" w:rsidRPr="00000000">
        <w:rPr>
          <w:rFonts w:ascii="Times" w:cs="Times" w:eastAsia="Times" w:hAnsi="Times"/>
          <w:sz w:val="24"/>
          <w:szCs w:val="24"/>
          <w:rtl w:val="0"/>
        </w:rPr>
        <w:t xml:space="preserve">, where Habrocomes and Anthia are instantly captivated by one another. Already, this does not reflect Petrarch’s tale with Laura, which may have led to his reluctance to accept their incompatibility, as he was likely to have been heavily influenced by stories such as these.</w:t>
      </w:r>
    </w:p>
    <w:p w:rsidR="00000000" w:rsidDel="00000000" w:rsidP="00000000" w:rsidRDefault="00000000" w:rsidRPr="00000000" w14:paraId="0000000C">
      <w:pPr>
        <w:rPr>
          <w:rFonts w:ascii="Times" w:cs="Times" w:eastAsia="Times" w:hAnsi="Times"/>
          <w:sz w:val="24"/>
          <w:szCs w:val="24"/>
        </w:rPr>
      </w:pPr>
      <w:r w:rsidDel="00000000" w:rsidR="00000000" w:rsidRPr="00000000">
        <w:rPr>
          <w:rFonts w:ascii="Times" w:cs="Times" w:eastAsia="Times" w:hAnsi="Times"/>
          <w:sz w:val="24"/>
          <w:szCs w:val="24"/>
          <w:rtl w:val="0"/>
        </w:rPr>
        <w:t xml:space="preserve">The second feature is the trials the couples face while travelling through dangerous territories or under attack from enemies, which was an unlikely occurrence for Petrarch, who spent his time travelling to the beautiful mountains of Southern France - as seen in ‘The Ascent of Mount Ventoux’</w:t>
      </w:r>
      <w:r w:rsidDel="00000000" w:rsidR="00000000" w:rsidRPr="00000000">
        <w:rPr>
          <w:rFonts w:ascii="Times" w:cs="Times" w:eastAsia="Times" w:hAnsi="Times"/>
          <w:sz w:val="24"/>
          <w:szCs w:val="24"/>
          <w:vertAlign w:val="superscript"/>
        </w:rPr>
        <w:footnoteReference w:customMarkFollows="0" w:id="14"/>
      </w:r>
      <w:r w:rsidDel="00000000" w:rsidR="00000000" w:rsidRPr="00000000">
        <w:rPr>
          <w:rFonts w:ascii="Times" w:cs="Times" w:eastAsia="Times" w:hAnsi="Times"/>
          <w:sz w:val="24"/>
          <w:szCs w:val="24"/>
          <w:rtl w:val="0"/>
        </w:rPr>
        <w:t xml:space="preserve"> - and working as the Poetry laureate of Rome</w:t>
      </w:r>
      <w:r w:rsidDel="00000000" w:rsidR="00000000" w:rsidRPr="00000000">
        <w:rPr>
          <w:rFonts w:ascii="Times" w:cs="Times" w:eastAsia="Times" w:hAnsi="Times"/>
          <w:sz w:val="24"/>
          <w:szCs w:val="24"/>
          <w:vertAlign w:val="superscript"/>
        </w:rPr>
        <w:footnoteReference w:customMarkFollows="0" w:id="15"/>
      </w:r>
      <w:r w:rsidDel="00000000" w:rsidR="00000000" w:rsidRPr="00000000">
        <w:rPr>
          <w:rFonts w:ascii="Times" w:cs="Times" w:eastAsia="Times" w:hAnsi="Times"/>
          <w:sz w:val="24"/>
          <w:szCs w:val="24"/>
          <w:rtl w:val="0"/>
        </w:rPr>
        <w:t xml:space="preserve">.</w:t>
      </w:r>
    </w:p>
    <w:p w:rsidR="00000000" w:rsidDel="00000000" w:rsidP="00000000" w:rsidRDefault="00000000" w:rsidRPr="00000000" w14:paraId="0000000D">
      <w:pPr>
        <w:rPr>
          <w:rFonts w:ascii="Times" w:cs="Times" w:eastAsia="Times" w:hAnsi="Times"/>
          <w:sz w:val="24"/>
          <w:szCs w:val="24"/>
        </w:rPr>
      </w:pPr>
      <w:r w:rsidDel="00000000" w:rsidR="00000000" w:rsidRPr="00000000">
        <w:rPr>
          <w:rFonts w:ascii="Times" w:cs="Times" w:eastAsia="Times" w:hAnsi="Times"/>
          <w:sz w:val="24"/>
          <w:szCs w:val="24"/>
          <w:rtl w:val="0"/>
        </w:rPr>
        <w:t xml:space="preserve">The third feature is likely the cause of what led to Petrarch’s decision to write love poems dedicated to Laura in the ‘Canzoniere’</w:t>
      </w:r>
      <w:r w:rsidDel="00000000" w:rsidR="00000000" w:rsidRPr="00000000">
        <w:rPr>
          <w:rFonts w:ascii="Times" w:cs="Times" w:eastAsia="Times" w:hAnsi="Times"/>
          <w:sz w:val="24"/>
          <w:szCs w:val="24"/>
          <w:vertAlign w:val="superscript"/>
        </w:rPr>
        <w:footnoteReference w:customMarkFollows="0" w:id="16"/>
      </w:r>
      <w:r w:rsidDel="00000000" w:rsidR="00000000" w:rsidRPr="00000000">
        <w:rPr>
          <w:rFonts w:ascii="Times" w:cs="Times" w:eastAsia="Times" w:hAnsi="Times"/>
          <w:sz w:val="24"/>
          <w:szCs w:val="24"/>
          <w:rtl w:val="0"/>
        </w:rPr>
        <w:t xml:space="preserve"> and consider their non- relationship from such great physical heights. Caracouzinos writes that at the end of the story, after the love had been explored throughout the tale, the couple would marry because of their “reciprocated and symmetrical love”, which, sadly, was not applicable to Petrarch and Laura.</w:t>
      </w:r>
    </w:p>
    <w:p w:rsidR="00000000" w:rsidDel="00000000" w:rsidP="00000000" w:rsidRDefault="00000000" w:rsidRPr="00000000" w14:paraId="0000000E">
      <w:pPr>
        <w:rPr>
          <w:rFonts w:ascii="Times" w:cs="Times" w:eastAsia="Times" w:hAnsi="Times"/>
          <w:sz w:val="24"/>
          <w:szCs w:val="24"/>
        </w:rPr>
      </w:pPr>
      <w:r w:rsidDel="00000000" w:rsidR="00000000" w:rsidRPr="00000000">
        <w:rPr>
          <w:rtl w:val="0"/>
        </w:rPr>
      </w:r>
    </w:p>
    <w:p w:rsidR="00000000" w:rsidDel="00000000" w:rsidP="00000000" w:rsidRDefault="00000000" w:rsidRPr="00000000" w14:paraId="0000000F">
      <w:pPr>
        <w:rPr>
          <w:rFonts w:ascii="Times" w:cs="Times" w:eastAsia="Times" w:hAnsi="Times"/>
          <w:sz w:val="24"/>
          <w:szCs w:val="24"/>
        </w:rPr>
      </w:pPr>
      <w:r w:rsidDel="00000000" w:rsidR="00000000" w:rsidRPr="00000000">
        <w:rPr>
          <w:rFonts w:ascii="Times" w:cs="Times" w:eastAsia="Times" w:hAnsi="Times"/>
          <w:sz w:val="24"/>
          <w:szCs w:val="24"/>
          <w:rtl w:val="0"/>
        </w:rPr>
        <w:t xml:space="preserve">The argument of the text changes throughout, which accurately resembles a humanistic thought pattern. It begins with Petrarch claiming that his “heart was most inclined” toward Italy, and how long it had been since he studied in Bologna, speaking to himself in second person and remarking on “all the changes in your character these intervening years have seen”.</w:t>
      </w:r>
    </w:p>
    <w:p w:rsidR="00000000" w:rsidDel="00000000" w:rsidP="00000000" w:rsidRDefault="00000000" w:rsidRPr="00000000" w14:paraId="00000010">
      <w:pPr>
        <w:rPr>
          <w:rFonts w:ascii="Times" w:cs="Times" w:eastAsia="Times" w:hAnsi="Times"/>
          <w:sz w:val="24"/>
          <w:szCs w:val="24"/>
        </w:rPr>
      </w:pPr>
      <w:r w:rsidDel="00000000" w:rsidR="00000000" w:rsidRPr="00000000">
        <w:rPr>
          <w:rFonts w:ascii="Times" w:cs="Times" w:eastAsia="Times" w:hAnsi="Times"/>
          <w:sz w:val="24"/>
          <w:szCs w:val="24"/>
          <w:rtl w:val="0"/>
        </w:rPr>
        <w:t xml:space="preserve">He then begins to think about Laura, with a prolonged internal argument ensuing about whether he still loves her, quoting the saying “I will hate if I can; if not, I will love against my will.”</w:t>
      </w:r>
    </w:p>
    <w:p w:rsidR="00000000" w:rsidDel="00000000" w:rsidP="00000000" w:rsidRDefault="00000000" w:rsidRPr="00000000" w14:paraId="00000011">
      <w:pPr>
        <w:rPr>
          <w:rFonts w:ascii="Times" w:cs="Times" w:eastAsia="Times" w:hAnsi="Times"/>
          <w:sz w:val="24"/>
          <w:szCs w:val="24"/>
        </w:rPr>
      </w:pPr>
      <w:r w:rsidDel="00000000" w:rsidR="00000000" w:rsidRPr="00000000">
        <w:rPr>
          <w:rFonts w:ascii="Times" w:cs="Times" w:eastAsia="Times" w:hAnsi="Times"/>
          <w:sz w:val="24"/>
          <w:szCs w:val="24"/>
          <w:rtl w:val="0"/>
        </w:rPr>
        <w:t xml:space="preserve">This comparison and amalgamation of love and hate is common within Renaissance literature, as observed by playwright William Shakespeare</w:t>
      </w:r>
      <w:r w:rsidDel="00000000" w:rsidR="00000000" w:rsidRPr="00000000">
        <w:rPr>
          <w:rFonts w:ascii="Times" w:cs="Times" w:eastAsia="Times" w:hAnsi="Times"/>
          <w:sz w:val="24"/>
          <w:szCs w:val="24"/>
          <w:vertAlign w:val="superscript"/>
        </w:rPr>
        <w:footnoteReference w:customMarkFollows="0" w:id="17"/>
      </w:r>
      <w:r w:rsidDel="00000000" w:rsidR="00000000" w:rsidRPr="00000000">
        <w:rPr>
          <w:rFonts w:ascii="Times" w:cs="Times" w:eastAsia="Times" w:hAnsi="Times"/>
          <w:sz w:val="24"/>
          <w:szCs w:val="24"/>
          <w:rtl w:val="0"/>
        </w:rPr>
        <w:t xml:space="preserve"> (who had not yet been born at the time of Petrarch’s ascension of Mount Ventoux) writing in ‘Romeo and Juliet’</w:t>
      </w:r>
      <w:r w:rsidDel="00000000" w:rsidR="00000000" w:rsidRPr="00000000">
        <w:rPr>
          <w:rFonts w:ascii="Times" w:cs="Times" w:eastAsia="Times" w:hAnsi="Times"/>
          <w:sz w:val="24"/>
          <w:szCs w:val="24"/>
          <w:vertAlign w:val="superscript"/>
        </w:rPr>
        <w:footnoteReference w:customMarkFollows="0" w:id="18"/>
      </w:r>
      <w:r w:rsidDel="00000000" w:rsidR="00000000" w:rsidRPr="00000000">
        <w:rPr>
          <w:rFonts w:ascii="Times" w:cs="Times" w:eastAsia="Times" w:hAnsi="Times"/>
          <w:sz w:val="24"/>
          <w:szCs w:val="24"/>
          <w:rtl w:val="0"/>
        </w:rPr>
        <w:t xml:space="preserve"> “My only love sprung from my only hate”.</w:t>
      </w:r>
    </w:p>
    <w:p w:rsidR="00000000" w:rsidDel="00000000" w:rsidP="00000000" w:rsidRDefault="00000000" w:rsidRPr="00000000" w14:paraId="00000012">
      <w:pPr>
        <w:rPr>
          <w:rFonts w:ascii="Times" w:cs="Times" w:eastAsia="Times" w:hAnsi="Times"/>
          <w:sz w:val="24"/>
          <w:szCs w:val="24"/>
        </w:rPr>
      </w:pPr>
      <w:r w:rsidDel="00000000" w:rsidR="00000000" w:rsidRPr="00000000">
        <w:rPr>
          <w:rFonts w:ascii="Times" w:cs="Times" w:eastAsia="Times" w:hAnsi="Times"/>
          <w:sz w:val="24"/>
          <w:szCs w:val="24"/>
          <w:rtl w:val="0"/>
        </w:rPr>
        <w:t xml:space="preserve">Petrarch later concludes that he has evolved in how he manages his feelings of love, and he feels happiness, saying “I rejoiced in my progress”, and turns his attention towards his surroundings upon the mountain, showing great control of his emotions compared to just two paragraphs earlier in the letter, by writing that after “dismissing my anxieties to a more appropriate occasion, I decided to look about me, and see what we had come to see.”</w:t>
      </w:r>
    </w:p>
    <w:p w:rsidR="00000000" w:rsidDel="00000000" w:rsidP="00000000" w:rsidRDefault="00000000" w:rsidRPr="00000000" w14:paraId="00000013">
      <w:pPr>
        <w:rPr>
          <w:rFonts w:ascii="Times" w:cs="Times" w:eastAsia="Times" w:hAnsi="Times"/>
          <w:sz w:val="24"/>
          <w:szCs w:val="24"/>
        </w:rPr>
      </w:pPr>
      <w:r w:rsidDel="00000000" w:rsidR="00000000" w:rsidRPr="00000000">
        <w:rPr>
          <w:rtl w:val="0"/>
        </w:rPr>
      </w:r>
    </w:p>
    <w:p w:rsidR="00000000" w:rsidDel="00000000" w:rsidP="00000000" w:rsidRDefault="00000000" w:rsidRPr="00000000" w14:paraId="00000014">
      <w:pPr>
        <w:rPr>
          <w:rFonts w:ascii="Times" w:cs="Times" w:eastAsia="Times" w:hAnsi="Times"/>
          <w:sz w:val="24"/>
          <w:szCs w:val="24"/>
        </w:rPr>
      </w:pPr>
      <w:r w:rsidDel="00000000" w:rsidR="00000000" w:rsidRPr="00000000">
        <w:rPr>
          <w:rFonts w:ascii="Times" w:cs="Times" w:eastAsia="Times" w:hAnsi="Times"/>
          <w:sz w:val="24"/>
          <w:szCs w:val="24"/>
          <w:rtl w:val="0"/>
        </w:rPr>
        <w:t xml:space="preserve">Although Humanism in the modern day is characteristically atheist</w:t>
      </w:r>
      <w:r w:rsidDel="00000000" w:rsidR="00000000" w:rsidRPr="00000000">
        <w:rPr>
          <w:rFonts w:ascii="Times" w:cs="Times" w:eastAsia="Times" w:hAnsi="Times"/>
          <w:sz w:val="24"/>
          <w:szCs w:val="24"/>
          <w:vertAlign w:val="superscript"/>
        </w:rPr>
        <w:footnoteReference w:customMarkFollows="0" w:id="19"/>
      </w:r>
      <w:r w:rsidDel="00000000" w:rsidR="00000000" w:rsidRPr="00000000">
        <w:rPr>
          <w:rFonts w:ascii="Times" w:cs="Times" w:eastAsia="Times" w:hAnsi="Times"/>
          <w:sz w:val="24"/>
          <w:szCs w:val="24"/>
          <w:rtl w:val="0"/>
        </w:rPr>
        <w:t xml:space="preserve">, during the Renaissance period the concept was that religion should not be the main focus of a well rounded education, but should by no means be neglected</w:t>
      </w:r>
      <w:r w:rsidDel="00000000" w:rsidR="00000000" w:rsidRPr="00000000">
        <w:rPr>
          <w:rFonts w:ascii="Times" w:cs="Times" w:eastAsia="Times" w:hAnsi="Times"/>
          <w:sz w:val="24"/>
          <w:szCs w:val="24"/>
          <w:vertAlign w:val="superscript"/>
        </w:rPr>
        <w:footnoteReference w:customMarkFollows="0" w:id="20"/>
      </w:r>
      <w:r w:rsidDel="00000000" w:rsidR="00000000" w:rsidRPr="00000000">
        <w:rPr>
          <w:rFonts w:ascii="Times" w:cs="Times" w:eastAsia="Times" w:hAnsi="Times"/>
          <w:sz w:val="24"/>
          <w:szCs w:val="24"/>
          <w:rtl w:val="0"/>
        </w:rPr>
        <w:t xml:space="preserve">.</w:t>
      </w:r>
    </w:p>
    <w:p w:rsidR="00000000" w:rsidDel="00000000" w:rsidP="00000000" w:rsidRDefault="00000000" w:rsidRPr="00000000" w14:paraId="00000015">
      <w:pPr>
        <w:rPr>
          <w:rFonts w:ascii="Times" w:cs="Times" w:eastAsia="Times" w:hAnsi="Times"/>
          <w:sz w:val="24"/>
          <w:szCs w:val="24"/>
        </w:rPr>
      </w:pPr>
      <w:r w:rsidDel="00000000" w:rsidR="00000000" w:rsidRPr="00000000">
        <w:rPr>
          <w:rFonts w:ascii="Times" w:cs="Times" w:eastAsia="Times" w:hAnsi="Times"/>
          <w:sz w:val="24"/>
          <w:szCs w:val="24"/>
          <w:rtl w:val="0"/>
        </w:rPr>
        <w:t xml:space="preserve">When considering the changing perspectives towards religion between the 21st century and the Renaissance, it is important to take into account the availability of religious texts, such as the Bible, which took over three years to handwrite, meaning that copies were limited and Christians learnt only the beliefs of their religious leader in Church and ceremonies. However, Johannes Guttenberg began to print Bibles during his printing press</w:t>
      </w:r>
      <w:r w:rsidDel="00000000" w:rsidR="00000000" w:rsidRPr="00000000">
        <w:rPr>
          <w:rFonts w:ascii="Times" w:cs="Times" w:eastAsia="Times" w:hAnsi="Times"/>
          <w:sz w:val="24"/>
          <w:szCs w:val="24"/>
          <w:vertAlign w:val="superscript"/>
        </w:rPr>
        <w:footnoteReference w:customMarkFollows="0" w:id="21"/>
      </w:r>
      <w:r w:rsidDel="00000000" w:rsidR="00000000" w:rsidRPr="00000000">
        <w:rPr>
          <w:rFonts w:ascii="Times" w:cs="Times" w:eastAsia="Times" w:hAnsi="Times"/>
          <w:sz w:val="24"/>
          <w:szCs w:val="24"/>
          <w:rtl w:val="0"/>
        </w:rPr>
        <w:t xml:space="preserve"> in 1450, and by (approximately) 1455, he had produced 180 copies. While this meant that Bibles were more widely available in the vernacular, it took control away from Churches and allowed the general population of readers to form their own conclusions in their own time, which may have caused them to stray from the strict teachings of religious leaders.</w:t>
      </w:r>
    </w:p>
    <w:p w:rsidR="00000000" w:rsidDel="00000000" w:rsidP="00000000" w:rsidRDefault="00000000" w:rsidRPr="00000000" w14:paraId="00000016">
      <w:pPr>
        <w:rPr>
          <w:rFonts w:ascii="Times" w:cs="Times" w:eastAsia="Times" w:hAnsi="Times"/>
          <w:sz w:val="24"/>
          <w:szCs w:val="24"/>
        </w:rPr>
      </w:pPr>
      <w:r w:rsidDel="00000000" w:rsidR="00000000" w:rsidRPr="00000000">
        <w:rPr>
          <w:rFonts w:ascii="Times" w:cs="Times" w:eastAsia="Times" w:hAnsi="Times"/>
          <w:sz w:val="24"/>
          <w:szCs w:val="24"/>
          <w:rtl w:val="0"/>
        </w:rPr>
        <w:t xml:space="preserve">Another humanist scholar from the Renaissance period of Michel De Montaigne</w:t>
      </w:r>
      <w:r w:rsidDel="00000000" w:rsidR="00000000" w:rsidRPr="00000000">
        <w:rPr>
          <w:rFonts w:ascii="Times" w:cs="Times" w:eastAsia="Times" w:hAnsi="Times"/>
          <w:sz w:val="24"/>
          <w:szCs w:val="24"/>
          <w:vertAlign w:val="superscript"/>
        </w:rPr>
        <w:footnoteReference w:customMarkFollows="0" w:id="22"/>
      </w:r>
      <w:r w:rsidDel="00000000" w:rsidR="00000000" w:rsidRPr="00000000">
        <w:rPr>
          <w:rFonts w:ascii="Times" w:cs="Times" w:eastAsia="Times" w:hAnsi="Times"/>
          <w:sz w:val="24"/>
          <w:szCs w:val="24"/>
          <w:rtl w:val="0"/>
        </w:rPr>
        <w:t xml:space="preserve">, whose writings can be compared to Petrarch’s, especially within ‘The Ascent of Mount Ventoux’, where Petrarch’s feelings wander relentlessly as he draws many conclusions within a matter of seconds. De Montaigne mirrors this in his work, ‘On Experience’</w:t>
      </w:r>
      <w:r w:rsidDel="00000000" w:rsidR="00000000" w:rsidRPr="00000000">
        <w:rPr>
          <w:rFonts w:ascii="Times" w:cs="Times" w:eastAsia="Times" w:hAnsi="Times"/>
          <w:sz w:val="24"/>
          <w:szCs w:val="24"/>
          <w:vertAlign w:val="superscript"/>
        </w:rPr>
        <w:footnoteReference w:customMarkFollows="0" w:id="23"/>
      </w:r>
      <w:r w:rsidDel="00000000" w:rsidR="00000000" w:rsidRPr="00000000">
        <w:rPr>
          <w:rFonts w:ascii="Times" w:cs="Times" w:eastAsia="Times" w:hAnsi="Times"/>
          <w:sz w:val="24"/>
          <w:szCs w:val="24"/>
          <w:rtl w:val="0"/>
        </w:rPr>
        <w:t xml:space="preserve">, in which he describes his idiographic approach to humanity in explaining that human beings are all different due to God’s creation, and constantly changing, along with our thoughts and opinions.</w:t>
      </w:r>
    </w:p>
    <w:p w:rsidR="00000000" w:rsidDel="00000000" w:rsidP="00000000" w:rsidRDefault="00000000" w:rsidRPr="00000000" w14:paraId="00000017">
      <w:pPr>
        <w:rPr>
          <w:rFonts w:ascii="Times" w:cs="Times" w:eastAsia="Times" w:hAnsi="Times"/>
          <w:sz w:val="24"/>
          <w:szCs w:val="24"/>
        </w:rPr>
      </w:pPr>
      <w:r w:rsidDel="00000000" w:rsidR="00000000" w:rsidRPr="00000000">
        <w:rPr>
          <w:rFonts w:ascii="Times" w:cs="Times" w:eastAsia="Times" w:hAnsi="Times"/>
          <w:sz w:val="24"/>
          <w:szCs w:val="24"/>
          <w:rtl w:val="0"/>
        </w:rPr>
        <w:t xml:space="preserve">While the short extract of Petrarch’s work cannot reflect all of his beliefs in regards to the socio-economic status of the wider world, it can be argued that his writing is less influential to the politics within the Renaissance era, with scholars such as Juan Luis Vives and Desiderius Erasmus discussing matters such as poverty and equality at length, such as in Vives’ “On Assistance to the Poor”</w:t>
      </w:r>
      <w:r w:rsidDel="00000000" w:rsidR="00000000" w:rsidRPr="00000000">
        <w:rPr>
          <w:rFonts w:ascii="Times" w:cs="Times" w:eastAsia="Times" w:hAnsi="Times"/>
          <w:sz w:val="24"/>
          <w:szCs w:val="24"/>
          <w:vertAlign w:val="superscript"/>
        </w:rPr>
        <w:footnoteReference w:customMarkFollows="0" w:id="24"/>
      </w:r>
      <w:r w:rsidDel="00000000" w:rsidR="00000000" w:rsidRPr="00000000">
        <w:rPr>
          <w:rFonts w:ascii="Times" w:cs="Times" w:eastAsia="Times" w:hAnsi="Times"/>
          <w:sz w:val="24"/>
          <w:szCs w:val="24"/>
          <w:rtl w:val="0"/>
        </w:rPr>
        <w:t xml:space="preserve"> and Erasmus’ “On the Education of a Christian Prince”</w:t>
      </w:r>
      <w:r w:rsidDel="00000000" w:rsidR="00000000" w:rsidRPr="00000000">
        <w:rPr>
          <w:rFonts w:ascii="Times" w:cs="Times" w:eastAsia="Times" w:hAnsi="Times"/>
          <w:sz w:val="24"/>
          <w:szCs w:val="24"/>
          <w:vertAlign w:val="superscript"/>
        </w:rPr>
        <w:footnoteReference w:customMarkFollows="0" w:id="25"/>
      </w:r>
      <w:r w:rsidDel="00000000" w:rsidR="00000000" w:rsidRPr="00000000">
        <w:rPr>
          <w:rFonts w:ascii="Times" w:cs="Times" w:eastAsia="Times" w:hAnsi="Times"/>
          <w:sz w:val="24"/>
          <w:szCs w:val="24"/>
          <w:rtl w:val="0"/>
        </w:rPr>
        <w:t xml:space="preserve">.</w:t>
      </w: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018">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1">
        <w:r w:rsidDel="00000000" w:rsidR="00000000" w:rsidRPr="00000000">
          <w:rPr>
            <w:color w:val="1155cc"/>
            <w:sz w:val="20"/>
            <w:szCs w:val="20"/>
            <w:u w:val="single"/>
            <w:rtl w:val="0"/>
          </w:rPr>
          <w:t xml:space="preserve">https://genealogiesofmodernity.org/journal/2022/10/10/petrarchs-augustinian-view</w:t>
        </w:r>
      </w:hyperlink>
      <w:r w:rsidDel="00000000" w:rsidR="00000000" w:rsidRPr="00000000">
        <w:rPr>
          <w:sz w:val="20"/>
          <w:szCs w:val="20"/>
          <w:rtl w:val="0"/>
        </w:rPr>
        <w:t xml:space="preserve"> </w:t>
      </w:r>
    </w:p>
  </w:footnote>
  <w:footnote w:id="1">
    <w:p w:rsidR="00000000" w:rsidDel="00000000" w:rsidP="00000000" w:rsidRDefault="00000000" w:rsidRPr="00000000" w14:paraId="00000019">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2">
        <w:r w:rsidDel="00000000" w:rsidR="00000000" w:rsidRPr="00000000">
          <w:rPr>
            <w:color w:val="1155cc"/>
            <w:sz w:val="20"/>
            <w:szCs w:val="20"/>
            <w:u w:val="single"/>
            <w:rtl w:val="0"/>
          </w:rPr>
          <w:t xml:space="preserve">https://www.avignon-et-provence.com/en/natural-sites/mont-ventoux</w:t>
        </w:r>
      </w:hyperlink>
      <w:r w:rsidDel="00000000" w:rsidR="00000000" w:rsidRPr="00000000">
        <w:rPr>
          <w:sz w:val="20"/>
          <w:szCs w:val="20"/>
          <w:rtl w:val="0"/>
        </w:rPr>
        <w:t xml:space="preserve"> </w:t>
      </w:r>
    </w:p>
  </w:footnote>
  <w:footnote w:id="2">
    <w:p w:rsidR="00000000" w:rsidDel="00000000" w:rsidP="00000000" w:rsidRDefault="00000000" w:rsidRPr="00000000" w14:paraId="0000001A">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3">
        <w:r w:rsidDel="00000000" w:rsidR="00000000" w:rsidRPr="00000000">
          <w:rPr>
            <w:color w:val="1155cc"/>
            <w:sz w:val="20"/>
            <w:szCs w:val="20"/>
            <w:u w:val="single"/>
            <w:rtl w:val="0"/>
          </w:rPr>
          <w:t xml:space="preserve">https://web.mit.edu/aorlando/www/SaintJohnCHI/Church%20History%20Readings/Petrarch%20-%20Ascent.pdf</w:t>
        </w:r>
      </w:hyperlink>
      <w:r w:rsidDel="00000000" w:rsidR="00000000" w:rsidRPr="00000000">
        <w:rPr>
          <w:sz w:val="20"/>
          <w:szCs w:val="20"/>
          <w:rtl w:val="0"/>
        </w:rPr>
        <w:t xml:space="preserve"> </w:t>
      </w:r>
    </w:p>
  </w:footnote>
  <w:footnote w:id="3">
    <w:p w:rsidR="00000000" w:rsidDel="00000000" w:rsidP="00000000" w:rsidRDefault="00000000" w:rsidRPr="00000000" w14:paraId="0000001B">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4">
        <w:r w:rsidDel="00000000" w:rsidR="00000000" w:rsidRPr="00000000">
          <w:rPr>
            <w:color w:val="1155cc"/>
            <w:sz w:val="20"/>
            <w:szCs w:val="20"/>
            <w:u w:val="single"/>
            <w:rtl w:val="0"/>
          </w:rPr>
          <w:t xml:space="preserve">https://thosewhowander.substack.com/p/because-it-is-there-on-humanism-francesco</w:t>
        </w:r>
      </w:hyperlink>
      <w:r w:rsidDel="00000000" w:rsidR="00000000" w:rsidRPr="00000000">
        <w:rPr>
          <w:sz w:val="20"/>
          <w:szCs w:val="20"/>
          <w:rtl w:val="0"/>
        </w:rPr>
        <w:t xml:space="preserve"> </w:t>
      </w:r>
    </w:p>
  </w:footnote>
  <w:footnote w:id="5">
    <w:p w:rsidR="00000000" w:rsidDel="00000000" w:rsidP="00000000" w:rsidRDefault="00000000" w:rsidRPr="00000000" w14:paraId="0000001C">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5">
        <w:r w:rsidDel="00000000" w:rsidR="00000000" w:rsidRPr="00000000">
          <w:rPr>
            <w:color w:val="1155cc"/>
            <w:sz w:val="20"/>
            <w:szCs w:val="20"/>
            <w:u w:val="single"/>
            <w:rtl w:val="0"/>
          </w:rPr>
          <w:t xml:space="preserve">https://history.hanover.edu/texts/petrarch/pet12.html</w:t>
        </w:r>
      </w:hyperlink>
      <w:r w:rsidDel="00000000" w:rsidR="00000000" w:rsidRPr="00000000">
        <w:rPr>
          <w:sz w:val="20"/>
          <w:szCs w:val="20"/>
          <w:rtl w:val="0"/>
        </w:rPr>
        <w:t xml:space="preserve"> </w:t>
      </w:r>
    </w:p>
  </w:footnote>
  <w:footnote w:id="6">
    <w:p w:rsidR="00000000" w:rsidDel="00000000" w:rsidP="00000000" w:rsidRDefault="00000000" w:rsidRPr="00000000" w14:paraId="0000001D">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6">
        <w:r w:rsidDel="00000000" w:rsidR="00000000" w:rsidRPr="00000000">
          <w:rPr>
            <w:color w:val="1155cc"/>
            <w:sz w:val="20"/>
            <w:szCs w:val="20"/>
            <w:u w:val="single"/>
            <w:rtl w:val="0"/>
          </w:rPr>
          <w:t xml:space="preserve">https://www.penguin.co.uk/authors/205997/homer</w:t>
        </w:r>
      </w:hyperlink>
      <w:r w:rsidDel="00000000" w:rsidR="00000000" w:rsidRPr="00000000">
        <w:rPr>
          <w:sz w:val="20"/>
          <w:szCs w:val="20"/>
          <w:rtl w:val="0"/>
        </w:rPr>
        <w:t xml:space="preserve"> </w:t>
      </w:r>
    </w:p>
  </w:footnote>
  <w:footnote w:id="7">
    <w:p w:rsidR="00000000" w:rsidDel="00000000" w:rsidP="00000000" w:rsidRDefault="00000000" w:rsidRPr="00000000" w14:paraId="0000001E">
      <w:pPr>
        <w:spacing w:line="240" w:lineRule="auto"/>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7">
        <w:r w:rsidDel="00000000" w:rsidR="00000000" w:rsidRPr="00000000">
          <w:rPr>
            <w:color w:val="1155cc"/>
            <w:sz w:val="20"/>
            <w:szCs w:val="20"/>
            <w:u w:val="single"/>
            <w:rtl w:val="0"/>
          </w:rPr>
          <w:t xml:space="preserve">https://shop.penguin.co.uk/products/the-iliad-by-homer?srsltid=AfmBOoqQHW2-CkZfoF_1R3u80_cD4llny96zkqUkrnq7D3I2xIx3WYW3</w:t>
        </w:r>
      </w:hyperlink>
      <w:r w:rsidDel="00000000" w:rsidR="00000000" w:rsidRPr="00000000">
        <w:rPr>
          <w:rtl w:val="0"/>
        </w:rPr>
        <w:t xml:space="preserve"> </w:t>
      </w:r>
      <w:r w:rsidDel="00000000" w:rsidR="00000000" w:rsidRPr="00000000">
        <w:rPr>
          <w:rtl w:val="0"/>
        </w:rPr>
      </w:r>
    </w:p>
  </w:footnote>
  <w:footnote w:id="8">
    <w:p w:rsidR="00000000" w:rsidDel="00000000" w:rsidP="00000000" w:rsidRDefault="00000000" w:rsidRPr="00000000" w14:paraId="0000001F">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8">
        <w:r w:rsidDel="00000000" w:rsidR="00000000" w:rsidRPr="00000000">
          <w:rPr>
            <w:color w:val="1155cc"/>
            <w:sz w:val="20"/>
            <w:szCs w:val="20"/>
            <w:u w:val="single"/>
            <w:rtl w:val="0"/>
          </w:rPr>
          <w:t xml:space="preserve">https://classics.mit.edu/Homer/odyssey.html</w:t>
        </w:r>
      </w:hyperlink>
      <w:r w:rsidDel="00000000" w:rsidR="00000000" w:rsidRPr="00000000">
        <w:rPr>
          <w:sz w:val="20"/>
          <w:szCs w:val="20"/>
          <w:rtl w:val="0"/>
        </w:rPr>
        <w:t xml:space="preserve"> </w:t>
      </w:r>
    </w:p>
  </w:footnote>
  <w:footnote w:id="9">
    <w:p w:rsidR="00000000" w:rsidDel="00000000" w:rsidP="00000000" w:rsidRDefault="00000000" w:rsidRPr="00000000" w14:paraId="00000020">
      <w:pPr>
        <w:spacing w:line="240" w:lineRule="auto"/>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9">
        <w:r w:rsidDel="00000000" w:rsidR="00000000" w:rsidRPr="00000000">
          <w:rPr>
            <w:color w:val="1155cc"/>
            <w:sz w:val="20"/>
            <w:szCs w:val="20"/>
            <w:u w:val="single"/>
            <w:rtl w:val="0"/>
          </w:rPr>
          <w:t xml:space="preserve">https://www.textkit.com/t/was-homeric-greek-spoken-was-homer-one-single-person/15430</w:t>
        </w:r>
      </w:hyperlink>
      <w:r w:rsidDel="00000000" w:rsidR="00000000" w:rsidRPr="00000000">
        <w:rPr>
          <w:rtl w:val="0"/>
        </w:rPr>
        <w:t xml:space="preserve"> </w:t>
      </w:r>
      <w:r w:rsidDel="00000000" w:rsidR="00000000" w:rsidRPr="00000000">
        <w:rPr>
          <w:rtl w:val="0"/>
        </w:rPr>
      </w:r>
    </w:p>
  </w:footnote>
  <w:footnote w:id="10">
    <w:p w:rsidR="00000000" w:rsidDel="00000000" w:rsidP="00000000" w:rsidRDefault="00000000" w:rsidRPr="00000000" w14:paraId="00000021">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10">
        <w:r w:rsidDel="00000000" w:rsidR="00000000" w:rsidRPr="00000000">
          <w:rPr>
            <w:color w:val="1155cc"/>
            <w:sz w:val="20"/>
            <w:szCs w:val="20"/>
            <w:u w:val="single"/>
            <w:rtl w:val="0"/>
          </w:rPr>
          <w:t xml:space="preserve">https://www.open.ac.uk/blogs/literarytourist/?p=70</w:t>
        </w:r>
      </w:hyperlink>
      <w:r w:rsidDel="00000000" w:rsidR="00000000" w:rsidRPr="00000000">
        <w:rPr>
          <w:sz w:val="20"/>
          <w:szCs w:val="20"/>
          <w:rtl w:val="0"/>
        </w:rPr>
        <w:t xml:space="preserve"> </w:t>
      </w:r>
    </w:p>
  </w:footnote>
  <w:footnote w:id="11">
    <w:p w:rsidR="00000000" w:rsidDel="00000000" w:rsidP="00000000" w:rsidRDefault="00000000" w:rsidRPr="00000000" w14:paraId="00000022">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11">
        <w:r w:rsidDel="00000000" w:rsidR="00000000" w:rsidRPr="00000000">
          <w:rPr>
            <w:color w:val="1155cc"/>
            <w:sz w:val="20"/>
            <w:szCs w:val="20"/>
            <w:u w:val="single"/>
            <w:rtl w:val="0"/>
          </w:rPr>
          <w:t xml:space="preserve">https://web.mit.edu/aorlando/www/SaintJohnCHI/Church%20History%20Readings/Petrarch%20-%20Ascent.pdf</w:t>
        </w:r>
      </w:hyperlink>
      <w:r w:rsidDel="00000000" w:rsidR="00000000" w:rsidRPr="00000000">
        <w:rPr>
          <w:sz w:val="20"/>
          <w:szCs w:val="20"/>
          <w:rtl w:val="0"/>
        </w:rPr>
        <w:t xml:space="preserve"> </w:t>
      </w:r>
    </w:p>
  </w:footnote>
  <w:footnote w:id="13">
    <w:p w:rsidR="00000000" w:rsidDel="00000000" w:rsidP="00000000" w:rsidRDefault="00000000" w:rsidRPr="00000000" w14:paraId="00000023">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12">
        <w:r w:rsidDel="00000000" w:rsidR="00000000" w:rsidRPr="00000000">
          <w:rPr>
            <w:color w:val="1155cc"/>
            <w:sz w:val="20"/>
            <w:szCs w:val="20"/>
            <w:u w:val="single"/>
            <w:rtl w:val="0"/>
          </w:rPr>
          <w:t xml:space="preserve">https://archive.org/details/bim_eighteenth-century_xenophons-ephesian-hist_xenophon-of-ephesus_1727</w:t>
        </w:r>
      </w:hyperlink>
      <w:r w:rsidDel="00000000" w:rsidR="00000000" w:rsidRPr="00000000">
        <w:rPr>
          <w:sz w:val="20"/>
          <w:szCs w:val="20"/>
          <w:rtl w:val="0"/>
        </w:rPr>
        <w:t xml:space="preserve"> </w:t>
      </w:r>
    </w:p>
  </w:footnote>
  <w:footnote w:id="12">
    <w:p w:rsidR="00000000" w:rsidDel="00000000" w:rsidP="00000000" w:rsidRDefault="00000000" w:rsidRPr="00000000" w14:paraId="00000024">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13">
        <w:r w:rsidDel="00000000" w:rsidR="00000000" w:rsidRPr="00000000">
          <w:rPr>
            <w:color w:val="1155cc"/>
            <w:sz w:val="20"/>
            <w:szCs w:val="20"/>
            <w:u w:val="single"/>
            <w:rtl w:val="0"/>
          </w:rPr>
          <w:t xml:space="preserve">https://clairecatacouzinos.wordpress.com/2013/01/17/the-hellenistic-romances-five-surviving-ancient-greek-novels/</w:t>
        </w:r>
      </w:hyperlink>
      <w:r w:rsidDel="00000000" w:rsidR="00000000" w:rsidRPr="00000000">
        <w:rPr>
          <w:sz w:val="20"/>
          <w:szCs w:val="20"/>
          <w:rtl w:val="0"/>
        </w:rPr>
        <w:t xml:space="preserve"> </w:t>
      </w:r>
    </w:p>
  </w:footnote>
  <w:footnote w:id="14">
    <w:p w:rsidR="00000000" w:rsidDel="00000000" w:rsidP="00000000" w:rsidRDefault="00000000" w:rsidRPr="00000000" w14:paraId="00000025">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14">
        <w:r w:rsidDel="00000000" w:rsidR="00000000" w:rsidRPr="00000000">
          <w:rPr>
            <w:color w:val="1155cc"/>
            <w:sz w:val="20"/>
            <w:szCs w:val="20"/>
            <w:u w:val="single"/>
            <w:rtl w:val="0"/>
          </w:rPr>
          <w:t xml:space="preserve">https://web.mit.edu/aorlando/www/SaintJohnCHI/Church%20History%20Readings/Petrarch%20-%20Ascent.pdf</w:t>
        </w:r>
      </w:hyperlink>
      <w:r w:rsidDel="00000000" w:rsidR="00000000" w:rsidRPr="00000000">
        <w:rPr>
          <w:sz w:val="20"/>
          <w:szCs w:val="20"/>
          <w:rtl w:val="0"/>
        </w:rPr>
        <w:t xml:space="preserve"> </w:t>
      </w:r>
    </w:p>
  </w:footnote>
  <w:footnote w:id="15">
    <w:p w:rsidR="00000000" w:rsidDel="00000000" w:rsidP="00000000" w:rsidRDefault="00000000" w:rsidRPr="00000000" w14:paraId="00000026">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15">
        <w:r w:rsidDel="00000000" w:rsidR="00000000" w:rsidRPr="00000000">
          <w:rPr>
            <w:color w:val="1155cc"/>
            <w:sz w:val="20"/>
            <w:szCs w:val="20"/>
            <w:u w:val="single"/>
            <w:rtl w:val="0"/>
          </w:rPr>
          <w:t xml:space="preserve">https://www.poetryfoundation.org/poets/petrarch</w:t>
        </w:r>
      </w:hyperlink>
      <w:r w:rsidDel="00000000" w:rsidR="00000000" w:rsidRPr="00000000">
        <w:rPr>
          <w:sz w:val="20"/>
          <w:szCs w:val="20"/>
          <w:rtl w:val="0"/>
        </w:rPr>
        <w:t xml:space="preserve"> </w:t>
      </w:r>
    </w:p>
  </w:footnote>
  <w:footnote w:id="16">
    <w:p w:rsidR="00000000" w:rsidDel="00000000" w:rsidP="00000000" w:rsidRDefault="00000000" w:rsidRPr="00000000" w14:paraId="00000027">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16">
        <w:r w:rsidDel="00000000" w:rsidR="00000000" w:rsidRPr="00000000">
          <w:rPr>
            <w:color w:val="1155cc"/>
            <w:sz w:val="20"/>
            <w:szCs w:val="20"/>
            <w:u w:val="single"/>
            <w:rtl w:val="0"/>
          </w:rPr>
          <w:t xml:space="preserve">https://www.poetryintranslation.com/PITBR/Italian/Petrarchhome.php</w:t>
        </w:r>
      </w:hyperlink>
      <w:r w:rsidDel="00000000" w:rsidR="00000000" w:rsidRPr="00000000">
        <w:rPr>
          <w:sz w:val="20"/>
          <w:szCs w:val="20"/>
          <w:rtl w:val="0"/>
        </w:rPr>
        <w:t xml:space="preserve"> </w:t>
      </w:r>
    </w:p>
  </w:footnote>
  <w:footnote w:id="4">
    <w:p w:rsidR="00000000" w:rsidDel="00000000" w:rsidP="00000000" w:rsidRDefault="00000000" w:rsidRPr="00000000" w14:paraId="00000028">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17">
        <w:r w:rsidDel="00000000" w:rsidR="00000000" w:rsidRPr="00000000">
          <w:rPr>
            <w:color w:val="1155cc"/>
            <w:sz w:val="20"/>
            <w:szCs w:val="20"/>
            <w:u w:val="single"/>
            <w:rtl w:val="0"/>
          </w:rPr>
          <w:t xml:space="preserve">https://web.mit.edu/aorlando/www/SaintJohnCHI/Church%20History%20Readings/Petrarch%20-%20Ascent.pdf</w:t>
        </w:r>
      </w:hyperlink>
      <w:r w:rsidDel="00000000" w:rsidR="00000000" w:rsidRPr="00000000">
        <w:rPr>
          <w:sz w:val="20"/>
          <w:szCs w:val="20"/>
          <w:rtl w:val="0"/>
        </w:rPr>
        <w:t xml:space="preserve"> </w:t>
      </w:r>
    </w:p>
  </w:footnote>
  <w:footnote w:id="17">
    <w:p w:rsidR="00000000" w:rsidDel="00000000" w:rsidP="00000000" w:rsidRDefault="00000000" w:rsidRPr="00000000" w14:paraId="00000029">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18">
        <w:r w:rsidDel="00000000" w:rsidR="00000000" w:rsidRPr="00000000">
          <w:rPr>
            <w:color w:val="1155cc"/>
            <w:sz w:val="20"/>
            <w:szCs w:val="20"/>
            <w:u w:val="single"/>
            <w:rtl w:val="0"/>
          </w:rPr>
          <w:t xml:space="preserve">https://www.shakespeare.org.uk/explore-shakespeare/shakespedia/william-shakespeare/william-shakespeare-biography/</w:t>
        </w:r>
      </w:hyperlink>
      <w:r w:rsidDel="00000000" w:rsidR="00000000" w:rsidRPr="00000000">
        <w:rPr>
          <w:sz w:val="20"/>
          <w:szCs w:val="20"/>
          <w:rtl w:val="0"/>
        </w:rPr>
        <w:t xml:space="preserve"> </w:t>
      </w:r>
    </w:p>
  </w:footnote>
  <w:footnote w:id="18">
    <w:p w:rsidR="00000000" w:rsidDel="00000000" w:rsidP="00000000" w:rsidRDefault="00000000" w:rsidRPr="00000000" w14:paraId="0000002A">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19">
        <w:r w:rsidDel="00000000" w:rsidR="00000000" w:rsidRPr="00000000">
          <w:rPr>
            <w:color w:val="1155cc"/>
            <w:sz w:val="20"/>
            <w:szCs w:val="20"/>
            <w:u w:val="single"/>
            <w:rtl w:val="0"/>
          </w:rPr>
          <w:t xml:space="preserve">https://www.folger.edu/explore/shakespeares-works/romeo-and-juliet/read/</w:t>
        </w:r>
      </w:hyperlink>
      <w:r w:rsidDel="00000000" w:rsidR="00000000" w:rsidRPr="00000000">
        <w:rPr>
          <w:sz w:val="20"/>
          <w:szCs w:val="20"/>
          <w:rtl w:val="0"/>
        </w:rPr>
        <w:t xml:space="preserve"> </w:t>
      </w:r>
    </w:p>
  </w:footnote>
  <w:footnote w:id="19">
    <w:p w:rsidR="00000000" w:rsidDel="00000000" w:rsidP="00000000" w:rsidRDefault="00000000" w:rsidRPr="00000000" w14:paraId="0000002B">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20">
        <w:r w:rsidDel="00000000" w:rsidR="00000000" w:rsidRPr="00000000">
          <w:rPr>
            <w:color w:val="1155cc"/>
            <w:sz w:val="20"/>
            <w:szCs w:val="20"/>
            <w:u w:val="single"/>
            <w:rtl w:val="0"/>
          </w:rPr>
          <w:t xml:space="preserve">https://understandinghumanism.org.uk/wp-content/uploads/2021/10/Atheists-agnostics-and-humanists-11.pdf</w:t>
        </w:r>
      </w:hyperlink>
      <w:r w:rsidDel="00000000" w:rsidR="00000000" w:rsidRPr="00000000">
        <w:rPr>
          <w:sz w:val="20"/>
          <w:szCs w:val="20"/>
          <w:rtl w:val="0"/>
        </w:rPr>
        <w:t xml:space="preserve"> </w:t>
      </w:r>
    </w:p>
  </w:footnote>
  <w:footnote w:id="20">
    <w:p w:rsidR="00000000" w:rsidDel="00000000" w:rsidP="00000000" w:rsidRDefault="00000000" w:rsidRPr="00000000" w14:paraId="0000002C">
      <w:pPr>
        <w:spacing w:line="240" w:lineRule="auto"/>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21">
        <w:r w:rsidDel="00000000" w:rsidR="00000000" w:rsidRPr="00000000">
          <w:rPr>
            <w:color w:val="1155cc"/>
            <w:sz w:val="20"/>
            <w:szCs w:val="20"/>
            <w:u w:val="single"/>
            <w:rtl w:val="0"/>
          </w:rPr>
          <w:t xml:space="preserve">https://www.worldhistory.org/Renaissance_Humanism/</w:t>
        </w:r>
      </w:hyperlink>
      <w:r w:rsidDel="00000000" w:rsidR="00000000" w:rsidRPr="00000000">
        <w:rPr>
          <w:rtl w:val="0"/>
        </w:rPr>
        <w:t xml:space="preserve"> </w:t>
      </w:r>
      <w:r w:rsidDel="00000000" w:rsidR="00000000" w:rsidRPr="00000000">
        <w:rPr>
          <w:rtl w:val="0"/>
        </w:rPr>
      </w:r>
    </w:p>
  </w:footnote>
  <w:footnote w:id="21">
    <w:p w:rsidR="00000000" w:rsidDel="00000000" w:rsidP="00000000" w:rsidRDefault="00000000" w:rsidRPr="00000000" w14:paraId="0000002D">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22">
        <w:r w:rsidDel="00000000" w:rsidR="00000000" w:rsidRPr="00000000">
          <w:rPr>
            <w:color w:val="1155cc"/>
            <w:sz w:val="20"/>
            <w:szCs w:val="20"/>
            <w:u w:val="single"/>
            <w:rtl w:val="0"/>
          </w:rPr>
          <w:t xml:space="preserve">https://www.britannica.com/biography/Johannes-Gutenberg</w:t>
        </w:r>
      </w:hyperlink>
      <w:r w:rsidDel="00000000" w:rsidR="00000000" w:rsidRPr="00000000">
        <w:rPr>
          <w:sz w:val="20"/>
          <w:szCs w:val="20"/>
          <w:rtl w:val="0"/>
        </w:rPr>
        <w:t xml:space="preserve"> </w:t>
      </w:r>
    </w:p>
  </w:footnote>
  <w:footnote w:id="22">
    <w:p w:rsidR="00000000" w:rsidDel="00000000" w:rsidP="00000000" w:rsidRDefault="00000000" w:rsidRPr="00000000" w14:paraId="0000002E">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23">
        <w:r w:rsidDel="00000000" w:rsidR="00000000" w:rsidRPr="00000000">
          <w:rPr>
            <w:color w:val="1155cc"/>
            <w:sz w:val="20"/>
            <w:szCs w:val="20"/>
            <w:u w:val="single"/>
            <w:rtl w:val="0"/>
          </w:rPr>
          <w:t xml:space="preserve">https://www.britannica.com/biography/Michel-de-Montaigne</w:t>
        </w:r>
      </w:hyperlink>
      <w:r w:rsidDel="00000000" w:rsidR="00000000" w:rsidRPr="00000000">
        <w:rPr>
          <w:sz w:val="20"/>
          <w:szCs w:val="20"/>
          <w:rtl w:val="0"/>
        </w:rPr>
        <w:t xml:space="preserve"> </w:t>
      </w:r>
    </w:p>
  </w:footnote>
  <w:footnote w:id="23">
    <w:p w:rsidR="00000000" w:rsidDel="00000000" w:rsidP="00000000" w:rsidRDefault="00000000" w:rsidRPr="00000000" w14:paraId="0000002F">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24">
        <w:r w:rsidDel="00000000" w:rsidR="00000000" w:rsidRPr="00000000">
          <w:rPr>
            <w:color w:val="1155cc"/>
            <w:sz w:val="20"/>
            <w:szCs w:val="20"/>
            <w:u w:val="single"/>
            <w:rtl w:val="0"/>
          </w:rPr>
          <w:t xml:space="preserve">https://hyperessays.net/essays/on-experience/</w:t>
        </w:r>
      </w:hyperlink>
      <w:r w:rsidDel="00000000" w:rsidR="00000000" w:rsidRPr="00000000">
        <w:rPr>
          <w:sz w:val="20"/>
          <w:szCs w:val="20"/>
          <w:rtl w:val="0"/>
        </w:rPr>
        <w:t xml:space="preserve"> </w:t>
      </w:r>
    </w:p>
  </w:footnote>
  <w:footnote w:id="24">
    <w:p w:rsidR="00000000" w:rsidDel="00000000" w:rsidP="00000000" w:rsidRDefault="00000000" w:rsidRPr="00000000" w14:paraId="00000030">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25">
        <w:r w:rsidDel="00000000" w:rsidR="00000000" w:rsidRPr="00000000">
          <w:rPr>
            <w:color w:val="1155cc"/>
            <w:sz w:val="20"/>
            <w:szCs w:val="20"/>
            <w:u w:val="single"/>
            <w:rtl w:val="0"/>
          </w:rPr>
          <w:t xml:space="preserve">https://publiconsulting.com/spanishclassicbooks/juan-luis-vives-on-assistance-to-the-poor/</w:t>
        </w:r>
      </w:hyperlink>
      <w:r w:rsidDel="00000000" w:rsidR="00000000" w:rsidRPr="00000000">
        <w:rPr>
          <w:sz w:val="20"/>
          <w:szCs w:val="20"/>
          <w:rtl w:val="0"/>
        </w:rPr>
        <w:t xml:space="preserve"> </w:t>
      </w:r>
    </w:p>
  </w:footnote>
  <w:footnote w:id="25">
    <w:p w:rsidR="00000000" w:rsidDel="00000000" w:rsidP="00000000" w:rsidRDefault="00000000" w:rsidRPr="00000000" w14:paraId="00000031">
      <w:pPr>
        <w:spacing w:line="240" w:lineRule="auto"/>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26">
        <w:r w:rsidDel="00000000" w:rsidR="00000000" w:rsidRPr="00000000">
          <w:rPr>
            <w:color w:val="1155cc"/>
            <w:sz w:val="20"/>
            <w:szCs w:val="20"/>
            <w:u w:val="single"/>
            <w:rtl w:val="0"/>
          </w:rPr>
          <w:t xml:space="preserve">https://www.amazon.co.uk/Erasmus-Education-Christian-Panegyric-Cambridge/dp/0521588111</w:t>
        </w:r>
      </w:hyperlink>
      <w:r w:rsidDel="00000000" w:rsidR="00000000" w:rsidRPr="00000000">
        <w:rPr>
          <w:rtl w:val="0"/>
        </w:rPr>
        <w:t xml:space="preserve"> </w:t>
      </w:r>
      <w:r w:rsidDel="00000000" w:rsidR="00000000" w:rsidRPr="00000000">
        <w:rPr>
          <w:rtl w:val="0"/>
        </w:rPr>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styles" Target="styles.xml"/></Relationships>
</file>

<file path=word/_rels/footnotes.xml.rels><?xml version="1.0" encoding="UTF-8" standalone="yes"?><Relationships xmlns="http://schemas.openxmlformats.org/package/2006/relationships"><Relationship Id="rId20" Type="http://schemas.openxmlformats.org/officeDocument/2006/relationships/hyperlink" Target="https://understandinghumanism.org.uk/wp-content/uploads/2021/10/Atheists-agnostics-and-humanists-11.pdf" TargetMode="External"/><Relationship Id="rId22" Type="http://schemas.openxmlformats.org/officeDocument/2006/relationships/hyperlink" Target="https://www.britannica.com/biography/Johannes-Gutenberg" TargetMode="External"/><Relationship Id="rId21" Type="http://schemas.openxmlformats.org/officeDocument/2006/relationships/hyperlink" Target="https://www.worldhistory.org/Renaissance_Humanism/" TargetMode="External"/><Relationship Id="rId24" Type="http://schemas.openxmlformats.org/officeDocument/2006/relationships/hyperlink" Target="https://hyperessays.net/essays/on-experience/" TargetMode="External"/><Relationship Id="rId23" Type="http://schemas.openxmlformats.org/officeDocument/2006/relationships/hyperlink" Target="https://www.britannica.com/biography/Michel-de-Montaigne" TargetMode="External"/><Relationship Id="rId1" Type="http://schemas.openxmlformats.org/officeDocument/2006/relationships/hyperlink" Target="https://genealogiesofmodernity.org/journal/2022/10/10/petrarchs-augustinian-view" TargetMode="External"/><Relationship Id="rId2" Type="http://schemas.openxmlformats.org/officeDocument/2006/relationships/hyperlink" Target="https://www.avignon-et-provence.com/en/natural-sites/mont-ventoux" TargetMode="External"/><Relationship Id="rId3" Type="http://schemas.openxmlformats.org/officeDocument/2006/relationships/hyperlink" Target="https://web.mit.edu/aorlando/www/SaintJohnCHI/Church%20History%20Readings/Petrarch%20-%20Ascent.pdf" TargetMode="External"/><Relationship Id="rId4" Type="http://schemas.openxmlformats.org/officeDocument/2006/relationships/hyperlink" Target="https://thosewhowander.substack.com/p/because-it-is-there-on-humanism-francesco" TargetMode="External"/><Relationship Id="rId9" Type="http://schemas.openxmlformats.org/officeDocument/2006/relationships/hyperlink" Target="https://www.textkit.com/t/was-homeric-greek-spoken-was-homer-one-single-person/15430" TargetMode="External"/><Relationship Id="rId26" Type="http://schemas.openxmlformats.org/officeDocument/2006/relationships/hyperlink" Target="https://www.amazon.co.uk/Erasmus-Education-Christian-Panegyric-Cambridge/dp/0521588111" TargetMode="External"/><Relationship Id="rId25" Type="http://schemas.openxmlformats.org/officeDocument/2006/relationships/hyperlink" Target="https://publiconsulting.com/spanishclassicbooks/juan-luis-vives-on-assistance-to-the-poor/" TargetMode="External"/><Relationship Id="rId5" Type="http://schemas.openxmlformats.org/officeDocument/2006/relationships/hyperlink" Target="https://history.hanover.edu/texts/petrarch/pet12.html" TargetMode="External"/><Relationship Id="rId6" Type="http://schemas.openxmlformats.org/officeDocument/2006/relationships/hyperlink" Target="https://www.penguin.co.uk/authors/205997/homer" TargetMode="External"/><Relationship Id="rId7" Type="http://schemas.openxmlformats.org/officeDocument/2006/relationships/hyperlink" Target="https://shop.penguin.co.uk/products/the-iliad-by-homer?srsltid=AfmBOoqQHW2-CkZfoF_1R3u80_cD4llny96zkqUkrnq7D3I2xIx3WYW3" TargetMode="External"/><Relationship Id="rId8" Type="http://schemas.openxmlformats.org/officeDocument/2006/relationships/hyperlink" Target="https://classics.mit.edu/Homer/odyssey.html" TargetMode="External"/><Relationship Id="rId11" Type="http://schemas.openxmlformats.org/officeDocument/2006/relationships/hyperlink" Target="https://web.mit.edu/aorlando/www/SaintJohnCHI/Church%20History%20Readings/Petrarch%20-%20Ascent.pdf" TargetMode="External"/><Relationship Id="rId10" Type="http://schemas.openxmlformats.org/officeDocument/2006/relationships/hyperlink" Target="https://www.open.ac.uk/blogs/literarytourist/?p=70" TargetMode="External"/><Relationship Id="rId13" Type="http://schemas.openxmlformats.org/officeDocument/2006/relationships/hyperlink" Target="https://clairecatacouzinos.wordpress.com/2013/01/17/the-hellenistic-romances-five-surviving-ancient-greek-novels/" TargetMode="External"/><Relationship Id="rId12" Type="http://schemas.openxmlformats.org/officeDocument/2006/relationships/hyperlink" Target="https://archive.org/details/bim_eighteenth-century_xenophons-ephesian-hist_xenophon-of-ephesus_1727" TargetMode="External"/><Relationship Id="rId15" Type="http://schemas.openxmlformats.org/officeDocument/2006/relationships/hyperlink" Target="https://www.poetryfoundation.org/poets/petrarch" TargetMode="External"/><Relationship Id="rId14" Type="http://schemas.openxmlformats.org/officeDocument/2006/relationships/hyperlink" Target="https://web.mit.edu/aorlando/www/SaintJohnCHI/Church%20History%20Readings/Petrarch%20-%20Ascent.pdf" TargetMode="External"/><Relationship Id="rId17" Type="http://schemas.openxmlformats.org/officeDocument/2006/relationships/hyperlink" Target="https://web.mit.edu/aorlando/www/SaintJohnCHI/Church%20History%20Readings/Petrarch%20-%20Ascent.pdf" TargetMode="External"/><Relationship Id="rId16" Type="http://schemas.openxmlformats.org/officeDocument/2006/relationships/hyperlink" Target="https://www.poetryintranslation.com/PITBR/Italian/Petrarchhome.php" TargetMode="External"/><Relationship Id="rId19" Type="http://schemas.openxmlformats.org/officeDocument/2006/relationships/hyperlink" Target="https://www.folger.edu/explore/shakespeares-works/romeo-and-juliet/read/" TargetMode="External"/><Relationship Id="rId18" Type="http://schemas.openxmlformats.org/officeDocument/2006/relationships/hyperlink" Target="https://www.shakespeare.org.uk/explore-shakespeare/shakespedia/william-shakespeare/william-shakespeare-biograph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