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37DED" w14:textId="77777777" w:rsidR="009D27C8" w:rsidRDefault="008D6DD5">
      <w:pPr>
        <w:jc w:val="center"/>
        <w:rPr>
          <w:b/>
          <w:bCs/>
          <w:sz w:val="36"/>
          <w:szCs w:val="36"/>
        </w:rPr>
      </w:pPr>
      <w:r>
        <w:rPr>
          <w:b/>
          <w:bCs/>
          <w:sz w:val="36"/>
          <w:szCs w:val="36"/>
        </w:rPr>
        <w:t>BA (Hons) Leadership and Management skills in the workplace</w:t>
      </w:r>
    </w:p>
    <w:p w14:paraId="3E037DEE" w14:textId="77777777" w:rsidR="009D27C8" w:rsidRDefault="009D27C8">
      <w:pPr>
        <w:jc w:val="center"/>
        <w:rPr>
          <w:sz w:val="28"/>
          <w:szCs w:val="28"/>
        </w:rPr>
      </w:pPr>
    </w:p>
    <w:p w14:paraId="3E037DEF" w14:textId="77777777" w:rsidR="009D27C8" w:rsidRDefault="008D6DD5">
      <w:pPr>
        <w:jc w:val="center"/>
        <w:rPr>
          <w:sz w:val="32"/>
          <w:szCs w:val="32"/>
        </w:rPr>
      </w:pPr>
      <w:r>
        <w:rPr>
          <w:sz w:val="32"/>
          <w:szCs w:val="32"/>
        </w:rPr>
        <w:t>Student name: Mark Samuels</w:t>
      </w:r>
    </w:p>
    <w:p w14:paraId="3E037DF0" w14:textId="77777777" w:rsidR="009D27C8" w:rsidRDefault="009D27C8">
      <w:pPr>
        <w:jc w:val="center"/>
        <w:rPr>
          <w:sz w:val="32"/>
          <w:szCs w:val="32"/>
        </w:rPr>
      </w:pPr>
    </w:p>
    <w:p w14:paraId="3E037DF1" w14:textId="77777777" w:rsidR="009D27C8" w:rsidRDefault="009D27C8">
      <w:pPr>
        <w:jc w:val="center"/>
        <w:rPr>
          <w:sz w:val="32"/>
          <w:szCs w:val="32"/>
        </w:rPr>
      </w:pPr>
    </w:p>
    <w:p w14:paraId="3E037DF2" w14:textId="77777777" w:rsidR="009D27C8" w:rsidRDefault="008D6DD5">
      <w:pPr>
        <w:jc w:val="center"/>
        <w:rPr>
          <w:sz w:val="32"/>
          <w:szCs w:val="32"/>
        </w:rPr>
      </w:pPr>
      <w:r>
        <w:rPr>
          <w:sz w:val="32"/>
          <w:szCs w:val="32"/>
        </w:rPr>
        <w:t>Student number:  2318279</w:t>
      </w:r>
    </w:p>
    <w:p w14:paraId="3E037DF3" w14:textId="77777777" w:rsidR="009D27C8" w:rsidRDefault="009D27C8">
      <w:pPr>
        <w:jc w:val="center"/>
        <w:rPr>
          <w:sz w:val="32"/>
          <w:szCs w:val="32"/>
        </w:rPr>
      </w:pPr>
    </w:p>
    <w:p w14:paraId="3E037DF4" w14:textId="77777777" w:rsidR="009D27C8" w:rsidRDefault="009D27C8">
      <w:pPr>
        <w:jc w:val="center"/>
        <w:rPr>
          <w:sz w:val="32"/>
          <w:szCs w:val="32"/>
        </w:rPr>
      </w:pPr>
    </w:p>
    <w:p w14:paraId="3E037DF5" w14:textId="77777777" w:rsidR="009D27C8" w:rsidRDefault="008D6DD5">
      <w:pPr>
        <w:jc w:val="center"/>
        <w:rPr>
          <w:sz w:val="32"/>
          <w:szCs w:val="32"/>
        </w:rPr>
      </w:pPr>
      <w:r>
        <w:rPr>
          <w:sz w:val="32"/>
          <w:szCs w:val="32"/>
        </w:rPr>
        <w:t>Course name: Project Management</w:t>
      </w:r>
    </w:p>
    <w:p w14:paraId="3E037DF6" w14:textId="77777777" w:rsidR="009D27C8" w:rsidRDefault="009D27C8">
      <w:pPr>
        <w:jc w:val="center"/>
        <w:rPr>
          <w:sz w:val="32"/>
          <w:szCs w:val="32"/>
        </w:rPr>
      </w:pPr>
    </w:p>
    <w:p w14:paraId="3E037DF7" w14:textId="77777777" w:rsidR="009D27C8" w:rsidRDefault="009D27C8">
      <w:pPr>
        <w:jc w:val="center"/>
        <w:rPr>
          <w:sz w:val="32"/>
          <w:szCs w:val="32"/>
        </w:rPr>
      </w:pPr>
    </w:p>
    <w:p w14:paraId="3E037DF8" w14:textId="77777777" w:rsidR="009D27C8" w:rsidRDefault="008D6DD5">
      <w:pPr>
        <w:jc w:val="center"/>
        <w:rPr>
          <w:sz w:val="32"/>
          <w:szCs w:val="32"/>
        </w:rPr>
      </w:pPr>
      <w:r>
        <w:rPr>
          <w:sz w:val="32"/>
          <w:szCs w:val="32"/>
        </w:rPr>
        <w:t xml:space="preserve">Lecturer: </w:t>
      </w:r>
      <w:proofErr w:type="spellStart"/>
      <w:r>
        <w:rPr>
          <w:sz w:val="32"/>
          <w:szCs w:val="32"/>
        </w:rPr>
        <w:t>Rexon</w:t>
      </w:r>
      <w:proofErr w:type="spellEnd"/>
      <w:r>
        <w:rPr>
          <w:sz w:val="32"/>
          <w:szCs w:val="32"/>
        </w:rPr>
        <w:t xml:space="preserve"> </w:t>
      </w:r>
      <w:proofErr w:type="spellStart"/>
      <w:r>
        <w:rPr>
          <w:sz w:val="32"/>
          <w:szCs w:val="32"/>
        </w:rPr>
        <w:t>Nting</w:t>
      </w:r>
      <w:proofErr w:type="spellEnd"/>
    </w:p>
    <w:p w14:paraId="3E037DF9" w14:textId="77777777" w:rsidR="009D27C8" w:rsidRDefault="009D27C8">
      <w:pPr>
        <w:jc w:val="center"/>
        <w:rPr>
          <w:sz w:val="32"/>
          <w:szCs w:val="32"/>
        </w:rPr>
      </w:pPr>
    </w:p>
    <w:p w14:paraId="3E037DFA" w14:textId="77777777" w:rsidR="009D27C8" w:rsidRDefault="009D27C8">
      <w:pPr>
        <w:jc w:val="center"/>
        <w:rPr>
          <w:sz w:val="32"/>
          <w:szCs w:val="32"/>
        </w:rPr>
      </w:pPr>
    </w:p>
    <w:p w14:paraId="3E037DFB" w14:textId="77777777" w:rsidR="009D27C8" w:rsidRDefault="008D6DD5">
      <w:pPr>
        <w:jc w:val="center"/>
        <w:rPr>
          <w:sz w:val="32"/>
          <w:szCs w:val="32"/>
        </w:rPr>
      </w:pPr>
      <w:r>
        <w:rPr>
          <w:sz w:val="32"/>
          <w:szCs w:val="32"/>
        </w:rPr>
        <w:t>Session: February 2025 term</w:t>
      </w:r>
    </w:p>
    <w:p w14:paraId="3E037DFC" w14:textId="77777777" w:rsidR="009D27C8" w:rsidRDefault="009D27C8">
      <w:pPr>
        <w:pageBreakBefore/>
        <w:suppressAutoHyphens w:val="0"/>
        <w:rPr>
          <w:sz w:val="32"/>
          <w:szCs w:val="32"/>
        </w:rPr>
      </w:pPr>
    </w:p>
    <w:p w14:paraId="3E037DFD" w14:textId="05077C6F" w:rsidR="009D27C8" w:rsidRDefault="008D6DD5" w:rsidP="00266944">
      <w:pPr>
        <w:rPr>
          <w:sz w:val="32"/>
          <w:szCs w:val="32"/>
        </w:rPr>
      </w:pPr>
      <w:r>
        <w:rPr>
          <w:sz w:val="32"/>
          <w:szCs w:val="32"/>
        </w:rPr>
        <w:t>Part A</w:t>
      </w:r>
      <w:r w:rsidR="00A01E3C">
        <w:rPr>
          <w:sz w:val="32"/>
          <w:szCs w:val="32"/>
        </w:rPr>
        <w:t xml:space="preserve"> - Poster</w:t>
      </w:r>
    </w:p>
    <w:p w14:paraId="3E037DFE" w14:textId="77777777" w:rsidR="009D27C8" w:rsidRDefault="008D6DD5">
      <w:pPr>
        <w:jc w:val="center"/>
      </w:pPr>
      <w:r>
        <w:rPr>
          <w:noProof/>
        </w:rPr>
        <w:drawing>
          <wp:inline distT="0" distB="0" distL="0" distR="0" wp14:anchorId="3E037DED" wp14:editId="02F6D13A">
            <wp:extent cx="6200771" cy="6067425"/>
            <wp:effectExtent l="0" t="0" r="0" b="0"/>
            <wp:docPr id="1864375633"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l="25759" t="23645" r="11422" b="13990"/>
                    <a:stretch>
                      <a:fillRect/>
                    </a:stretch>
                  </pic:blipFill>
                  <pic:spPr>
                    <a:xfrm>
                      <a:off x="0" y="0"/>
                      <a:ext cx="6216570" cy="6082884"/>
                    </a:xfrm>
                    <a:prstGeom prst="rect">
                      <a:avLst/>
                    </a:prstGeom>
                    <a:noFill/>
                    <a:ln>
                      <a:noFill/>
                      <a:prstDash/>
                    </a:ln>
                  </pic:spPr>
                </pic:pic>
              </a:graphicData>
            </a:graphic>
          </wp:inline>
        </w:drawing>
      </w:r>
    </w:p>
    <w:p w14:paraId="3E037DFF" w14:textId="77777777" w:rsidR="009D27C8" w:rsidRDefault="009D27C8">
      <w:pPr>
        <w:pageBreakBefore/>
        <w:suppressAutoHyphens w:val="0"/>
        <w:rPr>
          <w:sz w:val="28"/>
          <w:szCs w:val="28"/>
          <w:u w:val="single"/>
        </w:rPr>
      </w:pPr>
    </w:p>
    <w:p w14:paraId="3E037E00" w14:textId="65E20D4D" w:rsidR="009D27C8" w:rsidRDefault="008D6DD5">
      <w:pPr>
        <w:rPr>
          <w:sz w:val="28"/>
          <w:szCs w:val="28"/>
          <w:u w:val="single"/>
        </w:rPr>
      </w:pPr>
      <w:r>
        <w:rPr>
          <w:sz w:val="28"/>
          <w:szCs w:val="28"/>
          <w:u w:val="single"/>
        </w:rPr>
        <w:t>Part B</w:t>
      </w:r>
      <w:r w:rsidR="00A01E3C" w:rsidRPr="00A01E3C">
        <w:rPr>
          <w:sz w:val="28"/>
          <w:szCs w:val="28"/>
          <w:u w:val="single"/>
        </w:rPr>
        <w:t xml:space="preserve"> </w:t>
      </w:r>
      <w:r w:rsidR="009E3265">
        <w:rPr>
          <w:sz w:val="28"/>
          <w:szCs w:val="28"/>
          <w:u w:val="single"/>
        </w:rPr>
        <w:t xml:space="preserve">- </w:t>
      </w:r>
      <w:r w:rsidR="00A01E3C">
        <w:rPr>
          <w:sz w:val="28"/>
          <w:szCs w:val="28"/>
          <w:u w:val="single"/>
        </w:rPr>
        <w:t>Reflective report</w:t>
      </w:r>
    </w:p>
    <w:p w14:paraId="3E037E01" w14:textId="4268594B" w:rsidR="009D27C8" w:rsidRDefault="008D6DD5">
      <w:pPr>
        <w:rPr>
          <w:sz w:val="28"/>
          <w:szCs w:val="28"/>
          <w:u w:val="single"/>
        </w:rPr>
      </w:pPr>
      <w:r>
        <w:rPr>
          <w:sz w:val="28"/>
          <w:szCs w:val="28"/>
          <w:u w:val="single"/>
        </w:rPr>
        <w:t>on the post-flood rehabilitation of highway 5, British Colombia</w:t>
      </w:r>
    </w:p>
    <w:p w14:paraId="3E037E02" w14:textId="77777777" w:rsidR="009D27C8" w:rsidRDefault="009D27C8">
      <w:pPr>
        <w:rPr>
          <w:sz w:val="28"/>
          <w:szCs w:val="28"/>
        </w:rPr>
      </w:pPr>
    </w:p>
    <w:p w14:paraId="3E037E03" w14:textId="77777777" w:rsidR="009D27C8" w:rsidRDefault="008D6DD5">
      <w:r>
        <w:t>When I was informed that I needed to move around the introduction, I found it interesting considering the attitude towards the introduction. In many forms of literature, there is a small piece of information providing context before the proper introduction. Despite this, I understand how often this structure can confuse the target audience and thus rearrange the poster to place the introduction first. Additionally, the feedback influenced the way I thought about clarity structure and my reader’s initial impression. It is very important especially in an information piece, to ensure the information is delivered in a clear and easy to understand fashion. Thus, I took the necessary steps to improve my conciseness.</w:t>
      </w:r>
    </w:p>
    <w:p w14:paraId="3E037E04" w14:textId="77777777" w:rsidR="009D27C8" w:rsidRDefault="008D6DD5">
      <w:r>
        <w:t>One of the pieces of advice I was given in my poster was to add a stakeholder chart of those who are affected by the rehabilitation. This helps to outline who we should take account of and how to manage stakeholders and relationships. It also changed my understanding as I began to give respect to the project not only as an industrial undertaking but also as a social project. Mapping out the groups revealed the real-world complexities of such a project and how many things need to be Considered whilst planning for construction of this size.</w:t>
      </w:r>
    </w:p>
    <w:p w14:paraId="3E037E05" w14:textId="77777777" w:rsidR="009D27C8" w:rsidRDefault="008D6DD5">
      <w:r>
        <w:t>I was told to add a Grantt chart to my poster, which provides a detailed explanation of how long each stage in the implantation will take as well as establishing the expected length of the entire operation. This taught me a few extra things, especially about project timelines as I quickly found that it is difficult to know how long certain processes can take as there can be many moving parts and many things that can go wrong. For example, there needs to be certain permissions passed by local government as well as the reliance on supply lines for materials any disruption could cause timely delay.</w:t>
      </w:r>
    </w:p>
    <w:p w14:paraId="3E037E06" w14:textId="77777777" w:rsidR="009D27C8" w:rsidRDefault="008D6DD5">
      <w:r>
        <w:t>Upon hearing the feedback about the lack of a colour key I reflected upon why a colour key mattered and realised it goes back to what I discovered earlier about ensuring conciseness and making the poster easy to understand. Bright colours are not only eye-catching but are simple differentiators, however without a key to make sense of the information these bright colours can easily become confusing. The small adjustment of adding a key removes any potential confusion and makes the poster more professional and informative. This shifted my view and highlighted again the importance that small effective changes can have on overall visual clarity.</w:t>
      </w:r>
    </w:p>
    <w:p w14:paraId="3E037E07" w14:textId="77777777" w:rsidR="009D27C8" w:rsidRDefault="008D6DD5">
      <w:r>
        <w:t xml:space="preserve">When I heard that the poster required multiple revisions, I was a little disappointed, however I was eventually excited as good feedback provided the opportunity for learning </w:t>
      </w:r>
      <w:r>
        <w:lastRenderedPageBreak/>
        <w:t>and improvement. By going back over my work, I was able to look at it through a different lens and focus on the reader experience. Working through these changes has improved my skills creating informative posters and thus will make me a more skilled and effective employee.</w:t>
      </w:r>
    </w:p>
    <w:p w14:paraId="3E037E08" w14:textId="77777777" w:rsidR="009D27C8" w:rsidRDefault="009D27C8">
      <w:pPr>
        <w:pageBreakBefore/>
        <w:suppressAutoHyphens w:val="0"/>
      </w:pPr>
    </w:p>
    <w:p w14:paraId="3E037E09" w14:textId="23AA4188" w:rsidR="009D27C8" w:rsidRPr="00A6100E" w:rsidRDefault="008D6DD5">
      <w:pPr>
        <w:rPr>
          <w:b/>
          <w:bCs/>
        </w:rPr>
      </w:pPr>
      <w:r w:rsidRPr="00A6100E">
        <w:rPr>
          <w:b/>
          <w:bCs/>
        </w:rPr>
        <w:t>Part C</w:t>
      </w:r>
      <w:r w:rsidR="009E3265" w:rsidRPr="00A6100E">
        <w:rPr>
          <w:b/>
          <w:bCs/>
        </w:rPr>
        <w:t xml:space="preserve"> – Report Project Plan</w:t>
      </w:r>
    </w:p>
    <w:p w14:paraId="2CF49BAD" w14:textId="77777777" w:rsidR="008D6DD5" w:rsidRDefault="008D6DD5" w:rsidP="008D6DD5">
      <w:pPr>
        <w:jc w:val="center"/>
        <w:rPr>
          <w:sz w:val="36"/>
          <w:szCs w:val="36"/>
        </w:rPr>
      </w:pPr>
      <w:r>
        <w:rPr>
          <w:sz w:val="36"/>
          <w:szCs w:val="36"/>
        </w:rPr>
        <w:t>Project management plan: reopening of highway 5</w:t>
      </w:r>
    </w:p>
    <w:p w14:paraId="3F051995" w14:textId="77777777" w:rsidR="008D6DD5" w:rsidRDefault="008D6DD5" w:rsidP="008D6DD5">
      <w:pPr>
        <w:jc w:val="center"/>
        <w:rPr>
          <w:sz w:val="36"/>
          <w:szCs w:val="36"/>
        </w:rPr>
      </w:pPr>
      <w:r>
        <w:rPr>
          <w:sz w:val="36"/>
          <w:szCs w:val="36"/>
        </w:rPr>
        <w:t xml:space="preserve"> after 2022 British Columbia flooding</w:t>
      </w:r>
    </w:p>
    <w:p w14:paraId="41B34BE2" w14:textId="77777777" w:rsidR="008D6DD5" w:rsidRDefault="008D6DD5" w:rsidP="008D6DD5"/>
    <w:p w14:paraId="16730661" w14:textId="77777777" w:rsidR="008D6DD5" w:rsidRDefault="008D6DD5" w:rsidP="008D6DD5">
      <w:pPr>
        <w:pageBreakBefore/>
      </w:pPr>
    </w:p>
    <w:p w14:paraId="55C87295" w14:textId="77777777" w:rsidR="008D6DD5" w:rsidRDefault="008D6DD5" w:rsidP="008D6DD5">
      <w:pPr>
        <w:rPr>
          <w:sz w:val="36"/>
          <w:szCs w:val="36"/>
          <w:u w:val="single"/>
        </w:rPr>
      </w:pPr>
      <w:r>
        <w:rPr>
          <w:sz w:val="36"/>
          <w:szCs w:val="36"/>
          <w:u w:val="single"/>
        </w:rPr>
        <w:t>1.Contents</w:t>
      </w:r>
    </w:p>
    <w:p w14:paraId="05E09294" w14:textId="77777777" w:rsidR="008D6DD5" w:rsidRDefault="008D6DD5" w:rsidP="008D6DD5">
      <w:pPr>
        <w:rPr>
          <w:sz w:val="36"/>
          <w:szCs w:val="36"/>
        </w:rPr>
      </w:pPr>
      <w:r>
        <w:rPr>
          <w:sz w:val="36"/>
          <w:szCs w:val="36"/>
        </w:rPr>
        <w:t>1.Contents</w:t>
      </w:r>
    </w:p>
    <w:p w14:paraId="1363E015" w14:textId="77777777" w:rsidR="008D6DD5" w:rsidRDefault="008D6DD5" w:rsidP="008D6DD5">
      <w:pPr>
        <w:rPr>
          <w:sz w:val="36"/>
          <w:szCs w:val="36"/>
        </w:rPr>
      </w:pPr>
      <w:r>
        <w:rPr>
          <w:sz w:val="36"/>
          <w:szCs w:val="36"/>
        </w:rPr>
        <w:t>2.Introduction</w:t>
      </w:r>
    </w:p>
    <w:p w14:paraId="79982E76" w14:textId="77777777" w:rsidR="008D6DD5" w:rsidRDefault="008D6DD5" w:rsidP="008D6DD5">
      <w:pPr>
        <w:rPr>
          <w:sz w:val="36"/>
          <w:szCs w:val="36"/>
        </w:rPr>
      </w:pPr>
      <w:r>
        <w:rPr>
          <w:sz w:val="36"/>
          <w:szCs w:val="36"/>
        </w:rPr>
        <w:t>3.Project description</w:t>
      </w:r>
    </w:p>
    <w:p w14:paraId="5E3B64D8" w14:textId="77777777" w:rsidR="008D6DD5" w:rsidRDefault="008D6DD5" w:rsidP="008D6DD5">
      <w:pPr>
        <w:rPr>
          <w:sz w:val="36"/>
          <w:szCs w:val="36"/>
        </w:rPr>
      </w:pPr>
      <w:r>
        <w:rPr>
          <w:sz w:val="36"/>
          <w:szCs w:val="36"/>
        </w:rPr>
        <w:t>4.Scope</w:t>
      </w:r>
    </w:p>
    <w:p w14:paraId="2798959A" w14:textId="77777777" w:rsidR="008D6DD5" w:rsidRDefault="008D6DD5" w:rsidP="008D6DD5">
      <w:pPr>
        <w:rPr>
          <w:sz w:val="36"/>
          <w:szCs w:val="36"/>
        </w:rPr>
      </w:pPr>
      <w:r>
        <w:rPr>
          <w:sz w:val="36"/>
          <w:szCs w:val="36"/>
        </w:rPr>
        <w:t>5.Work breakdown structure</w:t>
      </w:r>
    </w:p>
    <w:p w14:paraId="23AFF456" w14:textId="77777777" w:rsidR="008D6DD5" w:rsidRDefault="008D6DD5" w:rsidP="008D6DD5">
      <w:pPr>
        <w:rPr>
          <w:sz w:val="36"/>
          <w:szCs w:val="36"/>
        </w:rPr>
      </w:pPr>
      <w:r>
        <w:rPr>
          <w:sz w:val="36"/>
          <w:szCs w:val="36"/>
        </w:rPr>
        <w:t>6.Quad Chart</w:t>
      </w:r>
    </w:p>
    <w:p w14:paraId="303D5458" w14:textId="77777777" w:rsidR="008D6DD5" w:rsidRDefault="008D6DD5" w:rsidP="008D6DD5">
      <w:pPr>
        <w:rPr>
          <w:sz w:val="36"/>
          <w:szCs w:val="36"/>
        </w:rPr>
      </w:pPr>
      <w:r>
        <w:rPr>
          <w:sz w:val="36"/>
          <w:szCs w:val="36"/>
        </w:rPr>
        <w:t>7.Gantt Chart</w:t>
      </w:r>
    </w:p>
    <w:p w14:paraId="3BD98A49" w14:textId="77777777" w:rsidR="008D6DD5" w:rsidRDefault="008D6DD5" w:rsidP="008D6DD5">
      <w:pPr>
        <w:rPr>
          <w:sz w:val="36"/>
          <w:szCs w:val="36"/>
        </w:rPr>
      </w:pPr>
      <w:r>
        <w:rPr>
          <w:sz w:val="36"/>
          <w:szCs w:val="36"/>
        </w:rPr>
        <w:t xml:space="preserve">8.Stakeholders’ involvement </w:t>
      </w:r>
    </w:p>
    <w:p w14:paraId="239AF5F4" w14:textId="77777777" w:rsidR="008D6DD5" w:rsidRDefault="008D6DD5" w:rsidP="008D6DD5">
      <w:pPr>
        <w:rPr>
          <w:sz w:val="36"/>
          <w:szCs w:val="36"/>
        </w:rPr>
      </w:pPr>
      <w:r>
        <w:rPr>
          <w:sz w:val="36"/>
          <w:szCs w:val="36"/>
        </w:rPr>
        <w:t>9.Allocation of resources</w:t>
      </w:r>
    </w:p>
    <w:p w14:paraId="0ADA468B" w14:textId="77777777" w:rsidR="008D6DD5" w:rsidRDefault="008D6DD5" w:rsidP="008D6DD5">
      <w:pPr>
        <w:rPr>
          <w:sz w:val="36"/>
          <w:szCs w:val="36"/>
        </w:rPr>
      </w:pPr>
      <w:r>
        <w:rPr>
          <w:sz w:val="36"/>
          <w:szCs w:val="36"/>
        </w:rPr>
        <w:t>10.Risk Analysis</w:t>
      </w:r>
    </w:p>
    <w:p w14:paraId="72D0FF1C" w14:textId="77777777" w:rsidR="008D6DD5" w:rsidRDefault="008D6DD5" w:rsidP="008D6DD5">
      <w:pPr>
        <w:rPr>
          <w:sz w:val="36"/>
          <w:szCs w:val="36"/>
        </w:rPr>
      </w:pPr>
      <w:r>
        <w:rPr>
          <w:sz w:val="36"/>
          <w:szCs w:val="36"/>
        </w:rPr>
        <w:t xml:space="preserve">12.References </w:t>
      </w:r>
    </w:p>
    <w:p w14:paraId="56D7D35A" w14:textId="77777777" w:rsidR="008D6DD5" w:rsidRDefault="008D6DD5" w:rsidP="008D6DD5">
      <w:pPr>
        <w:pageBreakBefore/>
      </w:pPr>
    </w:p>
    <w:p w14:paraId="30D3F90A" w14:textId="77777777" w:rsidR="008D6DD5" w:rsidRDefault="008D6DD5" w:rsidP="008D6DD5">
      <w:pPr>
        <w:rPr>
          <w:sz w:val="36"/>
          <w:szCs w:val="36"/>
        </w:rPr>
      </w:pPr>
      <w:r>
        <w:rPr>
          <w:sz w:val="36"/>
          <w:szCs w:val="36"/>
        </w:rPr>
        <w:t>1.Introduction</w:t>
      </w:r>
    </w:p>
    <w:p w14:paraId="4F05CA33" w14:textId="77777777" w:rsidR="008D6DD5" w:rsidRDefault="008D6DD5" w:rsidP="008D6DD5">
      <w:r>
        <w:t>In 2022, British Columbia was struck with one of the most destructive weather events in the province’s history when an atmospheric river released abnormally substantial amounts of rainfall. This rainfall then triggered flooding across large areas in British Columbia, which unfortunately catalysed catastrophic landslides. As a result of these events, there was severe damage to critical infrastructure widespread provincially overwhelming drainage systems and creating instability to terrain. One of the most affected areas was Highway 5-an essential transport link that connects the lower Mainland with the interior and mainland Canada. Multiple sections of the highway were washed out, several, bridges collapsed and key access points were damaged beyond use.</w:t>
      </w:r>
    </w:p>
    <w:p w14:paraId="2C2AF101" w14:textId="77777777" w:rsidR="008D6DD5" w:rsidRDefault="008D6DD5" w:rsidP="008D6DD5"/>
    <w:p w14:paraId="066C6B1D" w14:textId="77777777" w:rsidR="008D6DD5" w:rsidRDefault="008D6DD5" w:rsidP="008D6DD5">
      <w:r>
        <w:t>This unforeseen loss of Highway 5 had gigantic economic, social, and operational consequences on the British Columbia community creating huge challenges. The breakdown of the highway has disrupted supply chains, limited mobility and isolated communities that were dependent on Highway 5 for their daily needs. The inability to transport goods places intense pressure on any alternative routes, which many cannot manage high volumes of traffic as Highway 5 was constructed to oversee that burden. The disruption outlined the need for a coordinated recovery effort capable of restoring the highway’s full functionality as quickly and safely as possible. The scale and urgency of the damage required a structured approach involving engineering expertise, strategic planning, and collaboration with stakeholders.</w:t>
      </w:r>
    </w:p>
    <w:p w14:paraId="0855F069" w14:textId="77777777" w:rsidR="008D6DD5" w:rsidRDefault="008D6DD5" w:rsidP="008D6DD5"/>
    <w:p w14:paraId="63F49A73" w14:textId="77777777" w:rsidR="008D6DD5" w:rsidRDefault="008D6DD5" w:rsidP="008D6DD5">
      <w:r>
        <w:t>This Project Management Plan outlines a detailed framework for leading the rebuilding of Highway 5 after the events if the 2022 floods. It lays out clear objectives, a defined scope, detailed work breakdown structures, and effective resource allocation strategies to ensure the successful reopening of this vital corridor. The project Management Plan includes risk management measures and resilience-focused infrastructure to strengthen the highway against future extreme weather events. By following an organised and methodical project management approach, this plan aims to support safe reconstruction, restore regional connectivity and reinforce the long-term reliability of one of British Columbia’s most important transportation routes.</w:t>
      </w:r>
    </w:p>
    <w:p w14:paraId="39D6115C" w14:textId="77777777" w:rsidR="008D6DD5" w:rsidRDefault="008D6DD5" w:rsidP="008D6DD5">
      <w:pPr>
        <w:pageBreakBefore/>
        <w:rPr>
          <w:sz w:val="36"/>
          <w:szCs w:val="36"/>
        </w:rPr>
      </w:pPr>
      <w:r>
        <w:rPr>
          <w:sz w:val="36"/>
          <w:szCs w:val="36"/>
        </w:rPr>
        <w:lastRenderedPageBreak/>
        <w:t>3.Project Description</w:t>
      </w:r>
    </w:p>
    <w:p w14:paraId="6464B942" w14:textId="77777777" w:rsidR="008D6DD5" w:rsidRDefault="008D6DD5" w:rsidP="008D6DD5">
      <w:r>
        <w:t>This project management plan will be focused on the emergency restoration and reopening of Highway 5 to alleviate the stress on other transport links. We expect that the project will involve many, different jobs such as debris removal, reconstruction of damaged bridges and road sections. There would also be slope stabilization and implementation of improved drainage systems to improve resistance to future extreme weather. The objective is to restore full functionality while building resilience against future extreme-weather events.</w:t>
      </w:r>
    </w:p>
    <w:p w14:paraId="0723F3B8" w14:textId="77777777" w:rsidR="008D6DD5" w:rsidRDefault="008D6DD5" w:rsidP="008D6DD5">
      <w:pPr>
        <w:rPr>
          <w:color w:val="FFFFFF"/>
          <w:sz w:val="34"/>
          <w:szCs w:val="34"/>
        </w:rPr>
      </w:pPr>
      <w:r>
        <w:rPr>
          <w:color w:val="FFFFFF"/>
          <w:sz w:val="34"/>
          <w:szCs w:val="34"/>
        </w:rPr>
        <w:t>Key drivers of the project:</w:t>
      </w:r>
    </w:p>
    <w:p w14:paraId="09498C0D" w14:textId="77777777" w:rsidR="008D6DD5" w:rsidRDefault="008D6DD5" w:rsidP="008D6DD5">
      <w:pPr>
        <w:rPr>
          <w:color w:val="000000"/>
        </w:rPr>
      </w:pPr>
      <w:r>
        <w:rPr>
          <w:color w:val="000000"/>
        </w:rPr>
        <w:t>Highway 5 is an essential transport link between British Columbia’s Lower Mainland to interior British Columbia and mainland Canada. Its function is vital to establish supply chains and support commerce whilst maintain the region’s economic stability. This project is driven primarily through the highway’s role in freight movement, community connections, and provincial resistance to more severe climate-related destructive weather events.</w:t>
      </w:r>
    </w:p>
    <w:p w14:paraId="658E76A8" w14:textId="77777777" w:rsidR="008D6DD5" w:rsidRDefault="008D6DD5" w:rsidP="008D6DD5">
      <w:pPr>
        <w:rPr>
          <w:color w:val="000000"/>
        </w:rPr>
      </w:pPr>
      <w:r>
        <w:rPr>
          <w:color w:val="000000"/>
        </w:rPr>
        <w:t>The abrupt closure of the highways drastically disrupted supply chains, limited access to essential goods, access to raw materials and commercial shipments. We cannot misrepresent to importance of restoring Highway 5 for British Columbia as its re-establishment will stabilise planning routes and reduce transportation delays. Repairing the highway ensures reliable distribution networks, supports economic recovery, and strengthens resilience against future disruptions by reinstating a dependable flow of freight across the region.</w:t>
      </w:r>
    </w:p>
    <w:p w14:paraId="256B041E" w14:textId="77777777" w:rsidR="008D6DD5" w:rsidRDefault="008D6DD5" w:rsidP="008D6DD5">
      <w:pPr>
        <w:rPr>
          <w:color w:val="000000"/>
        </w:rPr>
      </w:pPr>
      <w:r>
        <w:rPr>
          <w:color w:val="000000"/>
        </w:rPr>
        <w:t>Safety is also at the forefront of the project as reopening Highway 5 prioritises the safety of motorists, workers, and the local communities. The flooding led to structural failures, unstable slopes and hazardous conditions that must be addressed with appropriate steps. Implementing reinforcements, rigours inspections and long-term mitigation measures can all go a long way to preventing these types of situations in the future.</w:t>
      </w:r>
    </w:p>
    <w:p w14:paraId="1589BAC2" w14:textId="77777777" w:rsidR="008D6DD5" w:rsidRDefault="008D6DD5" w:rsidP="008D6DD5">
      <w:pPr>
        <w:rPr>
          <w:color w:val="000000"/>
        </w:rPr>
      </w:pPr>
    </w:p>
    <w:p w14:paraId="5FCE5F5E" w14:textId="77777777" w:rsidR="008D6DD5" w:rsidRDefault="008D6DD5" w:rsidP="008D6DD5"/>
    <w:p w14:paraId="0B2D9083" w14:textId="77777777" w:rsidR="008D6DD5" w:rsidRDefault="008D6DD5" w:rsidP="008D6DD5"/>
    <w:p w14:paraId="6E0DB2A0" w14:textId="77777777" w:rsidR="008D6DD5" w:rsidRDefault="008D6DD5" w:rsidP="008D6DD5"/>
    <w:p w14:paraId="1E8A9771" w14:textId="77777777" w:rsidR="008D6DD5" w:rsidRDefault="008D6DD5" w:rsidP="008D6DD5"/>
    <w:p w14:paraId="45E09282" w14:textId="77777777" w:rsidR="008D6DD5" w:rsidRDefault="008D6DD5" w:rsidP="008D6DD5"/>
    <w:p w14:paraId="53615181" w14:textId="77777777" w:rsidR="008D6DD5" w:rsidRDefault="008D6DD5" w:rsidP="008D6DD5">
      <w:r>
        <w:lastRenderedPageBreak/>
        <w:t>The aim of the project is to not only rebuild Highway 5 but to rebuild the highway with stronger, more resilient infrastructure that has the capabilities to withstand future extreme-weather events like the events in 2022. Implementing more advanced engineering design, improved drainage, reinforced bridges, and slope stabilisation reduces the vulnerability to climate-related hazards such as the flooding recently experienced.</w:t>
      </w:r>
    </w:p>
    <w:p w14:paraId="57809841" w14:textId="77777777" w:rsidR="008D6DD5" w:rsidRDefault="008D6DD5" w:rsidP="008D6DD5"/>
    <w:p w14:paraId="7B5DE002" w14:textId="77777777" w:rsidR="008D6DD5" w:rsidRDefault="008D6DD5" w:rsidP="008D6DD5">
      <w:pPr>
        <w:rPr>
          <w:color w:val="000000"/>
          <w:sz w:val="36"/>
          <w:szCs w:val="36"/>
        </w:rPr>
      </w:pPr>
      <w:r>
        <w:rPr>
          <w:color w:val="000000"/>
          <w:sz w:val="36"/>
          <w:szCs w:val="36"/>
        </w:rPr>
        <w:t>4.Scope</w:t>
      </w:r>
    </w:p>
    <w:p w14:paraId="5B67AA3B" w14:textId="77777777" w:rsidR="008D6DD5" w:rsidRDefault="008D6DD5" w:rsidP="008D6DD5">
      <w:pPr>
        <w:rPr>
          <w:color w:val="000000"/>
        </w:rPr>
      </w:pPr>
      <w:r>
        <w:rPr>
          <w:color w:val="000000"/>
        </w:rPr>
        <w:t>The scope of the project management plan to reopen Highway 5 will include every single essential task required to safely reopen the route after the extensive damage from flooding and landslide damage. It will include engineering assessments of damaged sections, destruction of unsafe sections along with the reconstruction of bridges, roadbeds, and drainage systems. This project will also address the major issue of slope stabilization in surrounding areas, the erosion control and installation of protective infrastructure to boost resilience to future extreme weather events. Additionally, environmental guidelines, and industry best practices.</w:t>
      </w:r>
    </w:p>
    <w:p w14:paraId="32FA7CDD" w14:textId="77777777" w:rsidR="008D6DD5" w:rsidRDefault="008D6DD5" w:rsidP="008D6DD5">
      <w:pPr>
        <w:rPr>
          <w:color w:val="000000"/>
        </w:rPr>
      </w:pPr>
      <w:r>
        <w:rPr>
          <w:color w:val="000000"/>
        </w:rPr>
        <w:t>Furthermore, we must also note that the scope is not limited to just physical reconstruction but extends to planning, coordination and communication with the involved stakeholders. This will include structuring timelines, securing resources, running continuous risk assessments whilst assuring the appropriate stakeholders are engaged through the entirety of the process (local communities, Indigenous groups, and government agencies). The scope shall also emphasis unilateral collaboration across engineering teams, environmental specialists, and transportation authorities to ensure every phase and sector is aligned with our project objectives. Ensuring minimal disruption to essential transportation services during reconstruction is also a key component within this defined scope of work.</w:t>
      </w:r>
    </w:p>
    <w:p w14:paraId="4E95058C" w14:textId="77777777" w:rsidR="008D6DD5" w:rsidRDefault="008D6DD5" w:rsidP="008D6DD5">
      <w:r>
        <w:rPr>
          <w:color w:val="000000"/>
        </w:rPr>
        <w:t>There are quite a few elements that fall outside the project scope, which would better clarity on the project boundaries. This project will not provide cover in the form of compensation for privately owned properties damaged by the flood, nor does it involve long-term regional infrastructure planning beyond Highway 5. By clearly defining included and excluded elements, the project scope ensures realistic expectations, reopening of this essential transportation corridor.</w:t>
      </w:r>
    </w:p>
    <w:p w14:paraId="4602AED7" w14:textId="77777777" w:rsidR="008D6DD5" w:rsidRDefault="008D6DD5" w:rsidP="008D6DD5">
      <w:pPr>
        <w:pageBreakBefore/>
        <w:rPr>
          <w:sz w:val="36"/>
          <w:szCs w:val="36"/>
        </w:rPr>
      </w:pPr>
      <w:r>
        <w:rPr>
          <w:sz w:val="36"/>
          <w:szCs w:val="36"/>
        </w:rPr>
        <w:lastRenderedPageBreak/>
        <w:t>5. Work Breakdown Structure (WBS)</w:t>
      </w:r>
    </w:p>
    <w:p w14:paraId="6FFA45EB" w14:textId="77777777" w:rsidR="008D6DD5" w:rsidRDefault="008D6DD5" w:rsidP="008D6DD5">
      <w:r>
        <w:t>The Work Breakdown Structure (WBS) for the reopening of Highway 5 outlines the hierarchical tasks required to restore the highway safely, efficiently, and sustainably. The project is divided into six major phases: initiation, assessment and planning, site preparation, reconstruction, testing and commissioning, and project closeout. In each phase, there are structured work pages which are designed to improve the clarity of responsibilities, proper sequencing, and efficient use of resources.</w:t>
      </w:r>
    </w:p>
    <w:p w14:paraId="6F594413" w14:textId="77777777" w:rsidR="008D6DD5" w:rsidRDefault="008D6DD5" w:rsidP="008D6DD5">
      <w:r>
        <w:t xml:space="preserve">The </w:t>
      </w:r>
      <w:r>
        <w:rPr>
          <w:b/>
          <w:bCs/>
        </w:rPr>
        <w:t>Initiation Phase</w:t>
      </w:r>
      <w:r>
        <w:t xml:space="preserve"> consists of defining the project objectives whilst confirming the funding (capital) and assembling the multidisciplinary rebuild project team. In this stage we will also establish protocol surrounding communication and regulatory requirements.</w:t>
      </w:r>
    </w:p>
    <w:p w14:paraId="4E9588E8" w14:textId="77777777" w:rsidR="008D6DD5" w:rsidRDefault="008D6DD5" w:rsidP="008D6DD5">
      <w:r>
        <w:t xml:space="preserve">The </w:t>
      </w:r>
      <w:r>
        <w:rPr>
          <w:b/>
          <w:bCs/>
        </w:rPr>
        <w:t>Assessment and Planning Phase</w:t>
      </w:r>
      <w:r>
        <w:t xml:space="preserve"> contains a multitude of detailed inspections which cover the following: damaged bridges, pavement failures, and unstable slopes. Adding on engineering designs, environmental studies and geotechnical assessments will be completed to inform reconstruction strategies. This planning ensures technical feasibility and minimizes risk.</w:t>
      </w:r>
    </w:p>
    <w:p w14:paraId="59B21DCC" w14:textId="77777777" w:rsidR="008D6DD5" w:rsidRDefault="008D6DD5" w:rsidP="008D6DD5">
      <w:r>
        <w:t xml:space="preserve">The </w:t>
      </w:r>
      <w:r>
        <w:rPr>
          <w:b/>
          <w:bCs/>
        </w:rPr>
        <w:t xml:space="preserve">Site Preparation Phase’s </w:t>
      </w:r>
      <w:r>
        <w:t>central focus will be on debris removal, established temporary access roads, stabilizing hazards, and repositioning utilities at risk.</w:t>
      </w:r>
    </w:p>
    <w:p w14:paraId="212DFC12" w14:textId="77777777" w:rsidR="008D6DD5" w:rsidRDefault="008D6DD5" w:rsidP="008D6DD5">
      <w:r>
        <w:t xml:space="preserve">The </w:t>
      </w:r>
      <w:r>
        <w:rPr>
          <w:b/>
          <w:bCs/>
        </w:rPr>
        <w:t xml:space="preserve">Reconstruction Phase </w:t>
      </w:r>
      <w:r>
        <w:t>is the main core of this entire project involving bridge rebuilding, roadbed reconstruction, slope stabilization, and installation of improved drainage and erosion-control systems. All the components involved will be restored or rebuilt to meet updated safety and climate-resilience standards.</w:t>
      </w:r>
    </w:p>
    <w:p w14:paraId="7C2BF3A9" w14:textId="77777777" w:rsidR="008D6DD5" w:rsidRDefault="008D6DD5" w:rsidP="008D6DD5">
      <w:r>
        <w:t xml:space="preserve">The </w:t>
      </w:r>
      <w:r>
        <w:rPr>
          <w:b/>
          <w:bCs/>
        </w:rPr>
        <w:t>Testing and Commissioning Phase</w:t>
      </w:r>
      <w:r>
        <w:t xml:space="preserve"> includes structural load testing of bridges and comprehensive safety inspections. Upon meeting all standards, the restored highway is certified for reopening.</w:t>
      </w:r>
    </w:p>
    <w:p w14:paraId="3D2F9248" w14:textId="77777777" w:rsidR="008D6DD5" w:rsidRDefault="008D6DD5" w:rsidP="008D6DD5">
      <w:r>
        <w:t xml:space="preserve">Finally, </w:t>
      </w:r>
      <w:r>
        <w:rPr>
          <w:b/>
          <w:bCs/>
        </w:rPr>
        <w:t>the Project Closeout Phase</w:t>
      </w:r>
      <w:r>
        <w:t xml:space="preserve"> involves documentation and a post project evaluation to capture lessons learned. This structure WBS ensures that the complex restoration works are logically organised, trackable, and aligned with project objectives.</w:t>
      </w:r>
    </w:p>
    <w:p w14:paraId="650B9F9B" w14:textId="77777777" w:rsidR="008D6DD5" w:rsidRDefault="008D6DD5" w:rsidP="008D6DD5">
      <w:pPr>
        <w:pageBreakBefore/>
        <w:rPr>
          <w:sz w:val="44"/>
          <w:szCs w:val="44"/>
        </w:rPr>
      </w:pPr>
      <w:r>
        <w:rPr>
          <w:sz w:val="44"/>
          <w:szCs w:val="44"/>
        </w:rPr>
        <w:lastRenderedPageBreak/>
        <w:t xml:space="preserve">6. Quad chart </w:t>
      </w:r>
    </w:p>
    <w:p w14:paraId="09F6FA25" w14:textId="77777777" w:rsidR="008D6DD5" w:rsidRDefault="008D6DD5" w:rsidP="008D6DD5"/>
    <w:p w14:paraId="62E70214" w14:textId="77777777" w:rsidR="008D6DD5" w:rsidRDefault="008D6DD5" w:rsidP="008D6DD5">
      <w:r>
        <w:rPr>
          <w:sz w:val="22"/>
          <w:szCs w:val="22"/>
        </w:rPr>
        <w:t>This quad chart provides a clear overview of the highway 5 reopening project its summaries the projects objectives, performance metrics, risks, and stakeholders in a structured format. This is done to support rapid understanding and decision-making among government agencies, engineering partners, and community representatives</w:t>
      </w:r>
      <w:r>
        <w:t>.</w:t>
      </w:r>
    </w:p>
    <w:p w14:paraId="5347B2A6" w14:textId="77777777" w:rsidR="008D6DD5" w:rsidRDefault="008D6DD5" w:rsidP="008D6DD5"/>
    <w:tbl>
      <w:tblPr>
        <w:tblW w:w="10228" w:type="dxa"/>
        <w:tblInd w:w="-608" w:type="dxa"/>
        <w:tblCellMar>
          <w:left w:w="10" w:type="dxa"/>
          <w:right w:w="10" w:type="dxa"/>
        </w:tblCellMar>
        <w:tblLook w:val="04A0" w:firstRow="1" w:lastRow="0" w:firstColumn="1" w:lastColumn="0" w:noHBand="0" w:noVBand="1"/>
      </w:tblPr>
      <w:tblGrid>
        <w:gridCol w:w="2557"/>
        <w:gridCol w:w="2557"/>
        <w:gridCol w:w="2557"/>
        <w:gridCol w:w="2557"/>
      </w:tblGrid>
      <w:tr w:rsidR="008D6DD5" w14:paraId="6FE63CB8" w14:textId="77777777" w:rsidTr="00DB30FE">
        <w:trPr>
          <w:trHeight w:val="664"/>
        </w:trPr>
        <w:tc>
          <w:tcPr>
            <w:tcW w:w="2557" w:type="dxa"/>
            <w:tcBorders>
              <w:top w:val="single" w:sz="4" w:space="0" w:color="000000"/>
              <w:left w:val="single" w:sz="4" w:space="0" w:color="000000"/>
              <w:bottom w:val="single" w:sz="4" w:space="0" w:color="000000"/>
            </w:tcBorders>
            <w:shd w:val="clear" w:color="auto" w:fill="000000"/>
            <w:tcMar>
              <w:top w:w="0" w:type="dxa"/>
              <w:left w:w="108" w:type="dxa"/>
              <w:bottom w:w="0" w:type="dxa"/>
              <w:right w:w="108" w:type="dxa"/>
            </w:tcMar>
          </w:tcPr>
          <w:p w14:paraId="009D6E0A" w14:textId="77777777" w:rsidR="008D6DD5" w:rsidRDefault="008D6DD5" w:rsidP="00DB30FE">
            <w:pPr>
              <w:spacing w:after="0" w:line="240" w:lineRule="auto"/>
              <w:jc w:val="center"/>
              <w:rPr>
                <w:b/>
                <w:bCs/>
                <w:color w:val="FFFFFF"/>
              </w:rPr>
            </w:pPr>
            <w:r>
              <w:rPr>
                <w:b/>
                <w:bCs/>
                <w:color w:val="FFFFFF"/>
              </w:rPr>
              <w:t xml:space="preserve">Project objective </w:t>
            </w:r>
          </w:p>
        </w:tc>
        <w:tc>
          <w:tcPr>
            <w:tcW w:w="2557" w:type="dxa"/>
            <w:tcBorders>
              <w:top w:val="single" w:sz="4" w:space="0" w:color="000000"/>
              <w:bottom w:val="single" w:sz="4" w:space="0" w:color="000000"/>
            </w:tcBorders>
            <w:shd w:val="clear" w:color="auto" w:fill="000000"/>
            <w:tcMar>
              <w:top w:w="0" w:type="dxa"/>
              <w:left w:w="108" w:type="dxa"/>
              <w:bottom w:w="0" w:type="dxa"/>
              <w:right w:w="108" w:type="dxa"/>
            </w:tcMar>
          </w:tcPr>
          <w:p w14:paraId="3293200B" w14:textId="77777777" w:rsidR="008D6DD5" w:rsidRDefault="008D6DD5" w:rsidP="00DB30FE">
            <w:pPr>
              <w:spacing w:after="0" w:line="240" w:lineRule="auto"/>
              <w:rPr>
                <w:b/>
                <w:bCs/>
                <w:color w:val="FFFFFF"/>
              </w:rPr>
            </w:pPr>
            <w:r>
              <w:rPr>
                <w:b/>
                <w:bCs/>
                <w:color w:val="FFFFFF"/>
              </w:rPr>
              <w:t>Key metrics</w:t>
            </w:r>
          </w:p>
        </w:tc>
        <w:tc>
          <w:tcPr>
            <w:tcW w:w="2557" w:type="dxa"/>
            <w:tcBorders>
              <w:top w:val="single" w:sz="4" w:space="0" w:color="000000"/>
              <w:bottom w:val="single" w:sz="4" w:space="0" w:color="000000"/>
            </w:tcBorders>
            <w:shd w:val="clear" w:color="auto" w:fill="000000"/>
            <w:tcMar>
              <w:top w:w="0" w:type="dxa"/>
              <w:left w:w="108" w:type="dxa"/>
              <w:bottom w:w="0" w:type="dxa"/>
              <w:right w:w="108" w:type="dxa"/>
            </w:tcMar>
          </w:tcPr>
          <w:p w14:paraId="5141187E" w14:textId="77777777" w:rsidR="008D6DD5" w:rsidRDefault="008D6DD5" w:rsidP="00DB30FE">
            <w:pPr>
              <w:spacing w:after="0" w:line="240" w:lineRule="auto"/>
              <w:rPr>
                <w:b/>
                <w:bCs/>
                <w:color w:val="FFFFFF"/>
              </w:rPr>
            </w:pPr>
            <w:r>
              <w:rPr>
                <w:b/>
                <w:bCs/>
                <w:color w:val="FFFFFF"/>
              </w:rPr>
              <w:t>risks</w:t>
            </w:r>
          </w:p>
        </w:tc>
        <w:tc>
          <w:tcPr>
            <w:tcW w:w="2557" w:type="dxa"/>
            <w:tcBorders>
              <w:top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14:paraId="49557E97" w14:textId="77777777" w:rsidR="008D6DD5" w:rsidRDefault="008D6DD5" w:rsidP="00DB30FE">
            <w:pPr>
              <w:spacing w:after="0" w:line="240" w:lineRule="auto"/>
              <w:rPr>
                <w:b/>
                <w:bCs/>
                <w:color w:val="FFFFFF"/>
              </w:rPr>
            </w:pPr>
            <w:r>
              <w:rPr>
                <w:b/>
                <w:bCs/>
                <w:color w:val="FFFFFF"/>
              </w:rPr>
              <w:t xml:space="preserve">Stakeholders </w:t>
            </w:r>
          </w:p>
        </w:tc>
      </w:tr>
      <w:tr w:rsidR="008D6DD5" w14:paraId="2C6B71D9" w14:textId="77777777" w:rsidTr="00DB30FE">
        <w:trPr>
          <w:trHeight w:val="6726"/>
        </w:trPr>
        <w:tc>
          <w:tcPr>
            <w:tcW w:w="2557"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tcPr>
          <w:p w14:paraId="6EB46530" w14:textId="77777777" w:rsidR="008D6DD5" w:rsidRDefault="008D6DD5" w:rsidP="00DB30FE">
            <w:pPr>
              <w:spacing w:after="0" w:line="240" w:lineRule="auto"/>
              <w:rPr>
                <w:b/>
                <w:bCs/>
              </w:rPr>
            </w:pPr>
            <w:r>
              <w:rPr>
                <w:b/>
                <w:bCs/>
              </w:rPr>
              <w:t>The primary goal is to restore full functionality to highway 5 by reconstructing damaged bridges, repairing washed- out road sections, stabilizing slopes, and enhancing drainage systems. The restoration will also improve climate resistance. This project supports regional economic recovery and restores vital mobility for residents, businesses, and supply chains.</w:t>
            </w:r>
          </w:p>
        </w:tc>
        <w:tc>
          <w:tcPr>
            <w:tcW w:w="2557"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tcPr>
          <w:p w14:paraId="199AD681" w14:textId="77777777" w:rsidR="008D6DD5" w:rsidRDefault="008D6DD5" w:rsidP="00DB30FE">
            <w:pPr>
              <w:spacing w:after="0" w:line="240" w:lineRule="auto"/>
            </w:pPr>
            <w:r>
              <w:t xml:space="preserve">The </w:t>
            </w:r>
            <w:proofErr w:type="spellStart"/>
            <w:r>
              <w:t>projects</w:t>
            </w:r>
            <w:proofErr w:type="spellEnd"/>
            <w:r>
              <w:t xml:space="preserve"> success will be evaluated through indicators such as completing construction within the projected 12-18-month timeline, maintaining a safety record </w:t>
            </w:r>
            <w:proofErr w:type="spellStart"/>
            <w:r>
              <w:t>wit</w:t>
            </w:r>
            <w:proofErr w:type="spellEnd"/>
            <w:r>
              <w:t xml:space="preserve"> zero major incidents, and keeping expenditures within a 10% budget variance. Additional metrics are environmental compliance, engineering quality checks, effective stakeholder communication, and the structural performance of newly constructed systems.</w:t>
            </w:r>
          </w:p>
        </w:tc>
        <w:tc>
          <w:tcPr>
            <w:tcW w:w="2557"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tcPr>
          <w:p w14:paraId="6423D446" w14:textId="77777777" w:rsidR="008D6DD5" w:rsidRDefault="008D6DD5" w:rsidP="00DB30FE">
            <w:pPr>
              <w:spacing w:after="0" w:line="240" w:lineRule="auto"/>
            </w:pPr>
            <w:r>
              <w:t>Key risks include severe weather disruptions, rising material costs and potential delays in procuring construction resources. Environmental sensitives, such as habitat disruption and waterway contamination, also pose significant challenges. To address these risks strict adherence to safety protocols in essentials.</w:t>
            </w:r>
          </w:p>
        </w:tc>
        <w:tc>
          <w:tcPr>
            <w:tcW w:w="2557"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tcPr>
          <w:p w14:paraId="4D937139" w14:textId="77777777" w:rsidR="008D6DD5" w:rsidRDefault="008D6DD5" w:rsidP="00DB30FE">
            <w:pPr>
              <w:spacing w:after="0" w:line="240" w:lineRule="auto"/>
            </w:pPr>
            <w:r>
              <w:t>Critical stakeholders include the BC ministry of transportation and infrastructure, indigenous communities, municipal government, engineering and construction firms, emergency response agencies, the trucking and logistics sector, residents, and environmental regulators. Their engagement ensures transparency, collaboration, and shared accountability throughout the project.</w:t>
            </w:r>
          </w:p>
        </w:tc>
      </w:tr>
    </w:tbl>
    <w:p w14:paraId="30FB5904" w14:textId="77777777" w:rsidR="008D6DD5" w:rsidRDefault="008D6DD5" w:rsidP="008D6DD5"/>
    <w:p w14:paraId="3592B75C" w14:textId="77777777" w:rsidR="008D6DD5" w:rsidRDefault="008D6DD5" w:rsidP="008D6DD5">
      <w:pPr>
        <w:pageBreakBefore/>
      </w:pPr>
    </w:p>
    <w:p w14:paraId="58911425" w14:textId="77777777" w:rsidR="008D6DD5" w:rsidRDefault="008D6DD5" w:rsidP="008D6DD5">
      <w:r>
        <w:t xml:space="preserve">7. Gantt Chart </w:t>
      </w:r>
    </w:p>
    <w:p w14:paraId="50BEB378" w14:textId="77777777" w:rsidR="008D6DD5" w:rsidRDefault="008D6DD5" w:rsidP="008D6DD5">
      <w:r>
        <w:t>This Gantt chart presents a visual presentation of the project management plan schedule for the highway 5 restoration project, outlining the sequence and duration of major work phases. It helps stakeholders understand the projects overalls timeline and identify periods of overlap between critical activities</w:t>
      </w:r>
    </w:p>
    <w:p w14:paraId="3EF7EF3D" w14:textId="77777777" w:rsidR="008D6DD5" w:rsidRDefault="008D6DD5" w:rsidP="008D6DD5">
      <w:r>
        <w:rPr>
          <w:noProof/>
        </w:rPr>
        <w:drawing>
          <wp:inline distT="0" distB="0" distL="0" distR="0" wp14:anchorId="65CB3859" wp14:editId="403D9775">
            <wp:extent cx="5486400" cy="3200400"/>
            <wp:effectExtent l="0" t="0" r="0" b="0"/>
            <wp:docPr id="70089148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8A1DF89" w14:textId="77777777" w:rsidR="008D6DD5" w:rsidRDefault="008D6DD5" w:rsidP="008D6DD5"/>
    <w:p w14:paraId="05096596" w14:textId="77777777" w:rsidR="008D6DD5" w:rsidRDefault="008D6DD5" w:rsidP="008D6DD5"/>
    <w:p w14:paraId="548AE4A9" w14:textId="77777777" w:rsidR="008D6DD5" w:rsidRDefault="008D6DD5" w:rsidP="008D6DD5">
      <w:pPr>
        <w:pageBreakBefore/>
        <w:rPr>
          <w:sz w:val="40"/>
          <w:szCs w:val="40"/>
        </w:rPr>
      </w:pPr>
      <w:r>
        <w:rPr>
          <w:sz w:val="40"/>
          <w:szCs w:val="40"/>
        </w:rPr>
        <w:lastRenderedPageBreak/>
        <w:t>8.stakeholder engagement</w:t>
      </w:r>
    </w:p>
    <w:p w14:paraId="6F7317EF" w14:textId="77777777" w:rsidR="008D6DD5" w:rsidRDefault="008D6DD5" w:rsidP="008D6DD5">
      <w:pPr>
        <w:rPr>
          <w:sz w:val="28"/>
          <w:szCs w:val="28"/>
        </w:rPr>
      </w:pPr>
    </w:p>
    <w:p w14:paraId="2D6A2549" w14:textId="77777777" w:rsidR="008D6DD5" w:rsidRDefault="008D6DD5" w:rsidP="008D6DD5">
      <w:pPr>
        <w:rPr>
          <w:sz w:val="28"/>
          <w:szCs w:val="28"/>
        </w:rPr>
      </w:pPr>
      <w:r>
        <w:rPr>
          <w:sz w:val="28"/>
          <w:szCs w:val="28"/>
        </w:rPr>
        <w:t>Primary stakeholders</w:t>
      </w:r>
    </w:p>
    <w:p w14:paraId="5C2525ED" w14:textId="77777777" w:rsidR="008D6DD5" w:rsidRDefault="008D6DD5" w:rsidP="008D6DD5">
      <w:r>
        <w:t>These stakeholders play an essential role in the probability of a successful reopening of highway 5, their action or inaction along with crucial decision making will have a direct impact on the pace and quality of the project management plan. Government bodies (such as British Columbia ministry of transportation and infrastructure) are responsible for regulatory guidance, funding, and oversight. These bodies engagement will ensure that reconstruction measures meet safety, environmental, and engineering standards while aligning with broader transportation development targets. Engineering teams (contractors and specialist consultants) form anther essential group of primary stakeholders with their technical expertise. On site coordination and problem-solving capabilities will shape the projects day-to-day progress.</w:t>
      </w:r>
    </w:p>
    <w:p w14:paraId="182CEF15" w14:textId="77777777" w:rsidR="008D6DD5" w:rsidRDefault="008D6DD5" w:rsidP="008D6DD5">
      <w:pPr>
        <w:rPr>
          <w:sz w:val="28"/>
          <w:szCs w:val="28"/>
        </w:rPr>
      </w:pPr>
    </w:p>
    <w:p w14:paraId="0EDCC762" w14:textId="77777777" w:rsidR="008D6DD5" w:rsidRDefault="008D6DD5" w:rsidP="008D6DD5">
      <w:pPr>
        <w:rPr>
          <w:sz w:val="28"/>
          <w:szCs w:val="28"/>
        </w:rPr>
      </w:pPr>
      <w:r>
        <w:rPr>
          <w:sz w:val="28"/>
          <w:szCs w:val="28"/>
        </w:rPr>
        <w:t xml:space="preserve">Engagement strategies </w:t>
      </w:r>
    </w:p>
    <w:p w14:paraId="46D9AA68" w14:textId="77777777" w:rsidR="008D6DD5" w:rsidRDefault="008D6DD5" w:rsidP="008D6DD5">
      <w:r>
        <w:t xml:space="preserve">Successful engagement strategies are extremely important to keep stakeholders informed and involved continually through the project. Consistent, frequent progress updates and accessible communication channels create an environment where concerns can be addressed early and expectations can be managed realistically, clear communication also helps maintain stakeholder confidence in the recovery process especially when unexpected delays or changes occur. </w:t>
      </w:r>
    </w:p>
    <w:p w14:paraId="276B2D47" w14:textId="77777777" w:rsidR="008D6DD5" w:rsidRDefault="008D6DD5" w:rsidP="008D6DD5">
      <w:r>
        <w:t>Another key engagement strategy involves setting up structured consultation sessions these could take form as community meetings, technical workshops and collaborative planning forums. These interactions aim to support impactful dialogue, allowing stakeholders to share expertise, raise issues and contribute to project decision making by promoting cooperation rather than just speaking at stakeholders, the project cultivates a sense of shared responsibility and ensures that restoration efforts align with both technical requirements and community values.</w:t>
      </w:r>
    </w:p>
    <w:p w14:paraId="55B4B9EF" w14:textId="77777777" w:rsidR="008D6DD5" w:rsidRDefault="008D6DD5" w:rsidP="008D6DD5">
      <w:pPr>
        <w:pageBreakBefore/>
        <w:rPr>
          <w:sz w:val="36"/>
          <w:szCs w:val="36"/>
        </w:rPr>
      </w:pPr>
      <w:r>
        <w:rPr>
          <w:sz w:val="36"/>
          <w:szCs w:val="36"/>
        </w:rPr>
        <w:lastRenderedPageBreak/>
        <w:t>9. allocation of resources</w:t>
      </w:r>
    </w:p>
    <w:p w14:paraId="114DE80F" w14:textId="77777777" w:rsidR="008D6DD5" w:rsidRDefault="008D6DD5" w:rsidP="008D6DD5"/>
    <w:p w14:paraId="74CC3FF1" w14:textId="77777777" w:rsidR="008D6DD5" w:rsidRDefault="008D6DD5" w:rsidP="008D6DD5">
      <w:r>
        <w:t>Resource allocation for the highway 5 restoration project requires careful coordination to meet engineering, safety and environmental demands the foundation of this effect is found in the people within it. These can include project managers, civil and structural engineers, geotechnical specialists, construction crews and safety officers. The collective experience and knowledge from these groups certifies that each stage of the stage project will be completed to a satisfactory level</w:t>
      </w:r>
    </w:p>
    <w:p w14:paraId="5ABDFF1A" w14:textId="77777777" w:rsidR="008D6DD5" w:rsidRDefault="008D6DD5" w:rsidP="008D6DD5">
      <w:r>
        <w:t>Material resources must be procured from efficient, reliable sources to avoid delays-which we must consider keeping in mind global supply-chain constraints. Key materials to take notes of will include steel, concrete, aggerates, slope stabilization systems and drainage infrastructure. Heavy equipment such as cranes, excavators, and rock trucks will be allocated based approximately on the reconstruction timeline, ensuring continuous progress across multiple work sites.</w:t>
      </w:r>
    </w:p>
    <w:p w14:paraId="45F080B5" w14:textId="77777777" w:rsidR="008D6DD5" w:rsidRDefault="008D6DD5" w:rsidP="008D6DD5">
      <w:r>
        <w:t>The financial resources will be Cosley overseen and surveyed by strict budget management which will be assisted by the government emergency funding. Aiming to plan for any unforeseen events, a contingency reserve will be maintained to address any surprise conditions such as unstable soil, or weather-related delays. This structured allocation approach ensures the project remains both timely and resilient, even under challenging post-disaster conditions.</w:t>
      </w:r>
    </w:p>
    <w:p w14:paraId="368667B0" w14:textId="77777777" w:rsidR="008D6DD5" w:rsidRDefault="008D6DD5" w:rsidP="008D6DD5">
      <w:pPr>
        <w:pageBreakBefore/>
        <w:rPr>
          <w:sz w:val="32"/>
          <w:szCs w:val="32"/>
        </w:rPr>
      </w:pPr>
      <w:r>
        <w:rPr>
          <w:sz w:val="32"/>
          <w:szCs w:val="32"/>
        </w:rPr>
        <w:lastRenderedPageBreak/>
        <w:t>10. risk analysis</w:t>
      </w:r>
    </w:p>
    <w:p w14:paraId="5D448CCC" w14:textId="77777777" w:rsidR="008D6DD5" w:rsidRDefault="008D6DD5" w:rsidP="008D6DD5">
      <w:pPr>
        <w:rPr>
          <w:sz w:val="28"/>
          <w:szCs w:val="28"/>
        </w:rPr>
      </w:pPr>
      <w:r>
        <w:rPr>
          <w:sz w:val="28"/>
          <w:szCs w:val="28"/>
        </w:rPr>
        <w:t>Weather-related risks</w:t>
      </w:r>
    </w:p>
    <w:p w14:paraId="29DA615A" w14:textId="77777777" w:rsidR="008D6DD5" w:rsidRDefault="008D6DD5" w:rsidP="008D6DD5">
      <w:r>
        <w:t>Extreme weather events such as the flooding in 2022 present a threat to our project schedule and worker safety. Intense heavy rain and/or early snow will slow progress and render some areas unusable. Mitigation strategies may include seasonal planning, adaptive scheduling, and continuous monitoring of weather patterns to adjust activities when needed</w:t>
      </w:r>
    </w:p>
    <w:p w14:paraId="39D57B1C" w14:textId="77777777" w:rsidR="008D6DD5" w:rsidRDefault="008D6DD5" w:rsidP="008D6DD5"/>
    <w:p w14:paraId="4DE0AA9A" w14:textId="77777777" w:rsidR="008D6DD5" w:rsidRDefault="008D6DD5" w:rsidP="008D6DD5">
      <w:pPr>
        <w:rPr>
          <w:sz w:val="28"/>
          <w:szCs w:val="28"/>
        </w:rPr>
      </w:pPr>
      <w:r>
        <w:rPr>
          <w:sz w:val="28"/>
          <w:szCs w:val="28"/>
        </w:rPr>
        <w:t>Geotechnical and environmental risks</w:t>
      </w:r>
    </w:p>
    <w:p w14:paraId="3EFDB016" w14:textId="77777777" w:rsidR="008D6DD5" w:rsidRDefault="008D6DD5" w:rsidP="008D6DD5">
      <w:r>
        <w:t xml:space="preserve">The task of rebuilding presents risks to safety: slope instability, loose soils, and landslide-prone areas create hazards for workers during reconstruction. </w:t>
      </w:r>
      <w:proofErr w:type="gramStart"/>
      <w:r>
        <w:t>In order to</w:t>
      </w:r>
      <w:proofErr w:type="gramEnd"/>
      <w:r>
        <w:t xml:space="preserve"> solve for this, we must implement a mitigation strategy which could include geotechnical assessments, slope reinforcement systems, and erosion-control measures. Environmental risks, such as impacts on waterways, are managed through compliance with environmental regulations and ecological protection plans</w:t>
      </w:r>
    </w:p>
    <w:p w14:paraId="2559032D" w14:textId="77777777" w:rsidR="008D6DD5" w:rsidRDefault="008D6DD5" w:rsidP="008D6DD5"/>
    <w:p w14:paraId="62DB9E40" w14:textId="77777777" w:rsidR="008D6DD5" w:rsidRDefault="008D6DD5" w:rsidP="008D6DD5">
      <w:pPr>
        <w:rPr>
          <w:sz w:val="28"/>
          <w:szCs w:val="28"/>
        </w:rPr>
      </w:pPr>
      <w:r>
        <w:rPr>
          <w:sz w:val="28"/>
          <w:szCs w:val="28"/>
        </w:rPr>
        <w:t>Supply chain and cost risks</w:t>
      </w:r>
    </w:p>
    <w:p w14:paraId="1E52F357" w14:textId="77777777" w:rsidR="008D6DD5" w:rsidRDefault="008D6DD5" w:rsidP="008D6DD5">
      <w:r>
        <w:t>Market changes that cause material shortages or any supply-chain disruption could cause delays. To reduce the risk of these delays we will diversify our suppliers and apply early bulk purchasing. Cost escalation-driven by inflation or unexpected structural issues- is addressed through cost monitoring and contingency budgeting.</w:t>
      </w:r>
    </w:p>
    <w:tbl>
      <w:tblPr>
        <w:tblW w:w="9344" w:type="dxa"/>
        <w:tblCellMar>
          <w:left w:w="10" w:type="dxa"/>
          <w:right w:w="10" w:type="dxa"/>
        </w:tblCellMar>
        <w:tblLook w:val="04A0" w:firstRow="1" w:lastRow="0" w:firstColumn="1" w:lastColumn="0" w:noHBand="0" w:noVBand="1"/>
      </w:tblPr>
      <w:tblGrid>
        <w:gridCol w:w="2336"/>
        <w:gridCol w:w="2336"/>
        <w:gridCol w:w="2336"/>
        <w:gridCol w:w="2336"/>
      </w:tblGrid>
      <w:tr w:rsidR="008D6DD5" w14:paraId="49C954CF" w14:textId="77777777" w:rsidTr="00DB30FE">
        <w:trPr>
          <w:trHeight w:val="409"/>
        </w:trPr>
        <w:tc>
          <w:tcPr>
            <w:tcW w:w="2336" w:type="dxa"/>
            <w:tcBorders>
              <w:top w:val="single" w:sz="4" w:space="0" w:color="FFFFFF"/>
              <w:left w:val="single" w:sz="4" w:space="0" w:color="FFFFFF"/>
              <w:bottom w:val="single" w:sz="4" w:space="0" w:color="FFFFFF"/>
            </w:tcBorders>
            <w:shd w:val="clear" w:color="auto" w:fill="156082"/>
            <w:tcMar>
              <w:top w:w="0" w:type="dxa"/>
              <w:left w:w="108" w:type="dxa"/>
              <w:bottom w:w="0" w:type="dxa"/>
              <w:right w:w="108" w:type="dxa"/>
            </w:tcMar>
          </w:tcPr>
          <w:p w14:paraId="6F4E0E45" w14:textId="77777777" w:rsidR="008D6DD5" w:rsidRDefault="008D6DD5" w:rsidP="00DB30FE">
            <w:pPr>
              <w:spacing w:after="0" w:line="240" w:lineRule="auto"/>
              <w:rPr>
                <w:b/>
                <w:bCs/>
                <w:color w:val="FFFFFF"/>
              </w:rPr>
            </w:pPr>
            <w:r>
              <w:rPr>
                <w:b/>
                <w:bCs/>
                <w:color w:val="FFFFFF"/>
              </w:rPr>
              <w:t>Risk category</w:t>
            </w:r>
          </w:p>
        </w:tc>
        <w:tc>
          <w:tcPr>
            <w:tcW w:w="2336" w:type="dxa"/>
            <w:tcBorders>
              <w:top w:val="single" w:sz="4" w:space="0" w:color="FFFFFF"/>
              <w:bottom w:val="single" w:sz="4" w:space="0" w:color="FFFFFF"/>
            </w:tcBorders>
            <w:shd w:val="clear" w:color="auto" w:fill="156082"/>
            <w:tcMar>
              <w:top w:w="0" w:type="dxa"/>
              <w:left w:w="108" w:type="dxa"/>
              <w:bottom w:w="0" w:type="dxa"/>
              <w:right w:w="108" w:type="dxa"/>
            </w:tcMar>
          </w:tcPr>
          <w:p w14:paraId="208659B7" w14:textId="77777777" w:rsidR="008D6DD5" w:rsidRDefault="008D6DD5" w:rsidP="00DB30FE">
            <w:pPr>
              <w:spacing w:after="0" w:line="240" w:lineRule="auto"/>
              <w:rPr>
                <w:b/>
                <w:bCs/>
                <w:color w:val="FFFFFF"/>
              </w:rPr>
            </w:pPr>
            <w:r>
              <w:rPr>
                <w:b/>
                <w:bCs/>
                <w:color w:val="FFFFFF"/>
              </w:rPr>
              <w:t>probability</w:t>
            </w:r>
          </w:p>
        </w:tc>
        <w:tc>
          <w:tcPr>
            <w:tcW w:w="2336" w:type="dxa"/>
            <w:tcBorders>
              <w:top w:val="single" w:sz="4" w:space="0" w:color="FFFFFF"/>
              <w:bottom w:val="single" w:sz="4" w:space="0" w:color="FFFFFF"/>
            </w:tcBorders>
            <w:shd w:val="clear" w:color="auto" w:fill="156082"/>
            <w:tcMar>
              <w:top w:w="0" w:type="dxa"/>
              <w:left w:w="108" w:type="dxa"/>
              <w:bottom w:w="0" w:type="dxa"/>
              <w:right w:w="108" w:type="dxa"/>
            </w:tcMar>
          </w:tcPr>
          <w:p w14:paraId="5D2C83A4" w14:textId="77777777" w:rsidR="008D6DD5" w:rsidRDefault="008D6DD5" w:rsidP="00DB30FE">
            <w:pPr>
              <w:spacing w:after="0" w:line="240" w:lineRule="auto"/>
              <w:rPr>
                <w:b/>
                <w:bCs/>
                <w:color w:val="FFFFFF"/>
              </w:rPr>
            </w:pPr>
            <w:r>
              <w:rPr>
                <w:b/>
                <w:bCs/>
                <w:color w:val="FFFFFF"/>
              </w:rPr>
              <w:t>impact</w:t>
            </w:r>
          </w:p>
        </w:tc>
        <w:tc>
          <w:tcPr>
            <w:tcW w:w="2336" w:type="dxa"/>
            <w:tcBorders>
              <w:top w:val="single" w:sz="4" w:space="0" w:color="FFFFFF"/>
              <w:bottom w:val="single" w:sz="4" w:space="0" w:color="FFFFFF"/>
              <w:right w:val="single" w:sz="4" w:space="0" w:color="FFFFFF"/>
            </w:tcBorders>
            <w:shd w:val="clear" w:color="auto" w:fill="156082"/>
            <w:tcMar>
              <w:top w:w="0" w:type="dxa"/>
              <w:left w:w="108" w:type="dxa"/>
              <w:bottom w:w="0" w:type="dxa"/>
              <w:right w:w="108" w:type="dxa"/>
            </w:tcMar>
          </w:tcPr>
          <w:p w14:paraId="0FC31355" w14:textId="77777777" w:rsidR="008D6DD5" w:rsidRDefault="008D6DD5" w:rsidP="00DB30FE">
            <w:pPr>
              <w:spacing w:after="0" w:line="240" w:lineRule="auto"/>
              <w:rPr>
                <w:b/>
                <w:bCs/>
                <w:color w:val="FFFFFF"/>
              </w:rPr>
            </w:pPr>
            <w:r>
              <w:rPr>
                <w:b/>
                <w:bCs/>
                <w:color w:val="FFFFFF"/>
              </w:rPr>
              <w:t>Mitigation strategy</w:t>
            </w:r>
          </w:p>
        </w:tc>
      </w:tr>
      <w:tr w:rsidR="008D6DD5" w14:paraId="662DC56E" w14:textId="77777777" w:rsidTr="00DB30FE">
        <w:trPr>
          <w:trHeight w:val="805"/>
        </w:trPr>
        <w:tc>
          <w:tcPr>
            <w:tcW w:w="2336" w:type="dxa"/>
            <w:tcBorders>
              <w:top w:val="single" w:sz="4" w:space="0" w:color="FFFFFF"/>
              <w:left w:val="single" w:sz="4" w:space="0" w:color="FFFFFF"/>
              <w:bottom w:val="single" w:sz="4" w:space="0" w:color="FFFFFF"/>
              <w:right w:val="single" w:sz="4" w:space="0" w:color="FFFFFF"/>
            </w:tcBorders>
            <w:shd w:val="clear" w:color="auto" w:fill="156082"/>
            <w:tcMar>
              <w:top w:w="0" w:type="dxa"/>
              <w:left w:w="108" w:type="dxa"/>
              <w:bottom w:w="0" w:type="dxa"/>
              <w:right w:w="108" w:type="dxa"/>
            </w:tcMar>
          </w:tcPr>
          <w:p w14:paraId="4BC75421" w14:textId="77777777" w:rsidR="008D6DD5" w:rsidRDefault="008D6DD5" w:rsidP="00DB30FE">
            <w:pPr>
              <w:spacing w:after="0" w:line="240" w:lineRule="auto"/>
              <w:rPr>
                <w:b/>
                <w:bCs/>
                <w:color w:val="FFFFFF"/>
              </w:rPr>
            </w:pPr>
            <w:r>
              <w:rPr>
                <w:b/>
                <w:bCs/>
                <w:color w:val="FFFFFF"/>
              </w:rPr>
              <w:t>Extreme weather</w:t>
            </w:r>
          </w:p>
        </w:tc>
        <w:tc>
          <w:tcPr>
            <w:tcW w:w="2336" w:type="dxa"/>
            <w:tcBorders>
              <w:top w:val="single" w:sz="4" w:space="0" w:color="FFFFFF"/>
              <w:left w:val="single" w:sz="4" w:space="0" w:color="FFFFFF"/>
              <w:bottom w:val="single" w:sz="4" w:space="0" w:color="FFFFFF"/>
              <w:right w:val="single" w:sz="4" w:space="0" w:color="FFFFFF"/>
            </w:tcBorders>
            <w:shd w:val="clear" w:color="auto" w:fill="83CAEB"/>
            <w:tcMar>
              <w:top w:w="0" w:type="dxa"/>
              <w:left w:w="108" w:type="dxa"/>
              <w:bottom w:w="0" w:type="dxa"/>
              <w:right w:w="108" w:type="dxa"/>
            </w:tcMar>
          </w:tcPr>
          <w:p w14:paraId="38F3420B" w14:textId="77777777" w:rsidR="008D6DD5" w:rsidRDefault="008D6DD5" w:rsidP="00DB30FE">
            <w:pPr>
              <w:spacing w:after="0" w:line="240" w:lineRule="auto"/>
            </w:pPr>
            <w:r>
              <w:t>high</w:t>
            </w:r>
          </w:p>
        </w:tc>
        <w:tc>
          <w:tcPr>
            <w:tcW w:w="2336" w:type="dxa"/>
            <w:tcBorders>
              <w:top w:val="single" w:sz="4" w:space="0" w:color="FFFFFF"/>
              <w:left w:val="single" w:sz="4" w:space="0" w:color="FFFFFF"/>
              <w:bottom w:val="single" w:sz="4" w:space="0" w:color="FFFFFF"/>
              <w:right w:val="single" w:sz="4" w:space="0" w:color="FFFFFF"/>
            </w:tcBorders>
            <w:shd w:val="clear" w:color="auto" w:fill="83CAEB"/>
            <w:tcMar>
              <w:top w:w="0" w:type="dxa"/>
              <w:left w:w="108" w:type="dxa"/>
              <w:bottom w:w="0" w:type="dxa"/>
              <w:right w:w="108" w:type="dxa"/>
            </w:tcMar>
          </w:tcPr>
          <w:p w14:paraId="6739617B" w14:textId="77777777" w:rsidR="008D6DD5" w:rsidRDefault="008D6DD5" w:rsidP="00DB30FE">
            <w:pPr>
              <w:spacing w:after="0" w:line="240" w:lineRule="auto"/>
            </w:pPr>
            <w:r>
              <w:t>high</w:t>
            </w:r>
          </w:p>
        </w:tc>
        <w:tc>
          <w:tcPr>
            <w:tcW w:w="2336" w:type="dxa"/>
            <w:tcBorders>
              <w:top w:val="single" w:sz="4" w:space="0" w:color="FFFFFF"/>
              <w:left w:val="single" w:sz="4" w:space="0" w:color="FFFFFF"/>
              <w:bottom w:val="single" w:sz="4" w:space="0" w:color="FFFFFF"/>
              <w:right w:val="single" w:sz="4" w:space="0" w:color="FFFFFF"/>
            </w:tcBorders>
            <w:shd w:val="clear" w:color="auto" w:fill="83CAEB"/>
            <w:tcMar>
              <w:top w:w="0" w:type="dxa"/>
              <w:left w:w="108" w:type="dxa"/>
              <w:bottom w:w="0" w:type="dxa"/>
              <w:right w:w="108" w:type="dxa"/>
            </w:tcMar>
          </w:tcPr>
          <w:p w14:paraId="1F5DA272" w14:textId="77777777" w:rsidR="008D6DD5" w:rsidRDefault="008D6DD5" w:rsidP="00DB30FE">
            <w:pPr>
              <w:spacing w:after="0" w:line="240" w:lineRule="auto"/>
            </w:pPr>
            <w:r>
              <w:t>Seasonal planning flexible scheduling</w:t>
            </w:r>
          </w:p>
        </w:tc>
      </w:tr>
      <w:tr w:rsidR="008D6DD5" w14:paraId="7459ADF3" w14:textId="77777777" w:rsidTr="00DB30FE">
        <w:trPr>
          <w:trHeight w:val="805"/>
        </w:trPr>
        <w:tc>
          <w:tcPr>
            <w:tcW w:w="2336" w:type="dxa"/>
            <w:tcBorders>
              <w:top w:val="single" w:sz="4" w:space="0" w:color="FFFFFF"/>
              <w:left w:val="single" w:sz="4" w:space="0" w:color="FFFFFF"/>
              <w:bottom w:val="single" w:sz="4" w:space="0" w:color="FFFFFF"/>
              <w:right w:val="single" w:sz="4" w:space="0" w:color="FFFFFF"/>
            </w:tcBorders>
            <w:shd w:val="clear" w:color="auto" w:fill="156082"/>
            <w:tcMar>
              <w:top w:w="0" w:type="dxa"/>
              <w:left w:w="108" w:type="dxa"/>
              <w:bottom w:w="0" w:type="dxa"/>
              <w:right w:w="108" w:type="dxa"/>
            </w:tcMar>
          </w:tcPr>
          <w:p w14:paraId="04FBFAE2" w14:textId="77777777" w:rsidR="008D6DD5" w:rsidRDefault="008D6DD5" w:rsidP="00DB30FE">
            <w:pPr>
              <w:spacing w:after="0" w:line="240" w:lineRule="auto"/>
              <w:rPr>
                <w:b/>
                <w:bCs/>
                <w:color w:val="FFFFFF"/>
              </w:rPr>
            </w:pPr>
            <w:r>
              <w:rPr>
                <w:b/>
                <w:bCs/>
                <w:color w:val="FFFFFF"/>
              </w:rPr>
              <w:t>Geotechnical instability</w:t>
            </w:r>
          </w:p>
        </w:tc>
        <w:tc>
          <w:tcPr>
            <w:tcW w:w="2336" w:type="dxa"/>
            <w:tcBorders>
              <w:top w:val="single" w:sz="4" w:space="0" w:color="FFFFFF"/>
              <w:left w:val="single" w:sz="4" w:space="0" w:color="FFFFFF"/>
              <w:bottom w:val="single" w:sz="4" w:space="0" w:color="FFFFFF"/>
              <w:right w:val="single" w:sz="4" w:space="0" w:color="FFFFFF"/>
            </w:tcBorders>
            <w:shd w:val="clear" w:color="auto" w:fill="C1E4F5"/>
            <w:tcMar>
              <w:top w:w="0" w:type="dxa"/>
              <w:left w:w="108" w:type="dxa"/>
              <w:bottom w:w="0" w:type="dxa"/>
              <w:right w:w="108" w:type="dxa"/>
            </w:tcMar>
          </w:tcPr>
          <w:p w14:paraId="51D4757C" w14:textId="77777777" w:rsidR="008D6DD5" w:rsidRDefault="008D6DD5" w:rsidP="00DB30FE">
            <w:pPr>
              <w:spacing w:after="0" w:line="240" w:lineRule="auto"/>
            </w:pPr>
            <w:r>
              <w:t>high</w:t>
            </w:r>
          </w:p>
        </w:tc>
        <w:tc>
          <w:tcPr>
            <w:tcW w:w="2336" w:type="dxa"/>
            <w:tcBorders>
              <w:top w:val="single" w:sz="4" w:space="0" w:color="FFFFFF"/>
              <w:left w:val="single" w:sz="4" w:space="0" w:color="FFFFFF"/>
              <w:bottom w:val="single" w:sz="4" w:space="0" w:color="FFFFFF"/>
              <w:right w:val="single" w:sz="4" w:space="0" w:color="FFFFFF"/>
            </w:tcBorders>
            <w:shd w:val="clear" w:color="auto" w:fill="C1E4F5"/>
            <w:tcMar>
              <w:top w:w="0" w:type="dxa"/>
              <w:left w:w="108" w:type="dxa"/>
              <w:bottom w:w="0" w:type="dxa"/>
              <w:right w:w="108" w:type="dxa"/>
            </w:tcMar>
          </w:tcPr>
          <w:p w14:paraId="5EABF787" w14:textId="77777777" w:rsidR="008D6DD5" w:rsidRDefault="008D6DD5" w:rsidP="00DB30FE">
            <w:pPr>
              <w:spacing w:after="0" w:line="240" w:lineRule="auto"/>
            </w:pPr>
            <w:r>
              <w:t>high</w:t>
            </w:r>
          </w:p>
        </w:tc>
        <w:tc>
          <w:tcPr>
            <w:tcW w:w="2336" w:type="dxa"/>
            <w:tcBorders>
              <w:top w:val="single" w:sz="4" w:space="0" w:color="FFFFFF"/>
              <w:left w:val="single" w:sz="4" w:space="0" w:color="FFFFFF"/>
              <w:bottom w:val="single" w:sz="4" w:space="0" w:color="FFFFFF"/>
              <w:right w:val="single" w:sz="4" w:space="0" w:color="FFFFFF"/>
            </w:tcBorders>
            <w:shd w:val="clear" w:color="auto" w:fill="C1E4F5"/>
            <w:tcMar>
              <w:top w:w="0" w:type="dxa"/>
              <w:left w:w="108" w:type="dxa"/>
              <w:bottom w:w="0" w:type="dxa"/>
              <w:right w:w="108" w:type="dxa"/>
            </w:tcMar>
          </w:tcPr>
          <w:p w14:paraId="0643DBF3" w14:textId="77777777" w:rsidR="008D6DD5" w:rsidRDefault="008D6DD5" w:rsidP="00DB30FE">
            <w:pPr>
              <w:spacing w:after="0" w:line="240" w:lineRule="auto"/>
            </w:pPr>
            <w:r>
              <w:t>Soil testing, slope stabilization</w:t>
            </w:r>
          </w:p>
        </w:tc>
      </w:tr>
      <w:tr w:rsidR="008D6DD5" w14:paraId="686F2E54" w14:textId="77777777" w:rsidTr="00DB30FE">
        <w:trPr>
          <w:trHeight w:val="805"/>
        </w:trPr>
        <w:tc>
          <w:tcPr>
            <w:tcW w:w="2336" w:type="dxa"/>
            <w:tcBorders>
              <w:top w:val="single" w:sz="4" w:space="0" w:color="FFFFFF"/>
              <w:left w:val="single" w:sz="4" w:space="0" w:color="FFFFFF"/>
              <w:bottom w:val="single" w:sz="4" w:space="0" w:color="FFFFFF"/>
              <w:right w:val="single" w:sz="4" w:space="0" w:color="FFFFFF"/>
            </w:tcBorders>
            <w:shd w:val="clear" w:color="auto" w:fill="156082"/>
            <w:tcMar>
              <w:top w:w="0" w:type="dxa"/>
              <w:left w:w="108" w:type="dxa"/>
              <w:bottom w:w="0" w:type="dxa"/>
              <w:right w:w="108" w:type="dxa"/>
            </w:tcMar>
          </w:tcPr>
          <w:p w14:paraId="2F7337B8" w14:textId="77777777" w:rsidR="008D6DD5" w:rsidRDefault="008D6DD5" w:rsidP="00DB30FE">
            <w:pPr>
              <w:spacing w:after="0" w:line="240" w:lineRule="auto"/>
              <w:rPr>
                <w:b/>
                <w:bCs/>
                <w:color w:val="FFFFFF"/>
              </w:rPr>
            </w:pPr>
            <w:r>
              <w:rPr>
                <w:b/>
                <w:bCs/>
                <w:color w:val="FFFFFF"/>
              </w:rPr>
              <w:t xml:space="preserve"> Supply chain disruptions</w:t>
            </w:r>
          </w:p>
        </w:tc>
        <w:tc>
          <w:tcPr>
            <w:tcW w:w="2336" w:type="dxa"/>
            <w:tcBorders>
              <w:top w:val="single" w:sz="4" w:space="0" w:color="FFFFFF"/>
              <w:left w:val="single" w:sz="4" w:space="0" w:color="FFFFFF"/>
              <w:bottom w:val="single" w:sz="4" w:space="0" w:color="FFFFFF"/>
              <w:right w:val="single" w:sz="4" w:space="0" w:color="FFFFFF"/>
            </w:tcBorders>
            <w:shd w:val="clear" w:color="auto" w:fill="83CAEB"/>
            <w:tcMar>
              <w:top w:w="0" w:type="dxa"/>
              <w:left w:w="108" w:type="dxa"/>
              <w:bottom w:w="0" w:type="dxa"/>
              <w:right w:w="108" w:type="dxa"/>
            </w:tcMar>
          </w:tcPr>
          <w:p w14:paraId="722D4BCF" w14:textId="77777777" w:rsidR="008D6DD5" w:rsidRDefault="008D6DD5" w:rsidP="00DB30FE">
            <w:pPr>
              <w:spacing w:after="0" w:line="240" w:lineRule="auto"/>
            </w:pPr>
            <w:r>
              <w:t>medium</w:t>
            </w:r>
          </w:p>
        </w:tc>
        <w:tc>
          <w:tcPr>
            <w:tcW w:w="2336" w:type="dxa"/>
            <w:tcBorders>
              <w:top w:val="single" w:sz="4" w:space="0" w:color="FFFFFF"/>
              <w:left w:val="single" w:sz="4" w:space="0" w:color="FFFFFF"/>
              <w:bottom w:val="single" w:sz="4" w:space="0" w:color="FFFFFF"/>
              <w:right w:val="single" w:sz="4" w:space="0" w:color="FFFFFF"/>
            </w:tcBorders>
            <w:shd w:val="clear" w:color="auto" w:fill="83CAEB"/>
            <w:tcMar>
              <w:top w:w="0" w:type="dxa"/>
              <w:left w:w="108" w:type="dxa"/>
              <w:bottom w:w="0" w:type="dxa"/>
              <w:right w:w="108" w:type="dxa"/>
            </w:tcMar>
          </w:tcPr>
          <w:p w14:paraId="4EC2265B" w14:textId="77777777" w:rsidR="008D6DD5" w:rsidRDefault="008D6DD5" w:rsidP="00DB30FE">
            <w:pPr>
              <w:spacing w:after="0" w:line="240" w:lineRule="auto"/>
            </w:pPr>
            <w:r>
              <w:t>medium</w:t>
            </w:r>
          </w:p>
        </w:tc>
        <w:tc>
          <w:tcPr>
            <w:tcW w:w="2336" w:type="dxa"/>
            <w:tcBorders>
              <w:top w:val="single" w:sz="4" w:space="0" w:color="FFFFFF"/>
              <w:left w:val="single" w:sz="4" w:space="0" w:color="FFFFFF"/>
              <w:bottom w:val="single" w:sz="4" w:space="0" w:color="FFFFFF"/>
              <w:right w:val="single" w:sz="4" w:space="0" w:color="FFFFFF"/>
            </w:tcBorders>
            <w:shd w:val="clear" w:color="auto" w:fill="83CAEB"/>
            <w:tcMar>
              <w:top w:w="0" w:type="dxa"/>
              <w:left w:w="108" w:type="dxa"/>
              <w:bottom w:w="0" w:type="dxa"/>
              <w:right w:w="108" w:type="dxa"/>
            </w:tcMar>
          </w:tcPr>
          <w:p w14:paraId="0946491A" w14:textId="77777777" w:rsidR="008D6DD5" w:rsidRDefault="008D6DD5" w:rsidP="00DB30FE">
            <w:pPr>
              <w:spacing w:after="0" w:line="240" w:lineRule="auto"/>
            </w:pPr>
            <w:r>
              <w:t>Multiple suppliers, early procurement</w:t>
            </w:r>
          </w:p>
        </w:tc>
      </w:tr>
      <w:tr w:rsidR="008D6DD5" w14:paraId="58173500" w14:textId="77777777" w:rsidTr="00DB30FE">
        <w:trPr>
          <w:trHeight w:val="766"/>
        </w:trPr>
        <w:tc>
          <w:tcPr>
            <w:tcW w:w="2336" w:type="dxa"/>
            <w:tcBorders>
              <w:top w:val="single" w:sz="4" w:space="0" w:color="FFFFFF"/>
              <w:left w:val="single" w:sz="4" w:space="0" w:color="FFFFFF"/>
              <w:bottom w:val="single" w:sz="4" w:space="0" w:color="FFFFFF"/>
              <w:right w:val="single" w:sz="4" w:space="0" w:color="FFFFFF"/>
            </w:tcBorders>
            <w:shd w:val="clear" w:color="auto" w:fill="156082"/>
            <w:tcMar>
              <w:top w:w="0" w:type="dxa"/>
              <w:left w:w="108" w:type="dxa"/>
              <w:bottom w:w="0" w:type="dxa"/>
              <w:right w:w="108" w:type="dxa"/>
            </w:tcMar>
          </w:tcPr>
          <w:p w14:paraId="0C513C16" w14:textId="77777777" w:rsidR="008D6DD5" w:rsidRDefault="008D6DD5" w:rsidP="00DB30FE">
            <w:pPr>
              <w:spacing w:after="0" w:line="240" w:lineRule="auto"/>
              <w:rPr>
                <w:b/>
                <w:bCs/>
                <w:color w:val="FFFFFF"/>
              </w:rPr>
            </w:pPr>
            <w:r>
              <w:rPr>
                <w:b/>
                <w:bCs/>
                <w:color w:val="FFFFFF"/>
              </w:rPr>
              <w:t>Cost overruns</w:t>
            </w:r>
          </w:p>
        </w:tc>
        <w:tc>
          <w:tcPr>
            <w:tcW w:w="2336" w:type="dxa"/>
            <w:tcBorders>
              <w:top w:val="single" w:sz="4" w:space="0" w:color="FFFFFF"/>
              <w:left w:val="single" w:sz="4" w:space="0" w:color="FFFFFF"/>
              <w:bottom w:val="single" w:sz="4" w:space="0" w:color="FFFFFF"/>
              <w:right w:val="single" w:sz="4" w:space="0" w:color="FFFFFF"/>
            </w:tcBorders>
            <w:shd w:val="clear" w:color="auto" w:fill="C1E4F5"/>
            <w:tcMar>
              <w:top w:w="0" w:type="dxa"/>
              <w:left w:w="108" w:type="dxa"/>
              <w:bottom w:w="0" w:type="dxa"/>
              <w:right w:w="108" w:type="dxa"/>
            </w:tcMar>
          </w:tcPr>
          <w:p w14:paraId="237ADD3A" w14:textId="77777777" w:rsidR="008D6DD5" w:rsidRDefault="008D6DD5" w:rsidP="00DB30FE">
            <w:pPr>
              <w:spacing w:after="0" w:line="240" w:lineRule="auto"/>
            </w:pPr>
            <w:r>
              <w:t>medium</w:t>
            </w:r>
          </w:p>
        </w:tc>
        <w:tc>
          <w:tcPr>
            <w:tcW w:w="2336" w:type="dxa"/>
            <w:tcBorders>
              <w:top w:val="single" w:sz="4" w:space="0" w:color="FFFFFF"/>
              <w:left w:val="single" w:sz="4" w:space="0" w:color="FFFFFF"/>
              <w:bottom w:val="single" w:sz="4" w:space="0" w:color="FFFFFF"/>
              <w:right w:val="single" w:sz="4" w:space="0" w:color="FFFFFF"/>
            </w:tcBorders>
            <w:shd w:val="clear" w:color="auto" w:fill="C1E4F5"/>
            <w:tcMar>
              <w:top w:w="0" w:type="dxa"/>
              <w:left w:w="108" w:type="dxa"/>
              <w:bottom w:w="0" w:type="dxa"/>
              <w:right w:w="108" w:type="dxa"/>
            </w:tcMar>
          </w:tcPr>
          <w:p w14:paraId="3B85CD9E" w14:textId="77777777" w:rsidR="008D6DD5" w:rsidRDefault="008D6DD5" w:rsidP="00DB30FE">
            <w:pPr>
              <w:spacing w:after="0" w:line="240" w:lineRule="auto"/>
            </w:pPr>
            <w:r>
              <w:t>high</w:t>
            </w:r>
          </w:p>
        </w:tc>
        <w:tc>
          <w:tcPr>
            <w:tcW w:w="2336" w:type="dxa"/>
            <w:tcBorders>
              <w:top w:val="single" w:sz="4" w:space="0" w:color="FFFFFF"/>
              <w:left w:val="single" w:sz="4" w:space="0" w:color="FFFFFF"/>
              <w:bottom w:val="single" w:sz="4" w:space="0" w:color="FFFFFF"/>
              <w:right w:val="single" w:sz="4" w:space="0" w:color="FFFFFF"/>
            </w:tcBorders>
            <w:shd w:val="clear" w:color="auto" w:fill="C1E4F5"/>
            <w:tcMar>
              <w:top w:w="0" w:type="dxa"/>
              <w:left w:w="108" w:type="dxa"/>
              <w:bottom w:w="0" w:type="dxa"/>
              <w:right w:w="108" w:type="dxa"/>
            </w:tcMar>
          </w:tcPr>
          <w:p w14:paraId="172DEE2F" w14:textId="77777777" w:rsidR="008D6DD5" w:rsidRDefault="008D6DD5" w:rsidP="00DB30FE">
            <w:pPr>
              <w:spacing w:after="0" w:line="240" w:lineRule="auto"/>
            </w:pPr>
            <w:r>
              <w:t>Budget tracking, contingency funds</w:t>
            </w:r>
          </w:p>
        </w:tc>
      </w:tr>
    </w:tbl>
    <w:p w14:paraId="0D59161F" w14:textId="77777777" w:rsidR="008D6DD5" w:rsidRDefault="008D6DD5" w:rsidP="008D6DD5"/>
    <w:p w14:paraId="2DB263ED" w14:textId="77777777" w:rsidR="008D6DD5" w:rsidRDefault="008D6DD5" w:rsidP="008D6DD5">
      <w:pPr>
        <w:pageBreakBefore/>
        <w:rPr>
          <w:sz w:val="36"/>
          <w:szCs w:val="36"/>
        </w:rPr>
      </w:pPr>
      <w:r>
        <w:rPr>
          <w:sz w:val="36"/>
          <w:szCs w:val="36"/>
        </w:rPr>
        <w:lastRenderedPageBreak/>
        <w:t xml:space="preserve">11. conclusion </w:t>
      </w:r>
    </w:p>
    <w:p w14:paraId="2FB04B92" w14:textId="77777777" w:rsidR="008D6DD5" w:rsidRDefault="008D6DD5" w:rsidP="008D6DD5"/>
    <w:p w14:paraId="194FFD07" w14:textId="77777777" w:rsidR="008D6DD5" w:rsidRDefault="008D6DD5" w:rsidP="008D6DD5">
      <w:r>
        <w:t>The restoration of highway 5 in the wake of 2022 British Columbia floods means much more than a reconstruction, it is rebuilding economic lifelines and community connectivity. The project management plan presents a clear scope, a detailed WBS, quad chart priorities, resource allocations, stakeholders’ engagement and a practical Gantt schedule to deliver safe, timely reopening</w:t>
      </w:r>
    </w:p>
    <w:p w14:paraId="2CAAB8FB" w14:textId="77777777" w:rsidR="008D6DD5" w:rsidRDefault="008D6DD5" w:rsidP="008D6DD5"/>
    <w:p w14:paraId="2C873AF1" w14:textId="77777777" w:rsidR="008D6DD5" w:rsidRDefault="008D6DD5" w:rsidP="008D6DD5">
      <w:r>
        <w:t>There is a great importance placed on thorough geotechnical assessment: resilient bride and drainage design whilst contingency funding addresses and highest risk (weather, unstable slopes and supply disruption). Stakeholder processes that incorporate different groups (provincial agencies, indigenous nations, local communities, transport operators) will guid decisions and accelerate approvals.</w:t>
      </w:r>
    </w:p>
    <w:p w14:paraId="5AED0D82" w14:textId="77777777" w:rsidR="008D6DD5" w:rsidRDefault="008D6DD5" w:rsidP="008D6DD5"/>
    <w:p w14:paraId="532C2BE3" w14:textId="77777777" w:rsidR="008D6DD5" w:rsidRDefault="008D6DD5" w:rsidP="008D6DD5">
      <w:r>
        <w:t>We have taken many measures to strengthen and protect procurement, phase site access and coordinate safety management to minimize delays and incidents. Through combining emergency responsiveness with longer-term resilience improvements, project not only reconnects to the lower mainland to the interior but also reduces vulnerability to future atmospheric river events.</w:t>
      </w:r>
    </w:p>
    <w:p w14:paraId="609C8060" w14:textId="77777777" w:rsidR="008D6DD5" w:rsidRDefault="008D6DD5" w:rsidP="008D6DD5">
      <w:pPr>
        <w:pageBreakBefore/>
      </w:pPr>
      <w:r>
        <w:lastRenderedPageBreak/>
        <w:t>12. references</w:t>
      </w:r>
    </w:p>
    <w:p w14:paraId="6EF5C5B4" w14:textId="77777777" w:rsidR="008D6DD5" w:rsidRDefault="008D6DD5" w:rsidP="008D6DD5">
      <w:r>
        <w:t xml:space="preserve">1. BC ministry of transportation and infrastructure (2022) highway infrastructure damage assessment report: atmospheric river event. Government of </w:t>
      </w:r>
      <w:proofErr w:type="spellStart"/>
      <w:r>
        <w:t>british</w:t>
      </w:r>
      <w:proofErr w:type="spellEnd"/>
      <w:r>
        <w:t xml:space="preserve"> Columbia, Victoria </w:t>
      </w:r>
    </w:p>
    <w:p w14:paraId="65AE7AA2" w14:textId="77777777" w:rsidR="008D6DD5" w:rsidRDefault="008D6DD5" w:rsidP="008D6DD5">
      <w:r>
        <w:t xml:space="preserve">2. British Columbia government (2023) 2021-2022 extreme weather events: recovery, response and infrastructure resilience strategy. Government of </w:t>
      </w:r>
      <w:proofErr w:type="spellStart"/>
      <w:r>
        <w:t>birtish</w:t>
      </w:r>
      <w:proofErr w:type="spellEnd"/>
      <w:r>
        <w:t xml:space="preserve"> Columbia, Victoria.</w:t>
      </w:r>
    </w:p>
    <w:p w14:paraId="71A37696" w14:textId="77777777" w:rsidR="008D6DD5" w:rsidRDefault="008D6DD5" w:rsidP="008D6DD5">
      <w:r>
        <w:t xml:space="preserve">3. </w:t>
      </w:r>
      <w:proofErr w:type="spellStart"/>
      <w:r>
        <w:t>Chelleri</w:t>
      </w:r>
      <w:proofErr w:type="spellEnd"/>
      <w:r>
        <w:t xml:space="preserve">, L, Waters, J &amp; Olazabal, M (2015) resilience trade-offs: addressing multiple scales and temporal aspects of urban resilience, environment and </w:t>
      </w:r>
      <w:proofErr w:type="spellStart"/>
      <w:r>
        <w:t>ubranization</w:t>
      </w:r>
      <w:proofErr w:type="spellEnd"/>
      <w:r>
        <w:t xml:space="preserve">, 27(1), pp. 181-198 </w:t>
      </w:r>
    </w:p>
    <w:p w14:paraId="27093B40" w14:textId="77777777" w:rsidR="008D6DD5" w:rsidRDefault="008D6DD5" w:rsidP="008D6DD5">
      <w:r>
        <w:t>4. cook, K.L. &amp; Lane, S.N. (2022) rapid geomorphic impacts of atmospheric-river flooding in western Canada, natural hazards and earth system sciences, 22(5</w:t>
      </w:r>
      <w:proofErr w:type="gramStart"/>
      <w:r>
        <w:t>),pp</w:t>
      </w:r>
      <w:proofErr w:type="gramEnd"/>
      <w:r>
        <w:t>, 1651-1668</w:t>
      </w:r>
    </w:p>
    <w:p w14:paraId="2832C950" w14:textId="77777777" w:rsidR="008D6DD5" w:rsidRDefault="008D6DD5" w:rsidP="008D6DD5">
      <w:r>
        <w:t>5. engineers Canada (2020) managing infrastructure risks in changing climate. Engineers Canada, Ottawa.</w:t>
      </w:r>
    </w:p>
    <w:p w14:paraId="3F61CB58" w14:textId="77777777" w:rsidR="008D6DD5" w:rsidRDefault="008D6DD5" w:rsidP="008D6DD5">
      <w:r>
        <w:t>6. government of Canada (2022) supply chain impacts of the British Columbia floods. Transport Canada, Ottawa</w:t>
      </w:r>
    </w:p>
    <w:p w14:paraId="25C2BB2C" w14:textId="77777777" w:rsidR="008D6DD5" w:rsidRDefault="008D6DD5" w:rsidP="008D6DD5">
      <w:r>
        <w:t>7. intergovernmental panel on climate change (IPCC) (2022) climate change 2022: impacts, adaption, and vulnerability. Cambridge university press, Cambridge.</w:t>
      </w:r>
    </w:p>
    <w:p w14:paraId="3A935669" w14:textId="77777777" w:rsidR="008D6DD5" w:rsidRDefault="008D6DD5" w:rsidP="008D6DD5">
      <w:r>
        <w:t>8.project management institute (PMI) (2021) a guide to the product management body of knowledge (PMBOK guide), 7</w:t>
      </w:r>
      <w:r>
        <w:rPr>
          <w:vertAlign w:val="superscript"/>
        </w:rPr>
        <w:t>th</w:t>
      </w:r>
      <w:r>
        <w:t xml:space="preserve"> end. PMI, newton square, PA</w:t>
      </w:r>
    </w:p>
    <w:p w14:paraId="4166C24D" w14:textId="77777777" w:rsidR="008D6DD5" w:rsidRDefault="008D6DD5" w:rsidP="008D6DD5">
      <w:r>
        <w:t xml:space="preserve">9. shaw, r, </w:t>
      </w:r>
      <w:proofErr w:type="spellStart"/>
      <w:r>
        <w:t>pulhin</w:t>
      </w:r>
      <w:proofErr w:type="spellEnd"/>
      <w:r>
        <w:t>, j &amp; Pereira, J. (2020) climate disaster resilience: policy and practice. Springer, Singapore</w:t>
      </w:r>
    </w:p>
    <w:p w14:paraId="1E38DABE" w14:textId="77777777" w:rsidR="008D6DD5" w:rsidRDefault="008D6DD5" w:rsidP="008D6DD5">
      <w:r>
        <w:t>10. Sidle, R.C. &amp; Bogaard, T.A. (2016) landslide hazard analysis in mountainous regions: integrating climate change impacts, geomorphology, 270, pp. 138-151.</w:t>
      </w:r>
    </w:p>
    <w:p w14:paraId="062C6B8A" w14:textId="77777777" w:rsidR="008D6DD5" w:rsidRDefault="008D6DD5" w:rsidP="008D6DD5">
      <w:r>
        <w:t>11. transport Canada (2021) national highway system: critical trade corridor analysis. Government of Canada, Ottawa.</w:t>
      </w:r>
    </w:p>
    <w:p w14:paraId="71264FAB" w14:textId="77777777" w:rsidR="008D6DD5" w:rsidRDefault="008D6DD5" w:rsidP="008D6DD5">
      <w:r>
        <w:t>12. Zhou, Y., Li, Q &amp; Wiltjer, J (2019) climate resilience and infrastructure recovery: assessing transport networks under extreme weather, international journal of disaster risk reduction, 33, pp. 36-47.</w:t>
      </w:r>
    </w:p>
    <w:p w14:paraId="6E6ED52A" w14:textId="77777777" w:rsidR="008D6DD5" w:rsidRDefault="008D6DD5"/>
    <w:sectPr w:rsidR="008D6DD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00F3D" w14:textId="77777777" w:rsidR="00670966" w:rsidRDefault="00670966">
      <w:pPr>
        <w:spacing w:after="0" w:line="240" w:lineRule="auto"/>
      </w:pPr>
      <w:r>
        <w:separator/>
      </w:r>
    </w:p>
  </w:endnote>
  <w:endnote w:type="continuationSeparator" w:id="0">
    <w:p w14:paraId="084F9F57" w14:textId="77777777" w:rsidR="00670966" w:rsidRDefault="00670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9784E" w14:textId="77777777" w:rsidR="00670966" w:rsidRDefault="00670966">
      <w:pPr>
        <w:spacing w:after="0" w:line="240" w:lineRule="auto"/>
      </w:pPr>
      <w:r>
        <w:rPr>
          <w:color w:val="000000"/>
        </w:rPr>
        <w:separator/>
      </w:r>
    </w:p>
  </w:footnote>
  <w:footnote w:type="continuationSeparator" w:id="0">
    <w:p w14:paraId="0BB32828" w14:textId="77777777" w:rsidR="00670966" w:rsidRDefault="006709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7C8"/>
    <w:rsid w:val="00240447"/>
    <w:rsid w:val="00266944"/>
    <w:rsid w:val="00670966"/>
    <w:rsid w:val="008D6DD5"/>
    <w:rsid w:val="009D27C8"/>
    <w:rsid w:val="009E3265"/>
    <w:rsid w:val="00A01E3C"/>
    <w:rsid w:val="00A6100E"/>
    <w:rsid w:val="00DF5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37DED"/>
  <w15:docId w15:val="{E0397D69-39AF-41B7-8F11-6A2557B44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hart" Target="charts/chart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Aptos"/>
              </a:defRPr>
            </a:pPr>
            <a:r>
              <a:rPr lang="en-US" sz="1400" b="0" i="0" u="none" strike="noStrike" kern="1200" cap="none" spc="0" baseline="0">
                <a:solidFill>
                  <a:srgbClr val="595959"/>
                </a:solidFill>
                <a:uFillTx/>
                <a:latin typeface="Aptos"/>
              </a:rPr>
              <a:t>Chart Title</a:t>
            </a:r>
          </a:p>
        </c:rich>
      </c:tx>
      <c:overlay val="0"/>
      <c:spPr>
        <a:noFill/>
        <a:ln>
          <a:noFill/>
        </a:ln>
      </c:spPr>
    </c:title>
    <c:autoTitleDeleted val="0"/>
    <c:plotArea>
      <c:layout>
        <c:manualLayout>
          <c:xMode val="edge"/>
          <c:yMode val="edge"/>
          <c:x val="2.3148148148148147E-2"/>
          <c:y val="9.5125921759780033E-2"/>
          <c:w val="0.97685185185185186"/>
          <c:h val="0.81409980002499693"/>
        </c:manualLayout>
      </c:layout>
      <c:barChart>
        <c:barDir val="bar"/>
        <c:grouping val="stacked"/>
        <c:varyColors val="0"/>
        <c:ser>
          <c:idx val="0"/>
          <c:order val="0"/>
          <c:tx>
            <c:v>Series 2</c:v>
          </c:tx>
          <c:spPr>
            <a:solidFill>
              <a:srgbClr val="E97132"/>
            </a:solidFill>
            <a:ln>
              <a:noFill/>
            </a:ln>
          </c:spPr>
          <c:invertIfNegative val="0"/>
          <c:cat>
            <c:strLit>
              <c:ptCount val="6"/>
              <c:pt idx="0">
                <c:v>intiation &amp; assesment</c:v>
              </c:pt>
              <c:pt idx="1">
                <c:v>engineering design</c:v>
              </c:pt>
              <c:pt idx="2">
                <c:v>site preparation</c:v>
              </c:pt>
              <c:pt idx="3">
                <c:v>reconstruction</c:v>
              </c:pt>
              <c:pt idx="4">
                <c:v>testing &amp; comissioning</c:v>
              </c:pt>
              <c:pt idx="5">
                <c:v>closeout</c:v>
              </c:pt>
            </c:strLit>
          </c:cat>
          <c:val>
            <c:numLit>
              <c:formatCode>General</c:formatCode>
              <c:ptCount val="6"/>
              <c:pt idx="0">
                <c:v>0</c:v>
              </c:pt>
              <c:pt idx="1">
                <c:v>0</c:v>
              </c:pt>
              <c:pt idx="2">
                <c:v>1.8</c:v>
              </c:pt>
              <c:pt idx="3">
                <c:v>2.8</c:v>
              </c:pt>
              <c:pt idx="4">
                <c:v>0</c:v>
              </c:pt>
              <c:pt idx="5">
                <c:v>0</c:v>
              </c:pt>
            </c:numLit>
          </c:val>
          <c:extLst>
            <c:ext xmlns:c16="http://schemas.microsoft.com/office/drawing/2014/chart" uri="{C3380CC4-5D6E-409C-BE32-E72D297353CC}">
              <c16:uniqueId val="{00000000-1C71-4470-907F-D775557B313A}"/>
            </c:ext>
          </c:extLst>
        </c:ser>
        <c:ser>
          <c:idx val="1"/>
          <c:order val="1"/>
          <c:tx>
            <c:v>Series 3</c:v>
          </c:tx>
          <c:spPr>
            <a:solidFill>
              <a:srgbClr val="196B24"/>
            </a:solidFill>
            <a:ln>
              <a:noFill/>
            </a:ln>
          </c:spPr>
          <c:invertIfNegative val="0"/>
          <c:cat>
            <c:strLit>
              <c:ptCount val="6"/>
              <c:pt idx="0">
                <c:v>intiation &amp; assesment</c:v>
              </c:pt>
              <c:pt idx="1">
                <c:v>engineering design</c:v>
              </c:pt>
              <c:pt idx="2">
                <c:v>site preparation</c:v>
              </c:pt>
              <c:pt idx="3">
                <c:v>reconstruction</c:v>
              </c:pt>
              <c:pt idx="4">
                <c:v>testing &amp; comissioning</c:v>
              </c:pt>
              <c:pt idx="5">
                <c:v>closeout</c:v>
              </c:pt>
            </c:strLit>
          </c:cat>
          <c:val>
            <c:numLit>
              <c:formatCode>General</c:formatCode>
              <c:ptCount val="6"/>
              <c:pt idx="0">
                <c:v>0.5</c:v>
              </c:pt>
              <c:pt idx="1">
                <c:v>0</c:v>
              </c:pt>
              <c:pt idx="2">
                <c:v>0</c:v>
              </c:pt>
              <c:pt idx="3">
                <c:v>5</c:v>
              </c:pt>
              <c:pt idx="4">
                <c:v>0</c:v>
              </c:pt>
              <c:pt idx="5">
                <c:v>0</c:v>
              </c:pt>
            </c:numLit>
          </c:val>
          <c:extLst>
            <c:ext xmlns:c16="http://schemas.microsoft.com/office/drawing/2014/chart" uri="{C3380CC4-5D6E-409C-BE32-E72D297353CC}">
              <c16:uniqueId val="{00000001-1C71-4470-907F-D775557B313A}"/>
            </c:ext>
          </c:extLst>
        </c:ser>
        <c:dLbls>
          <c:showLegendKey val="0"/>
          <c:showVal val="0"/>
          <c:showCatName val="0"/>
          <c:showSerName val="0"/>
          <c:showPercent val="0"/>
          <c:showBubbleSize val="0"/>
        </c:dLbls>
        <c:gapWidth val="140"/>
        <c:overlap val="100"/>
        <c:axId val="1173856752"/>
        <c:axId val="1173850512"/>
      </c:barChart>
      <c:barChart>
        <c:barDir val="bar"/>
        <c:grouping val="stacked"/>
        <c:varyColors val="0"/>
        <c:ser>
          <c:idx val="2"/>
          <c:order val="2"/>
          <c:tx>
            <c:v>Series 1</c:v>
          </c:tx>
          <c:spPr>
            <a:solidFill>
              <a:srgbClr val="156082"/>
            </a:solidFill>
            <a:ln>
              <a:noFill/>
            </a:ln>
          </c:spPr>
          <c:invertIfNegative val="0"/>
          <c:cat>
            <c:strLit>
              <c:ptCount val="6"/>
              <c:pt idx="0">
                <c:v>intiation &amp; assesment</c:v>
              </c:pt>
              <c:pt idx="1">
                <c:v>engineering design</c:v>
              </c:pt>
              <c:pt idx="2">
                <c:v>site preparation</c:v>
              </c:pt>
              <c:pt idx="3">
                <c:v>reconstruction</c:v>
              </c:pt>
              <c:pt idx="4">
                <c:v>testing &amp; comissioning</c:v>
              </c:pt>
              <c:pt idx="5">
                <c:v>closeout</c:v>
              </c:pt>
            </c:strLit>
          </c:cat>
          <c:val>
            <c:numLit>
              <c:formatCode>General</c:formatCode>
              <c:ptCount val="6"/>
              <c:pt idx="0">
                <c:v>0</c:v>
              </c:pt>
              <c:pt idx="1">
                <c:v>0.5</c:v>
              </c:pt>
              <c:pt idx="2">
                <c:v>0</c:v>
              </c:pt>
              <c:pt idx="3">
                <c:v>4.5</c:v>
              </c:pt>
              <c:pt idx="4">
                <c:v>0</c:v>
              </c:pt>
              <c:pt idx="5">
                <c:v>0</c:v>
              </c:pt>
            </c:numLit>
          </c:val>
          <c:extLst>
            <c:ext xmlns:c16="http://schemas.microsoft.com/office/drawing/2014/chart" uri="{C3380CC4-5D6E-409C-BE32-E72D297353CC}">
              <c16:uniqueId val="{00000002-1C71-4470-907F-D775557B313A}"/>
            </c:ext>
          </c:extLst>
        </c:ser>
        <c:dLbls>
          <c:showLegendKey val="0"/>
          <c:showVal val="0"/>
          <c:showCatName val="0"/>
          <c:showSerName val="0"/>
          <c:showPercent val="0"/>
          <c:showBubbleSize val="0"/>
        </c:dLbls>
        <c:gapWidth val="150"/>
        <c:overlap val="100"/>
        <c:axId val="907849536"/>
        <c:axId val="1173857232"/>
      </c:barChart>
      <c:valAx>
        <c:axId val="1173850512"/>
        <c:scaling>
          <c:orientation val="minMax"/>
        </c:scaling>
        <c:delete val="0"/>
        <c:axPos val="b"/>
        <c:majorGridlines>
          <c:spPr>
            <a:ln w="9528" cap="flat">
              <a:solidFill>
                <a:srgbClr val="D9D9D9"/>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1173856752"/>
        <c:crosses val="autoZero"/>
        <c:crossBetween val="between"/>
      </c:valAx>
      <c:catAx>
        <c:axId val="1173856752"/>
        <c:scaling>
          <c:orientation val="minMax"/>
        </c:scaling>
        <c:delete val="0"/>
        <c:axPos val="l"/>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1173850512"/>
        <c:crosses val="autoZero"/>
        <c:auto val="1"/>
        <c:lblAlgn val="ctr"/>
        <c:lblOffset val="100"/>
        <c:noMultiLvlLbl val="0"/>
      </c:catAx>
      <c:valAx>
        <c:axId val="1173857232"/>
        <c:scaling>
          <c:orientation val="minMax"/>
        </c:scaling>
        <c:delete val="0"/>
        <c:axPos val="t"/>
        <c:numFmt formatCode="General" sourceLinked="0"/>
        <c:majorTickMark val="out"/>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907849536"/>
        <c:crosses val="max"/>
        <c:crossBetween val="between"/>
      </c:valAx>
      <c:catAx>
        <c:axId val="907849536"/>
        <c:scaling>
          <c:orientation val="minMax"/>
        </c:scaling>
        <c:delete val="1"/>
        <c:axPos val="l"/>
        <c:numFmt formatCode="General" sourceLinked="0"/>
        <c:majorTickMark val="out"/>
        <c:minorTickMark val="none"/>
        <c:tickLblPos val="nextTo"/>
        <c:crossAx val="1173857232"/>
        <c:crosses val="autoZero"/>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3362</Words>
  <Characters>19166</Characters>
  <Application>Microsoft Office Word</Application>
  <DocSecurity>0</DocSecurity>
  <Lines>159</Lines>
  <Paragraphs>44</Paragraphs>
  <ScaleCrop>false</ScaleCrop>
  <Company/>
  <LinksUpToDate>false</LinksUpToDate>
  <CharactersWithSpaces>22484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marcolucky9@gmail.com</dc:creator>
  <dc:description/>
  <cp:lastModifiedBy>marcolucky9@gmail.com</cp:lastModifiedBy>
  <cp:revision>6</cp:revision>
  <dcterms:created xsi:type="dcterms:W3CDTF">2025-12-04T12:36:00Z</dcterms:created>
  <dcterms:modified xsi:type="dcterms:W3CDTF">2025-12-04T12:40:00Z</dcterms:modified>
</cp:coreProperties>
</file>