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575348" w14:textId="0364473E" w:rsidR="00504F14" w:rsidRDefault="00504F14" w:rsidP="00504F14">
      <w:pPr>
        <w:spacing w:after="200"/>
        <w:jc w:val="center"/>
        <w:rPr>
          <w:rFonts w:ascii="Arial" w:eastAsia="Arial" w:hAnsi="Arial" w:cs="Arial"/>
          <w:b/>
          <w:bCs/>
          <w:sz w:val="28"/>
          <w:szCs w:val="28"/>
        </w:rPr>
      </w:pPr>
    </w:p>
    <w:p w14:paraId="2422AD67" w14:textId="5BE53CF0" w:rsidR="00504F14" w:rsidRPr="00B725C6" w:rsidRDefault="00504F14" w:rsidP="00504F14">
      <w:pPr>
        <w:spacing w:after="200"/>
        <w:jc w:val="center"/>
        <w:rPr>
          <w:sz w:val="28"/>
          <w:szCs w:val="28"/>
        </w:rPr>
      </w:pPr>
    </w:p>
    <w:p w14:paraId="6A10AB16" w14:textId="552086EE" w:rsidR="00504F14" w:rsidRDefault="00504F14" w:rsidP="00504F14">
      <w:pPr>
        <w:spacing w:after="136"/>
        <w:ind w:left="10" w:hanging="10"/>
      </w:pPr>
      <w:r>
        <w:rPr>
          <w:noProof/>
        </w:rPr>
        <w:drawing>
          <wp:anchor distT="0" distB="0" distL="114300" distR="114300" simplePos="0" relativeHeight="251659264" behindDoc="0" locked="0" layoutInCell="1" allowOverlap="0" wp14:anchorId="450CFBE9" wp14:editId="666DA0CE">
            <wp:simplePos x="0" y="0"/>
            <wp:positionH relativeFrom="column">
              <wp:posOffset>-333679</wp:posOffset>
            </wp:positionH>
            <wp:positionV relativeFrom="paragraph">
              <wp:posOffset>-228830</wp:posOffset>
            </wp:positionV>
            <wp:extent cx="1705991" cy="1228725"/>
            <wp:effectExtent l="0" t="0" r="0" b="0"/>
            <wp:wrapSquare wrapText="bothSides"/>
            <wp:docPr id="60" name="Picture 60"/>
            <wp:cNvGraphicFramePr/>
            <a:graphic xmlns:a="http://schemas.openxmlformats.org/drawingml/2006/main">
              <a:graphicData uri="http://schemas.openxmlformats.org/drawingml/2006/picture">
                <pic:pic xmlns:pic="http://schemas.openxmlformats.org/drawingml/2006/picture">
                  <pic:nvPicPr>
                    <pic:cNvPr id="60" name="Picture 60"/>
                    <pic:cNvPicPr/>
                  </pic:nvPicPr>
                  <pic:blipFill>
                    <a:blip r:embed="rId7"/>
                    <a:stretch>
                      <a:fillRect/>
                    </a:stretch>
                  </pic:blipFill>
                  <pic:spPr>
                    <a:xfrm>
                      <a:off x="0" y="0"/>
                      <a:ext cx="1705991" cy="1228725"/>
                    </a:xfrm>
                    <a:prstGeom prst="rect">
                      <a:avLst/>
                    </a:prstGeom>
                  </pic:spPr>
                </pic:pic>
              </a:graphicData>
            </a:graphic>
          </wp:anchor>
        </w:drawing>
      </w:r>
      <w:r>
        <w:rPr>
          <w:rFonts w:ascii="Calibri" w:eastAsia="Calibri" w:hAnsi="Calibri" w:cs="Calibri"/>
          <w:b/>
          <w:sz w:val="24"/>
        </w:rPr>
        <w:t>University of Wales</w:t>
      </w:r>
      <w:r>
        <w:rPr>
          <w:rFonts w:ascii="Calibri" w:eastAsia="Calibri" w:hAnsi="Calibri" w:cs="Calibri"/>
          <w:sz w:val="22"/>
        </w:rPr>
        <w:t xml:space="preserve"> </w:t>
      </w:r>
    </w:p>
    <w:p w14:paraId="1C80668D" w14:textId="77777777" w:rsidR="00504F14" w:rsidRDefault="00504F14" w:rsidP="00504F14">
      <w:pPr>
        <w:spacing w:after="136"/>
        <w:ind w:left="10" w:hanging="10"/>
      </w:pPr>
      <w:r>
        <w:rPr>
          <w:rFonts w:ascii="Calibri" w:eastAsia="Calibri" w:hAnsi="Calibri" w:cs="Calibri"/>
          <w:b/>
          <w:sz w:val="24"/>
        </w:rPr>
        <w:t xml:space="preserve">Trinity Saint David </w:t>
      </w:r>
    </w:p>
    <w:p w14:paraId="04EAF6DC" w14:textId="77777777" w:rsidR="00504F14" w:rsidRDefault="00504F14" w:rsidP="00504F14">
      <w:pPr>
        <w:spacing w:after="200"/>
        <w:ind w:left="10" w:hanging="10"/>
      </w:pPr>
      <w:r>
        <w:rPr>
          <w:rFonts w:ascii="Calibri" w:eastAsia="Calibri" w:hAnsi="Calibri" w:cs="Calibri"/>
          <w:b/>
          <w:sz w:val="24"/>
        </w:rPr>
        <w:t xml:space="preserve">London </w:t>
      </w:r>
    </w:p>
    <w:p w14:paraId="5FF17D66" w14:textId="083EBE21" w:rsidR="00AC7387" w:rsidRPr="00F53472" w:rsidRDefault="006B0224">
      <w:pPr>
        <w:spacing w:after="600"/>
      </w:pPr>
      <w:r>
        <w:t xml:space="preserve"> </w:t>
      </w:r>
    </w:p>
    <w:p w14:paraId="707EA2A5" w14:textId="77777777" w:rsidR="00504F14" w:rsidRDefault="00504F14">
      <w:pPr>
        <w:spacing w:after="200"/>
        <w:jc w:val="center"/>
        <w:rPr>
          <w:rFonts w:ascii="Arial" w:eastAsia="Arial" w:hAnsi="Arial" w:cs="Arial"/>
          <w:b/>
          <w:bCs/>
          <w:sz w:val="28"/>
          <w:szCs w:val="28"/>
        </w:rPr>
      </w:pPr>
    </w:p>
    <w:p w14:paraId="791A672F" w14:textId="77777777" w:rsidR="00AC7387" w:rsidRPr="00B725C6" w:rsidRDefault="00000000">
      <w:pPr>
        <w:spacing w:after="600"/>
        <w:jc w:val="center"/>
        <w:rPr>
          <w:b/>
          <w:bCs/>
          <w:sz w:val="28"/>
          <w:szCs w:val="28"/>
        </w:rPr>
      </w:pPr>
      <w:r w:rsidRPr="00B725C6">
        <w:rPr>
          <w:rFonts w:ascii="Arial" w:eastAsia="Arial" w:hAnsi="Arial" w:cs="Arial"/>
          <w:b/>
          <w:bCs/>
          <w:sz w:val="28"/>
          <w:szCs w:val="28"/>
        </w:rPr>
        <w:t>Helios Urban Mobility (HUM): External Strategic Human Capital Advisor Report</w:t>
      </w:r>
    </w:p>
    <w:p w14:paraId="04F5656C" w14:textId="77777777" w:rsidR="00AC7387" w:rsidRPr="00B725C6" w:rsidRDefault="00000000" w:rsidP="00391458">
      <w:pPr>
        <w:spacing w:after="100" w:line="360" w:lineRule="auto"/>
        <w:jc w:val="center"/>
        <w:rPr>
          <w:b/>
          <w:bCs/>
          <w:sz w:val="28"/>
          <w:szCs w:val="28"/>
        </w:rPr>
      </w:pPr>
      <w:r w:rsidRPr="00B725C6">
        <w:rPr>
          <w:rFonts w:ascii="Arial" w:eastAsia="Arial" w:hAnsi="Arial" w:cs="Arial"/>
          <w:b/>
          <w:bCs/>
          <w:sz w:val="28"/>
          <w:szCs w:val="28"/>
        </w:rPr>
        <w:t>Module: Human Capital Management (LCMB7023)</w:t>
      </w:r>
    </w:p>
    <w:p w14:paraId="554090B6" w14:textId="77777777" w:rsidR="00AC7387" w:rsidRPr="00B725C6" w:rsidRDefault="00000000" w:rsidP="00391458">
      <w:pPr>
        <w:spacing w:after="100" w:line="360" w:lineRule="auto"/>
        <w:jc w:val="center"/>
        <w:rPr>
          <w:b/>
          <w:bCs/>
          <w:sz w:val="28"/>
          <w:szCs w:val="28"/>
        </w:rPr>
      </w:pPr>
      <w:r w:rsidRPr="00B725C6">
        <w:rPr>
          <w:rFonts w:ascii="Arial" w:eastAsia="Arial" w:hAnsi="Arial" w:cs="Arial"/>
          <w:b/>
          <w:bCs/>
          <w:sz w:val="28"/>
          <w:szCs w:val="28"/>
        </w:rPr>
        <w:t>Programme: Master of Business Administration</w:t>
      </w:r>
    </w:p>
    <w:p w14:paraId="28FC83F7" w14:textId="77777777" w:rsidR="00AC7387" w:rsidRPr="00B725C6" w:rsidRDefault="00000000" w:rsidP="00391458">
      <w:pPr>
        <w:spacing w:after="100" w:line="360" w:lineRule="auto"/>
        <w:jc w:val="center"/>
        <w:rPr>
          <w:b/>
          <w:bCs/>
          <w:sz w:val="28"/>
          <w:szCs w:val="28"/>
        </w:rPr>
      </w:pPr>
      <w:r w:rsidRPr="00B725C6">
        <w:rPr>
          <w:rFonts w:ascii="Arial" w:eastAsia="Arial" w:hAnsi="Arial" w:cs="Arial"/>
          <w:b/>
          <w:bCs/>
          <w:sz w:val="28"/>
          <w:szCs w:val="28"/>
        </w:rPr>
        <w:t>Word count: 2,500</w:t>
      </w:r>
    </w:p>
    <w:p w14:paraId="7A5F5924" w14:textId="56E608AE" w:rsidR="00AC7387" w:rsidRPr="00F53472" w:rsidRDefault="00391458" w:rsidP="00391458">
      <w:pPr>
        <w:spacing w:after="100" w:line="360" w:lineRule="auto"/>
        <w:jc w:val="center"/>
      </w:pPr>
      <w:r>
        <w:rPr>
          <w:rFonts w:ascii="Arial" w:eastAsia="Arial" w:hAnsi="Arial" w:cs="Arial"/>
          <w:b/>
          <w:bCs/>
          <w:sz w:val="28"/>
          <w:szCs w:val="28"/>
        </w:rPr>
        <w:t>Student Name</w:t>
      </w:r>
      <w:r w:rsidRPr="00B725C6">
        <w:rPr>
          <w:rFonts w:ascii="Arial" w:eastAsia="Arial" w:hAnsi="Arial" w:cs="Arial"/>
          <w:b/>
          <w:bCs/>
          <w:sz w:val="28"/>
          <w:szCs w:val="28"/>
        </w:rPr>
        <w:t>:</w:t>
      </w:r>
      <w:r w:rsidRPr="00F53472">
        <w:rPr>
          <w:rFonts w:ascii="Arial" w:eastAsia="Arial" w:hAnsi="Arial" w:cs="Arial"/>
          <w:sz w:val="22"/>
          <w:szCs w:val="22"/>
        </w:rPr>
        <w:t xml:space="preserve"> </w:t>
      </w:r>
      <w:r w:rsidR="00B725C6">
        <w:rPr>
          <w:rFonts w:ascii="Arial" w:eastAsia="Arial" w:hAnsi="Arial" w:cs="Arial"/>
          <w:sz w:val="22"/>
          <w:szCs w:val="22"/>
        </w:rPr>
        <w:t>Nanga</w:t>
      </w:r>
      <w:r>
        <w:rPr>
          <w:rFonts w:ascii="Arial" w:eastAsia="Arial" w:hAnsi="Arial" w:cs="Arial"/>
          <w:sz w:val="22"/>
          <w:szCs w:val="22"/>
        </w:rPr>
        <w:t xml:space="preserve"> Pedro</w:t>
      </w:r>
      <w:r w:rsidRPr="00F53472">
        <w:rPr>
          <w:rFonts w:ascii="Arial" w:eastAsia="Arial" w:hAnsi="Arial" w:cs="Arial"/>
          <w:sz w:val="22"/>
          <w:szCs w:val="22"/>
        </w:rPr>
        <w:t xml:space="preserve">  |  </w:t>
      </w:r>
      <w:r w:rsidRPr="00B725C6">
        <w:rPr>
          <w:rFonts w:ascii="Arial" w:eastAsia="Arial" w:hAnsi="Arial" w:cs="Arial"/>
          <w:b/>
          <w:bCs/>
          <w:sz w:val="28"/>
          <w:szCs w:val="28"/>
        </w:rPr>
        <w:t>Student ID:</w:t>
      </w:r>
      <w:r w:rsidRPr="00F53472">
        <w:rPr>
          <w:rFonts w:ascii="Arial" w:eastAsia="Arial" w:hAnsi="Arial" w:cs="Arial"/>
          <w:sz w:val="22"/>
          <w:szCs w:val="22"/>
        </w:rPr>
        <w:t xml:space="preserve"> </w:t>
      </w:r>
      <w:r w:rsidR="00FD5150">
        <w:rPr>
          <w:rFonts w:ascii="Arial" w:eastAsia="Arial" w:hAnsi="Arial" w:cs="Arial"/>
          <w:sz w:val="22"/>
          <w:szCs w:val="22"/>
        </w:rPr>
        <w:t>2247167</w:t>
      </w:r>
    </w:p>
    <w:p w14:paraId="36EBC60C" w14:textId="7A7852FA" w:rsidR="00AC7387" w:rsidRPr="00F53472" w:rsidRDefault="00000000" w:rsidP="00391458">
      <w:pPr>
        <w:spacing w:after="100" w:line="360" w:lineRule="auto"/>
        <w:jc w:val="center"/>
      </w:pPr>
      <w:r w:rsidRPr="000A025F">
        <w:rPr>
          <w:rFonts w:ascii="Arial" w:eastAsia="Arial" w:hAnsi="Arial" w:cs="Arial"/>
          <w:b/>
          <w:bCs/>
          <w:sz w:val="28"/>
          <w:szCs w:val="28"/>
        </w:rPr>
        <w:t>Module Tutor:</w:t>
      </w:r>
      <w:r w:rsidRPr="00F53472">
        <w:rPr>
          <w:rFonts w:ascii="Arial" w:eastAsia="Arial" w:hAnsi="Arial" w:cs="Arial"/>
          <w:sz w:val="22"/>
          <w:szCs w:val="22"/>
        </w:rPr>
        <w:t xml:space="preserve"> </w:t>
      </w:r>
      <w:r w:rsidR="00002F28" w:rsidRPr="00002F28">
        <w:rPr>
          <w:rFonts w:ascii="Arial" w:eastAsia="Arial" w:hAnsi="Arial" w:cs="Arial"/>
          <w:sz w:val="22"/>
          <w:szCs w:val="22"/>
        </w:rPr>
        <w:t>Gladius Kulothungan</w:t>
      </w:r>
    </w:p>
    <w:p w14:paraId="0E197987" w14:textId="115D82E0" w:rsidR="00AC7387" w:rsidRPr="00F53472" w:rsidRDefault="00000000" w:rsidP="00391458">
      <w:pPr>
        <w:spacing w:after="100" w:line="360" w:lineRule="auto"/>
        <w:jc w:val="center"/>
      </w:pPr>
      <w:r w:rsidRPr="000A025F">
        <w:rPr>
          <w:rFonts w:ascii="Arial" w:eastAsia="Arial" w:hAnsi="Arial" w:cs="Arial"/>
          <w:b/>
          <w:bCs/>
          <w:sz w:val="28"/>
          <w:szCs w:val="28"/>
        </w:rPr>
        <w:t>Submission Date:</w:t>
      </w:r>
      <w:r w:rsidRPr="00F53472">
        <w:rPr>
          <w:rFonts w:ascii="Arial" w:eastAsia="Arial" w:hAnsi="Arial" w:cs="Arial"/>
          <w:sz w:val="22"/>
          <w:szCs w:val="22"/>
        </w:rPr>
        <w:t xml:space="preserve"> </w:t>
      </w:r>
      <w:r w:rsidR="00FD5150">
        <w:rPr>
          <w:rFonts w:ascii="Arial" w:eastAsia="Arial" w:hAnsi="Arial" w:cs="Arial"/>
          <w:sz w:val="22"/>
          <w:szCs w:val="22"/>
        </w:rPr>
        <w:t>17/07/2026</w:t>
      </w:r>
    </w:p>
    <w:p w14:paraId="0257E83E" w14:textId="77777777" w:rsidR="00AC7387" w:rsidRPr="00F53472" w:rsidRDefault="00000000">
      <w:r w:rsidRPr="00F53472">
        <w:br w:type="page"/>
      </w:r>
    </w:p>
    <w:p w14:paraId="01754ED8" w14:textId="77777777" w:rsidR="00AC7387" w:rsidRPr="00F53472" w:rsidRDefault="00000000">
      <w:pPr>
        <w:pStyle w:val="Heading1"/>
        <w:spacing w:before="400" w:after="200" w:line="360" w:lineRule="auto"/>
        <w:rPr>
          <w:color w:val="auto"/>
        </w:rPr>
      </w:pPr>
      <w:r w:rsidRPr="00F53472">
        <w:rPr>
          <w:rFonts w:ascii="Arial" w:eastAsia="Arial" w:hAnsi="Arial" w:cs="Arial"/>
          <w:b/>
          <w:bCs/>
          <w:color w:val="auto"/>
          <w:sz w:val="28"/>
          <w:szCs w:val="28"/>
        </w:rPr>
        <w:lastRenderedPageBreak/>
        <w:t>Table of Contents</w:t>
      </w:r>
    </w:p>
    <w:p w14:paraId="0C5E706B" w14:textId="77777777" w:rsidR="00AC7387" w:rsidRPr="00F53472" w:rsidRDefault="00000000">
      <w:pPr>
        <w:tabs>
          <w:tab w:val="right" w:leader="dot" w:pos="9026"/>
        </w:tabs>
        <w:spacing w:after="100" w:line="360" w:lineRule="auto"/>
      </w:pPr>
      <w:r w:rsidRPr="00F53472">
        <w:rPr>
          <w:rFonts w:ascii="Arial" w:eastAsia="Arial" w:hAnsi="Arial" w:cs="Arial"/>
          <w:b/>
          <w:bCs/>
          <w:sz w:val="22"/>
          <w:szCs w:val="22"/>
        </w:rPr>
        <w:t>Executive Summary</w:t>
      </w:r>
      <w:r w:rsidRPr="00F53472">
        <w:rPr>
          <w:rFonts w:ascii="Arial" w:eastAsia="Arial" w:hAnsi="Arial" w:cs="Arial"/>
          <w:sz w:val="22"/>
          <w:szCs w:val="22"/>
        </w:rPr>
        <w:tab/>
        <w:t>3</w:t>
      </w:r>
    </w:p>
    <w:p w14:paraId="1E0B68F9" w14:textId="77777777" w:rsidR="00AC7387" w:rsidRPr="00F53472" w:rsidRDefault="00000000">
      <w:pPr>
        <w:tabs>
          <w:tab w:val="right" w:leader="dot" w:pos="9026"/>
        </w:tabs>
        <w:spacing w:after="100" w:line="360" w:lineRule="auto"/>
      </w:pPr>
      <w:r w:rsidRPr="00F53472">
        <w:rPr>
          <w:rFonts w:ascii="Arial" w:eastAsia="Arial" w:hAnsi="Arial" w:cs="Arial"/>
          <w:b/>
          <w:bCs/>
          <w:sz w:val="22"/>
          <w:szCs w:val="22"/>
        </w:rPr>
        <w:t>Scenario</w:t>
      </w:r>
      <w:r w:rsidRPr="00F53472">
        <w:rPr>
          <w:rFonts w:ascii="Arial" w:eastAsia="Arial" w:hAnsi="Arial" w:cs="Arial"/>
          <w:sz w:val="22"/>
          <w:szCs w:val="22"/>
        </w:rPr>
        <w:tab/>
        <w:t>3</w:t>
      </w:r>
    </w:p>
    <w:p w14:paraId="36C6D056" w14:textId="559CA2A9" w:rsidR="00AC7387" w:rsidRPr="00F53472" w:rsidRDefault="00000000">
      <w:pPr>
        <w:tabs>
          <w:tab w:val="right" w:leader="dot" w:pos="9026"/>
        </w:tabs>
        <w:spacing w:after="100" w:line="360" w:lineRule="auto"/>
      </w:pPr>
      <w:r w:rsidRPr="00F53472">
        <w:rPr>
          <w:rFonts w:ascii="Arial" w:eastAsia="Arial" w:hAnsi="Arial" w:cs="Arial"/>
          <w:b/>
          <w:bCs/>
          <w:sz w:val="22"/>
          <w:szCs w:val="22"/>
        </w:rPr>
        <w:t>Task A: Socialisation, Identity and Business Activism</w:t>
      </w:r>
      <w:r w:rsidRPr="00F53472">
        <w:rPr>
          <w:rFonts w:ascii="Arial" w:eastAsia="Arial" w:hAnsi="Arial" w:cs="Arial"/>
          <w:sz w:val="22"/>
          <w:szCs w:val="22"/>
        </w:rPr>
        <w:tab/>
      </w:r>
      <w:r w:rsidR="008556EB">
        <w:rPr>
          <w:rFonts w:ascii="Arial" w:eastAsia="Arial" w:hAnsi="Arial" w:cs="Arial"/>
          <w:sz w:val="22"/>
          <w:szCs w:val="22"/>
        </w:rPr>
        <w:t>4</w:t>
      </w:r>
    </w:p>
    <w:p w14:paraId="043341EC" w14:textId="5EC6BCFB" w:rsidR="00AC7387" w:rsidRPr="00F53472" w:rsidRDefault="00000000">
      <w:pPr>
        <w:tabs>
          <w:tab w:val="right" w:leader="dot" w:pos="9026"/>
        </w:tabs>
        <w:spacing w:after="100" w:line="360" w:lineRule="auto"/>
        <w:ind w:left="480"/>
      </w:pPr>
      <w:r w:rsidRPr="00F53472">
        <w:rPr>
          <w:rFonts w:ascii="Arial" w:eastAsia="Arial" w:hAnsi="Arial" w:cs="Arial"/>
        </w:rPr>
        <w:t>A1. Traditional Onboarding versus Strategic Socialisation</w:t>
      </w:r>
      <w:r w:rsidRPr="00F53472">
        <w:rPr>
          <w:rFonts w:ascii="Arial" w:eastAsia="Arial" w:hAnsi="Arial" w:cs="Arial"/>
        </w:rPr>
        <w:tab/>
      </w:r>
      <w:r w:rsidR="008556EB">
        <w:rPr>
          <w:rFonts w:ascii="Arial" w:eastAsia="Arial" w:hAnsi="Arial" w:cs="Arial"/>
        </w:rPr>
        <w:t>5</w:t>
      </w:r>
    </w:p>
    <w:p w14:paraId="3D74A392" w14:textId="63C26DBE" w:rsidR="00AC7387" w:rsidRPr="00F53472" w:rsidRDefault="00000000">
      <w:pPr>
        <w:tabs>
          <w:tab w:val="right" w:leader="dot" w:pos="9026"/>
        </w:tabs>
        <w:spacing w:after="100" w:line="360" w:lineRule="auto"/>
        <w:ind w:left="480"/>
      </w:pPr>
      <w:r w:rsidRPr="00F53472">
        <w:rPr>
          <w:rFonts w:ascii="Arial" w:eastAsia="Arial" w:hAnsi="Arial" w:cs="Arial"/>
        </w:rPr>
        <w:t>A2. A Structured Socialisation Framework for Helios</w:t>
      </w:r>
      <w:r w:rsidRPr="00F53472">
        <w:rPr>
          <w:rFonts w:ascii="Arial" w:eastAsia="Arial" w:hAnsi="Arial" w:cs="Arial"/>
        </w:rPr>
        <w:tab/>
      </w:r>
      <w:r w:rsidR="008556EB">
        <w:rPr>
          <w:rFonts w:ascii="Arial" w:eastAsia="Arial" w:hAnsi="Arial" w:cs="Arial"/>
        </w:rPr>
        <w:t>6</w:t>
      </w:r>
    </w:p>
    <w:p w14:paraId="3EB3F1A7" w14:textId="4F4BEEA0" w:rsidR="00AC7387" w:rsidRPr="00F53472" w:rsidRDefault="00000000">
      <w:pPr>
        <w:tabs>
          <w:tab w:val="right" w:leader="dot" w:pos="9026"/>
        </w:tabs>
        <w:spacing w:after="100" w:line="360" w:lineRule="auto"/>
        <w:ind w:left="480"/>
      </w:pPr>
      <w:r w:rsidRPr="00F53472">
        <w:rPr>
          <w:rFonts w:ascii="Arial" w:eastAsia="Arial" w:hAnsi="Arial" w:cs="Arial"/>
        </w:rPr>
        <w:t>A3. Cultivating Identification, Ethics, and Business Activism</w:t>
      </w:r>
      <w:r w:rsidRPr="00F53472">
        <w:rPr>
          <w:rFonts w:ascii="Arial" w:eastAsia="Arial" w:hAnsi="Arial" w:cs="Arial"/>
        </w:rPr>
        <w:tab/>
      </w:r>
      <w:r w:rsidR="008556EB">
        <w:rPr>
          <w:rFonts w:ascii="Arial" w:eastAsia="Arial" w:hAnsi="Arial" w:cs="Arial"/>
        </w:rPr>
        <w:t>7</w:t>
      </w:r>
    </w:p>
    <w:p w14:paraId="184A76CD" w14:textId="129C1515" w:rsidR="00AC7387" w:rsidRPr="00F53472" w:rsidRDefault="00000000">
      <w:pPr>
        <w:tabs>
          <w:tab w:val="right" w:leader="dot" w:pos="9026"/>
        </w:tabs>
        <w:spacing w:after="100" w:line="360" w:lineRule="auto"/>
      </w:pPr>
      <w:r w:rsidRPr="00F53472">
        <w:rPr>
          <w:rFonts w:ascii="Arial" w:eastAsia="Arial" w:hAnsi="Arial" w:cs="Arial"/>
          <w:b/>
          <w:bCs/>
          <w:sz w:val="22"/>
          <w:szCs w:val="22"/>
        </w:rPr>
        <w:t>Task B: Job Design Strategy</w:t>
      </w:r>
      <w:r w:rsidRPr="00F53472">
        <w:rPr>
          <w:rFonts w:ascii="Arial" w:eastAsia="Arial" w:hAnsi="Arial" w:cs="Arial"/>
          <w:sz w:val="22"/>
          <w:szCs w:val="22"/>
        </w:rPr>
        <w:tab/>
      </w:r>
      <w:r w:rsidR="008556EB">
        <w:rPr>
          <w:rFonts w:ascii="Arial" w:eastAsia="Arial" w:hAnsi="Arial" w:cs="Arial"/>
          <w:sz w:val="22"/>
          <w:szCs w:val="22"/>
        </w:rPr>
        <w:t>8</w:t>
      </w:r>
    </w:p>
    <w:p w14:paraId="7BBC55DC" w14:textId="4C023BE5" w:rsidR="00AC7387" w:rsidRPr="00F53472" w:rsidRDefault="00000000">
      <w:pPr>
        <w:tabs>
          <w:tab w:val="right" w:leader="dot" w:pos="9026"/>
        </w:tabs>
        <w:spacing w:after="100" w:line="360" w:lineRule="auto"/>
        <w:ind w:left="480"/>
      </w:pPr>
      <w:r w:rsidRPr="00F53472">
        <w:rPr>
          <w:rFonts w:ascii="Arial" w:eastAsia="Arial" w:hAnsi="Arial" w:cs="Arial"/>
        </w:rPr>
        <w:t>B1. Diagnosing HUM's Motivating Potential Score</w:t>
      </w:r>
      <w:r w:rsidRPr="00F53472">
        <w:rPr>
          <w:rFonts w:ascii="Arial" w:eastAsia="Arial" w:hAnsi="Arial" w:cs="Arial"/>
        </w:rPr>
        <w:tab/>
      </w:r>
      <w:r w:rsidR="008556EB">
        <w:rPr>
          <w:rFonts w:ascii="Arial" w:eastAsia="Arial" w:hAnsi="Arial" w:cs="Arial"/>
        </w:rPr>
        <w:t>8</w:t>
      </w:r>
    </w:p>
    <w:p w14:paraId="0336CC64" w14:textId="77777777" w:rsidR="00AC7387" w:rsidRPr="00F53472" w:rsidRDefault="00000000">
      <w:pPr>
        <w:tabs>
          <w:tab w:val="right" w:leader="dot" w:pos="9026"/>
        </w:tabs>
        <w:spacing w:after="100" w:line="360" w:lineRule="auto"/>
        <w:ind w:left="480"/>
      </w:pPr>
      <w:r w:rsidRPr="00F53472">
        <w:rPr>
          <w:rFonts w:ascii="Arial" w:eastAsia="Arial" w:hAnsi="Arial" w:cs="Arial"/>
        </w:rPr>
        <w:t>B2. Job Crafting, Skills Architecture, and Governance</w:t>
      </w:r>
      <w:r w:rsidRPr="00F53472">
        <w:rPr>
          <w:rFonts w:ascii="Arial" w:eastAsia="Arial" w:hAnsi="Arial" w:cs="Arial"/>
        </w:rPr>
        <w:tab/>
        <w:t>8</w:t>
      </w:r>
    </w:p>
    <w:p w14:paraId="684BC85B" w14:textId="77777777" w:rsidR="00AC7387" w:rsidRPr="00F53472" w:rsidRDefault="00000000">
      <w:pPr>
        <w:tabs>
          <w:tab w:val="right" w:leader="dot" w:pos="9026"/>
        </w:tabs>
        <w:spacing w:after="100" w:line="360" w:lineRule="auto"/>
        <w:ind w:left="480"/>
      </w:pPr>
      <w:r w:rsidRPr="00F53472">
        <w:rPr>
          <w:rFonts w:ascii="Arial" w:eastAsia="Arial" w:hAnsi="Arial" w:cs="Arial"/>
        </w:rPr>
        <w:t>B3. Intrinsic Motivation, Innovation, and Financial Sustainability</w:t>
      </w:r>
      <w:r w:rsidRPr="00F53472">
        <w:rPr>
          <w:rFonts w:ascii="Arial" w:eastAsia="Arial" w:hAnsi="Arial" w:cs="Arial"/>
        </w:rPr>
        <w:tab/>
        <w:t>9</w:t>
      </w:r>
    </w:p>
    <w:p w14:paraId="3E523576" w14:textId="77777777" w:rsidR="00AC7387" w:rsidRPr="00F53472" w:rsidRDefault="00000000">
      <w:pPr>
        <w:tabs>
          <w:tab w:val="right" w:leader="dot" w:pos="9026"/>
        </w:tabs>
        <w:spacing w:after="100" w:line="360" w:lineRule="auto"/>
      </w:pPr>
      <w:r w:rsidRPr="00F53472">
        <w:rPr>
          <w:rFonts w:ascii="Arial" w:eastAsia="Arial" w:hAnsi="Arial" w:cs="Arial"/>
          <w:b/>
          <w:bCs/>
          <w:sz w:val="22"/>
          <w:szCs w:val="22"/>
        </w:rPr>
        <w:t>Task C: Reflective Report</w:t>
      </w:r>
      <w:r w:rsidRPr="00F53472">
        <w:rPr>
          <w:rFonts w:ascii="Arial" w:eastAsia="Arial" w:hAnsi="Arial" w:cs="Arial"/>
          <w:sz w:val="22"/>
          <w:szCs w:val="22"/>
        </w:rPr>
        <w:tab/>
        <w:t>10</w:t>
      </w:r>
    </w:p>
    <w:p w14:paraId="72D9B7A5" w14:textId="77777777" w:rsidR="00AC7387" w:rsidRPr="00F53472" w:rsidRDefault="00000000">
      <w:pPr>
        <w:tabs>
          <w:tab w:val="right" w:leader="dot" w:pos="9026"/>
        </w:tabs>
        <w:spacing w:after="100" w:line="360" w:lineRule="auto"/>
        <w:ind w:left="480"/>
      </w:pPr>
      <w:r w:rsidRPr="00F53472">
        <w:rPr>
          <w:rFonts w:ascii="Arial" w:eastAsia="Arial" w:hAnsi="Arial" w:cs="Arial"/>
        </w:rPr>
        <w:t>C1. AI as Decision-Support: The Epistemological Risk</w:t>
      </w:r>
      <w:r w:rsidRPr="00F53472">
        <w:rPr>
          <w:rFonts w:ascii="Arial" w:eastAsia="Arial" w:hAnsi="Arial" w:cs="Arial"/>
        </w:rPr>
        <w:tab/>
        <w:t>10</w:t>
      </w:r>
    </w:p>
    <w:p w14:paraId="25673598" w14:textId="77777777" w:rsidR="00AC7387" w:rsidRPr="00F53472" w:rsidRDefault="00000000">
      <w:pPr>
        <w:tabs>
          <w:tab w:val="right" w:leader="dot" w:pos="9026"/>
        </w:tabs>
        <w:spacing w:after="100" w:line="360" w:lineRule="auto"/>
        <w:ind w:left="480"/>
      </w:pPr>
      <w:r w:rsidRPr="00F53472">
        <w:rPr>
          <w:rFonts w:ascii="Arial" w:eastAsia="Arial" w:hAnsi="Arial" w:cs="Arial"/>
        </w:rPr>
        <w:t>C2. Strategic Capability Development Plan</w:t>
      </w:r>
      <w:r w:rsidRPr="00F53472">
        <w:rPr>
          <w:rFonts w:ascii="Arial" w:eastAsia="Arial" w:hAnsi="Arial" w:cs="Arial"/>
        </w:rPr>
        <w:tab/>
        <w:t>10</w:t>
      </w:r>
    </w:p>
    <w:p w14:paraId="037FDD6B" w14:textId="77777777" w:rsidR="00AC7387" w:rsidRPr="00F53472" w:rsidRDefault="00000000">
      <w:pPr>
        <w:tabs>
          <w:tab w:val="right" w:leader="dot" w:pos="9026"/>
        </w:tabs>
        <w:spacing w:after="100" w:line="360" w:lineRule="auto"/>
      </w:pPr>
      <w:r w:rsidRPr="00F53472">
        <w:rPr>
          <w:rFonts w:ascii="Arial" w:eastAsia="Arial" w:hAnsi="Arial" w:cs="Arial"/>
          <w:b/>
          <w:bCs/>
          <w:sz w:val="22"/>
          <w:szCs w:val="22"/>
        </w:rPr>
        <w:t>Appendices</w:t>
      </w:r>
      <w:r w:rsidRPr="00F53472">
        <w:rPr>
          <w:rFonts w:ascii="Arial" w:eastAsia="Arial" w:hAnsi="Arial" w:cs="Arial"/>
          <w:sz w:val="22"/>
          <w:szCs w:val="22"/>
        </w:rPr>
        <w:tab/>
        <w:t>12</w:t>
      </w:r>
    </w:p>
    <w:p w14:paraId="5B5DF323" w14:textId="77777777" w:rsidR="00AC7387" w:rsidRPr="00F53472" w:rsidRDefault="00000000">
      <w:pPr>
        <w:tabs>
          <w:tab w:val="right" w:leader="dot" w:pos="9026"/>
        </w:tabs>
        <w:spacing w:after="100" w:line="360" w:lineRule="auto"/>
        <w:ind w:left="480"/>
      </w:pPr>
      <w:r w:rsidRPr="00F53472">
        <w:rPr>
          <w:rFonts w:ascii="Arial" w:eastAsia="Arial" w:hAnsi="Arial" w:cs="Arial"/>
        </w:rPr>
        <w:t>Appendix A: Sample City Exchange Itinerary (30 Days)</w:t>
      </w:r>
      <w:r w:rsidRPr="00F53472">
        <w:rPr>
          <w:rFonts w:ascii="Arial" w:eastAsia="Arial" w:hAnsi="Arial" w:cs="Arial"/>
        </w:rPr>
        <w:tab/>
        <w:t>12</w:t>
      </w:r>
    </w:p>
    <w:p w14:paraId="3E45786E" w14:textId="77777777" w:rsidR="00AC7387" w:rsidRPr="00F53472" w:rsidRDefault="00000000">
      <w:pPr>
        <w:tabs>
          <w:tab w:val="right" w:leader="dot" w:pos="9026"/>
        </w:tabs>
        <w:spacing w:after="100" w:line="360" w:lineRule="auto"/>
        <w:ind w:left="480"/>
      </w:pPr>
      <w:r w:rsidRPr="00F53472">
        <w:rPr>
          <w:rFonts w:ascii="Arial" w:eastAsia="Arial" w:hAnsi="Arial" w:cs="Arial"/>
        </w:rPr>
        <w:t>Appendix B: HUM Skills Inventory Template</w:t>
      </w:r>
      <w:r w:rsidRPr="00F53472">
        <w:rPr>
          <w:rFonts w:ascii="Arial" w:eastAsia="Arial" w:hAnsi="Arial" w:cs="Arial"/>
        </w:rPr>
        <w:tab/>
        <w:t>12</w:t>
      </w:r>
    </w:p>
    <w:p w14:paraId="0A29F153" w14:textId="77777777" w:rsidR="00AC7387" w:rsidRPr="00F53472" w:rsidRDefault="00000000">
      <w:pPr>
        <w:tabs>
          <w:tab w:val="right" w:leader="dot" w:pos="9026"/>
        </w:tabs>
        <w:spacing w:after="100" w:line="360" w:lineRule="auto"/>
      </w:pPr>
      <w:r w:rsidRPr="00F53472">
        <w:rPr>
          <w:rFonts w:ascii="Arial" w:eastAsia="Arial" w:hAnsi="Arial" w:cs="Arial"/>
          <w:b/>
          <w:bCs/>
          <w:sz w:val="22"/>
          <w:szCs w:val="22"/>
        </w:rPr>
        <w:t>Board Action Summary</w:t>
      </w:r>
      <w:r w:rsidRPr="00F53472">
        <w:rPr>
          <w:rFonts w:ascii="Arial" w:eastAsia="Arial" w:hAnsi="Arial" w:cs="Arial"/>
          <w:sz w:val="22"/>
          <w:szCs w:val="22"/>
        </w:rPr>
        <w:tab/>
        <w:t>14</w:t>
      </w:r>
    </w:p>
    <w:p w14:paraId="061BBD12" w14:textId="00E16ADB" w:rsidR="00AC7387" w:rsidRPr="00F53472" w:rsidRDefault="00000000">
      <w:pPr>
        <w:tabs>
          <w:tab w:val="right" w:leader="dot" w:pos="9026"/>
        </w:tabs>
        <w:spacing w:after="100" w:line="360" w:lineRule="auto"/>
      </w:pPr>
      <w:r w:rsidRPr="00F53472">
        <w:rPr>
          <w:rFonts w:ascii="Arial" w:eastAsia="Arial" w:hAnsi="Arial" w:cs="Arial"/>
          <w:b/>
          <w:bCs/>
          <w:sz w:val="22"/>
          <w:szCs w:val="22"/>
        </w:rPr>
        <w:t>References</w:t>
      </w:r>
      <w:r w:rsidRPr="00F53472">
        <w:rPr>
          <w:rFonts w:ascii="Arial" w:eastAsia="Arial" w:hAnsi="Arial" w:cs="Arial"/>
          <w:sz w:val="22"/>
          <w:szCs w:val="22"/>
        </w:rPr>
        <w:tab/>
        <w:t>1</w:t>
      </w:r>
      <w:r w:rsidR="008556EB">
        <w:rPr>
          <w:rFonts w:ascii="Arial" w:eastAsia="Arial" w:hAnsi="Arial" w:cs="Arial"/>
          <w:sz w:val="22"/>
          <w:szCs w:val="22"/>
        </w:rPr>
        <w:t>6</w:t>
      </w:r>
    </w:p>
    <w:p w14:paraId="71310CB0" w14:textId="77777777" w:rsidR="00AC7387" w:rsidRPr="00F53472" w:rsidRDefault="00000000">
      <w:r w:rsidRPr="00F53472">
        <w:br w:type="page"/>
      </w:r>
    </w:p>
    <w:p w14:paraId="3BF3BB91" w14:textId="39F2E65B" w:rsidR="00DE4DDB" w:rsidRPr="00DE4DDB" w:rsidRDefault="00DE4DDB" w:rsidP="00DE4DDB">
      <w:pPr>
        <w:pStyle w:val="Heading1"/>
        <w:spacing w:before="400" w:after="200" w:line="360" w:lineRule="auto"/>
        <w:rPr>
          <w:rFonts w:ascii="Arial" w:eastAsia="Arial" w:hAnsi="Arial" w:cs="Arial"/>
          <w:b/>
          <w:bCs/>
          <w:color w:val="auto"/>
          <w:sz w:val="28"/>
          <w:szCs w:val="28"/>
        </w:rPr>
      </w:pPr>
      <w:r w:rsidRPr="00DE4DDB">
        <w:rPr>
          <w:rFonts w:ascii="Arial" w:eastAsia="Arial" w:hAnsi="Arial" w:cs="Arial"/>
          <w:b/>
          <w:bCs/>
          <w:color w:val="auto"/>
          <w:sz w:val="28"/>
          <w:szCs w:val="28"/>
        </w:rPr>
        <w:lastRenderedPageBreak/>
        <w:t>Executive Summary</w:t>
      </w:r>
    </w:p>
    <w:p w14:paraId="106F78A7" w14:textId="77777777" w:rsidR="00DE4DDB" w:rsidRPr="00DE4DDB" w:rsidRDefault="00DE4DDB" w:rsidP="00DE4DDB">
      <w:pPr>
        <w:pStyle w:val="Heading1"/>
        <w:spacing w:before="400" w:after="200" w:line="360" w:lineRule="auto"/>
        <w:rPr>
          <w:rFonts w:ascii="Arial" w:eastAsia="Arial" w:hAnsi="Arial" w:cs="Arial"/>
          <w:color w:val="auto"/>
          <w:sz w:val="24"/>
          <w:szCs w:val="24"/>
        </w:rPr>
      </w:pPr>
      <w:r w:rsidRPr="00DE4DDB">
        <w:rPr>
          <w:rFonts w:ascii="Arial" w:eastAsia="Arial" w:hAnsi="Arial" w:cs="Arial"/>
          <w:color w:val="auto"/>
          <w:sz w:val="24"/>
          <w:szCs w:val="24"/>
        </w:rPr>
        <w:t>Helios Urban Mobility (HUM) is currently exposed to critical human capital risks that threaten its productivity, employee engagement, and talent retention. This report, grounded in advanced human resource theory and evidence, proposes a three-phase organisational socialisation framework, innovative job design strategies, and robust governance mechanisms tailored to HUM’s operational context. These interventions are designed to accelerate new hire integration, foster ethical professionalism, and embed purpose-driven engagement throughout the company. At the same time, they include practical governance approaches to mitigate risks associated with internal talent mobility and ensure long-term financial sustainability. The reflective section details the responsible use of AI in HR decision support and presents a strategic capability development plan for future HR leadership. All recommendations are sequenced for phased implementation, enabling HUM to make targeted investments with measurable returns and enhanced stakeholder trust.</w:t>
      </w:r>
    </w:p>
    <w:p w14:paraId="00ADFB76" w14:textId="160F26F0" w:rsidR="00DE4DDB" w:rsidRDefault="00DE4DDB">
      <w:pPr>
        <w:pStyle w:val="Heading1"/>
        <w:spacing w:before="400" w:after="200" w:line="360" w:lineRule="auto"/>
        <w:rPr>
          <w:rFonts w:ascii="Arial" w:eastAsia="Arial" w:hAnsi="Arial" w:cs="Arial"/>
          <w:b/>
          <w:bCs/>
          <w:color w:val="auto"/>
          <w:sz w:val="28"/>
          <w:szCs w:val="28"/>
        </w:rPr>
      </w:pPr>
      <w:r w:rsidRPr="00DE4DDB">
        <w:rPr>
          <w:rFonts w:ascii="Arial" w:eastAsia="Arial" w:hAnsi="Arial" w:cs="Arial"/>
          <w:b/>
          <w:bCs/>
          <w:color w:val="auto"/>
          <w:sz w:val="28"/>
          <w:szCs w:val="28"/>
        </w:rPr>
        <w:t>Scenario</w:t>
      </w:r>
    </w:p>
    <w:p w14:paraId="0B50D845" w14:textId="682C0C40" w:rsidR="00DE4DDB" w:rsidRDefault="00DE4DDB">
      <w:pPr>
        <w:pStyle w:val="Heading1"/>
        <w:spacing w:before="400" w:after="200" w:line="360" w:lineRule="auto"/>
        <w:rPr>
          <w:rFonts w:ascii="Arial" w:eastAsia="Arial" w:hAnsi="Arial" w:cs="Arial"/>
          <w:color w:val="auto"/>
          <w:sz w:val="24"/>
          <w:szCs w:val="24"/>
        </w:rPr>
      </w:pPr>
      <w:r w:rsidRPr="00DE4DDB">
        <w:rPr>
          <w:rFonts w:ascii="Arial" w:eastAsia="Arial" w:hAnsi="Arial" w:cs="Arial"/>
          <w:color w:val="auto"/>
          <w:sz w:val="24"/>
          <w:szCs w:val="24"/>
        </w:rPr>
        <w:t>Helios Urban Mobility (HUM) is a European smart-transport start-up employing 450 staff across London, Berlin, and Singapore, specialising in AI-enabled electric mobility systems and smart infrastructure analytics for city governments. Following five years of rapid expansion, HUM now faces three interconnected people challenges: weak organisational socialisation for new hires</w:t>
      </w:r>
      <w:r>
        <w:rPr>
          <w:rFonts w:ascii="Arial" w:eastAsia="Arial" w:hAnsi="Arial" w:cs="Arial"/>
          <w:color w:val="auto"/>
          <w:sz w:val="24"/>
          <w:szCs w:val="24"/>
        </w:rPr>
        <w:t xml:space="preserve"> </w:t>
      </w:r>
      <w:r w:rsidRPr="00DE4DDB">
        <w:rPr>
          <w:rFonts w:ascii="Arial" w:eastAsia="Arial" w:hAnsi="Arial" w:cs="Arial"/>
          <w:color w:val="auto"/>
          <w:sz w:val="24"/>
          <w:szCs w:val="24"/>
        </w:rPr>
        <w:t>reflected in an average ramp-up time of eight months; declining employee engagement, currently at 54%; and high attrition among high-potential graduate recruits. In response to the Board’s brief, this report</w:t>
      </w:r>
      <w:r w:rsidR="00192CA1">
        <w:rPr>
          <w:rFonts w:ascii="Arial" w:eastAsia="Arial" w:hAnsi="Arial" w:cs="Arial"/>
          <w:color w:val="auto"/>
          <w:sz w:val="24"/>
          <w:szCs w:val="24"/>
        </w:rPr>
        <w:t xml:space="preserve"> </w:t>
      </w:r>
      <w:r w:rsidRPr="00DE4DDB">
        <w:rPr>
          <w:rFonts w:ascii="Arial" w:eastAsia="Arial" w:hAnsi="Arial" w:cs="Arial"/>
          <w:color w:val="auto"/>
          <w:sz w:val="24"/>
          <w:szCs w:val="24"/>
        </w:rPr>
        <w:t>prepared by the External Strategic Human Capital Advisor</w:t>
      </w:r>
      <w:r>
        <w:rPr>
          <w:rFonts w:ascii="Arial" w:eastAsia="Arial" w:hAnsi="Arial" w:cs="Arial"/>
          <w:color w:val="auto"/>
          <w:sz w:val="24"/>
          <w:szCs w:val="24"/>
        </w:rPr>
        <w:t xml:space="preserve"> </w:t>
      </w:r>
      <w:r w:rsidRPr="00DE4DDB">
        <w:rPr>
          <w:rFonts w:ascii="Arial" w:eastAsia="Arial" w:hAnsi="Arial" w:cs="Arial"/>
          <w:color w:val="auto"/>
          <w:sz w:val="24"/>
          <w:szCs w:val="24"/>
        </w:rPr>
        <w:t>addresses three core areas: Task A outlines a socialisation architecture to build committed organisational citizens; Task B recommends a job design strategy to improve intrinsic motivation and reduce attrition; and Task C reflects on the use of AI as a decision-support tool, alongside a personal capability development plan.</w:t>
      </w:r>
    </w:p>
    <w:p w14:paraId="4582AB6D" w14:textId="77777777" w:rsidR="00192CA1" w:rsidRPr="00DE4DDB" w:rsidRDefault="00192CA1">
      <w:pPr>
        <w:pStyle w:val="Heading1"/>
        <w:spacing w:before="400" w:after="200" w:line="360" w:lineRule="auto"/>
        <w:rPr>
          <w:rFonts w:ascii="Arial" w:eastAsia="Arial" w:hAnsi="Arial" w:cs="Arial"/>
          <w:b/>
          <w:bCs/>
          <w:color w:val="auto"/>
          <w:sz w:val="28"/>
          <w:szCs w:val="28"/>
        </w:rPr>
      </w:pPr>
    </w:p>
    <w:p w14:paraId="29E27A1C" w14:textId="55E24C36" w:rsidR="00AC7387" w:rsidRPr="00F53472" w:rsidRDefault="00000000">
      <w:pPr>
        <w:pStyle w:val="Heading1"/>
        <w:spacing w:before="400" w:after="200" w:line="360" w:lineRule="auto"/>
        <w:rPr>
          <w:color w:val="auto"/>
        </w:rPr>
      </w:pPr>
      <w:r w:rsidRPr="00F53472">
        <w:rPr>
          <w:rFonts w:ascii="Arial" w:eastAsia="Arial" w:hAnsi="Arial" w:cs="Arial"/>
          <w:b/>
          <w:bCs/>
          <w:color w:val="auto"/>
          <w:sz w:val="28"/>
          <w:szCs w:val="28"/>
        </w:rPr>
        <w:lastRenderedPageBreak/>
        <w:t>Task A: Socialisation, Identity and Business Activism</w:t>
      </w:r>
    </w:p>
    <w:p w14:paraId="70734EA6" w14:textId="77777777" w:rsidR="00AC7387" w:rsidRPr="00F53472" w:rsidRDefault="00000000">
      <w:pPr>
        <w:pStyle w:val="Heading2"/>
        <w:spacing w:before="300" w:after="150" w:line="360" w:lineRule="auto"/>
        <w:rPr>
          <w:color w:val="auto"/>
        </w:rPr>
      </w:pPr>
      <w:r w:rsidRPr="00F53472">
        <w:rPr>
          <w:rFonts w:ascii="Arial" w:eastAsia="Arial" w:hAnsi="Arial" w:cs="Arial"/>
          <w:b/>
          <w:bCs/>
          <w:color w:val="auto"/>
          <w:sz w:val="24"/>
          <w:szCs w:val="24"/>
        </w:rPr>
        <w:t>A1. Traditional Onboarding versus Strategic Socialisation</w:t>
      </w:r>
    </w:p>
    <w:p w14:paraId="129D2547" w14:textId="77777777" w:rsidR="00AC7387" w:rsidRPr="00F53472" w:rsidRDefault="00000000" w:rsidP="00F53472">
      <w:pPr>
        <w:spacing w:after="200" w:line="360" w:lineRule="auto"/>
      </w:pPr>
      <w:r w:rsidRPr="00F53472">
        <w:rPr>
          <w:rFonts w:ascii="Arial" w:eastAsia="Arial" w:hAnsi="Arial" w:cs="Arial"/>
          <w:sz w:val="24"/>
          <w:szCs w:val="24"/>
        </w:rPr>
        <w:t>Traditional onboarding at Helios Urban Mobility (HUM) has functioned as a transactional, administratively focused process, oriented toward compliance and role clarification rather than deep cultural integration (Bauer et al., 2007). Given HUM's eight-month ramp-up period and an employee engagement score of only 54%, this approach is proving costly: every additional month before an employee reaches full productivity represents a direct financial loss, and the absence of a structured process widens the window during which the psychological contract remains vulnerable to early breach.</w:t>
      </w:r>
    </w:p>
    <w:p w14:paraId="31ABC8B8" w14:textId="7C7C078E" w:rsidR="00AC7387" w:rsidRPr="00F53472" w:rsidRDefault="00000000" w:rsidP="00F53472">
      <w:pPr>
        <w:spacing w:after="200" w:line="360" w:lineRule="auto"/>
      </w:pPr>
      <w:r w:rsidRPr="00F53472">
        <w:rPr>
          <w:rFonts w:ascii="Arial" w:eastAsia="Arial" w:hAnsi="Arial" w:cs="Arial"/>
          <w:sz w:val="24"/>
          <w:szCs w:val="24"/>
        </w:rPr>
        <w:t>Van Maanen and Schein (1979) offer a more useful lens: organisational socialisation as a longitudinal process through which newcomers learn to interpret and enact their roles. Their tactics typology collective versus individual, serial versus disjunctive, and investiture versus divestiture provides a diagnostic tool for organisational design. Research consistently associates collective, serial, and investiture tactics with stronger role clarity, higher organisational commitment, and lower early attrition (Allen and Meyer, 1990).</w:t>
      </w:r>
    </w:p>
    <w:p w14:paraId="26400FF7" w14:textId="5D929AFE" w:rsidR="00AC7387" w:rsidRPr="00F53472" w:rsidRDefault="00000000" w:rsidP="00F53472">
      <w:pPr>
        <w:spacing w:after="200" w:line="360" w:lineRule="auto"/>
      </w:pPr>
      <w:r w:rsidRPr="00F53472">
        <w:rPr>
          <w:rFonts w:ascii="Arial" w:eastAsia="Arial" w:hAnsi="Arial" w:cs="Arial"/>
          <w:sz w:val="24"/>
          <w:szCs w:val="24"/>
        </w:rPr>
        <w:t>At MBA level, three critiques must temper uncritical application of this framework. First, Ashforth and Mael (1989) warn that the high organisational identification socialisation seeks to build can also suppress dissent and heterodox thinking a genuine risk for an AI-enabled start-up whose competitiveness depends on innovation. Second, Van Maanen and Schein's typology predates hybrid and distributed work; Saks and Gruman (2021) demonstrate that dispersed organisations must deliberately engineer virtual social presence, a variable of particular relevance across HUM's London, Berlin, and Singapore operations. Third, Rousseau's (1995) psychological contract theory frames socialisation as the point at which mutual obligations are co-constructed, meaning over-engineered socialisation risks manufacturing performed compliance rather than authentic identification. Ashforth and Schinoff's (2016) tripartite model cognitive, affective, and behavioural identity construction resolves this tension by treating identification as a condition to be created, not an outcome to be mandated.</w:t>
      </w:r>
    </w:p>
    <w:p w14:paraId="02B13766" w14:textId="77777777" w:rsidR="00AC7387" w:rsidRPr="00F53472" w:rsidRDefault="00000000">
      <w:pPr>
        <w:pStyle w:val="Heading2"/>
        <w:spacing w:before="300" w:after="150" w:line="360" w:lineRule="auto"/>
        <w:rPr>
          <w:color w:val="auto"/>
        </w:rPr>
      </w:pPr>
      <w:r w:rsidRPr="00F53472">
        <w:rPr>
          <w:rFonts w:ascii="Arial" w:eastAsia="Arial" w:hAnsi="Arial" w:cs="Arial"/>
          <w:b/>
          <w:bCs/>
          <w:color w:val="auto"/>
          <w:sz w:val="24"/>
          <w:szCs w:val="24"/>
        </w:rPr>
        <w:lastRenderedPageBreak/>
        <w:t>A2. A Structured Socialisation Framework for Helios</w:t>
      </w:r>
    </w:p>
    <w:p w14:paraId="63A6EE2A" w14:textId="77777777" w:rsidR="00AC7387" w:rsidRPr="00F53472" w:rsidRDefault="00000000" w:rsidP="00F53472">
      <w:pPr>
        <w:spacing w:after="200" w:line="360" w:lineRule="auto"/>
      </w:pPr>
      <w:r w:rsidRPr="00F53472">
        <w:rPr>
          <w:rFonts w:ascii="Arial" w:eastAsia="Arial" w:hAnsi="Arial" w:cs="Arial"/>
          <w:sz w:val="24"/>
          <w:szCs w:val="24"/>
        </w:rPr>
        <w:t>Building on this diagnosis, a three-phase socialisation framework is proposed for Helios, with each phase targeting HUM's presenting problems directly.</w:t>
      </w:r>
    </w:p>
    <w:p w14:paraId="160B9E40" w14:textId="55527AC9" w:rsidR="00AC7387" w:rsidRPr="00F53472" w:rsidRDefault="00000000" w:rsidP="00F53472">
      <w:pPr>
        <w:spacing w:after="200" w:line="360" w:lineRule="auto"/>
      </w:pPr>
      <w:r w:rsidRPr="00F53472">
        <w:rPr>
          <w:rFonts w:ascii="Arial" w:eastAsia="Arial" w:hAnsi="Arial" w:cs="Arial"/>
          <w:b/>
          <w:bCs/>
          <w:sz w:val="24"/>
          <w:szCs w:val="24"/>
        </w:rPr>
        <w:t>Pre-boarding (offer to Day 1)</w:t>
      </w:r>
      <w:r w:rsidRPr="00F53472">
        <w:rPr>
          <w:rFonts w:ascii="Arial" w:eastAsia="Arial" w:hAnsi="Arial" w:cs="Arial"/>
          <w:sz w:val="24"/>
          <w:szCs w:val="24"/>
        </w:rPr>
        <w:t xml:space="preserve"> exploits the period of highest newcomer receptivity. An asynchronous digital portal, designed on Saks and Gruman's (2021) social-presence principles, introduces HUM's city-partnership mission and teams across all three locations. An AI-matched peer mentor enables serial socialisation before Day 1 (Van Maanen and Schein, 1979), and a jointly authored psychological contract disclosure document setting out mutual expectations rather than standard HR paperwork addresses expectation divergence at its source, the primary driver of early psychological contract breach (Rousseau, 1995).</w:t>
      </w:r>
    </w:p>
    <w:p w14:paraId="56C2B153" w14:textId="77777777" w:rsidR="00AC7387" w:rsidRDefault="00000000" w:rsidP="00F53472">
      <w:pPr>
        <w:spacing w:after="200" w:line="360" w:lineRule="auto"/>
      </w:pPr>
      <w:r>
        <w:rPr>
          <w:rFonts w:ascii="Arial" w:eastAsia="Arial" w:hAnsi="Arial" w:cs="Arial"/>
          <w:b/>
          <w:bCs/>
          <w:sz w:val="24"/>
          <w:szCs w:val="24"/>
        </w:rPr>
        <w:t>The first 90 days</w:t>
      </w:r>
      <w:r>
        <w:rPr>
          <w:rFonts w:ascii="Arial" w:eastAsia="Arial" w:hAnsi="Arial" w:cs="Arial"/>
          <w:sz w:val="24"/>
          <w:szCs w:val="24"/>
        </w:rPr>
        <w:t xml:space="preserve"> deliberately employ collective tactics: a shared induction cohort, cross-city live-streamed shadowing, and cross-functional mini-projects that transfer tacit knowledge socially rather than through documentation, directly targeting the informal and inconsistent knowledge transfer that is driving HUM's ramp-up lag. A 45-day pulse survey functions as an early-warning system for psychological contract breach, enabling targeted HR intervention before disengagement hardens into attrition.</w:t>
      </w:r>
    </w:p>
    <w:p w14:paraId="0619A036" w14:textId="56BDEF1A" w:rsidR="00AC7387" w:rsidRDefault="00000000" w:rsidP="00F53472">
      <w:pPr>
        <w:spacing w:after="200" w:line="360" w:lineRule="auto"/>
        <w:rPr>
          <w:rFonts w:ascii="Arial" w:eastAsia="Arial" w:hAnsi="Arial" w:cs="Arial"/>
          <w:sz w:val="24"/>
          <w:szCs w:val="24"/>
        </w:rPr>
      </w:pPr>
      <w:r>
        <w:rPr>
          <w:rFonts w:ascii="Arial" w:eastAsia="Arial" w:hAnsi="Arial" w:cs="Arial"/>
          <w:b/>
          <w:bCs/>
          <w:sz w:val="24"/>
          <w:szCs w:val="24"/>
        </w:rPr>
        <w:t>Year one</w:t>
      </w:r>
      <w:r>
        <w:rPr>
          <w:rFonts w:ascii="Arial" w:eastAsia="Arial" w:hAnsi="Arial" w:cs="Arial"/>
          <w:sz w:val="24"/>
          <w:szCs w:val="24"/>
        </w:rPr>
        <w:t xml:space="preserve"> shifts emphasis from integration to strategic citizenship. Quarterly city-partnership briefings connect individual contributions to measurable urban outcomes; a twelve-month personal impact narrative, shared with incoming cohorts, sustains organisational identity transmission (Dutton et al., 1994); and a co-constructed development review replaces probationary gatekeeping with a genuine, two-way investment conversation about year-two goals. Table 1 summarises the three-phase architecture, its theoretical rationale, and its adaptation for HUM's hybrid, cross-city</w:t>
      </w:r>
      <w:r w:rsidR="00FD5150">
        <w:rPr>
          <w:rFonts w:ascii="Arial" w:eastAsia="Arial" w:hAnsi="Arial" w:cs="Arial"/>
          <w:sz w:val="24"/>
          <w:szCs w:val="24"/>
        </w:rPr>
        <w:t xml:space="preserve"> </w:t>
      </w:r>
      <w:r>
        <w:rPr>
          <w:rFonts w:ascii="Arial" w:eastAsia="Arial" w:hAnsi="Arial" w:cs="Arial"/>
          <w:sz w:val="24"/>
          <w:szCs w:val="24"/>
        </w:rPr>
        <w:t>workforce.</w:t>
      </w:r>
    </w:p>
    <w:p w14:paraId="4B7D8466" w14:textId="77777777" w:rsidR="00FD5150" w:rsidRPr="00FD5150" w:rsidRDefault="00FD5150" w:rsidP="00F53472">
      <w:pPr>
        <w:spacing w:after="200" w:line="360" w:lineRule="auto"/>
        <w:rPr>
          <w:rFonts w:ascii="Arial" w:eastAsia="Arial" w:hAnsi="Arial" w:cs="Arial"/>
          <w:sz w:val="24"/>
          <w:szCs w:val="24"/>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00"/>
        <w:gridCol w:w="2600"/>
        <w:gridCol w:w="2600"/>
        <w:gridCol w:w="2226"/>
      </w:tblGrid>
      <w:tr w:rsidR="00AC7387" w14:paraId="35B56BA5" w14:textId="77777777">
        <w:trPr>
          <w:tblHeader/>
        </w:trPr>
        <w:tc>
          <w:tcPr>
            <w:tcW w:w="1600" w:type="dxa"/>
            <w:shd w:val="clear" w:color="auto" w:fill="1F3864"/>
            <w:tcMar>
              <w:top w:w="100" w:type="dxa"/>
              <w:left w:w="120" w:type="dxa"/>
              <w:bottom w:w="100" w:type="dxa"/>
              <w:right w:w="120" w:type="dxa"/>
            </w:tcMar>
            <w:vAlign w:val="center"/>
          </w:tcPr>
          <w:p w14:paraId="2023F00A" w14:textId="2AEEBF6F" w:rsidR="00AC7387" w:rsidRDefault="00000000">
            <w:pPr>
              <w:spacing w:line="360" w:lineRule="auto"/>
            </w:pPr>
            <w:r>
              <w:rPr>
                <w:rFonts w:ascii="Arial" w:eastAsia="Arial" w:hAnsi="Arial" w:cs="Arial"/>
                <w:b/>
                <w:bCs/>
                <w:color w:val="FFFFFF"/>
              </w:rPr>
              <w:lastRenderedPageBreak/>
              <w:t>Phase</w:t>
            </w:r>
          </w:p>
        </w:tc>
        <w:tc>
          <w:tcPr>
            <w:tcW w:w="2600" w:type="dxa"/>
            <w:shd w:val="clear" w:color="auto" w:fill="1F3864"/>
            <w:tcMar>
              <w:top w:w="100" w:type="dxa"/>
              <w:left w:w="120" w:type="dxa"/>
              <w:bottom w:w="100" w:type="dxa"/>
              <w:right w:w="120" w:type="dxa"/>
            </w:tcMar>
            <w:vAlign w:val="center"/>
          </w:tcPr>
          <w:p w14:paraId="1DBC80DC" w14:textId="77777777" w:rsidR="00AC7387" w:rsidRDefault="00000000">
            <w:pPr>
              <w:spacing w:line="360" w:lineRule="auto"/>
            </w:pPr>
            <w:r>
              <w:rPr>
                <w:rFonts w:ascii="Arial" w:eastAsia="Arial" w:hAnsi="Arial" w:cs="Arial"/>
                <w:b/>
                <w:bCs/>
                <w:color w:val="FFFFFF"/>
              </w:rPr>
              <w:t>Key Activities</w:t>
            </w:r>
          </w:p>
        </w:tc>
        <w:tc>
          <w:tcPr>
            <w:tcW w:w="2600" w:type="dxa"/>
            <w:shd w:val="clear" w:color="auto" w:fill="1F3864"/>
            <w:tcMar>
              <w:top w:w="100" w:type="dxa"/>
              <w:left w:w="120" w:type="dxa"/>
              <w:bottom w:w="100" w:type="dxa"/>
              <w:right w:w="120" w:type="dxa"/>
            </w:tcMar>
            <w:vAlign w:val="center"/>
          </w:tcPr>
          <w:p w14:paraId="63A82780" w14:textId="77777777" w:rsidR="00AC7387" w:rsidRDefault="00000000">
            <w:pPr>
              <w:spacing w:line="360" w:lineRule="auto"/>
            </w:pPr>
            <w:r>
              <w:rPr>
                <w:rFonts w:ascii="Arial" w:eastAsia="Arial" w:hAnsi="Arial" w:cs="Arial"/>
                <w:b/>
                <w:bCs/>
                <w:color w:val="FFFFFF"/>
              </w:rPr>
              <w:t>Theoretical Rationale</w:t>
            </w:r>
          </w:p>
        </w:tc>
        <w:tc>
          <w:tcPr>
            <w:tcW w:w="2226" w:type="dxa"/>
            <w:shd w:val="clear" w:color="auto" w:fill="1F3864"/>
            <w:tcMar>
              <w:top w:w="100" w:type="dxa"/>
              <w:left w:w="120" w:type="dxa"/>
              <w:bottom w:w="100" w:type="dxa"/>
              <w:right w:w="120" w:type="dxa"/>
            </w:tcMar>
            <w:vAlign w:val="center"/>
          </w:tcPr>
          <w:p w14:paraId="45004074" w14:textId="77777777" w:rsidR="00AC7387" w:rsidRDefault="00000000">
            <w:pPr>
              <w:spacing w:line="360" w:lineRule="auto"/>
            </w:pPr>
            <w:r>
              <w:rPr>
                <w:rFonts w:ascii="Arial" w:eastAsia="Arial" w:hAnsi="Arial" w:cs="Arial"/>
                <w:b/>
                <w:bCs/>
                <w:color w:val="FFFFFF"/>
              </w:rPr>
              <w:t>Digital/Hybrid Adaptation</w:t>
            </w:r>
          </w:p>
        </w:tc>
      </w:tr>
      <w:tr w:rsidR="00AC7387" w14:paraId="35F6D684" w14:textId="77777777">
        <w:tc>
          <w:tcPr>
            <w:tcW w:w="1600" w:type="dxa"/>
            <w:tcMar>
              <w:top w:w="100" w:type="dxa"/>
              <w:left w:w="120" w:type="dxa"/>
              <w:bottom w:w="100" w:type="dxa"/>
              <w:right w:w="120" w:type="dxa"/>
            </w:tcMar>
            <w:vAlign w:val="center"/>
          </w:tcPr>
          <w:p w14:paraId="0BEF7A0D" w14:textId="77777777" w:rsidR="00AC7387" w:rsidRPr="00F53472" w:rsidRDefault="00000000">
            <w:pPr>
              <w:spacing w:line="360" w:lineRule="auto"/>
              <w:rPr>
                <w:sz w:val="16"/>
                <w:szCs w:val="16"/>
              </w:rPr>
            </w:pPr>
            <w:r w:rsidRPr="00F53472">
              <w:rPr>
                <w:rFonts w:ascii="Arial" w:eastAsia="Arial" w:hAnsi="Arial" w:cs="Arial"/>
                <w:color w:val="000000"/>
                <w:sz w:val="16"/>
                <w:szCs w:val="16"/>
              </w:rPr>
              <w:t>Pre-boarding</w:t>
            </w:r>
          </w:p>
        </w:tc>
        <w:tc>
          <w:tcPr>
            <w:tcW w:w="2600" w:type="dxa"/>
            <w:tcMar>
              <w:top w:w="100" w:type="dxa"/>
              <w:left w:w="120" w:type="dxa"/>
              <w:bottom w:w="100" w:type="dxa"/>
              <w:right w:w="120" w:type="dxa"/>
            </w:tcMar>
            <w:vAlign w:val="center"/>
          </w:tcPr>
          <w:p w14:paraId="7D2A07C8" w14:textId="77777777" w:rsidR="00AC7387" w:rsidRPr="00F53472" w:rsidRDefault="00000000">
            <w:pPr>
              <w:spacing w:line="360" w:lineRule="auto"/>
              <w:rPr>
                <w:sz w:val="16"/>
                <w:szCs w:val="16"/>
              </w:rPr>
            </w:pPr>
            <w:r w:rsidRPr="00F53472">
              <w:rPr>
                <w:rFonts w:ascii="Arial" w:eastAsia="Arial" w:hAnsi="Arial" w:cs="Arial"/>
                <w:color w:val="000000"/>
                <w:sz w:val="16"/>
                <w:szCs w:val="16"/>
              </w:rPr>
              <w:t>Digital portal; AI-matched mentor; psychological contract disclosure</w:t>
            </w:r>
          </w:p>
        </w:tc>
        <w:tc>
          <w:tcPr>
            <w:tcW w:w="2600" w:type="dxa"/>
            <w:tcMar>
              <w:top w:w="100" w:type="dxa"/>
              <w:left w:w="120" w:type="dxa"/>
              <w:bottom w:w="100" w:type="dxa"/>
              <w:right w:w="120" w:type="dxa"/>
            </w:tcMar>
            <w:vAlign w:val="center"/>
          </w:tcPr>
          <w:p w14:paraId="5079734C" w14:textId="77777777" w:rsidR="00AC7387" w:rsidRPr="00F53472" w:rsidRDefault="00000000">
            <w:pPr>
              <w:spacing w:line="360" w:lineRule="auto"/>
              <w:rPr>
                <w:sz w:val="16"/>
                <w:szCs w:val="16"/>
              </w:rPr>
            </w:pPr>
            <w:r w:rsidRPr="00F53472">
              <w:rPr>
                <w:rFonts w:ascii="Arial" w:eastAsia="Arial" w:hAnsi="Arial" w:cs="Arial"/>
                <w:color w:val="000000"/>
                <w:sz w:val="16"/>
                <w:szCs w:val="16"/>
              </w:rPr>
              <w:t>Serial and investiture tactics; psychological contract alignment (Van Maanen and Schein, 1979; Rousseau, 1995)</w:t>
            </w:r>
          </w:p>
        </w:tc>
        <w:tc>
          <w:tcPr>
            <w:tcW w:w="2226" w:type="dxa"/>
            <w:tcMar>
              <w:top w:w="100" w:type="dxa"/>
              <w:left w:w="120" w:type="dxa"/>
              <w:bottom w:w="100" w:type="dxa"/>
              <w:right w:w="120" w:type="dxa"/>
            </w:tcMar>
            <w:vAlign w:val="center"/>
          </w:tcPr>
          <w:p w14:paraId="5E491D53" w14:textId="77777777" w:rsidR="00AC7387" w:rsidRPr="00F53472" w:rsidRDefault="00000000">
            <w:pPr>
              <w:spacing w:line="360" w:lineRule="auto"/>
              <w:rPr>
                <w:sz w:val="16"/>
                <w:szCs w:val="16"/>
              </w:rPr>
            </w:pPr>
            <w:r w:rsidRPr="00F53472">
              <w:rPr>
                <w:rFonts w:ascii="Arial" w:eastAsia="Arial" w:hAnsi="Arial" w:cs="Arial"/>
                <w:color w:val="000000"/>
                <w:sz w:val="16"/>
                <w:szCs w:val="16"/>
              </w:rPr>
              <w:t>Portal accessible across all three cities; virtual manager expectation-alignment session</w:t>
            </w:r>
          </w:p>
        </w:tc>
      </w:tr>
      <w:tr w:rsidR="00AC7387" w14:paraId="473A1AC1" w14:textId="77777777" w:rsidTr="00F53472">
        <w:tc>
          <w:tcPr>
            <w:tcW w:w="1600" w:type="dxa"/>
            <w:shd w:val="clear" w:color="auto" w:fill="DAE9F7" w:themeFill="text2" w:themeFillTint="1A"/>
            <w:tcMar>
              <w:top w:w="100" w:type="dxa"/>
              <w:left w:w="120" w:type="dxa"/>
              <w:bottom w:w="100" w:type="dxa"/>
              <w:right w:w="120" w:type="dxa"/>
            </w:tcMar>
            <w:vAlign w:val="center"/>
          </w:tcPr>
          <w:p w14:paraId="599045DE" w14:textId="77777777" w:rsidR="00AC7387" w:rsidRPr="00F53472" w:rsidRDefault="00000000">
            <w:pPr>
              <w:spacing w:line="360" w:lineRule="auto"/>
              <w:rPr>
                <w:sz w:val="16"/>
                <w:szCs w:val="16"/>
              </w:rPr>
            </w:pPr>
            <w:r w:rsidRPr="00F53472">
              <w:rPr>
                <w:rFonts w:ascii="Arial" w:eastAsia="Arial" w:hAnsi="Arial" w:cs="Arial"/>
                <w:color w:val="000000"/>
                <w:sz w:val="16"/>
                <w:szCs w:val="16"/>
              </w:rPr>
              <w:t>First 90 days</w:t>
            </w:r>
          </w:p>
        </w:tc>
        <w:tc>
          <w:tcPr>
            <w:tcW w:w="2600" w:type="dxa"/>
            <w:shd w:val="clear" w:color="auto" w:fill="DAE9F7" w:themeFill="text2" w:themeFillTint="1A"/>
            <w:tcMar>
              <w:top w:w="100" w:type="dxa"/>
              <w:left w:w="120" w:type="dxa"/>
              <w:bottom w:w="100" w:type="dxa"/>
              <w:right w:w="120" w:type="dxa"/>
            </w:tcMar>
            <w:vAlign w:val="center"/>
          </w:tcPr>
          <w:p w14:paraId="0ED52D2B" w14:textId="77777777" w:rsidR="00AC7387" w:rsidRPr="00F53472" w:rsidRDefault="00000000">
            <w:pPr>
              <w:spacing w:line="360" w:lineRule="auto"/>
              <w:rPr>
                <w:sz w:val="16"/>
                <w:szCs w:val="16"/>
              </w:rPr>
            </w:pPr>
            <w:r w:rsidRPr="00F53472">
              <w:rPr>
                <w:rFonts w:ascii="Arial" w:eastAsia="Arial" w:hAnsi="Arial" w:cs="Arial"/>
                <w:color w:val="000000"/>
                <w:sz w:val="16"/>
                <w:szCs w:val="16"/>
              </w:rPr>
              <w:t>Collective induction cohort; live-streamed shadowing; cross-functional mini-projects; 45-day pulse survey</w:t>
            </w:r>
          </w:p>
        </w:tc>
        <w:tc>
          <w:tcPr>
            <w:tcW w:w="2600" w:type="dxa"/>
            <w:shd w:val="clear" w:color="auto" w:fill="DAE9F7" w:themeFill="text2" w:themeFillTint="1A"/>
            <w:tcMar>
              <w:top w:w="100" w:type="dxa"/>
              <w:left w:w="120" w:type="dxa"/>
              <w:bottom w:w="100" w:type="dxa"/>
              <w:right w:w="120" w:type="dxa"/>
            </w:tcMar>
            <w:vAlign w:val="center"/>
          </w:tcPr>
          <w:p w14:paraId="23328418" w14:textId="77777777" w:rsidR="00AC7387" w:rsidRPr="00F53472" w:rsidRDefault="00000000">
            <w:pPr>
              <w:spacing w:line="360" w:lineRule="auto"/>
              <w:rPr>
                <w:sz w:val="16"/>
                <w:szCs w:val="16"/>
              </w:rPr>
            </w:pPr>
            <w:r w:rsidRPr="00F53472">
              <w:rPr>
                <w:rFonts w:ascii="Arial" w:eastAsia="Arial" w:hAnsi="Arial" w:cs="Arial"/>
                <w:color w:val="000000"/>
                <w:sz w:val="16"/>
                <w:szCs w:val="16"/>
              </w:rPr>
              <w:t>Collective and sequential tactics; tripartite identity construction (Ashforth and Schinoff, 2016)</w:t>
            </w:r>
          </w:p>
        </w:tc>
        <w:tc>
          <w:tcPr>
            <w:tcW w:w="2226" w:type="dxa"/>
            <w:shd w:val="clear" w:color="auto" w:fill="DAE9F7" w:themeFill="text2" w:themeFillTint="1A"/>
            <w:tcMar>
              <w:top w:w="100" w:type="dxa"/>
              <w:left w:w="120" w:type="dxa"/>
              <w:bottom w:w="100" w:type="dxa"/>
              <w:right w:w="120" w:type="dxa"/>
            </w:tcMar>
            <w:vAlign w:val="center"/>
          </w:tcPr>
          <w:p w14:paraId="64024C68" w14:textId="77777777" w:rsidR="00AC7387" w:rsidRPr="00F53472" w:rsidRDefault="00000000">
            <w:pPr>
              <w:spacing w:line="360" w:lineRule="auto"/>
              <w:rPr>
                <w:sz w:val="16"/>
                <w:szCs w:val="16"/>
              </w:rPr>
            </w:pPr>
            <w:r w:rsidRPr="00F53472">
              <w:rPr>
                <w:rFonts w:ascii="Arial" w:eastAsia="Arial" w:hAnsi="Arial" w:cs="Arial"/>
                <w:color w:val="000000"/>
                <w:sz w:val="16"/>
                <w:szCs w:val="16"/>
              </w:rPr>
              <w:t>Virtual cross-city lunches; remote shadowing sessions; asynchronous pulse-survey platform</w:t>
            </w:r>
          </w:p>
        </w:tc>
      </w:tr>
      <w:tr w:rsidR="00AC7387" w14:paraId="5464464E" w14:textId="77777777">
        <w:tc>
          <w:tcPr>
            <w:tcW w:w="1600" w:type="dxa"/>
            <w:tcMar>
              <w:top w:w="100" w:type="dxa"/>
              <w:left w:w="120" w:type="dxa"/>
              <w:bottom w:w="100" w:type="dxa"/>
              <w:right w:w="120" w:type="dxa"/>
            </w:tcMar>
            <w:vAlign w:val="center"/>
          </w:tcPr>
          <w:p w14:paraId="1B214A50" w14:textId="77777777" w:rsidR="00AC7387" w:rsidRPr="00F53472" w:rsidRDefault="00000000">
            <w:pPr>
              <w:spacing w:line="360" w:lineRule="auto"/>
              <w:rPr>
                <w:sz w:val="16"/>
                <w:szCs w:val="16"/>
              </w:rPr>
            </w:pPr>
            <w:r w:rsidRPr="00F53472">
              <w:rPr>
                <w:rFonts w:ascii="Arial" w:eastAsia="Arial" w:hAnsi="Arial" w:cs="Arial"/>
                <w:color w:val="000000"/>
                <w:sz w:val="16"/>
                <w:szCs w:val="16"/>
              </w:rPr>
              <w:t>Year one</w:t>
            </w:r>
          </w:p>
        </w:tc>
        <w:tc>
          <w:tcPr>
            <w:tcW w:w="2600" w:type="dxa"/>
            <w:tcMar>
              <w:top w:w="100" w:type="dxa"/>
              <w:left w:w="120" w:type="dxa"/>
              <w:bottom w:w="100" w:type="dxa"/>
              <w:right w:w="120" w:type="dxa"/>
            </w:tcMar>
            <w:vAlign w:val="center"/>
          </w:tcPr>
          <w:p w14:paraId="672C9DA0" w14:textId="77777777" w:rsidR="00AC7387" w:rsidRPr="00F53472" w:rsidRDefault="00000000">
            <w:pPr>
              <w:spacing w:line="360" w:lineRule="auto"/>
              <w:rPr>
                <w:sz w:val="16"/>
                <w:szCs w:val="16"/>
              </w:rPr>
            </w:pPr>
            <w:r w:rsidRPr="00F53472">
              <w:rPr>
                <w:rFonts w:ascii="Arial" w:eastAsia="Arial" w:hAnsi="Arial" w:cs="Arial"/>
                <w:color w:val="000000"/>
                <w:sz w:val="16"/>
                <w:szCs w:val="16"/>
              </w:rPr>
              <w:t>Twelve-month impact narrative; quarterly city-partnership briefings; co-constructed development review; Activism Labs</w:t>
            </w:r>
          </w:p>
        </w:tc>
        <w:tc>
          <w:tcPr>
            <w:tcW w:w="2600" w:type="dxa"/>
            <w:tcMar>
              <w:top w:w="100" w:type="dxa"/>
              <w:left w:w="120" w:type="dxa"/>
              <w:bottom w:w="100" w:type="dxa"/>
              <w:right w:w="120" w:type="dxa"/>
            </w:tcMar>
            <w:vAlign w:val="center"/>
          </w:tcPr>
          <w:p w14:paraId="35A7F6AA" w14:textId="77777777" w:rsidR="00AC7387" w:rsidRPr="00F53472" w:rsidRDefault="00000000">
            <w:pPr>
              <w:spacing w:line="360" w:lineRule="auto"/>
              <w:rPr>
                <w:sz w:val="16"/>
                <w:szCs w:val="16"/>
              </w:rPr>
            </w:pPr>
            <w:r w:rsidRPr="00F53472">
              <w:rPr>
                <w:rFonts w:ascii="Arial" w:eastAsia="Arial" w:hAnsi="Arial" w:cs="Arial"/>
                <w:color w:val="000000"/>
                <w:sz w:val="16"/>
                <w:szCs w:val="16"/>
              </w:rPr>
              <w:t>Organisational identification (Dutton et al., 1994); stakeholder capitalism (Freeman, 1984; World Economic Forum, 2020)</w:t>
            </w:r>
          </w:p>
        </w:tc>
        <w:tc>
          <w:tcPr>
            <w:tcW w:w="2226" w:type="dxa"/>
            <w:tcMar>
              <w:top w:w="100" w:type="dxa"/>
              <w:left w:w="120" w:type="dxa"/>
              <w:bottom w:w="100" w:type="dxa"/>
              <w:right w:w="120" w:type="dxa"/>
            </w:tcMar>
            <w:vAlign w:val="center"/>
          </w:tcPr>
          <w:p w14:paraId="07AEB50C" w14:textId="77777777" w:rsidR="00AC7387" w:rsidRPr="00F53472" w:rsidRDefault="00000000">
            <w:pPr>
              <w:spacing w:line="360" w:lineRule="auto"/>
              <w:rPr>
                <w:sz w:val="16"/>
                <w:szCs w:val="16"/>
              </w:rPr>
            </w:pPr>
            <w:r w:rsidRPr="00F53472">
              <w:rPr>
                <w:rFonts w:ascii="Arial" w:eastAsia="Arial" w:hAnsi="Arial" w:cs="Arial"/>
                <w:color w:val="000000"/>
                <w:sz w:val="16"/>
                <w:szCs w:val="16"/>
              </w:rPr>
              <w:t>Cross-city knowledge brokers; digital voice and recognition platforms</w:t>
            </w:r>
          </w:p>
        </w:tc>
      </w:tr>
    </w:tbl>
    <w:p w14:paraId="25E9F9FA" w14:textId="77777777" w:rsidR="00AC7387" w:rsidRPr="00F53472" w:rsidRDefault="00000000">
      <w:pPr>
        <w:spacing w:before="100" w:after="300" w:line="360" w:lineRule="auto"/>
        <w:rPr>
          <w:sz w:val="16"/>
          <w:szCs w:val="16"/>
        </w:rPr>
      </w:pPr>
      <w:r w:rsidRPr="00F53472">
        <w:rPr>
          <w:rFonts w:ascii="Arial" w:eastAsia="Arial" w:hAnsi="Arial" w:cs="Arial"/>
          <w:i/>
          <w:iCs/>
          <w:color w:val="444444"/>
          <w:sz w:val="16"/>
          <w:szCs w:val="16"/>
        </w:rPr>
        <w:t>Table 1: HUM Strategic Socialisation Architecture. Source: Author, adapted from Van Maanen and Schein (1979), Rousseau (1995), Ashforth and Schinoff (2016), and Saks and Gruman (2021).</w:t>
      </w:r>
    </w:p>
    <w:p w14:paraId="1C27A4EB" w14:textId="77777777" w:rsidR="00AC7387" w:rsidRPr="00F53472" w:rsidRDefault="00000000">
      <w:pPr>
        <w:pStyle w:val="Heading2"/>
        <w:spacing w:before="300" w:after="150" w:line="360" w:lineRule="auto"/>
        <w:rPr>
          <w:color w:val="auto"/>
        </w:rPr>
      </w:pPr>
      <w:r w:rsidRPr="00F53472">
        <w:rPr>
          <w:rFonts w:ascii="Arial" w:eastAsia="Arial" w:hAnsi="Arial" w:cs="Arial"/>
          <w:b/>
          <w:bCs/>
          <w:color w:val="auto"/>
          <w:sz w:val="24"/>
          <w:szCs w:val="24"/>
        </w:rPr>
        <w:t>A3. Cultivating Identification, Ethics, and Business Activism</w:t>
      </w:r>
    </w:p>
    <w:p w14:paraId="37EE8E95" w14:textId="77777777" w:rsidR="00AC7387" w:rsidRPr="00F53472" w:rsidRDefault="00000000" w:rsidP="00F53472">
      <w:pPr>
        <w:spacing w:after="200" w:line="360" w:lineRule="auto"/>
      </w:pPr>
      <w:r w:rsidRPr="00F53472">
        <w:rPr>
          <w:rFonts w:ascii="Arial" w:eastAsia="Arial" w:hAnsi="Arial" w:cs="Arial"/>
          <w:b/>
          <w:bCs/>
          <w:sz w:val="24"/>
          <w:szCs w:val="24"/>
        </w:rPr>
        <w:t>Cultivating identification, ethics, and activism.</w:t>
      </w:r>
      <w:r w:rsidRPr="00F53472">
        <w:rPr>
          <w:rFonts w:ascii="Arial" w:eastAsia="Arial" w:hAnsi="Arial" w:cs="Arial"/>
          <w:sz w:val="24"/>
          <w:szCs w:val="24"/>
        </w:rPr>
        <w:t xml:space="preserve"> Organisational identification requires HUM to engage all three of Ashforth and Schinoff's (2016) processes simultaneously: cognitively, through communications that make HUM's distinctiveness salient against competitor employers; affectively, through a quarterly City Impact Day that builds emotional connection to urban outcomes; and behaviourally, through visible senior leadership participation in cohort events, the most credible cultural signal available to newcomers (Schein, 2010).</w:t>
      </w:r>
    </w:p>
    <w:p w14:paraId="55E0C158" w14:textId="7A87C27C" w:rsidR="00AC7387" w:rsidRPr="00F53472" w:rsidRDefault="00000000" w:rsidP="00F53472">
      <w:pPr>
        <w:spacing w:after="200" w:line="360" w:lineRule="auto"/>
      </w:pPr>
      <w:r w:rsidRPr="00F53472">
        <w:rPr>
          <w:rFonts w:ascii="Arial" w:eastAsia="Arial" w:hAnsi="Arial" w:cs="Arial"/>
          <w:sz w:val="24"/>
          <w:szCs w:val="24"/>
        </w:rPr>
        <w:t xml:space="preserve">Ethical professionalism is not optional for HUM: its AI systems operate within public-sector contexts governed by frameworks such as the EU AI Act and Singapore's Model AI Governance Framework (Engler, 2022). Mandatory ethics modules built around HUM's own operational dilemmas algorithmic bias in route optimisation, data privacy in smart infrastructure combined with an Ethics Champions network embedded across teams, cultivate what Ulrich et al. (2017) describe as principled stewardship. This is a governance requirement as much as a cultural one: a credible ethics network gives HUM a defensible position when bidding for city-government contracts that increasingly require evidence of responsible AI practice, turning ethical </w:t>
      </w:r>
      <w:r w:rsidRPr="00F53472">
        <w:rPr>
          <w:rFonts w:ascii="Arial" w:eastAsia="Arial" w:hAnsi="Arial" w:cs="Arial"/>
          <w:sz w:val="24"/>
          <w:szCs w:val="24"/>
        </w:rPr>
        <w:lastRenderedPageBreak/>
        <w:t>professionalism into a source of commercial differentiation rather than a compliance cost.</w:t>
      </w:r>
    </w:p>
    <w:p w14:paraId="2A66374B" w14:textId="00D2D362" w:rsidR="00AC7387" w:rsidRPr="00F53472" w:rsidRDefault="00000000" w:rsidP="00F53472">
      <w:pPr>
        <w:spacing w:after="200" w:line="360" w:lineRule="auto"/>
      </w:pPr>
      <w:r w:rsidRPr="00F53472">
        <w:rPr>
          <w:rFonts w:ascii="Arial" w:eastAsia="Arial" w:hAnsi="Arial" w:cs="Arial"/>
          <w:sz w:val="24"/>
          <w:szCs w:val="24"/>
        </w:rPr>
        <w:t xml:space="preserve">Finally, the "business activist" mindset (Ulrich et al., 2017) must extend beyond HR into every </w:t>
      </w:r>
      <w:r w:rsidR="000A025F" w:rsidRPr="00F53472">
        <w:rPr>
          <w:rFonts w:ascii="Arial" w:eastAsia="Arial" w:hAnsi="Arial" w:cs="Arial"/>
          <w:sz w:val="24"/>
          <w:szCs w:val="24"/>
        </w:rPr>
        <w:t>function since</w:t>
      </w:r>
      <w:r w:rsidRPr="00F53472">
        <w:rPr>
          <w:rFonts w:ascii="Arial" w:eastAsia="Arial" w:hAnsi="Arial" w:cs="Arial"/>
          <w:sz w:val="24"/>
          <w:szCs w:val="24"/>
        </w:rPr>
        <w:t xml:space="preserve"> HUM's access to city-government contracts depends on sustained stakeholder trust. Freeman's (1984) stakeholder capitalism perspective, reinforced by the World Economic Forum's (2020) call to create value for employees, customers, governments, and communities rather than shareholders alone, provides the underlying philosophy. Activism Labs, digital voice platforms, and recognition systems linked to partnership-bid outcomes translate this philosophy into consequential behaviour rather than performative purpose statements, converting engagement into the purpose-alignment that is the strongest predictor of high-potential graduate retention (Mitchell et al., 2001).</w:t>
      </w:r>
    </w:p>
    <w:p w14:paraId="2E64086C" w14:textId="77777777" w:rsidR="00AC7387" w:rsidRDefault="00000000" w:rsidP="00F53472">
      <w:pPr>
        <w:spacing w:after="200" w:line="360" w:lineRule="auto"/>
        <w:rPr>
          <w:rFonts w:ascii="Arial" w:eastAsia="Arial" w:hAnsi="Arial" w:cs="Arial"/>
          <w:sz w:val="24"/>
          <w:szCs w:val="24"/>
        </w:rPr>
      </w:pPr>
      <w:r w:rsidRPr="00F53472">
        <w:rPr>
          <w:rFonts w:ascii="Arial" w:eastAsia="Arial" w:hAnsi="Arial" w:cs="Arial"/>
          <w:sz w:val="24"/>
          <w:szCs w:val="24"/>
        </w:rPr>
        <w:t>Implementation should not be treated as risk-free. A phased rollout is recommended: the psychological contract disclosure document can be introduced immediately at negligible cost, while the City Impact Day and Ethics Champions network should be piloted with a single cohort before wider deployment, allowing HUM to test whether collective tactics translate consistently across London, Berlin, and Singapore before committing to full-scale investment. Line managers will require explicit training in investiture-style feedback, since the framework's success depends on managers reinforcing newcomers' existing strengths rather than defaulting to divestiture habits inherited from HUM's earlier, faster-growth culture. Taken together, this framework directly addresses HUM's three presenting problems: the pre-boarding and first-90-days phases target the eight-month ramp-up by front-loading tacit knowledge transfer; the pulse survey and City Impact Day target the 54% engagement score by surfacing disengagement early and building affective connection to HUM's mission; and the year-one citizenship phase targets graduate attrition by converting short-term satisfaction into durable, identity-based commitment.</w:t>
      </w:r>
    </w:p>
    <w:p w14:paraId="26A33B11" w14:textId="77777777" w:rsidR="008556EB" w:rsidRDefault="008556EB" w:rsidP="00F53472">
      <w:pPr>
        <w:spacing w:after="200" w:line="360" w:lineRule="auto"/>
        <w:rPr>
          <w:rFonts w:ascii="Arial" w:eastAsia="Arial" w:hAnsi="Arial" w:cs="Arial"/>
          <w:sz w:val="24"/>
          <w:szCs w:val="24"/>
        </w:rPr>
      </w:pPr>
    </w:p>
    <w:p w14:paraId="10ED2C67" w14:textId="77777777" w:rsidR="008556EB" w:rsidRDefault="008556EB" w:rsidP="00F53472">
      <w:pPr>
        <w:spacing w:after="200" w:line="360" w:lineRule="auto"/>
        <w:rPr>
          <w:rFonts w:ascii="Arial" w:eastAsia="Arial" w:hAnsi="Arial" w:cs="Arial"/>
          <w:sz w:val="24"/>
          <w:szCs w:val="24"/>
        </w:rPr>
      </w:pPr>
    </w:p>
    <w:p w14:paraId="5B51CFE7" w14:textId="77777777" w:rsidR="008556EB" w:rsidRPr="00F53472" w:rsidRDefault="008556EB" w:rsidP="00F53472">
      <w:pPr>
        <w:spacing w:after="200" w:line="360" w:lineRule="auto"/>
      </w:pPr>
    </w:p>
    <w:p w14:paraId="4EA3D859" w14:textId="77777777" w:rsidR="00AC7387" w:rsidRPr="00F53472" w:rsidRDefault="00000000">
      <w:pPr>
        <w:pStyle w:val="Heading1"/>
        <w:spacing w:before="400" w:after="200" w:line="360" w:lineRule="auto"/>
        <w:rPr>
          <w:color w:val="auto"/>
        </w:rPr>
      </w:pPr>
      <w:r w:rsidRPr="00F53472">
        <w:rPr>
          <w:rFonts w:ascii="Arial" w:eastAsia="Arial" w:hAnsi="Arial" w:cs="Arial"/>
          <w:b/>
          <w:bCs/>
          <w:color w:val="auto"/>
          <w:sz w:val="28"/>
          <w:szCs w:val="28"/>
        </w:rPr>
        <w:lastRenderedPageBreak/>
        <w:t>Task B: Job Design Strategy</w:t>
      </w:r>
    </w:p>
    <w:p w14:paraId="7EAFA240" w14:textId="77777777" w:rsidR="00AC7387" w:rsidRPr="00F53472" w:rsidRDefault="00000000">
      <w:pPr>
        <w:pStyle w:val="Heading2"/>
        <w:spacing w:before="300" w:after="150" w:line="360" w:lineRule="auto"/>
        <w:rPr>
          <w:color w:val="auto"/>
        </w:rPr>
      </w:pPr>
      <w:r w:rsidRPr="00F53472">
        <w:rPr>
          <w:rFonts w:ascii="Arial" w:eastAsia="Arial" w:hAnsi="Arial" w:cs="Arial"/>
          <w:b/>
          <w:bCs/>
          <w:color w:val="auto"/>
          <w:sz w:val="24"/>
          <w:szCs w:val="24"/>
        </w:rPr>
        <w:t>B1. Diagnosing HUM's Motivating Potential Score</w:t>
      </w:r>
    </w:p>
    <w:p w14:paraId="32F05BE0" w14:textId="2C7A6146" w:rsidR="00AC7387" w:rsidRPr="00F53472" w:rsidRDefault="00000000" w:rsidP="000A025F">
      <w:pPr>
        <w:spacing w:after="200" w:line="360" w:lineRule="auto"/>
      </w:pPr>
      <w:r w:rsidRPr="00F53472">
        <w:rPr>
          <w:rFonts w:ascii="Arial" w:eastAsia="Arial" w:hAnsi="Arial" w:cs="Arial"/>
          <w:sz w:val="24"/>
          <w:szCs w:val="24"/>
        </w:rPr>
        <w:t>Hackman and Oldham's (1976) Job Characteristics Model (JCM) calculates a role's Motivating Potential Score (MPS) as [(Skill Variety + Task Identity + Task Significance) / 3] × Autonomy × Feedback. Because autonomy and feedback are multiplicative rather than additive, a near-zero score on either dimension collapses overall motivation regardless of strength elsewhere. Applied to HUM, task significance is genuinely high and skill variety moderate-to-</w:t>
      </w:r>
      <w:r w:rsidR="000A025F" w:rsidRPr="00F53472">
        <w:rPr>
          <w:rFonts w:ascii="Arial" w:eastAsia="Arial" w:hAnsi="Arial" w:cs="Arial"/>
          <w:sz w:val="24"/>
          <w:szCs w:val="24"/>
        </w:rPr>
        <w:t>strong but</w:t>
      </w:r>
      <w:r w:rsidRPr="00F53472">
        <w:rPr>
          <w:rFonts w:ascii="Arial" w:eastAsia="Arial" w:hAnsi="Arial" w:cs="Arial"/>
          <w:sz w:val="24"/>
          <w:szCs w:val="24"/>
        </w:rPr>
        <w:t xml:space="preserve"> feedback a symptom of immature performance systems typical of rapid scale-up and autonomy a legacy of the hierarchical governance inherited from HUM's founding phase are both critically low. This is an architectural problem, not a motivational one, and it demands an architectural response: redesigning autonomy and feedback structures directly, rather than attempting to compensate through engagement initiatives alone.</w:t>
      </w:r>
    </w:p>
    <w:p w14:paraId="4A016622" w14:textId="77777777" w:rsidR="00AC7387" w:rsidRPr="00F53472" w:rsidRDefault="00000000" w:rsidP="000A025F">
      <w:pPr>
        <w:spacing w:after="200" w:line="360" w:lineRule="auto"/>
      </w:pPr>
      <w:r w:rsidRPr="00F53472">
        <w:rPr>
          <w:rFonts w:ascii="Arial" w:eastAsia="Arial" w:hAnsi="Arial" w:cs="Arial"/>
          <w:sz w:val="24"/>
          <w:szCs w:val="24"/>
        </w:rPr>
        <w:t>Redesign should target each dimension explicitly rather than the role as a whole. Skill variety is raised through the City Exchange programme and cross-functional marketplace bids described below; task identity through end-to-end city-deployment ownership, giving employees visibility from initial scoping through to post-launch impact measurement rather than a fragment of the project lifecycle; autonomy through outcome-based governance that replaces layered hierarchical sign-off, identified in exit interviews as the primary driver of graduate departures; and feedback through real-time project dashboards paired with structured six-weekly peer review cycles, replacing the annual review cycle that is currently HUM's only formal feedback mechanism. Because autonomy and feedback are the two dimensions currently suppressing HUM's MPS, these two interventions should be prioritised operationally, even though all five dimensions require attention for the redesign to be coherent.</w:t>
      </w:r>
    </w:p>
    <w:p w14:paraId="32B80450" w14:textId="77777777" w:rsidR="00AC7387" w:rsidRPr="00F53472" w:rsidRDefault="00000000" w:rsidP="000A025F">
      <w:pPr>
        <w:spacing w:after="200" w:line="360" w:lineRule="auto"/>
      </w:pPr>
      <w:r w:rsidRPr="00F53472">
        <w:rPr>
          <w:rFonts w:ascii="Arial" w:eastAsia="Arial" w:hAnsi="Arial" w:cs="Arial"/>
          <w:sz w:val="24"/>
          <w:szCs w:val="24"/>
        </w:rPr>
        <w:t xml:space="preserve">Before applying JCM prescriptions, its limitations must be acknowledged. Parker (2014) identifies three: its individualist assumptions underplay team dynamics and organisational politics; its cross-cultural portability is limited, since autonomy and feedback carry different meanings across HUM's UK, German, and Singaporean contexts; and individual Growth Need Strength moderates how strongly job redesign </w:t>
      </w:r>
      <w:r w:rsidRPr="00F53472">
        <w:rPr>
          <w:rFonts w:ascii="Arial" w:eastAsia="Arial" w:hAnsi="Arial" w:cs="Arial"/>
          <w:sz w:val="24"/>
          <w:szCs w:val="24"/>
        </w:rPr>
        <w:lastRenderedPageBreak/>
        <w:t>translates into motivation. These limitations are addressed by embedding JCM within the broader architecture of job crafting theory and skills-based organisational design, rather than treating it as a standalone solution.</w:t>
      </w:r>
    </w:p>
    <w:p w14:paraId="588A425C" w14:textId="77777777" w:rsidR="00AC7387" w:rsidRPr="00F53472" w:rsidRDefault="00000000">
      <w:pPr>
        <w:pStyle w:val="Heading2"/>
        <w:spacing w:before="300" w:after="150" w:line="360" w:lineRule="auto"/>
        <w:rPr>
          <w:color w:val="auto"/>
        </w:rPr>
      </w:pPr>
      <w:r w:rsidRPr="00F53472">
        <w:rPr>
          <w:rFonts w:ascii="Arial" w:eastAsia="Arial" w:hAnsi="Arial" w:cs="Arial"/>
          <w:b/>
          <w:bCs/>
          <w:color w:val="auto"/>
          <w:sz w:val="24"/>
          <w:szCs w:val="24"/>
        </w:rPr>
        <w:t>B2. Job Crafting, Skills Architecture, and Governance</w:t>
      </w:r>
    </w:p>
    <w:p w14:paraId="4B20A055" w14:textId="77777777" w:rsidR="00AC7387" w:rsidRPr="00F53472" w:rsidRDefault="00000000" w:rsidP="000A025F">
      <w:pPr>
        <w:spacing w:after="200" w:line="360" w:lineRule="auto"/>
      </w:pPr>
      <w:r w:rsidRPr="00F53472">
        <w:rPr>
          <w:rFonts w:ascii="Arial" w:eastAsia="Arial" w:hAnsi="Arial" w:cs="Arial"/>
          <w:sz w:val="24"/>
          <w:szCs w:val="24"/>
        </w:rPr>
        <w:t>Wrzesniewski and Dutton (2001) identify three independent forms of job crafting: task crafting (adjusting the scope and variety of tasks), relational crafting (reshaping working relationships), and cognitive crafting (reframing the meaning of one's work). Conventional job redesign addresses task crafting almost exclusively, yet HUM's graduate attrition appears to stem from deficits across all three dimensions.</w:t>
      </w:r>
    </w:p>
    <w:p w14:paraId="3DB3BFB6" w14:textId="2DB466DC" w:rsidR="00AC7387" w:rsidRPr="00F53472" w:rsidRDefault="00000000" w:rsidP="000A025F">
      <w:pPr>
        <w:spacing w:after="200" w:line="360" w:lineRule="auto"/>
      </w:pPr>
      <w:r w:rsidRPr="00F53472">
        <w:rPr>
          <w:rFonts w:ascii="Arial" w:eastAsia="Arial" w:hAnsi="Arial" w:cs="Arial"/>
          <w:sz w:val="24"/>
          <w:szCs w:val="24"/>
        </w:rPr>
        <w:t xml:space="preserve">Task crafting is addressed through a phased innovation-time allocation (beginning at 5% and building toward 10%) and quarterly internal mobility sprints, giving employees structured latitude to reshape their task portfolio. Relational crafting is addressed through a City Exchange programme 30-day rotations through HUM's three </w:t>
      </w:r>
      <w:r w:rsidR="000A025F" w:rsidRPr="00F53472">
        <w:rPr>
          <w:rFonts w:ascii="Arial" w:eastAsia="Arial" w:hAnsi="Arial" w:cs="Arial"/>
          <w:sz w:val="24"/>
          <w:szCs w:val="24"/>
        </w:rPr>
        <w:t>offices which</w:t>
      </w:r>
      <w:r w:rsidRPr="00F53472">
        <w:rPr>
          <w:rFonts w:ascii="Arial" w:eastAsia="Arial" w:hAnsi="Arial" w:cs="Arial"/>
          <w:sz w:val="24"/>
          <w:szCs w:val="24"/>
        </w:rPr>
        <w:t xml:space="preserve"> restructures professional networks across regulatory and cultural contexts and, by building cross-city relationships, makes departure from HUM more socially costly (Mitchell et al., 2001). A sample itinerary is provided at Appendix A. Cognitive crafting is addressed through the storytelling mechanisms proposed in Task A impact narratives, city-partnership briefings, and Activism Labs which reframe individual roles from, for example, "data analyst at a mobility start-up" to "contributor to the infrastructure of more liveable cities." This is not merely rhetorical: Steger et al. (2012) find that experienced work meaningfulness is among the most durable predictors of retention identified in the literature.</w:t>
      </w:r>
    </w:p>
    <w:p w14:paraId="33CE72FF" w14:textId="77777777" w:rsidR="00AC7387" w:rsidRPr="00F53472" w:rsidRDefault="00000000" w:rsidP="000A025F">
      <w:pPr>
        <w:spacing w:after="200" w:line="360" w:lineRule="auto"/>
      </w:pPr>
      <w:r w:rsidRPr="00F53472">
        <w:rPr>
          <w:rFonts w:ascii="Arial" w:eastAsia="Arial" w:hAnsi="Arial" w:cs="Arial"/>
          <w:sz w:val="24"/>
          <w:szCs w:val="24"/>
        </w:rPr>
        <w:t>A skills-based architecture complements this by mapping competencies rather than job titles, enabling agile redeployment across HUM's three cities as project demand shifts. A self-declared and peer-validated skills inventory (a template is provided at Appendix B) underpins an internal talent marketplace, through which teams post project requirements and individuals bid to contribute, supported by skill coaches embedded within HR business partner teams.</w:t>
      </w:r>
    </w:p>
    <w:p w14:paraId="121E7E3A" w14:textId="77777777" w:rsidR="00AC7387" w:rsidRPr="00F53472" w:rsidRDefault="00000000" w:rsidP="000A025F">
      <w:pPr>
        <w:spacing w:after="200" w:line="360" w:lineRule="auto"/>
      </w:pPr>
      <w:r w:rsidRPr="00F53472">
        <w:rPr>
          <w:rFonts w:ascii="Arial" w:eastAsia="Arial" w:hAnsi="Arial" w:cs="Arial"/>
          <w:sz w:val="24"/>
          <w:szCs w:val="24"/>
        </w:rPr>
        <w:t xml:space="preserve">However, internal marketplaces carry documented failure modes that must be governed proactively rather than assumed away. Petriglieri et al. (2018) describe a paradox: the mechanisms that create individual agency simultaneously generate </w:t>
      </w:r>
      <w:r w:rsidRPr="00F53472">
        <w:rPr>
          <w:rFonts w:ascii="Arial" w:eastAsia="Arial" w:hAnsi="Arial" w:cs="Arial"/>
          <w:sz w:val="24"/>
          <w:szCs w:val="24"/>
        </w:rPr>
        <w:lastRenderedPageBreak/>
        <w:t>organisational fragility, as institutional knowledge concentrates in increasingly mobile individuals, managers respond by hoarding high performers, employees respond by gaming skill-tag systems, and core functions deplete as staff chase prestige assignments. HUM's governance response should therefore include a system-enforced cap on marketplace time allocation (approximately 20%), a quarterly audit to identify hoarding before it calcifies, and a competency framework that clearly separates non-negotiable core-role requirements from marketplace-eligible skills.</w:t>
      </w:r>
    </w:p>
    <w:p w14:paraId="36DD2587" w14:textId="77777777" w:rsidR="00AC7387" w:rsidRPr="00F53472" w:rsidRDefault="00000000">
      <w:pPr>
        <w:pStyle w:val="Heading2"/>
        <w:spacing w:before="300" w:after="150" w:line="360" w:lineRule="auto"/>
        <w:rPr>
          <w:color w:val="auto"/>
        </w:rPr>
      </w:pPr>
      <w:r w:rsidRPr="00F53472">
        <w:rPr>
          <w:rFonts w:ascii="Arial" w:eastAsia="Arial" w:hAnsi="Arial" w:cs="Arial"/>
          <w:b/>
          <w:bCs/>
          <w:color w:val="auto"/>
          <w:sz w:val="24"/>
          <w:szCs w:val="24"/>
        </w:rPr>
        <w:t>B3. Intrinsic Motivation, Innovation, and Financial Sustainability</w:t>
      </w:r>
    </w:p>
    <w:p w14:paraId="5CF57732" w14:textId="6D7F1679" w:rsidR="00AC7387" w:rsidRPr="00F53472" w:rsidRDefault="00000000" w:rsidP="000A025F">
      <w:pPr>
        <w:spacing w:after="200" w:line="360" w:lineRule="auto"/>
      </w:pPr>
      <w:r w:rsidRPr="00F53472">
        <w:rPr>
          <w:rFonts w:ascii="Arial" w:eastAsia="Arial" w:hAnsi="Arial" w:cs="Arial"/>
          <w:sz w:val="24"/>
          <w:szCs w:val="24"/>
        </w:rPr>
        <w:t>Together, these interventions map directly onto Ryan and Deci's (2000) Self-Determination Theory, which identifies autonomy, competence, and relatedness as the three basic psychological needs underpinning intrinsic motivation. HUM's redesigned architecture addresses autonomy through outcome-based governance replacing hierarchical sign-off; competence through the skills marketplace, City Exchange, and structured feedback cycles; and relatedness through cohort socialisation and cognitive crafting that connects individual work to urban impact. The resulting cognitive diversity cross-functional teams assembled dynamically through the marketplace supports innovation by bringing heterogeneous mental models to complex problems (Amabile, 1998), provided this is paired with the psychological safety created by fail-forward project reviews (Edmondson, 1999). Mitchell et al.'s (2001) job embeddedness theory offers the clearest retention logic: embeddedness is built through fit (skills-based role design), links (cohort and City Exchange relationships), and sacrifice (individualised development pathways that competitors cannot easily replicate) meaning retention becomes structural rather than dependent on satisfaction alone.</w:t>
      </w:r>
    </w:p>
    <w:p w14:paraId="5B0E6EFE" w14:textId="6D408533" w:rsidR="00192CA1" w:rsidRPr="008556EB" w:rsidRDefault="00000000" w:rsidP="000A025F">
      <w:pPr>
        <w:spacing w:after="200" w:line="360" w:lineRule="auto"/>
        <w:rPr>
          <w:rFonts w:ascii="Arial" w:eastAsia="Arial" w:hAnsi="Arial" w:cs="Arial"/>
          <w:sz w:val="24"/>
          <w:szCs w:val="24"/>
        </w:rPr>
      </w:pPr>
      <w:r w:rsidRPr="00F53472">
        <w:rPr>
          <w:rFonts w:ascii="Arial" w:eastAsia="Arial" w:hAnsi="Arial" w:cs="Arial"/>
          <w:sz w:val="24"/>
          <w:szCs w:val="24"/>
        </w:rPr>
        <w:t xml:space="preserve">Financial sustainability requires these interventions to be sequenced rather than launched simultaneously. The skills platform build and licensing cost is recovered primarily through avoided external hiring, while the City Exchange programme's cost per participant is justified if it secures even one additional high-potential retention per cohort, given that replacing a graduate typically costs 1.5–2 times salary (CIPD, 2022). Innovation time should be phased in at 5% before scaling to 10%, ring-fenced in project plans so that delivery pressure does not crowd out exploration, with success measured on learning generated rather than immediate commercial output. </w:t>
      </w:r>
      <w:r w:rsidRPr="00F53472">
        <w:rPr>
          <w:rFonts w:ascii="Arial" w:eastAsia="Arial" w:hAnsi="Arial" w:cs="Arial"/>
          <w:sz w:val="24"/>
          <w:szCs w:val="24"/>
        </w:rPr>
        <w:lastRenderedPageBreak/>
        <w:t>This sequencing allows HUM's Board to treat the redesign as a portfolio of investments with distinct payback periods, rather than a single undifferentiated cost, and to fund the highest-confidence interventions the psychological contract disclosure and pulse survey infrastructure first.</w:t>
      </w:r>
    </w:p>
    <w:p w14:paraId="1EFEF487" w14:textId="5E7E40CC" w:rsidR="00DE4DDB" w:rsidRPr="00DE4DDB" w:rsidRDefault="00000000" w:rsidP="00DE4DDB">
      <w:pPr>
        <w:pStyle w:val="Heading1"/>
        <w:spacing w:before="400" w:after="200" w:line="360" w:lineRule="auto"/>
        <w:rPr>
          <w:color w:val="auto"/>
        </w:rPr>
      </w:pPr>
      <w:r w:rsidRPr="00F53472">
        <w:rPr>
          <w:rFonts w:ascii="Arial" w:eastAsia="Arial" w:hAnsi="Arial" w:cs="Arial"/>
          <w:b/>
          <w:bCs/>
          <w:color w:val="auto"/>
          <w:sz w:val="28"/>
          <w:szCs w:val="28"/>
        </w:rPr>
        <w:t>Task C: Reflective Report</w:t>
      </w:r>
    </w:p>
    <w:p w14:paraId="4FF54155" w14:textId="77777777" w:rsidR="00291E26" w:rsidRPr="00291E26" w:rsidRDefault="00DE4DDB" w:rsidP="00291E26">
      <w:pPr>
        <w:spacing w:line="360" w:lineRule="auto"/>
        <w:rPr>
          <w:rFonts w:ascii="Arial" w:hAnsi="Arial" w:cs="Arial"/>
          <w:sz w:val="24"/>
          <w:szCs w:val="24"/>
        </w:rPr>
      </w:pPr>
      <w:r w:rsidRPr="00291E26">
        <w:rPr>
          <w:rFonts w:ascii="Arial" w:hAnsi="Arial" w:cs="Arial"/>
          <w:b/>
          <w:bCs/>
          <w:sz w:val="24"/>
          <w:szCs w:val="24"/>
        </w:rPr>
        <w:t>C1. AI as Decision-Support:</w:t>
      </w:r>
      <w:r w:rsidRPr="00291E26">
        <w:rPr>
          <w:rFonts w:ascii="Arial" w:hAnsi="Arial" w:cs="Arial"/>
          <w:sz w:val="24"/>
          <w:szCs w:val="24"/>
        </w:rPr>
        <w:t xml:space="preserve"> </w:t>
      </w:r>
      <w:r w:rsidR="00291E26" w:rsidRPr="00291E26">
        <w:rPr>
          <w:rFonts w:ascii="Arial" w:hAnsi="Arial" w:cs="Arial"/>
          <w:sz w:val="24"/>
          <w:szCs w:val="24"/>
        </w:rPr>
        <w:t>Declaration and Reflection on Generative AI Use</w:t>
      </w:r>
    </w:p>
    <w:p w14:paraId="0ED83AFD" w14:textId="69338DA8" w:rsidR="00291E26" w:rsidRPr="00291E26" w:rsidRDefault="00291E26" w:rsidP="00291E26">
      <w:pPr>
        <w:spacing w:line="360" w:lineRule="auto"/>
        <w:rPr>
          <w:rFonts w:ascii="Arial" w:hAnsi="Arial" w:cs="Arial"/>
          <w:sz w:val="24"/>
          <w:szCs w:val="24"/>
        </w:rPr>
      </w:pPr>
      <w:r w:rsidRPr="00291E26">
        <w:rPr>
          <w:rFonts w:ascii="Arial" w:hAnsi="Arial" w:cs="Arial"/>
          <w:sz w:val="24"/>
          <w:szCs w:val="24"/>
        </w:rPr>
        <w:t>In line with UWTSD policy, I used Generative AI</w:t>
      </w:r>
      <w:r>
        <w:rPr>
          <w:rFonts w:ascii="Arial" w:hAnsi="Arial" w:cs="Arial"/>
          <w:sz w:val="24"/>
          <w:szCs w:val="24"/>
        </w:rPr>
        <w:t xml:space="preserve"> (</w:t>
      </w:r>
      <w:r w:rsidR="00D90AD8">
        <w:rPr>
          <w:rFonts w:ascii="Arial" w:hAnsi="Arial" w:cs="Arial"/>
          <w:sz w:val="24"/>
          <w:szCs w:val="24"/>
        </w:rPr>
        <w:t>DeepSeek</w:t>
      </w:r>
      <w:r>
        <w:rPr>
          <w:rFonts w:ascii="Arial" w:hAnsi="Arial" w:cs="Arial"/>
          <w:sz w:val="24"/>
          <w:szCs w:val="24"/>
        </w:rPr>
        <w:t>)</w:t>
      </w:r>
      <w:r w:rsidRPr="00291E26">
        <w:rPr>
          <w:rFonts w:ascii="Arial" w:hAnsi="Arial" w:cs="Arial"/>
          <w:sz w:val="24"/>
          <w:szCs w:val="24"/>
        </w:rPr>
        <w:t xml:space="preserve"> only for permitted purposes: research, proofreading, and creative materials. I did not use AI for structuring, writing, or programming, and all substantive writing and argumentation are my own. Where AI-supported input was used, I critically evaluated its relevance and accuracy.</w:t>
      </w:r>
    </w:p>
    <w:p w14:paraId="0DF13F2F" w14:textId="185BBEF9" w:rsidR="00291E26" w:rsidRPr="00291E26" w:rsidRDefault="00291E26" w:rsidP="00291E26">
      <w:pPr>
        <w:spacing w:line="360" w:lineRule="auto"/>
        <w:rPr>
          <w:rFonts w:ascii="Arial" w:hAnsi="Arial" w:cs="Arial"/>
          <w:sz w:val="24"/>
          <w:szCs w:val="24"/>
        </w:rPr>
      </w:pPr>
      <w:r w:rsidRPr="00291E26">
        <w:rPr>
          <w:rFonts w:ascii="Arial" w:hAnsi="Arial" w:cs="Arial"/>
          <w:sz w:val="24"/>
          <w:szCs w:val="24"/>
        </w:rPr>
        <w:t>I recognise that while AI can aid research and drafting, it cannot replace context-specific analysis and human judgement. Throughout this assessment, I ensured all insights reflected genuine engagement with HUM’s context, aligning with both academic integrity standards and responsible professional practice</w:t>
      </w:r>
    </w:p>
    <w:p w14:paraId="7B11A3B8" w14:textId="797C23E2" w:rsidR="00291E26" w:rsidRPr="00291E26" w:rsidRDefault="00291E26" w:rsidP="00291E26">
      <w:pPr>
        <w:spacing w:line="360" w:lineRule="auto"/>
        <w:rPr>
          <w:rFonts w:ascii="Arial" w:hAnsi="Arial" w:cs="Arial"/>
          <w:sz w:val="24"/>
          <w:szCs w:val="24"/>
        </w:rPr>
      </w:pPr>
      <w:r w:rsidRPr="00291E26">
        <w:rPr>
          <w:rFonts w:ascii="Arial" w:hAnsi="Arial" w:cs="Arial"/>
          <w:sz w:val="24"/>
          <w:szCs w:val="24"/>
        </w:rPr>
        <w:t>The risks of uncritical AI use in HR are real and significant. For example, AI-driven recruitment tools have been shown to introduce systematic bias against neurodiverse candidates, career-returners, and non-elite graduates (</w:t>
      </w:r>
      <w:r w:rsidR="00D90AD8" w:rsidRPr="00291E26">
        <w:rPr>
          <w:rFonts w:ascii="Arial" w:hAnsi="Arial" w:cs="Arial"/>
          <w:sz w:val="24"/>
          <w:szCs w:val="24"/>
        </w:rPr>
        <w:t>Hunke Schroer</w:t>
      </w:r>
      <w:r w:rsidRPr="00291E26">
        <w:rPr>
          <w:rFonts w:ascii="Arial" w:hAnsi="Arial" w:cs="Arial"/>
          <w:sz w:val="24"/>
          <w:szCs w:val="24"/>
        </w:rPr>
        <w:t xml:space="preserve"> and Luetge, 2022). As an HR professional, I recognise that human judgement must remain the core ethical accountability structure in all AI-supported work.</w:t>
      </w:r>
    </w:p>
    <w:p w14:paraId="2E03C25C" w14:textId="6EC2CC24" w:rsidR="00DE4DDB" w:rsidRPr="00291E26" w:rsidRDefault="00291E26" w:rsidP="00291E26">
      <w:pPr>
        <w:spacing w:line="360" w:lineRule="auto"/>
        <w:rPr>
          <w:rFonts w:ascii="Arial" w:hAnsi="Arial" w:cs="Arial"/>
          <w:sz w:val="24"/>
          <w:szCs w:val="24"/>
        </w:rPr>
      </w:pPr>
      <w:r w:rsidRPr="00291E26">
        <w:rPr>
          <w:rFonts w:ascii="Arial" w:hAnsi="Arial" w:cs="Arial"/>
          <w:sz w:val="24"/>
          <w:szCs w:val="24"/>
        </w:rPr>
        <w:t>This declaration and reflective approach demonstrate my commitment to academic integrity, critical evaluation, and responsible professional practice.</w:t>
      </w:r>
    </w:p>
    <w:p w14:paraId="61440582" w14:textId="77777777" w:rsidR="00DE4DDB" w:rsidRDefault="00DE4DDB" w:rsidP="00DE4DDB">
      <w:pPr>
        <w:spacing w:line="360" w:lineRule="auto"/>
      </w:pPr>
    </w:p>
    <w:p w14:paraId="09942E03" w14:textId="77777777" w:rsidR="00DE4DDB" w:rsidRPr="00DE4DDB" w:rsidRDefault="00DE4DDB" w:rsidP="00DE4DDB">
      <w:pPr>
        <w:spacing w:line="360" w:lineRule="auto"/>
        <w:rPr>
          <w:rFonts w:ascii="Arial" w:hAnsi="Arial" w:cs="Arial"/>
          <w:b/>
          <w:bCs/>
          <w:sz w:val="24"/>
          <w:szCs w:val="24"/>
        </w:rPr>
      </w:pPr>
      <w:r w:rsidRPr="00DE4DDB">
        <w:rPr>
          <w:rFonts w:ascii="Arial" w:hAnsi="Arial" w:cs="Arial"/>
          <w:b/>
          <w:bCs/>
          <w:sz w:val="24"/>
          <w:szCs w:val="24"/>
        </w:rPr>
        <w:t>C2. Strategic Capability Development Plan</w:t>
      </w:r>
    </w:p>
    <w:p w14:paraId="14B5DE24" w14:textId="77777777" w:rsidR="00DE4DDB" w:rsidRPr="00DE4DDB" w:rsidRDefault="00DE4DDB" w:rsidP="00DE4DDB">
      <w:pPr>
        <w:spacing w:line="360" w:lineRule="auto"/>
        <w:rPr>
          <w:rFonts w:ascii="Arial" w:hAnsi="Arial" w:cs="Arial"/>
          <w:sz w:val="24"/>
          <w:szCs w:val="24"/>
        </w:rPr>
      </w:pPr>
      <w:r w:rsidRPr="00DE4DDB">
        <w:rPr>
          <w:rFonts w:ascii="Arial" w:hAnsi="Arial" w:cs="Arial"/>
          <w:sz w:val="24"/>
          <w:szCs w:val="24"/>
        </w:rPr>
        <w:t>This assignment also illuminated specific capability gaps that I will address through a structured development plan:</w:t>
      </w:r>
    </w:p>
    <w:p w14:paraId="2017D5A2" w14:textId="66F5F0FF" w:rsidR="00DE4DDB" w:rsidRPr="00DE4DDB" w:rsidRDefault="00DE4DDB" w:rsidP="00DE4DDB">
      <w:pPr>
        <w:spacing w:line="360" w:lineRule="auto"/>
        <w:rPr>
          <w:rFonts w:ascii="Arial" w:hAnsi="Arial" w:cs="Arial"/>
          <w:sz w:val="24"/>
          <w:szCs w:val="24"/>
        </w:rPr>
      </w:pPr>
      <w:r w:rsidRPr="00DE4DDB">
        <w:rPr>
          <w:rFonts w:ascii="Arial" w:hAnsi="Arial" w:cs="Arial"/>
          <w:b/>
          <w:bCs/>
          <w:sz w:val="24"/>
          <w:szCs w:val="24"/>
        </w:rPr>
        <w:t>1. People Analytics and Data Literacy:</w:t>
      </w:r>
      <w:r w:rsidRPr="00DE4DDB">
        <w:rPr>
          <w:rFonts w:ascii="Arial" w:hAnsi="Arial" w:cs="Arial"/>
          <w:sz w:val="24"/>
          <w:szCs w:val="24"/>
        </w:rPr>
        <w:t xml:space="preserve"> While this report demonstrates fluency in qualitative HR frameworks, it exposed a gap in quantitative workforce analytics</w:t>
      </w:r>
      <w:r w:rsidR="006B0224">
        <w:rPr>
          <w:rFonts w:ascii="Arial" w:hAnsi="Arial" w:cs="Arial"/>
          <w:sz w:val="24"/>
          <w:szCs w:val="24"/>
        </w:rPr>
        <w:t xml:space="preserve"> </w:t>
      </w:r>
      <w:r w:rsidRPr="00DE4DDB">
        <w:rPr>
          <w:rFonts w:ascii="Arial" w:hAnsi="Arial" w:cs="Arial"/>
          <w:sz w:val="24"/>
          <w:szCs w:val="24"/>
        </w:rPr>
        <w:t>specifically regression modelling, survival analysis, and causal inference applied to people data (Fitz-Enz and Mattox, 2014). Pursuing a recognised people analytics certification will allow me to commission and critically interrogate specialist analytical outputs, rather than rely solely on frameworks.</w:t>
      </w:r>
    </w:p>
    <w:p w14:paraId="4D6B776D" w14:textId="7F7E8554" w:rsidR="00DE4DDB" w:rsidRPr="00DE4DDB" w:rsidRDefault="00DE4DDB" w:rsidP="00DE4DDB">
      <w:pPr>
        <w:spacing w:line="360" w:lineRule="auto"/>
        <w:rPr>
          <w:rFonts w:ascii="Arial" w:hAnsi="Arial" w:cs="Arial"/>
          <w:sz w:val="24"/>
          <w:szCs w:val="24"/>
        </w:rPr>
      </w:pPr>
      <w:r w:rsidRPr="00DE4DDB">
        <w:rPr>
          <w:rFonts w:ascii="Arial" w:hAnsi="Arial" w:cs="Arial"/>
          <w:b/>
          <w:bCs/>
          <w:sz w:val="24"/>
          <w:szCs w:val="24"/>
        </w:rPr>
        <w:lastRenderedPageBreak/>
        <w:t>2. AI Governance and Responsible Augmentation:</w:t>
      </w:r>
      <w:r w:rsidRPr="00DE4DDB">
        <w:rPr>
          <w:rFonts w:ascii="Arial" w:hAnsi="Arial" w:cs="Arial"/>
          <w:sz w:val="24"/>
          <w:szCs w:val="24"/>
        </w:rPr>
        <w:t xml:space="preserve"> Conceptual familiarity with AI is not equivalent to the practitioner skill of governing its responsible deployment. I intend to engage with emerging regulatory frameworks (e.g., the EU AI Act’s HR implications) and develop the ability to read model documentation, interpret fairness metrics, and identify bias categories specific to HR model architectures.</w:t>
      </w:r>
    </w:p>
    <w:p w14:paraId="2ED166B1" w14:textId="3F898AFE" w:rsidR="00DE4DDB" w:rsidRPr="00DE4DDB" w:rsidRDefault="00DE4DDB" w:rsidP="00DE4DDB">
      <w:pPr>
        <w:spacing w:line="360" w:lineRule="auto"/>
        <w:rPr>
          <w:rFonts w:ascii="Arial" w:hAnsi="Arial" w:cs="Arial"/>
          <w:sz w:val="24"/>
          <w:szCs w:val="24"/>
        </w:rPr>
      </w:pPr>
      <w:r w:rsidRPr="00DE4DDB">
        <w:rPr>
          <w:rFonts w:ascii="Arial" w:hAnsi="Arial" w:cs="Arial"/>
          <w:b/>
          <w:bCs/>
          <w:sz w:val="24"/>
          <w:szCs w:val="24"/>
        </w:rPr>
        <w:t>3. Strategic Influencing and Board-Level Communication:</w:t>
      </w:r>
      <w:r w:rsidRPr="00DE4DDB">
        <w:rPr>
          <w:rFonts w:ascii="Arial" w:hAnsi="Arial" w:cs="Arial"/>
          <w:sz w:val="24"/>
          <w:szCs w:val="24"/>
        </w:rPr>
        <w:t xml:space="preserve"> This assignment revealed a gap between analytical competence and the ability to communicate persuasively at Board level. I will deliberately practice a problem–evidence–options–risk–recommendation narrative structure and seek mentorship from a senior HR leader to improve my influencing skills.</w:t>
      </w:r>
    </w:p>
    <w:p w14:paraId="325D62D4" w14:textId="2B77B092" w:rsidR="00DE4DDB" w:rsidRPr="00DE4DDB" w:rsidRDefault="00DE4DDB" w:rsidP="00DE4DDB">
      <w:pPr>
        <w:spacing w:line="360" w:lineRule="auto"/>
        <w:rPr>
          <w:rFonts w:ascii="Arial" w:hAnsi="Arial" w:cs="Arial"/>
          <w:sz w:val="24"/>
          <w:szCs w:val="24"/>
        </w:rPr>
      </w:pPr>
      <w:r w:rsidRPr="00DE4DDB">
        <w:rPr>
          <w:rFonts w:ascii="Arial" w:hAnsi="Arial" w:cs="Arial"/>
          <w:b/>
          <w:bCs/>
          <w:sz w:val="24"/>
          <w:szCs w:val="24"/>
        </w:rPr>
        <w:t>4. Cross-Cultural and Global HR Competence:</w:t>
      </w:r>
      <w:r w:rsidRPr="00DE4DDB">
        <w:rPr>
          <w:rFonts w:ascii="Arial" w:hAnsi="Arial" w:cs="Arial"/>
          <w:sz w:val="24"/>
          <w:szCs w:val="24"/>
        </w:rPr>
        <w:t xml:space="preserve"> HUM’s three-city structure made clear that HR practice knowledge developed in one national context does not automatically transfer. Employment law, governance norms, and fairness frameworks differ across the UK, Germany, and Singapore. Building functional competence in global HR is now a priority rather than a credential.</w:t>
      </w:r>
    </w:p>
    <w:p w14:paraId="43A52047" w14:textId="77777777" w:rsidR="00DE4DDB" w:rsidRDefault="00DE4DDB" w:rsidP="00DE4DDB"/>
    <w:p w14:paraId="30D425A7" w14:textId="77777777" w:rsidR="00DE4DDB" w:rsidRPr="00DE4DDB" w:rsidRDefault="00DE4DDB" w:rsidP="00DE4DDB">
      <w:pPr>
        <w:spacing w:line="360" w:lineRule="auto"/>
        <w:rPr>
          <w:rFonts w:ascii="Arial" w:hAnsi="Arial" w:cs="Arial"/>
          <w:b/>
          <w:bCs/>
          <w:sz w:val="24"/>
          <w:szCs w:val="24"/>
        </w:rPr>
      </w:pPr>
      <w:r w:rsidRPr="00DE4DDB">
        <w:rPr>
          <w:rFonts w:ascii="Arial" w:hAnsi="Arial" w:cs="Arial"/>
          <w:b/>
          <w:bCs/>
          <w:sz w:val="24"/>
          <w:szCs w:val="24"/>
        </w:rPr>
        <w:t>Limitations</w:t>
      </w:r>
    </w:p>
    <w:p w14:paraId="616C56D8" w14:textId="55B533AF" w:rsidR="00AC7387" w:rsidRPr="00DE4DDB" w:rsidRDefault="00DE4DDB" w:rsidP="00DE4DDB">
      <w:pPr>
        <w:spacing w:line="360" w:lineRule="auto"/>
        <w:rPr>
          <w:rFonts w:ascii="Arial" w:hAnsi="Arial" w:cs="Arial"/>
          <w:sz w:val="24"/>
          <w:szCs w:val="24"/>
        </w:rPr>
      </w:pPr>
      <w:r w:rsidRPr="00DE4DDB">
        <w:rPr>
          <w:rFonts w:ascii="Arial" w:hAnsi="Arial" w:cs="Arial"/>
          <w:sz w:val="24"/>
          <w:szCs w:val="24"/>
        </w:rPr>
        <w:t>While these recommendations are grounded in current theory and practice, they are not risk-free or final. Socialisation research remains predominantly Western in origin and may not transfer uniformly across HUM’s three jurisdictions. The financial estimates in Task B are based on industry benchmarks rather than HUM-specific data and should be validated during pilot phases. Furthermore, AI regulation is evolving rapidly, meaning that the governance protocols proposed here will require ongoing review rather than one-off implementation. Continuous evaluation and a willingness to revise these interventions as HUM scales are, therefore, integral to the proposed architecture, not merely an afterthought.</w:t>
      </w:r>
      <w:r w:rsidRPr="00DE4DDB">
        <w:rPr>
          <w:rFonts w:ascii="Arial" w:hAnsi="Arial" w:cs="Arial"/>
          <w:sz w:val="24"/>
          <w:szCs w:val="24"/>
        </w:rPr>
        <w:br w:type="page"/>
      </w:r>
    </w:p>
    <w:p w14:paraId="144C9555" w14:textId="77777777" w:rsidR="00AC7387" w:rsidRPr="00F53472" w:rsidRDefault="00000000">
      <w:pPr>
        <w:pStyle w:val="Heading1"/>
        <w:spacing w:before="400" w:after="200" w:line="360" w:lineRule="auto"/>
        <w:rPr>
          <w:color w:val="auto"/>
        </w:rPr>
      </w:pPr>
      <w:r w:rsidRPr="00F53472">
        <w:rPr>
          <w:rFonts w:ascii="Arial" w:eastAsia="Arial" w:hAnsi="Arial" w:cs="Arial"/>
          <w:b/>
          <w:bCs/>
          <w:color w:val="auto"/>
          <w:sz w:val="28"/>
          <w:szCs w:val="28"/>
        </w:rPr>
        <w:lastRenderedPageBreak/>
        <w:t>Appendices</w:t>
      </w:r>
    </w:p>
    <w:p w14:paraId="590990D4" w14:textId="77777777" w:rsidR="00AC7387" w:rsidRPr="00F53472" w:rsidRDefault="00000000">
      <w:pPr>
        <w:pStyle w:val="Heading2"/>
        <w:spacing w:before="300" w:after="150" w:line="360" w:lineRule="auto"/>
        <w:rPr>
          <w:color w:val="auto"/>
        </w:rPr>
      </w:pPr>
      <w:r w:rsidRPr="00F53472">
        <w:rPr>
          <w:rFonts w:ascii="Arial" w:eastAsia="Arial" w:hAnsi="Arial" w:cs="Arial"/>
          <w:b/>
          <w:bCs/>
          <w:color w:val="auto"/>
          <w:sz w:val="24"/>
          <w:szCs w:val="24"/>
        </w:rPr>
        <w:t>Appendix A: Sample City Exchange Itinerary (30 Days)</w:t>
      </w:r>
    </w:p>
    <w:p w14:paraId="5F0602A2" w14:textId="77777777" w:rsidR="00AC7387" w:rsidRDefault="00000000" w:rsidP="000A025F">
      <w:pPr>
        <w:spacing w:after="200" w:line="360" w:lineRule="auto"/>
      </w:pPr>
      <w:r w:rsidRPr="00F53472">
        <w:rPr>
          <w:rFonts w:ascii="Arial" w:eastAsia="Arial" w:hAnsi="Arial" w:cs="Arial"/>
          <w:sz w:val="24"/>
          <w:szCs w:val="24"/>
        </w:rPr>
        <w:t>The City Exchange programme is HUM's primary relational-crafting mechanism (see Task B2), rotating employees through London, Berlin, and Singapore for 30-day immersions. The itinerary below may be adapted to individual development objectives agreed with the line manager and HR business partner prior to departure</w:t>
      </w:r>
      <w:r>
        <w:rPr>
          <w:rFonts w:ascii="Arial" w:eastAsia="Arial" w:hAnsi="Arial" w:cs="Arial"/>
          <w:sz w:val="24"/>
          <w:szCs w:val="24"/>
        </w:rPr>
        <w: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00"/>
        <w:gridCol w:w="2400"/>
        <w:gridCol w:w="2900"/>
        <w:gridCol w:w="2326"/>
      </w:tblGrid>
      <w:tr w:rsidR="00AC7387" w14:paraId="4E91E90D" w14:textId="77777777">
        <w:trPr>
          <w:tblHeader/>
        </w:trPr>
        <w:tc>
          <w:tcPr>
            <w:tcW w:w="1400" w:type="dxa"/>
            <w:shd w:val="clear" w:color="auto" w:fill="1F3864"/>
            <w:tcMar>
              <w:top w:w="100" w:type="dxa"/>
              <w:left w:w="120" w:type="dxa"/>
              <w:bottom w:w="100" w:type="dxa"/>
              <w:right w:w="120" w:type="dxa"/>
            </w:tcMar>
            <w:vAlign w:val="center"/>
          </w:tcPr>
          <w:p w14:paraId="049FF718" w14:textId="77777777" w:rsidR="00AC7387" w:rsidRDefault="00000000">
            <w:pPr>
              <w:spacing w:line="360" w:lineRule="auto"/>
            </w:pPr>
            <w:r>
              <w:rPr>
                <w:rFonts w:ascii="Arial" w:eastAsia="Arial" w:hAnsi="Arial" w:cs="Arial"/>
                <w:b/>
                <w:bCs/>
                <w:color w:val="FFFFFF"/>
              </w:rPr>
              <w:t>Week</w:t>
            </w:r>
          </w:p>
        </w:tc>
        <w:tc>
          <w:tcPr>
            <w:tcW w:w="2400" w:type="dxa"/>
            <w:shd w:val="clear" w:color="auto" w:fill="1F3864"/>
            <w:tcMar>
              <w:top w:w="100" w:type="dxa"/>
              <w:left w:w="120" w:type="dxa"/>
              <w:bottom w:w="100" w:type="dxa"/>
              <w:right w:w="120" w:type="dxa"/>
            </w:tcMar>
            <w:vAlign w:val="center"/>
          </w:tcPr>
          <w:p w14:paraId="07D6F8F6" w14:textId="77777777" w:rsidR="00AC7387" w:rsidRDefault="00000000">
            <w:pPr>
              <w:spacing w:line="360" w:lineRule="auto"/>
            </w:pPr>
            <w:r>
              <w:rPr>
                <w:rFonts w:ascii="Arial" w:eastAsia="Arial" w:hAnsi="Arial" w:cs="Arial"/>
                <w:b/>
                <w:bCs/>
                <w:color w:val="FFFFFF"/>
              </w:rPr>
              <w:t>Location / Activities</w:t>
            </w:r>
          </w:p>
        </w:tc>
        <w:tc>
          <w:tcPr>
            <w:tcW w:w="2900" w:type="dxa"/>
            <w:shd w:val="clear" w:color="auto" w:fill="1F3864"/>
            <w:tcMar>
              <w:top w:w="100" w:type="dxa"/>
              <w:left w:w="120" w:type="dxa"/>
              <w:bottom w:w="100" w:type="dxa"/>
              <w:right w:w="120" w:type="dxa"/>
            </w:tcMar>
            <w:vAlign w:val="center"/>
          </w:tcPr>
          <w:p w14:paraId="5D19B368" w14:textId="77777777" w:rsidR="00AC7387" w:rsidRDefault="00000000">
            <w:pPr>
              <w:spacing w:line="360" w:lineRule="auto"/>
            </w:pPr>
            <w:r>
              <w:rPr>
                <w:rFonts w:ascii="Arial" w:eastAsia="Arial" w:hAnsi="Arial" w:cs="Arial"/>
                <w:b/>
                <w:bCs/>
                <w:color w:val="FFFFFF"/>
              </w:rPr>
              <w:t>Learning Objectives</w:t>
            </w:r>
          </w:p>
        </w:tc>
        <w:tc>
          <w:tcPr>
            <w:tcW w:w="2326" w:type="dxa"/>
            <w:shd w:val="clear" w:color="auto" w:fill="1F3864"/>
            <w:tcMar>
              <w:top w:w="100" w:type="dxa"/>
              <w:left w:w="120" w:type="dxa"/>
              <w:bottom w:w="100" w:type="dxa"/>
              <w:right w:w="120" w:type="dxa"/>
            </w:tcMar>
            <w:vAlign w:val="center"/>
          </w:tcPr>
          <w:p w14:paraId="3E0485E8" w14:textId="77777777" w:rsidR="00AC7387" w:rsidRDefault="00000000">
            <w:pPr>
              <w:spacing w:line="360" w:lineRule="auto"/>
            </w:pPr>
            <w:r>
              <w:rPr>
                <w:rFonts w:ascii="Arial" w:eastAsia="Arial" w:hAnsi="Arial" w:cs="Arial"/>
                <w:b/>
                <w:bCs/>
                <w:color w:val="FFFFFF"/>
              </w:rPr>
              <w:t>Deliverable</w:t>
            </w:r>
          </w:p>
        </w:tc>
      </w:tr>
      <w:tr w:rsidR="00AC7387" w14:paraId="43C7ED48" w14:textId="77777777">
        <w:tc>
          <w:tcPr>
            <w:tcW w:w="1400" w:type="dxa"/>
            <w:tcMar>
              <w:top w:w="100" w:type="dxa"/>
              <w:left w:w="120" w:type="dxa"/>
              <w:bottom w:w="100" w:type="dxa"/>
              <w:right w:w="120" w:type="dxa"/>
            </w:tcMar>
            <w:vAlign w:val="center"/>
          </w:tcPr>
          <w:p w14:paraId="4EA67469" w14:textId="77777777" w:rsidR="00AC7387" w:rsidRPr="00F53472" w:rsidRDefault="00000000">
            <w:pPr>
              <w:spacing w:line="360" w:lineRule="auto"/>
              <w:rPr>
                <w:sz w:val="16"/>
                <w:szCs w:val="16"/>
              </w:rPr>
            </w:pPr>
            <w:r w:rsidRPr="00F53472">
              <w:rPr>
                <w:rFonts w:ascii="Arial" w:eastAsia="Arial" w:hAnsi="Arial" w:cs="Arial"/>
                <w:color w:val="000000"/>
                <w:sz w:val="16"/>
                <w:szCs w:val="16"/>
              </w:rPr>
              <w:t>1–2</w:t>
            </w:r>
          </w:p>
        </w:tc>
        <w:tc>
          <w:tcPr>
            <w:tcW w:w="2400" w:type="dxa"/>
            <w:tcMar>
              <w:top w:w="100" w:type="dxa"/>
              <w:left w:w="120" w:type="dxa"/>
              <w:bottom w:w="100" w:type="dxa"/>
              <w:right w:w="120" w:type="dxa"/>
            </w:tcMar>
            <w:vAlign w:val="center"/>
          </w:tcPr>
          <w:p w14:paraId="62CCAE11" w14:textId="77777777" w:rsidR="00AC7387" w:rsidRPr="00F53472" w:rsidRDefault="00000000">
            <w:pPr>
              <w:spacing w:line="360" w:lineRule="auto"/>
              <w:rPr>
                <w:sz w:val="16"/>
                <w:szCs w:val="16"/>
              </w:rPr>
            </w:pPr>
            <w:r w:rsidRPr="00F53472">
              <w:rPr>
                <w:rFonts w:ascii="Arial" w:eastAsia="Arial" w:hAnsi="Arial" w:cs="Arial"/>
                <w:color w:val="000000"/>
                <w:sz w:val="16"/>
                <w:szCs w:val="16"/>
              </w:rPr>
              <w:t>Host city: project immersion, team shadowing, regulatory orientation</w:t>
            </w:r>
          </w:p>
        </w:tc>
        <w:tc>
          <w:tcPr>
            <w:tcW w:w="2900" w:type="dxa"/>
            <w:tcMar>
              <w:top w:w="100" w:type="dxa"/>
              <w:left w:w="120" w:type="dxa"/>
              <w:bottom w:w="100" w:type="dxa"/>
              <w:right w:w="120" w:type="dxa"/>
            </w:tcMar>
            <w:vAlign w:val="center"/>
          </w:tcPr>
          <w:p w14:paraId="613EBEC8" w14:textId="77777777" w:rsidR="00AC7387" w:rsidRPr="00F53472" w:rsidRDefault="00000000">
            <w:pPr>
              <w:spacing w:line="360" w:lineRule="auto"/>
              <w:rPr>
                <w:sz w:val="16"/>
                <w:szCs w:val="16"/>
              </w:rPr>
            </w:pPr>
            <w:r w:rsidRPr="00F53472">
              <w:rPr>
                <w:rFonts w:ascii="Arial" w:eastAsia="Arial" w:hAnsi="Arial" w:cs="Arial"/>
                <w:color w:val="000000"/>
                <w:sz w:val="16"/>
                <w:szCs w:val="16"/>
              </w:rPr>
              <w:t>Relational crafting: build cross-city network and understand host regulatory context</w:t>
            </w:r>
          </w:p>
        </w:tc>
        <w:tc>
          <w:tcPr>
            <w:tcW w:w="2326" w:type="dxa"/>
            <w:tcMar>
              <w:top w:w="100" w:type="dxa"/>
              <w:left w:w="120" w:type="dxa"/>
              <w:bottom w:w="100" w:type="dxa"/>
              <w:right w:w="120" w:type="dxa"/>
            </w:tcMar>
            <w:vAlign w:val="center"/>
          </w:tcPr>
          <w:p w14:paraId="3F29DB1E" w14:textId="77777777" w:rsidR="00AC7387" w:rsidRPr="00F53472" w:rsidRDefault="00000000">
            <w:pPr>
              <w:spacing w:line="360" w:lineRule="auto"/>
              <w:rPr>
                <w:sz w:val="16"/>
                <w:szCs w:val="16"/>
              </w:rPr>
            </w:pPr>
            <w:r w:rsidRPr="00F53472">
              <w:rPr>
                <w:rFonts w:ascii="Arial" w:eastAsia="Arial" w:hAnsi="Arial" w:cs="Arial"/>
                <w:color w:val="000000"/>
                <w:sz w:val="16"/>
                <w:szCs w:val="16"/>
              </w:rPr>
              <w:t>Introductory project brief; stakeholder map</w:t>
            </w:r>
          </w:p>
        </w:tc>
      </w:tr>
      <w:tr w:rsidR="00AC7387" w14:paraId="58A1A20D" w14:textId="77777777" w:rsidTr="00F53472">
        <w:tc>
          <w:tcPr>
            <w:tcW w:w="1400" w:type="dxa"/>
            <w:shd w:val="clear" w:color="auto" w:fill="DAE9F7" w:themeFill="text2" w:themeFillTint="1A"/>
            <w:tcMar>
              <w:top w:w="100" w:type="dxa"/>
              <w:left w:w="120" w:type="dxa"/>
              <w:bottom w:w="100" w:type="dxa"/>
              <w:right w:w="120" w:type="dxa"/>
            </w:tcMar>
            <w:vAlign w:val="center"/>
          </w:tcPr>
          <w:p w14:paraId="67E6C5C3" w14:textId="77777777" w:rsidR="00AC7387" w:rsidRPr="00F53472" w:rsidRDefault="00000000">
            <w:pPr>
              <w:spacing w:line="360" w:lineRule="auto"/>
              <w:rPr>
                <w:sz w:val="16"/>
                <w:szCs w:val="16"/>
              </w:rPr>
            </w:pPr>
            <w:r w:rsidRPr="00F53472">
              <w:rPr>
                <w:rFonts w:ascii="Arial" w:eastAsia="Arial" w:hAnsi="Arial" w:cs="Arial"/>
                <w:color w:val="000000"/>
                <w:sz w:val="16"/>
                <w:szCs w:val="16"/>
              </w:rPr>
              <w:t>3</w:t>
            </w:r>
          </w:p>
        </w:tc>
        <w:tc>
          <w:tcPr>
            <w:tcW w:w="2400" w:type="dxa"/>
            <w:shd w:val="clear" w:color="auto" w:fill="DAE9F7" w:themeFill="text2" w:themeFillTint="1A"/>
            <w:tcMar>
              <w:top w:w="100" w:type="dxa"/>
              <w:left w:w="120" w:type="dxa"/>
              <w:bottom w:w="100" w:type="dxa"/>
              <w:right w:w="120" w:type="dxa"/>
            </w:tcMar>
            <w:vAlign w:val="center"/>
          </w:tcPr>
          <w:p w14:paraId="1B3DA52E" w14:textId="77777777" w:rsidR="00AC7387" w:rsidRPr="00F53472" w:rsidRDefault="00000000">
            <w:pPr>
              <w:spacing w:line="360" w:lineRule="auto"/>
              <w:rPr>
                <w:sz w:val="16"/>
                <w:szCs w:val="16"/>
              </w:rPr>
            </w:pPr>
            <w:r w:rsidRPr="00F53472">
              <w:rPr>
                <w:rFonts w:ascii="Arial" w:eastAsia="Arial" w:hAnsi="Arial" w:cs="Arial"/>
                <w:color w:val="000000"/>
                <w:sz w:val="16"/>
                <w:szCs w:val="16"/>
              </w:rPr>
              <w:t>Host city: live deployment visit, city-government client meeting</w:t>
            </w:r>
          </w:p>
        </w:tc>
        <w:tc>
          <w:tcPr>
            <w:tcW w:w="2900" w:type="dxa"/>
            <w:shd w:val="clear" w:color="auto" w:fill="DAE9F7" w:themeFill="text2" w:themeFillTint="1A"/>
            <w:tcMar>
              <w:top w:w="100" w:type="dxa"/>
              <w:left w:w="120" w:type="dxa"/>
              <w:bottom w:w="100" w:type="dxa"/>
              <w:right w:w="120" w:type="dxa"/>
            </w:tcMar>
            <w:vAlign w:val="center"/>
          </w:tcPr>
          <w:p w14:paraId="26F6994C" w14:textId="77777777" w:rsidR="00AC7387" w:rsidRPr="00F53472" w:rsidRDefault="00000000">
            <w:pPr>
              <w:spacing w:line="360" w:lineRule="auto"/>
              <w:rPr>
                <w:sz w:val="16"/>
                <w:szCs w:val="16"/>
              </w:rPr>
            </w:pPr>
            <w:r w:rsidRPr="00F53472">
              <w:rPr>
                <w:rFonts w:ascii="Arial" w:eastAsia="Arial" w:hAnsi="Arial" w:cs="Arial"/>
                <w:color w:val="000000"/>
                <w:sz w:val="16"/>
                <w:szCs w:val="16"/>
              </w:rPr>
              <w:t>Cognitive crafting: reframe role in civic context; cross-cultural stakeholder management</w:t>
            </w:r>
          </w:p>
        </w:tc>
        <w:tc>
          <w:tcPr>
            <w:tcW w:w="2326" w:type="dxa"/>
            <w:shd w:val="clear" w:color="auto" w:fill="DAE9F7" w:themeFill="text2" w:themeFillTint="1A"/>
            <w:tcMar>
              <w:top w:w="100" w:type="dxa"/>
              <w:left w:w="120" w:type="dxa"/>
              <w:bottom w:w="100" w:type="dxa"/>
              <w:right w:w="120" w:type="dxa"/>
            </w:tcMar>
            <w:vAlign w:val="center"/>
          </w:tcPr>
          <w:p w14:paraId="5D63CC4E" w14:textId="77777777" w:rsidR="00AC7387" w:rsidRPr="00F53472" w:rsidRDefault="00000000">
            <w:pPr>
              <w:spacing w:line="360" w:lineRule="auto"/>
              <w:rPr>
                <w:sz w:val="16"/>
                <w:szCs w:val="16"/>
              </w:rPr>
            </w:pPr>
            <w:r w:rsidRPr="00F53472">
              <w:rPr>
                <w:rFonts w:ascii="Arial" w:eastAsia="Arial" w:hAnsi="Arial" w:cs="Arial"/>
                <w:color w:val="000000"/>
                <w:sz w:val="16"/>
                <w:szCs w:val="16"/>
              </w:rPr>
              <w:t>Field observation report</w:t>
            </w:r>
          </w:p>
        </w:tc>
      </w:tr>
      <w:tr w:rsidR="00AC7387" w14:paraId="72AC58AE" w14:textId="77777777">
        <w:tc>
          <w:tcPr>
            <w:tcW w:w="1400" w:type="dxa"/>
            <w:tcMar>
              <w:top w:w="100" w:type="dxa"/>
              <w:left w:w="120" w:type="dxa"/>
              <w:bottom w:w="100" w:type="dxa"/>
              <w:right w:w="120" w:type="dxa"/>
            </w:tcMar>
            <w:vAlign w:val="center"/>
          </w:tcPr>
          <w:p w14:paraId="4BD2C522" w14:textId="77777777" w:rsidR="00AC7387" w:rsidRPr="00F53472" w:rsidRDefault="00000000">
            <w:pPr>
              <w:spacing w:line="360" w:lineRule="auto"/>
              <w:rPr>
                <w:sz w:val="16"/>
                <w:szCs w:val="16"/>
              </w:rPr>
            </w:pPr>
            <w:r w:rsidRPr="00F53472">
              <w:rPr>
                <w:rFonts w:ascii="Arial" w:eastAsia="Arial" w:hAnsi="Arial" w:cs="Arial"/>
                <w:color w:val="000000"/>
                <w:sz w:val="16"/>
                <w:szCs w:val="16"/>
              </w:rPr>
              <w:t>4</w:t>
            </w:r>
          </w:p>
        </w:tc>
        <w:tc>
          <w:tcPr>
            <w:tcW w:w="2400" w:type="dxa"/>
            <w:tcMar>
              <w:top w:w="100" w:type="dxa"/>
              <w:left w:w="120" w:type="dxa"/>
              <w:bottom w:w="100" w:type="dxa"/>
              <w:right w:w="120" w:type="dxa"/>
            </w:tcMar>
            <w:vAlign w:val="center"/>
          </w:tcPr>
          <w:p w14:paraId="6FE17F37" w14:textId="77777777" w:rsidR="00AC7387" w:rsidRPr="00F53472" w:rsidRDefault="00000000">
            <w:pPr>
              <w:spacing w:line="360" w:lineRule="auto"/>
              <w:rPr>
                <w:sz w:val="16"/>
                <w:szCs w:val="16"/>
              </w:rPr>
            </w:pPr>
            <w:r w:rsidRPr="00F53472">
              <w:rPr>
                <w:rFonts w:ascii="Arial" w:eastAsia="Arial" w:hAnsi="Arial" w:cs="Arial"/>
                <w:color w:val="000000"/>
                <w:sz w:val="16"/>
                <w:szCs w:val="16"/>
              </w:rPr>
              <w:t>Host city: knowledge transfer workshop; reverse mentoring with junior colleague</w:t>
            </w:r>
          </w:p>
        </w:tc>
        <w:tc>
          <w:tcPr>
            <w:tcW w:w="2900" w:type="dxa"/>
            <w:tcMar>
              <w:top w:w="100" w:type="dxa"/>
              <w:left w:w="120" w:type="dxa"/>
              <w:bottom w:w="100" w:type="dxa"/>
              <w:right w:w="120" w:type="dxa"/>
            </w:tcMar>
            <w:vAlign w:val="center"/>
          </w:tcPr>
          <w:p w14:paraId="38DA6754" w14:textId="77777777" w:rsidR="00AC7387" w:rsidRPr="00F53472" w:rsidRDefault="00000000">
            <w:pPr>
              <w:spacing w:line="360" w:lineRule="auto"/>
              <w:rPr>
                <w:sz w:val="16"/>
                <w:szCs w:val="16"/>
              </w:rPr>
            </w:pPr>
            <w:r w:rsidRPr="00F53472">
              <w:rPr>
                <w:rFonts w:ascii="Arial" w:eastAsia="Arial" w:hAnsi="Arial" w:cs="Arial"/>
                <w:color w:val="000000"/>
                <w:sz w:val="16"/>
                <w:szCs w:val="16"/>
              </w:rPr>
              <w:t>Strategic influencing across cultural difference; consolidation through teaching</w:t>
            </w:r>
          </w:p>
        </w:tc>
        <w:tc>
          <w:tcPr>
            <w:tcW w:w="2326" w:type="dxa"/>
            <w:tcMar>
              <w:top w:w="100" w:type="dxa"/>
              <w:left w:w="120" w:type="dxa"/>
              <w:bottom w:w="100" w:type="dxa"/>
              <w:right w:w="120" w:type="dxa"/>
            </w:tcMar>
            <w:vAlign w:val="center"/>
          </w:tcPr>
          <w:p w14:paraId="2DBACF38" w14:textId="77777777" w:rsidR="00AC7387" w:rsidRPr="00F53472" w:rsidRDefault="00000000">
            <w:pPr>
              <w:spacing w:line="360" w:lineRule="auto"/>
              <w:rPr>
                <w:sz w:val="16"/>
                <w:szCs w:val="16"/>
              </w:rPr>
            </w:pPr>
            <w:r w:rsidRPr="00F53472">
              <w:rPr>
                <w:rFonts w:ascii="Arial" w:eastAsia="Arial" w:hAnsi="Arial" w:cs="Arial"/>
                <w:color w:val="000000"/>
                <w:sz w:val="16"/>
                <w:szCs w:val="16"/>
              </w:rPr>
              <w:t>Knowledge transfer presentation to host team</w:t>
            </w:r>
          </w:p>
        </w:tc>
      </w:tr>
      <w:tr w:rsidR="00AC7387" w14:paraId="0FBE1B51" w14:textId="77777777" w:rsidTr="00F53472">
        <w:tc>
          <w:tcPr>
            <w:tcW w:w="1400" w:type="dxa"/>
            <w:shd w:val="clear" w:color="auto" w:fill="DAE9F7" w:themeFill="text2" w:themeFillTint="1A"/>
            <w:tcMar>
              <w:top w:w="100" w:type="dxa"/>
              <w:left w:w="120" w:type="dxa"/>
              <w:bottom w:w="100" w:type="dxa"/>
              <w:right w:w="120" w:type="dxa"/>
            </w:tcMar>
            <w:vAlign w:val="center"/>
          </w:tcPr>
          <w:p w14:paraId="58D2F409" w14:textId="77777777" w:rsidR="00AC7387" w:rsidRPr="00F53472" w:rsidRDefault="00000000">
            <w:pPr>
              <w:spacing w:line="360" w:lineRule="auto"/>
              <w:rPr>
                <w:sz w:val="16"/>
                <w:szCs w:val="16"/>
              </w:rPr>
            </w:pPr>
            <w:r w:rsidRPr="00F53472">
              <w:rPr>
                <w:rFonts w:ascii="Arial" w:eastAsia="Arial" w:hAnsi="Arial" w:cs="Arial"/>
                <w:color w:val="000000"/>
                <w:sz w:val="16"/>
                <w:szCs w:val="16"/>
              </w:rPr>
              <w:t>Post-exchange</w:t>
            </w:r>
          </w:p>
        </w:tc>
        <w:tc>
          <w:tcPr>
            <w:tcW w:w="2400" w:type="dxa"/>
            <w:shd w:val="clear" w:color="auto" w:fill="DAE9F7" w:themeFill="text2" w:themeFillTint="1A"/>
            <w:tcMar>
              <w:top w:w="100" w:type="dxa"/>
              <w:left w:w="120" w:type="dxa"/>
              <w:bottom w:w="100" w:type="dxa"/>
              <w:right w:w="120" w:type="dxa"/>
            </w:tcMar>
            <w:vAlign w:val="center"/>
          </w:tcPr>
          <w:p w14:paraId="2FE8DB9B" w14:textId="77777777" w:rsidR="00AC7387" w:rsidRPr="00F53472" w:rsidRDefault="00000000">
            <w:pPr>
              <w:spacing w:line="360" w:lineRule="auto"/>
              <w:rPr>
                <w:sz w:val="16"/>
                <w:szCs w:val="16"/>
              </w:rPr>
            </w:pPr>
            <w:r w:rsidRPr="00F53472">
              <w:rPr>
                <w:rFonts w:ascii="Arial" w:eastAsia="Arial" w:hAnsi="Arial" w:cs="Arial"/>
                <w:color w:val="000000"/>
                <w:sz w:val="16"/>
                <w:szCs w:val="16"/>
              </w:rPr>
              <w:t>Home city: structured debrief with line manager and HR business partner</w:t>
            </w:r>
          </w:p>
        </w:tc>
        <w:tc>
          <w:tcPr>
            <w:tcW w:w="2900" w:type="dxa"/>
            <w:shd w:val="clear" w:color="auto" w:fill="DAE9F7" w:themeFill="text2" w:themeFillTint="1A"/>
            <w:tcMar>
              <w:top w:w="100" w:type="dxa"/>
              <w:left w:w="120" w:type="dxa"/>
              <w:bottom w:w="100" w:type="dxa"/>
              <w:right w:w="120" w:type="dxa"/>
            </w:tcMar>
            <w:vAlign w:val="center"/>
          </w:tcPr>
          <w:p w14:paraId="133D9716" w14:textId="77777777" w:rsidR="00AC7387" w:rsidRPr="00F53472" w:rsidRDefault="00000000">
            <w:pPr>
              <w:spacing w:line="360" w:lineRule="auto"/>
              <w:rPr>
                <w:sz w:val="16"/>
                <w:szCs w:val="16"/>
              </w:rPr>
            </w:pPr>
            <w:r w:rsidRPr="00F53472">
              <w:rPr>
                <w:rFonts w:ascii="Arial" w:eastAsia="Arial" w:hAnsi="Arial" w:cs="Arial"/>
                <w:color w:val="000000"/>
                <w:sz w:val="16"/>
                <w:szCs w:val="16"/>
              </w:rPr>
              <w:t>Integration: convert cross-city insight into an innovation proposal</w:t>
            </w:r>
          </w:p>
        </w:tc>
        <w:tc>
          <w:tcPr>
            <w:tcW w:w="2326" w:type="dxa"/>
            <w:shd w:val="clear" w:color="auto" w:fill="DAE9F7" w:themeFill="text2" w:themeFillTint="1A"/>
            <w:tcMar>
              <w:top w:w="100" w:type="dxa"/>
              <w:left w:w="120" w:type="dxa"/>
              <w:bottom w:w="100" w:type="dxa"/>
              <w:right w:w="120" w:type="dxa"/>
            </w:tcMar>
            <w:vAlign w:val="center"/>
          </w:tcPr>
          <w:p w14:paraId="3CD9EF4C" w14:textId="77777777" w:rsidR="00AC7387" w:rsidRPr="00F53472" w:rsidRDefault="00000000">
            <w:pPr>
              <w:spacing w:line="360" w:lineRule="auto"/>
              <w:rPr>
                <w:sz w:val="16"/>
                <w:szCs w:val="16"/>
              </w:rPr>
            </w:pPr>
            <w:r w:rsidRPr="00F53472">
              <w:rPr>
                <w:rFonts w:ascii="Arial" w:eastAsia="Arial" w:hAnsi="Arial" w:cs="Arial"/>
                <w:color w:val="000000"/>
                <w:sz w:val="16"/>
                <w:szCs w:val="16"/>
              </w:rPr>
              <w:t>Impact report; Activism Lab pitch submitted</w:t>
            </w:r>
          </w:p>
        </w:tc>
      </w:tr>
    </w:tbl>
    <w:p w14:paraId="0B2AAAB3" w14:textId="77777777" w:rsidR="00AC7387" w:rsidRDefault="00000000">
      <w:pPr>
        <w:spacing w:before="100" w:after="300" w:line="360" w:lineRule="auto"/>
        <w:rPr>
          <w:rFonts w:ascii="Arial" w:eastAsia="Arial" w:hAnsi="Arial" w:cs="Arial"/>
          <w:i/>
          <w:iCs/>
          <w:color w:val="444444"/>
          <w:sz w:val="16"/>
          <w:szCs w:val="16"/>
        </w:rPr>
      </w:pPr>
      <w:r w:rsidRPr="00F53472">
        <w:rPr>
          <w:rFonts w:ascii="Arial" w:eastAsia="Arial" w:hAnsi="Arial" w:cs="Arial"/>
          <w:i/>
          <w:iCs/>
          <w:color w:val="444444"/>
          <w:sz w:val="16"/>
          <w:szCs w:val="16"/>
        </w:rPr>
        <w:t>Table 2: Sample City Exchange Itinerary. Source: Author, adapted from Wrzesniewski and Dutton (2001).</w:t>
      </w:r>
    </w:p>
    <w:p w14:paraId="461BF245" w14:textId="77777777" w:rsidR="00FD5150" w:rsidRDefault="00FD5150">
      <w:pPr>
        <w:spacing w:before="100" w:after="300" w:line="360" w:lineRule="auto"/>
        <w:rPr>
          <w:rFonts w:ascii="Arial" w:eastAsia="Arial" w:hAnsi="Arial" w:cs="Arial"/>
          <w:i/>
          <w:iCs/>
          <w:color w:val="444444"/>
          <w:sz w:val="16"/>
          <w:szCs w:val="16"/>
        </w:rPr>
      </w:pPr>
    </w:p>
    <w:p w14:paraId="1D48FF9F" w14:textId="77777777" w:rsidR="00FD5150" w:rsidRDefault="00FD5150">
      <w:pPr>
        <w:spacing w:before="100" w:after="300" w:line="360" w:lineRule="auto"/>
        <w:rPr>
          <w:rFonts w:ascii="Arial" w:eastAsia="Arial" w:hAnsi="Arial" w:cs="Arial"/>
          <w:i/>
          <w:iCs/>
          <w:color w:val="444444"/>
          <w:sz w:val="16"/>
          <w:szCs w:val="16"/>
        </w:rPr>
      </w:pPr>
    </w:p>
    <w:p w14:paraId="0AAFAD07" w14:textId="77777777" w:rsidR="00FD5150" w:rsidRDefault="00FD5150">
      <w:pPr>
        <w:spacing w:before="100" w:after="300" w:line="360" w:lineRule="auto"/>
        <w:rPr>
          <w:rFonts w:ascii="Arial" w:eastAsia="Arial" w:hAnsi="Arial" w:cs="Arial"/>
          <w:i/>
          <w:iCs/>
          <w:color w:val="444444"/>
          <w:sz w:val="16"/>
          <w:szCs w:val="16"/>
        </w:rPr>
      </w:pPr>
    </w:p>
    <w:p w14:paraId="25AF69E9" w14:textId="77777777" w:rsidR="00FD5150" w:rsidRDefault="00FD5150">
      <w:pPr>
        <w:spacing w:before="100" w:after="300" w:line="360" w:lineRule="auto"/>
        <w:rPr>
          <w:rFonts w:ascii="Arial" w:eastAsia="Arial" w:hAnsi="Arial" w:cs="Arial"/>
          <w:i/>
          <w:iCs/>
          <w:color w:val="444444"/>
          <w:sz w:val="16"/>
          <w:szCs w:val="16"/>
        </w:rPr>
      </w:pPr>
    </w:p>
    <w:p w14:paraId="7C7D5D81" w14:textId="77777777" w:rsidR="00FD5150" w:rsidRDefault="00FD5150">
      <w:pPr>
        <w:spacing w:before="100" w:after="300" w:line="360" w:lineRule="auto"/>
        <w:rPr>
          <w:rFonts w:ascii="Arial" w:eastAsia="Arial" w:hAnsi="Arial" w:cs="Arial"/>
          <w:i/>
          <w:iCs/>
          <w:color w:val="444444"/>
          <w:sz w:val="16"/>
          <w:szCs w:val="16"/>
        </w:rPr>
      </w:pPr>
    </w:p>
    <w:p w14:paraId="73800CF4" w14:textId="77777777" w:rsidR="00FD5150" w:rsidRDefault="00FD5150">
      <w:pPr>
        <w:spacing w:before="100" w:after="300" w:line="360" w:lineRule="auto"/>
        <w:rPr>
          <w:rFonts w:ascii="Arial" w:eastAsia="Arial" w:hAnsi="Arial" w:cs="Arial"/>
          <w:i/>
          <w:iCs/>
          <w:color w:val="444444"/>
          <w:sz w:val="16"/>
          <w:szCs w:val="16"/>
        </w:rPr>
      </w:pPr>
    </w:p>
    <w:p w14:paraId="03D16DC5" w14:textId="77777777" w:rsidR="00FD5150" w:rsidRDefault="00FD5150">
      <w:pPr>
        <w:spacing w:before="100" w:after="300" w:line="360" w:lineRule="auto"/>
        <w:rPr>
          <w:rFonts w:ascii="Arial" w:eastAsia="Arial" w:hAnsi="Arial" w:cs="Arial"/>
          <w:i/>
          <w:iCs/>
          <w:color w:val="444444"/>
          <w:sz w:val="16"/>
          <w:szCs w:val="16"/>
        </w:rPr>
      </w:pPr>
    </w:p>
    <w:p w14:paraId="30664347" w14:textId="77777777" w:rsidR="00FD5150" w:rsidRDefault="00FD5150">
      <w:pPr>
        <w:spacing w:before="100" w:after="300" w:line="360" w:lineRule="auto"/>
        <w:rPr>
          <w:rFonts w:ascii="Arial" w:eastAsia="Arial" w:hAnsi="Arial" w:cs="Arial"/>
          <w:i/>
          <w:iCs/>
          <w:color w:val="444444"/>
          <w:sz w:val="16"/>
          <w:szCs w:val="16"/>
        </w:rPr>
      </w:pPr>
    </w:p>
    <w:p w14:paraId="6A848D76" w14:textId="77777777" w:rsidR="00FD5150" w:rsidRPr="00F53472" w:rsidRDefault="00FD5150">
      <w:pPr>
        <w:spacing w:before="100" w:after="300" w:line="360" w:lineRule="auto"/>
        <w:rPr>
          <w:sz w:val="16"/>
          <w:szCs w:val="16"/>
        </w:rPr>
      </w:pPr>
    </w:p>
    <w:p w14:paraId="7EE3584F" w14:textId="77777777" w:rsidR="00AC7387" w:rsidRPr="00F53472" w:rsidRDefault="00000000">
      <w:pPr>
        <w:pStyle w:val="Heading2"/>
        <w:spacing w:before="300" w:after="150" w:line="360" w:lineRule="auto"/>
        <w:rPr>
          <w:color w:val="auto"/>
        </w:rPr>
      </w:pPr>
      <w:r w:rsidRPr="00F53472">
        <w:rPr>
          <w:rFonts w:ascii="Arial" w:eastAsia="Arial" w:hAnsi="Arial" w:cs="Arial"/>
          <w:b/>
          <w:bCs/>
          <w:color w:val="auto"/>
          <w:sz w:val="24"/>
          <w:szCs w:val="24"/>
        </w:rPr>
        <w:lastRenderedPageBreak/>
        <w:t>Appendix B: HUM Skills Inventory Template</w:t>
      </w:r>
    </w:p>
    <w:p w14:paraId="72BFD33F" w14:textId="77777777" w:rsidR="00AC7387" w:rsidRDefault="00000000" w:rsidP="000A025F">
      <w:pPr>
        <w:spacing w:after="200" w:line="360" w:lineRule="auto"/>
      </w:pPr>
      <w:r>
        <w:rPr>
          <w:rFonts w:ascii="Arial" w:eastAsia="Arial" w:hAnsi="Arial" w:cs="Arial"/>
          <w:sz w:val="24"/>
          <w:szCs w:val="24"/>
        </w:rPr>
        <w:t>Completed annually by each employee and updated following marketplace assignments or City Exchange rotations (see Task B2). Self-ratings are peer-validated and manager-confirmed. Rating scale: 1 = Foundational; 5 = Expert/can coach others.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200"/>
        <w:gridCol w:w="1500"/>
        <w:gridCol w:w="1600"/>
        <w:gridCol w:w="1726"/>
      </w:tblGrid>
      <w:tr w:rsidR="00AC7387" w14:paraId="2DFA7515" w14:textId="77777777">
        <w:trPr>
          <w:tblHeader/>
        </w:trPr>
        <w:tc>
          <w:tcPr>
            <w:tcW w:w="4200" w:type="dxa"/>
            <w:shd w:val="clear" w:color="auto" w:fill="1F3864"/>
            <w:tcMar>
              <w:top w:w="100" w:type="dxa"/>
              <w:left w:w="120" w:type="dxa"/>
              <w:bottom w:w="100" w:type="dxa"/>
              <w:right w:w="120" w:type="dxa"/>
            </w:tcMar>
            <w:vAlign w:val="center"/>
          </w:tcPr>
          <w:p w14:paraId="4417FE2A" w14:textId="77777777" w:rsidR="00AC7387" w:rsidRDefault="00000000">
            <w:pPr>
              <w:spacing w:line="360" w:lineRule="auto"/>
            </w:pPr>
            <w:r>
              <w:rPr>
                <w:rFonts w:ascii="Arial" w:eastAsia="Arial" w:hAnsi="Arial" w:cs="Arial"/>
                <w:b/>
                <w:bCs/>
                <w:color w:val="FFFFFF"/>
              </w:rPr>
              <w:t>Skill / Competency</w:t>
            </w:r>
          </w:p>
        </w:tc>
        <w:tc>
          <w:tcPr>
            <w:tcW w:w="1500" w:type="dxa"/>
            <w:shd w:val="clear" w:color="auto" w:fill="1F3864"/>
            <w:tcMar>
              <w:top w:w="100" w:type="dxa"/>
              <w:left w:w="120" w:type="dxa"/>
              <w:bottom w:w="100" w:type="dxa"/>
              <w:right w:w="120" w:type="dxa"/>
            </w:tcMar>
            <w:vAlign w:val="center"/>
          </w:tcPr>
          <w:p w14:paraId="677E68D9" w14:textId="77777777" w:rsidR="00AC7387" w:rsidRDefault="00000000">
            <w:pPr>
              <w:spacing w:line="360" w:lineRule="auto"/>
            </w:pPr>
            <w:r>
              <w:rPr>
                <w:rFonts w:ascii="Arial" w:eastAsia="Arial" w:hAnsi="Arial" w:cs="Arial"/>
                <w:b/>
                <w:bCs/>
                <w:color w:val="FFFFFF"/>
              </w:rPr>
              <w:t>Self-Rating (1–5)</w:t>
            </w:r>
          </w:p>
        </w:tc>
        <w:tc>
          <w:tcPr>
            <w:tcW w:w="1600" w:type="dxa"/>
            <w:shd w:val="clear" w:color="auto" w:fill="1F3864"/>
            <w:tcMar>
              <w:top w:w="100" w:type="dxa"/>
              <w:left w:w="120" w:type="dxa"/>
              <w:bottom w:w="100" w:type="dxa"/>
              <w:right w:w="120" w:type="dxa"/>
            </w:tcMar>
            <w:vAlign w:val="center"/>
          </w:tcPr>
          <w:p w14:paraId="778933A1" w14:textId="77777777" w:rsidR="00AC7387" w:rsidRDefault="00000000">
            <w:pPr>
              <w:spacing w:line="360" w:lineRule="auto"/>
            </w:pPr>
            <w:r>
              <w:rPr>
                <w:rFonts w:ascii="Arial" w:eastAsia="Arial" w:hAnsi="Arial" w:cs="Arial"/>
                <w:b/>
                <w:bCs/>
                <w:color w:val="FFFFFF"/>
              </w:rPr>
              <w:t>Peer-Validated</w:t>
            </w:r>
          </w:p>
        </w:tc>
        <w:tc>
          <w:tcPr>
            <w:tcW w:w="1726" w:type="dxa"/>
            <w:shd w:val="clear" w:color="auto" w:fill="1F3864"/>
            <w:tcMar>
              <w:top w:w="100" w:type="dxa"/>
              <w:left w:w="120" w:type="dxa"/>
              <w:bottom w:w="100" w:type="dxa"/>
              <w:right w:w="120" w:type="dxa"/>
            </w:tcMar>
            <w:vAlign w:val="center"/>
          </w:tcPr>
          <w:p w14:paraId="658EAFC8" w14:textId="77777777" w:rsidR="00AC7387" w:rsidRDefault="00000000">
            <w:pPr>
              <w:spacing w:line="360" w:lineRule="auto"/>
            </w:pPr>
            <w:r>
              <w:rPr>
                <w:rFonts w:ascii="Arial" w:eastAsia="Arial" w:hAnsi="Arial" w:cs="Arial"/>
                <w:b/>
                <w:bCs/>
                <w:color w:val="FFFFFF"/>
              </w:rPr>
              <w:t>Target Level</w:t>
            </w:r>
          </w:p>
        </w:tc>
      </w:tr>
      <w:tr w:rsidR="00AC7387" w14:paraId="4D63F602" w14:textId="77777777">
        <w:tc>
          <w:tcPr>
            <w:tcW w:w="4200" w:type="dxa"/>
            <w:tcMar>
              <w:top w:w="100" w:type="dxa"/>
              <w:left w:w="120" w:type="dxa"/>
              <w:bottom w:w="100" w:type="dxa"/>
              <w:right w:w="120" w:type="dxa"/>
            </w:tcMar>
            <w:vAlign w:val="center"/>
          </w:tcPr>
          <w:p w14:paraId="7C6A6FE8" w14:textId="77777777" w:rsidR="00AC7387" w:rsidRPr="00F53472" w:rsidRDefault="00000000">
            <w:pPr>
              <w:spacing w:line="360" w:lineRule="auto"/>
              <w:rPr>
                <w:sz w:val="16"/>
                <w:szCs w:val="16"/>
              </w:rPr>
            </w:pPr>
            <w:r w:rsidRPr="00F53472">
              <w:rPr>
                <w:rFonts w:ascii="Arial" w:eastAsia="Arial" w:hAnsi="Arial" w:cs="Arial"/>
                <w:color w:val="000000"/>
                <w:sz w:val="16"/>
                <w:szCs w:val="16"/>
              </w:rPr>
              <w:t>AI systems design and architecture</w:t>
            </w:r>
          </w:p>
        </w:tc>
        <w:tc>
          <w:tcPr>
            <w:tcW w:w="1500" w:type="dxa"/>
            <w:tcMar>
              <w:top w:w="100" w:type="dxa"/>
              <w:left w:w="120" w:type="dxa"/>
              <w:bottom w:w="100" w:type="dxa"/>
              <w:right w:w="120" w:type="dxa"/>
            </w:tcMar>
            <w:vAlign w:val="center"/>
          </w:tcPr>
          <w:p w14:paraId="1A5409D9" w14:textId="77777777" w:rsidR="00AC7387" w:rsidRDefault="00AC7387">
            <w:pPr>
              <w:spacing w:line="360" w:lineRule="auto"/>
            </w:pPr>
          </w:p>
        </w:tc>
        <w:tc>
          <w:tcPr>
            <w:tcW w:w="1600" w:type="dxa"/>
            <w:tcMar>
              <w:top w:w="100" w:type="dxa"/>
              <w:left w:w="120" w:type="dxa"/>
              <w:bottom w:w="100" w:type="dxa"/>
              <w:right w:w="120" w:type="dxa"/>
            </w:tcMar>
            <w:vAlign w:val="center"/>
          </w:tcPr>
          <w:p w14:paraId="250A9955" w14:textId="77777777" w:rsidR="00AC7387" w:rsidRDefault="00AC7387">
            <w:pPr>
              <w:spacing w:line="360" w:lineRule="auto"/>
            </w:pPr>
          </w:p>
        </w:tc>
        <w:tc>
          <w:tcPr>
            <w:tcW w:w="1726" w:type="dxa"/>
            <w:tcMar>
              <w:top w:w="100" w:type="dxa"/>
              <w:left w:w="120" w:type="dxa"/>
              <w:bottom w:w="100" w:type="dxa"/>
              <w:right w:w="120" w:type="dxa"/>
            </w:tcMar>
            <w:vAlign w:val="center"/>
          </w:tcPr>
          <w:p w14:paraId="22A92101" w14:textId="77777777" w:rsidR="00AC7387" w:rsidRDefault="00AC7387">
            <w:pPr>
              <w:spacing w:line="360" w:lineRule="auto"/>
            </w:pPr>
          </w:p>
        </w:tc>
      </w:tr>
      <w:tr w:rsidR="00AC7387" w14:paraId="17DE7721" w14:textId="77777777" w:rsidTr="00F53472">
        <w:tc>
          <w:tcPr>
            <w:tcW w:w="4200" w:type="dxa"/>
            <w:shd w:val="clear" w:color="auto" w:fill="DAE9F7" w:themeFill="text2" w:themeFillTint="1A"/>
            <w:tcMar>
              <w:top w:w="100" w:type="dxa"/>
              <w:left w:w="120" w:type="dxa"/>
              <w:bottom w:w="100" w:type="dxa"/>
              <w:right w:w="120" w:type="dxa"/>
            </w:tcMar>
            <w:vAlign w:val="center"/>
          </w:tcPr>
          <w:p w14:paraId="0EE191FB" w14:textId="6793A808" w:rsidR="00AC7387" w:rsidRPr="00F53472" w:rsidRDefault="00000000">
            <w:pPr>
              <w:spacing w:line="360" w:lineRule="auto"/>
              <w:rPr>
                <w:sz w:val="16"/>
                <w:szCs w:val="16"/>
              </w:rPr>
            </w:pPr>
            <w:r w:rsidRPr="00F53472">
              <w:rPr>
                <w:rFonts w:ascii="Arial" w:eastAsia="Arial" w:hAnsi="Arial" w:cs="Arial"/>
                <w:color w:val="000000"/>
                <w:sz w:val="16"/>
                <w:szCs w:val="16"/>
              </w:rPr>
              <w:t>Stakeholder engagement city government</w:t>
            </w:r>
          </w:p>
        </w:tc>
        <w:tc>
          <w:tcPr>
            <w:tcW w:w="1500" w:type="dxa"/>
            <w:shd w:val="clear" w:color="auto" w:fill="DAE9F7" w:themeFill="text2" w:themeFillTint="1A"/>
            <w:tcMar>
              <w:top w:w="100" w:type="dxa"/>
              <w:left w:w="120" w:type="dxa"/>
              <w:bottom w:w="100" w:type="dxa"/>
              <w:right w:w="120" w:type="dxa"/>
            </w:tcMar>
            <w:vAlign w:val="center"/>
          </w:tcPr>
          <w:p w14:paraId="7EAA0932" w14:textId="77777777" w:rsidR="00AC7387" w:rsidRDefault="00AC7387">
            <w:pPr>
              <w:spacing w:line="360" w:lineRule="auto"/>
            </w:pPr>
          </w:p>
        </w:tc>
        <w:tc>
          <w:tcPr>
            <w:tcW w:w="1600" w:type="dxa"/>
            <w:shd w:val="clear" w:color="auto" w:fill="DAE9F7" w:themeFill="text2" w:themeFillTint="1A"/>
            <w:tcMar>
              <w:top w:w="100" w:type="dxa"/>
              <w:left w:w="120" w:type="dxa"/>
              <w:bottom w:w="100" w:type="dxa"/>
              <w:right w:w="120" w:type="dxa"/>
            </w:tcMar>
            <w:vAlign w:val="center"/>
          </w:tcPr>
          <w:p w14:paraId="5C2FBA26" w14:textId="77777777" w:rsidR="00AC7387" w:rsidRDefault="00AC7387">
            <w:pPr>
              <w:spacing w:line="360" w:lineRule="auto"/>
            </w:pPr>
          </w:p>
        </w:tc>
        <w:tc>
          <w:tcPr>
            <w:tcW w:w="1726" w:type="dxa"/>
            <w:shd w:val="clear" w:color="auto" w:fill="DAE9F7" w:themeFill="text2" w:themeFillTint="1A"/>
            <w:tcMar>
              <w:top w:w="100" w:type="dxa"/>
              <w:left w:w="120" w:type="dxa"/>
              <w:bottom w:w="100" w:type="dxa"/>
              <w:right w:w="120" w:type="dxa"/>
            </w:tcMar>
            <w:vAlign w:val="center"/>
          </w:tcPr>
          <w:p w14:paraId="2E052EBB" w14:textId="77777777" w:rsidR="00AC7387" w:rsidRDefault="00AC7387">
            <w:pPr>
              <w:spacing w:line="360" w:lineRule="auto"/>
            </w:pPr>
          </w:p>
        </w:tc>
      </w:tr>
      <w:tr w:rsidR="00AC7387" w14:paraId="539D2093" w14:textId="77777777">
        <w:tc>
          <w:tcPr>
            <w:tcW w:w="4200" w:type="dxa"/>
            <w:tcMar>
              <w:top w:w="100" w:type="dxa"/>
              <w:left w:w="120" w:type="dxa"/>
              <w:bottom w:w="100" w:type="dxa"/>
              <w:right w:w="120" w:type="dxa"/>
            </w:tcMar>
            <w:vAlign w:val="center"/>
          </w:tcPr>
          <w:p w14:paraId="4C8CF37F" w14:textId="77777777" w:rsidR="00AC7387" w:rsidRPr="00F53472" w:rsidRDefault="00000000">
            <w:pPr>
              <w:spacing w:line="360" w:lineRule="auto"/>
              <w:rPr>
                <w:sz w:val="16"/>
                <w:szCs w:val="16"/>
              </w:rPr>
            </w:pPr>
            <w:r w:rsidRPr="00F53472">
              <w:rPr>
                <w:rFonts w:ascii="Arial" w:eastAsia="Arial" w:hAnsi="Arial" w:cs="Arial"/>
                <w:color w:val="000000"/>
                <w:sz w:val="16"/>
                <w:szCs w:val="16"/>
              </w:rPr>
              <w:t>Cross-cultural collaboration</w:t>
            </w:r>
          </w:p>
        </w:tc>
        <w:tc>
          <w:tcPr>
            <w:tcW w:w="1500" w:type="dxa"/>
            <w:tcMar>
              <w:top w:w="100" w:type="dxa"/>
              <w:left w:w="120" w:type="dxa"/>
              <w:bottom w:w="100" w:type="dxa"/>
              <w:right w:w="120" w:type="dxa"/>
            </w:tcMar>
            <w:vAlign w:val="center"/>
          </w:tcPr>
          <w:p w14:paraId="5666260D" w14:textId="77777777" w:rsidR="00AC7387" w:rsidRDefault="00AC7387">
            <w:pPr>
              <w:spacing w:line="360" w:lineRule="auto"/>
            </w:pPr>
          </w:p>
        </w:tc>
        <w:tc>
          <w:tcPr>
            <w:tcW w:w="1600" w:type="dxa"/>
            <w:tcMar>
              <w:top w:w="100" w:type="dxa"/>
              <w:left w:w="120" w:type="dxa"/>
              <w:bottom w:w="100" w:type="dxa"/>
              <w:right w:w="120" w:type="dxa"/>
            </w:tcMar>
            <w:vAlign w:val="center"/>
          </w:tcPr>
          <w:p w14:paraId="27CEB58A" w14:textId="77777777" w:rsidR="00AC7387" w:rsidRDefault="00AC7387">
            <w:pPr>
              <w:spacing w:line="360" w:lineRule="auto"/>
            </w:pPr>
          </w:p>
        </w:tc>
        <w:tc>
          <w:tcPr>
            <w:tcW w:w="1726" w:type="dxa"/>
            <w:tcMar>
              <w:top w:w="100" w:type="dxa"/>
              <w:left w:w="120" w:type="dxa"/>
              <w:bottom w:w="100" w:type="dxa"/>
              <w:right w:w="120" w:type="dxa"/>
            </w:tcMar>
            <w:vAlign w:val="center"/>
          </w:tcPr>
          <w:p w14:paraId="4017296D" w14:textId="77777777" w:rsidR="00AC7387" w:rsidRDefault="00AC7387">
            <w:pPr>
              <w:spacing w:line="360" w:lineRule="auto"/>
            </w:pPr>
          </w:p>
        </w:tc>
      </w:tr>
      <w:tr w:rsidR="00AC7387" w14:paraId="45A07789" w14:textId="77777777" w:rsidTr="00F53472">
        <w:tc>
          <w:tcPr>
            <w:tcW w:w="4200" w:type="dxa"/>
            <w:shd w:val="clear" w:color="auto" w:fill="DAE9F7" w:themeFill="text2" w:themeFillTint="1A"/>
            <w:tcMar>
              <w:top w:w="100" w:type="dxa"/>
              <w:left w:w="120" w:type="dxa"/>
              <w:bottom w:w="100" w:type="dxa"/>
              <w:right w:w="120" w:type="dxa"/>
            </w:tcMar>
            <w:vAlign w:val="center"/>
          </w:tcPr>
          <w:p w14:paraId="4DF78968" w14:textId="77777777" w:rsidR="00AC7387" w:rsidRPr="00F53472" w:rsidRDefault="00000000">
            <w:pPr>
              <w:spacing w:line="360" w:lineRule="auto"/>
              <w:rPr>
                <w:sz w:val="16"/>
                <w:szCs w:val="16"/>
              </w:rPr>
            </w:pPr>
            <w:r w:rsidRPr="00F53472">
              <w:rPr>
                <w:rFonts w:ascii="Arial" w:eastAsia="Arial" w:hAnsi="Arial" w:cs="Arial"/>
                <w:color w:val="000000"/>
                <w:sz w:val="16"/>
                <w:szCs w:val="16"/>
              </w:rPr>
              <w:t>Ethical AI decision-making and governance</w:t>
            </w:r>
          </w:p>
        </w:tc>
        <w:tc>
          <w:tcPr>
            <w:tcW w:w="1500" w:type="dxa"/>
            <w:shd w:val="clear" w:color="auto" w:fill="DAE9F7" w:themeFill="text2" w:themeFillTint="1A"/>
            <w:tcMar>
              <w:top w:w="100" w:type="dxa"/>
              <w:left w:w="120" w:type="dxa"/>
              <w:bottom w:w="100" w:type="dxa"/>
              <w:right w:w="120" w:type="dxa"/>
            </w:tcMar>
            <w:vAlign w:val="center"/>
          </w:tcPr>
          <w:p w14:paraId="2C5F4B1A" w14:textId="77777777" w:rsidR="00AC7387" w:rsidRDefault="00AC7387">
            <w:pPr>
              <w:spacing w:line="360" w:lineRule="auto"/>
            </w:pPr>
          </w:p>
        </w:tc>
        <w:tc>
          <w:tcPr>
            <w:tcW w:w="1600" w:type="dxa"/>
            <w:shd w:val="clear" w:color="auto" w:fill="DAE9F7" w:themeFill="text2" w:themeFillTint="1A"/>
            <w:tcMar>
              <w:top w:w="100" w:type="dxa"/>
              <w:left w:w="120" w:type="dxa"/>
              <w:bottom w:w="100" w:type="dxa"/>
              <w:right w:w="120" w:type="dxa"/>
            </w:tcMar>
            <w:vAlign w:val="center"/>
          </w:tcPr>
          <w:p w14:paraId="5ED0E2A2" w14:textId="77777777" w:rsidR="00AC7387" w:rsidRDefault="00AC7387">
            <w:pPr>
              <w:spacing w:line="360" w:lineRule="auto"/>
            </w:pPr>
          </w:p>
        </w:tc>
        <w:tc>
          <w:tcPr>
            <w:tcW w:w="1726" w:type="dxa"/>
            <w:shd w:val="clear" w:color="auto" w:fill="DAE9F7" w:themeFill="text2" w:themeFillTint="1A"/>
            <w:tcMar>
              <w:top w:w="100" w:type="dxa"/>
              <w:left w:w="120" w:type="dxa"/>
              <w:bottom w:w="100" w:type="dxa"/>
              <w:right w:w="120" w:type="dxa"/>
            </w:tcMar>
            <w:vAlign w:val="center"/>
          </w:tcPr>
          <w:p w14:paraId="0E9357EA" w14:textId="77777777" w:rsidR="00AC7387" w:rsidRDefault="00AC7387">
            <w:pPr>
              <w:spacing w:line="360" w:lineRule="auto"/>
            </w:pPr>
          </w:p>
        </w:tc>
      </w:tr>
      <w:tr w:rsidR="00AC7387" w14:paraId="43754FC5" w14:textId="77777777">
        <w:tc>
          <w:tcPr>
            <w:tcW w:w="4200" w:type="dxa"/>
            <w:tcMar>
              <w:top w:w="100" w:type="dxa"/>
              <w:left w:w="120" w:type="dxa"/>
              <w:bottom w:w="100" w:type="dxa"/>
              <w:right w:w="120" w:type="dxa"/>
            </w:tcMar>
            <w:vAlign w:val="center"/>
          </w:tcPr>
          <w:p w14:paraId="3816A035" w14:textId="77777777" w:rsidR="00AC7387" w:rsidRPr="00F53472" w:rsidRDefault="00000000">
            <w:pPr>
              <w:spacing w:line="360" w:lineRule="auto"/>
              <w:rPr>
                <w:sz w:val="16"/>
                <w:szCs w:val="16"/>
              </w:rPr>
            </w:pPr>
            <w:r w:rsidRPr="00F53472">
              <w:rPr>
                <w:rFonts w:ascii="Arial" w:eastAsia="Arial" w:hAnsi="Arial" w:cs="Arial"/>
                <w:color w:val="000000"/>
                <w:sz w:val="16"/>
                <w:szCs w:val="16"/>
              </w:rPr>
              <w:t>Project delivery and OKR-based governance</w:t>
            </w:r>
          </w:p>
        </w:tc>
        <w:tc>
          <w:tcPr>
            <w:tcW w:w="1500" w:type="dxa"/>
            <w:tcMar>
              <w:top w:w="100" w:type="dxa"/>
              <w:left w:w="120" w:type="dxa"/>
              <w:bottom w:w="100" w:type="dxa"/>
              <w:right w:w="120" w:type="dxa"/>
            </w:tcMar>
            <w:vAlign w:val="center"/>
          </w:tcPr>
          <w:p w14:paraId="570CD823" w14:textId="77777777" w:rsidR="00AC7387" w:rsidRDefault="00AC7387">
            <w:pPr>
              <w:spacing w:line="360" w:lineRule="auto"/>
            </w:pPr>
          </w:p>
        </w:tc>
        <w:tc>
          <w:tcPr>
            <w:tcW w:w="1600" w:type="dxa"/>
            <w:tcMar>
              <w:top w:w="100" w:type="dxa"/>
              <w:left w:w="120" w:type="dxa"/>
              <w:bottom w:w="100" w:type="dxa"/>
              <w:right w:w="120" w:type="dxa"/>
            </w:tcMar>
            <w:vAlign w:val="center"/>
          </w:tcPr>
          <w:p w14:paraId="22CC8A1D" w14:textId="77777777" w:rsidR="00AC7387" w:rsidRDefault="00AC7387">
            <w:pPr>
              <w:spacing w:line="360" w:lineRule="auto"/>
            </w:pPr>
          </w:p>
        </w:tc>
        <w:tc>
          <w:tcPr>
            <w:tcW w:w="1726" w:type="dxa"/>
            <w:tcMar>
              <w:top w:w="100" w:type="dxa"/>
              <w:left w:w="120" w:type="dxa"/>
              <w:bottom w:w="100" w:type="dxa"/>
              <w:right w:w="120" w:type="dxa"/>
            </w:tcMar>
            <w:vAlign w:val="center"/>
          </w:tcPr>
          <w:p w14:paraId="1BDB3462" w14:textId="77777777" w:rsidR="00AC7387" w:rsidRDefault="00AC7387">
            <w:pPr>
              <w:spacing w:line="360" w:lineRule="auto"/>
            </w:pPr>
          </w:p>
        </w:tc>
      </w:tr>
      <w:tr w:rsidR="00AC7387" w14:paraId="230FC3AB" w14:textId="77777777" w:rsidTr="00F53472">
        <w:tc>
          <w:tcPr>
            <w:tcW w:w="4200" w:type="dxa"/>
            <w:shd w:val="clear" w:color="auto" w:fill="DAE9F7" w:themeFill="text2" w:themeFillTint="1A"/>
            <w:tcMar>
              <w:top w:w="100" w:type="dxa"/>
              <w:left w:w="120" w:type="dxa"/>
              <w:bottom w:w="100" w:type="dxa"/>
              <w:right w:w="120" w:type="dxa"/>
            </w:tcMar>
            <w:vAlign w:val="center"/>
          </w:tcPr>
          <w:p w14:paraId="06820CF1" w14:textId="77777777" w:rsidR="00AC7387" w:rsidRPr="00F53472" w:rsidRDefault="00000000">
            <w:pPr>
              <w:spacing w:line="360" w:lineRule="auto"/>
              <w:rPr>
                <w:sz w:val="16"/>
                <w:szCs w:val="16"/>
              </w:rPr>
            </w:pPr>
            <w:r w:rsidRPr="00F53472">
              <w:rPr>
                <w:rFonts w:ascii="Arial" w:eastAsia="Arial" w:hAnsi="Arial" w:cs="Arial"/>
                <w:color w:val="000000"/>
                <w:sz w:val="16"/>
                <w:szCs w:val="16"/>
              </w:rPr>
              <w:t>Strategic communication / Board-level influencing</w:t>
            </w:r>
          </w:p>
        </w:tc>
        <w:tc>
          <w:tcPr>
            <w:tcW w:w="1500" w:type="dxa"/>
            <w:shd w:val="clear" w:color="auto" w:fill="DAE9F7" w:themeFill="text2" w:themeFillTint="1A"/>
            <w:tcMar>
              <w:top w:w="100" w:type="dxa"/>
              <w:left w:w="120" w:type="dxa"/>
              <w:bottom w:w="100" w:type="dxa"/>
              <w:right w:w="120" w:type="dxa"/>
            </w:tcMar>
            <w:vAlign w:val="center"/>
          </w:tcPr>
          <w:p w14:paraId="46371AE5" w14:textId="77777777" w:rsidR="00AC7387" w:rsidRDefault="00AC7387">
            <w:pPr>
              <w:spacing w:line="360" w:lineRule="auto"/>
            </w:pPr>
          </w:p>
        </w:tc>
        <w:tc>
          <w:tcPr>
            <w:tcW w:w="1600" w:type="dxa"/>
            <w:shd w:val="clear" w:color="auto" w:fill="DAE9F7" w:themeFill="text2" w:themeFillTint="1A"/>
            <w:tcMar>
              <w:top w:w="100" w:type="dxa"/>
              <w:left w:w="120" w:type="dxa"/>
              <w:bottom w:w="100" w:type="dxa"/>
              <w:right w:w="120" w:type="dxa"/>
            </w:tcMar>
            <w:vAlign w:val="center"/>
          </w:tcPr>
          <w:p w14:paraId="4B0F9683" w14:textId="77777777" w:rsidR="00AC7387" w:rsidRDefault="00AC7387">
            <w:pPr>
              <w:spacing w:line="360" w:lineRule="auto"/>
            </w:pPr>
          </w:p>
        </w:tc>
        <w:tc>
          <w:tcPr>
            <w:tcW w:w="1726" w:type="dxa"/>
            <w:shd w:val="clear" w:color="auto" w:fill="DAE9F7" w:themeFill="text2" w:themeFillTint="1A"/>
            <w:tcMar>
              <w:top w:w="100" w:type="dxa"/>
              <w:left w:w="120" w:type="dxa"/>
              <w:bottom w:w="100" w:type="dxa"/>
              <w:right w:w="120" w:type="dxa"/>
            </w:tcMar>
            <w:vAlign w:val="center"/>
          </w:tcPr>
          <w:p w14:paraId="300DF8D5" w14:textId="77777777" w:rsidR="00AC7387" w:rsidRDefault="00AC7387">
            <w:pPr>
              <w:spacing w:line="360" w:lineRule="auto"/>
            </w:pPr>
          </w:p>
        </w:tc>
      </w:tr>
    </w:tbl>
    <w:p w14:paraId="2ED24B1E" w14:textId="77777777" w:rsidR="00AC7387" w:rsidRPr="00F53472" w:rsidRDefault="00000000">
      <w:pPr>
        <w:spacing w:before="100" w:after="300" w:line="360" w:lineRule="auto"/>
        <w:rPr>
          <w:sz w:val="16"/>
          <w:szCs w:val="16"/>
        </w:rPr>
      </w:pPr>
      <w:r w:rsidRPr="00F53472">
        <w:rPr>
          <w:rFonts w:ascii="Arial" w:eastAsia="Arial" w:hAnsi="Arial" w:cs="Arial"/>
          <w:i/>
          <w:iCs/>
          <w:color w:val="444444"/>
          <w:sz w:val="16"/>
          <w:szCs w:val="16"/>
        </w:rPr>
        <w:t>Table 3: HUM Skills Inventory Template (extract). Source: Author.</w:t>
      </w:r>
    </w:p>
    <w:p w14:paraId="54988920" w14:textId="77777777" w:rsidR="00AC7387" w:rsidRDefault="00000000">
      <w:r>
        <w:br w:type="page"/>
      </w:r>
    </w:p>
    <w:p w14:paraId="7AD1788C" w14:textId="77777777" w:rsidR="00AC7387" w:rsidRPr="00F53472" w:rsidRDefault="00000000">
      <w:pPr>
        <w:pStyle w:val="Heading1"/>
        <w:spacing w:before="400" w:after="200" w:line="360" w:lineRule="auto"/>
        <w:rPr>
          <w:color w:val="auto"/>
        </w:rPr>
      </w:pPr>
      <w:r w:rsidRPr="00F53472">
        <w:rPr>
          <w:rFonts w:ascii="Arial" w:eastAsia="Arial" w:hAnsi="Arial" w:cs="Arial"/>
          <w:b/>
          <w:bCs/>
          <w:color w:val="auto"/>
          <w:sz w:val="28"/>
          <w:szCs w:val="28"/>
        </w:rPr>
        <w:lastRenderedPageBreak/>
        <w:t>Board Action Summary</w:t>
      </w:r>
    </w:p>
    <w:p w14:paraId="510A9097" w14:textId="77777777" w:rsidR="00AC7387" w:rsidRDefault="00000000" w:rsidP="00F53472">
      <w:pPr>
        <w:spacing w:after="200" w:line="360" w:lineRule="auto"/>
      </w:pPr>
      <w:r>
        <w:rPr>
          <w:rFonts w:ascii="Arial" w:eastAsia="Arial" w:hAnsi="Arial" w:cs="Arial"/>
          <w:sz w:val="24"/>
          <w:szCs w:val="24"/>
        </w:rPr>
        <w:t>The following key recommendations are presented for Board approval and sequencing:</w:t>
      </w:r>
    </w:p>
    <w:p w14:paraId="1D59C2E8" w14:textId="77777777" w:rsidR="00AC7387" w:rsidRDefault="00000000">
      <w:pPr>
        <w:pStyle w:val="ListParagraph"/>
        <w:numPr>
          <w:ilvl w:val="0"/>
          <w:numId w:val="2"/>
        </w:numPr>
        <w:spacing w:after="120" w:line="360" w:lineRule="auto"/>
      </w:pPr>
      <w:r>
        <w:rPr>
          <w:rFonts w:ascii="Arial" w:eastAsia="Arial" w:hAnsi="Arial" w:cs="Arial"/>
          <w:sz w:val="24"/>
          <w:szCs w:val="24"/>
        </w:rPr>
        <w:t>Immediate rollout of the psychological contract disclosure document in the onboarding process.</w:t>
      </w:r>
    </w:p>
    <w:p w14:paraId="1796EDCA" w14:textId="77777777" w:rsidR="00AC7387" w:rsidRDefault="00000000">
      <w:pPr>
        <w:pStyle w:val="ListParagraph"/>
        <w:numPr>
          <w:ilvl w:val="0"/>
          <w:numId w:val="2"/>
        </w:numPr>
        <w:spacing w:after="120" w:line="360" w:lineRule="auto"/>
      </w:pPr>
      <w:r>
        <w:rPr>
          <w:rFonts w:ascii="Arial" w:eastAsia="Arial" w:hAnsi="Arial" w:cs="Arial"/>
          <w:sz w:val="24"/>
          <w:szCs w:val="24"/>
        </w:rPr>
        <w:t>Pilot the City Impact Day, Ethics Champions network, and Activism Labs with a single cohort before scaling across London, Berlin, and Singapore.</w:t>
      </w:r>
    </w:p>
    <w:p w14:paraId="142D1801" w14:textId="77777777" w:rsidR="00AC7387" w:rsidRDefault="00000000">
      <w:pPr>
        <w:pStyle w:val="ListParagraph"/>
        <w:numPr>
          <w:ilvl w:val="0"/>
          <w:numId w:val="2"/>
        </w:numPr>
        <w:spacing w:after="120" w:line="360" w:lineRule="auto"/>
      </w:pPr>
      <w:r>
        <w:rPr>
          <w:rFonts w:ascii="Arial" w:eastAsia="Arial" w:hAnsi="Arial" w:cs="Arial"/>
          <w:sz w:val="24"/>
          <w:szCs w:val="24"/>
        </w:rPr>
        <w:t>Prioritise job redesign interventions targeting autonomy and feedback, the two dimensions currently suppressing HUM's Motivating Potential Score.</w:t>
      </w:r>
    </w:p>
    <w:p w14:paraId="20FEABFE" w14:textId="77777777" w:rsidR="00AC7387" w:rsidRDefault="00000000">
      <w:pPr>
        <w:pStyle w:val="ListParagraph"/>
        <w:numPr>
          <w:ilvl w:val="0"/>
          <w:numId w:val="2"/>
        </w:numPr>
        <w:spacing w:after="120" w:line="360" w:lineRule="auto"/>
      </w:pPr>
      <w:r>
        <w:rPr>
          <w:rFonts w:ascii="Arial" w:eastAsia="Arial" w:hAnsi="Arial" w:cs="Arial"/>
          <w:sz w:val="24"/>
          <w:szCs w:val="24"/>
        </w:rPr>
        <w:t>Sequence investment across the skills platform, City Exchange programme, and innovation time allocation to manage cash flow and payback periods.</w:t>
      </w:r>
    </w:p>
    <w:p w14:paraId="6518E9A4" w14:textId="77777777" w:rsidR="00AC7387" w:rsidRDefault="00000000">
      <w:pPr>
        <w:pStyle w:val="ListParagraph"/>
        <w:numPr>
          <w:ilvl w:val="0"/>
          <w:numId w:val="2"/>
        </w:numPr>
        <w:spacing w:after="120" w:line="360" w:lineRule="auto"/>
      </w:pPr>
      <w:r>
        <w:rPr>
          <w:rFonts w:ascii="Arial" w:eastAsia="Arial" w:hAnsi="Arial" w:cs="Arial"/>
          <w:sz w:val="24"/>
          <w:szCs w:val="24"/>
        </w:rPr>
        <w:t>Establish governance for the internal talent marketplace, including a system-enforced time-allocation cap and quarterly hoarding audits.</w:t>
      </w:r>
    </w:p>
    <w:p w14:paraId="07C82587" w14:textId="77777777" w:rsidR="00AC7387" w:rsidRDefault="00000000">
      <w:pPr>
        <w:pStyle w:val="ListParagraph"/>
        <w:numPr>
          <w:ilvl w:val="0"/>
          <w:numId w:val="2"/>
        </w:numPr>
        <w:spacing w:after="120" w:line="360" w:lineRule="auto"/>
      </w:pPr>
      <w:r>
        <w:rPr>
          <w:rFonts w:ascii="Arial" w:eastAsia="Arial" w:hAnsi="Arial" w:cs="Arial"/>
          <w:sz w:val="24"/>
          <w:szCs w:val="24"/>
        </w:rPr>
        <w:t>Embed a responsible AI use protocol and invest in HR analytics, Board-level influencing, and cross-cultural competency development.</w:t>
      </w:r>
    </w:p>
    <w:p w14:paraId="24546391" w14:textId="77777777" w:rsidR="00AC7387" w:rsidRDefault="00000000">
      <w:r>
        <w:br w:type="page"/>
      </w:r>
    </w:p>
    <w:p w14:paraId="547C7C01" w14:textId="294D21AF" w:rsidR="00AC7387" w:rsidRPr="00F53472" w:rsidRDefault="00000000">
      <w:pPr>
        <w:pStyle w:val="Heading1"/>
        <w:spacing w:before="400" w:after="200" w:line="360" w:lineRule="auto"/>
        <w:rPr>
          <w:color w:val="auto"/>
        </w:rPr>
      </w:pPr>
      <w:r w:rsidRPr="00F53472">
        <w:rPr>
          <w:rFonts w:ascii="Arial" w:eastAsia="Arial" w:hAnsi="Arial" w:cs="Arial"/>
          <w:b/>
          <w:bCs/>
          <w:color w:val="auto"/>
          <w:sz w:val="28"/>
          <w:szCs w:val="28"/>
        </w:rPr>
        <w:lastRenderedPageBreak/>
        <w:t>References</w:t>
      </w:r>
      <w:r w:rsidR="00FD5150">
        <w:rPr>
          <w:rFonts w:ascii="Arial" w:eastAsia="Arial" w:hAnsi="Arial" w:cs="Arial"/>
          <w:b/>
          <w:bCs/>
          <w:color w:val="auto"/>
          <w:sz w:val="28"/>
          <w:szCs w:val="28"/>
        </w:rPr>
        <w:t>:</w:t>
      </w:r>
    </w:p>
    <w:p w14:paraId="46AE1365" w14:textId="77777777" w:rsidR="00AC7387" w:rsidRDefault="00000000">
      <w:pPr>
        <w:spacing w:after="160" w:line="360" w:lineRule="auto"/>
        <w:ind w:left="480" w:hanging="480"/>
      </w:pPr>
      <w:r>
        <w:rPr>
          <w:rFonts w:ascii="Arial" w:eastAsia="Arial" w:hAnsi="Arial" w:cs="Arial"/>
        </w:rPr>
        <w:t>Allen, N.J. and Meyer, J.P. (1990) 'The measurement and antecedents of affective, continuance and normative commitment to the organisation', Journal of Occupational Psychology, 63(1), pp. 1–18.</w:t>
      </w:r>
    </w:p>
    <w:p w14:paraId="1F2AEC26" w14:textId="77777777" w:rsidR="00AC7387" w:rsidRDefault="00000000">
      <w:pPr>
        <w:spacing w:after="160" w:line="360" w:lineRule="auto"/>
        <w:ind w:left="480" w:hanging="480"/>
      </w:pPr>
      <w:r>
        <w:rPr>
          <w:rFonts w:ascii="Arial" w:eastAsia="Arial" w:hAnsi="Arial" w:cs="Arial"/>
        </w:rPr>
        <w:t>Amabile, T.M. (1998) 'How to kill creativity', Harvard Business Review, 76(5), pp. 76–87.</w:t>
      </w:r>
    </w:p>
    <w:p w14:paraId="4CB23B35" w14:textId="77777777" w:rsidR="00AC7387" w:rsidRDefault="00000000">
      <w:pPr>
        <w:spacing w:after="160" w:line="360" w:lineRule="auto"/>
        <w:ind w:left="480" w:hanging="480"/>
      </w:pPr>
      <w:r>
        <w:rPr>
          <w:rFonts w:ascii="Arial" w:eastAsia="Arial" w:hAnsi="Arial" w:cs="Arial"/>
        </w:rPr>
        <w:t>Ashforth, B.E. and Mael, F. (1989) 'Social identity theory and the organisation', Academy of Management Review, 14(1), pp. 20–39.</w:t>
      </w:r>
    </w:p>
    <w:p w14:paraId="6C962C14" w14:textId="77777777" w:rsidR="00AC7387" w:rsidRDefault="00000000">
      <w:pPr>
        <w:spacing w:after="160" w:line="360" w:lineRule="auto"/>
        <w:ind w:left="480" w:hanging="480"/>
      </w:pPr>
      <w:r>
        <w:rPr>
          <w:rFonts w:ascii="Arial" w:eastAsia="Arial" w:hAnsi="Arial" w:cs="Arial"/>
        </w:rPr>
        <w:t>Ashforth, B.E. and Schinoff, B.S. (2016) 'Identity under construction: How individuals come to define themselves in organisations', Annual Review of Organizational Psychology and Organizational Behaviour, 3, pp. 111–137.</w:t>
      </w:r>
    </w:p>
    <w:p w14:paraId="5825F493" w14:textId="77777777" w:rsidR="00AC7387" w:rsidRDefault="00000000">
      <w:pPr>
        <w:spacing w:after="160" w:line="360" w:lineRule="auto"/>
        <w:ind w:left="480" w:hanging="480"/>
      </w:pPr>
      <w:r>
        <w:rPr>
          <w:rFonts w:ascii="Arial" w:eastAsia="Arial" w:hAnsi="Arial" w:cs="Arial"/>
        </w:rPr>
        <w:t>Bauer, T.N., Bodner, T., Erdogan, B., Truxillo, D.M. and Tucker, J.S. (2007) 'Newcomer adjustment during organisational socialisation: A meta-analytic review of antecedents, outcomes, and methods', Journal of Applied Psychology, 92(3), pp. 707–721.</w:t>
      </w:r>
    </w:p>
    <w:p w14:paraId="4324883D" w14:textId="77777777" w:rsidR="00AC7387" w:rsidRDefault="00000000">
      <w:pPr>
        <w:spacing w:after="160" w:line="360" w:lineRule="auto"/>
        <w:ind w:left="480" w:hanging="480"/>
      </w:pPr>
      <w:r>
        <w:rPr>
          <w:rFonts w:ascii="Arial" w:eastAsia="Arial" w:hAnsi="Arial" w:cs="Arial"/>
        </w:rPr>
        <w:t>CIPD (2022) Employee turnover and retention. London: Chartered Institute of Personnel and Development.</w:t>
      </w:r>
    </w:p>
    <w:p w14:paraId="6B8B6805" w14:textId="77777777" w:rsidR="00AC7387" w:rsidRDefault="00000000">
      <w:pPr>
        <w:spacing w:after="160" w:line="360" w:lineRule="auto"/>
        <w:ind w:left="480" w:hanging="480"/>
      </w:pPr>
      <w:r>
        <w:rPr>
          <w:rFonts w:ascii="Arial" w:eastAsia="Arial" w:hAnsi="Arial" w:cs="Arial"/>
        </w:rPr>
        <w:t>Dutton, J.E., Dukerich, J.M. and Harquail, C.V. (1994) 'Organisational images and member identification', Administrative Science Quarterly, 39(2), pp. 239–263.</w:t>
      </w:r>
    </w:p>
    <w:p w14:paraId="5E227C2E" w14:textId="77777777" w:rsidR="00AC7387" w:rsidRDefault="00000000">
      <w:pPr>
        <w:spacing w:after="160" w:line="360" w:lineRule="auto"/>
        <w:ind w:left="480" w:hanging="480"/>
      </w:pPr>
      <w:r>
        <w:rPr>
          <w:rFonts w:ascii="Arial" w:eastAsia="Arial" w:hAnsi="Arial" w:cs="Arial"/>
        </w:rPr>
        <w:t>Edmondson, A. (1999) 'Psychological safety and learning behaviour in work teams', Administrative Science Quarterly, 44(2), pp. 350–383.</w:t>
      </w:r>
    </w:p>
    <w:p w14:paraId="6C02CDFF" w14:textId="77777777" w:rsidR="00AC7387" w:rsidRDefault="00000000">
      <w:pPr>
        <w:spacing w:after="160" w:line="360" w:lineRule="auto"/>
        <w:ind w:left="480" w:hanging="480"/>
      </w:pPr>
      <w:r>
        <w:rPr>
          <w:rFonts w:ascii="Arial" w:eastAsia="Arial" w:hAnsi="Arial" w:cs="Arial"/>
        </w:rPr>
        <w:t>Engler, A. (2022) A guide to regulating artificial intelligence in public services. Washington, DC: Brookings Institution.</w:t>
      </w:r>
    </w:p>
    <w:p w14:paraId="42A58EF2" w14:textId="77777777" w:rsidR="00AC7387" w:rsidRDefault="00000000">
      <w:pPr>
        <w:spacing w:after="160" w:line="360" w:lineRule="auto"/>
        <w:ind w:left="480" w:hanging="480"/>
      </w:pPr>
      <w:r>
        <w:rPr>
          <w:rFonts w:ascii="Arial" w:eastAsia="Arial" w:hAnsi="Arial" w:cs="Arial"/>
        </w:rPr>
        <w:t>Fitz-Enz, J. and Mattox, J.R. (2014) Predictive Analytics for Human Resources. Hoboken: Wiley.</w:t>
      </w:r>
    </w:p>
    <w:p w14:paraId="6469B58D" w14:textId="77777777" w:rsidR="00AC7387" w:rsidRDefault="00000000">
      <w:pPr>
        <w:spacing w:after="160" w:line="360" w:lineRule="auto"/>
        <w:ind w:left="480" w:hanging="480"/>
      </w:pPr>
      <w:r>
        <w:rPr>
          <w:rFonts w:ascii="Arial" w:eastAsia="Arial" w:hAnsi="Arial" w:cs="Arial"/>
        </w:rPr>
        <w:t>Freeman, R.E. (1984) Strategic Management: A Stakeholder Approach. Boston: Pitman.</w:t>
      </w:r>
    </w:p>
    <w:p w14:paraId="4666C1AE" w14:textId="77777777" w:rsidR="00AC7387" w:rsidRDefault="00000000">
      <w:pPr>
        <w:spacing w:after="160" w:line="360" w:lineRule="auto"/>
        <w:ind w:left="480" w:hanging="480"/>
      </w:pPr>
      <w:r>
        <w:rPr>
          <w:rFonts w:ascii="Arial" w:eastAsia="Arial" w:hAnsi="Arial" w:cs="Arial"/>
        </w:rPr>
        <w:t>Hackman, J.R. and Oldham, G.R. (1976) 'Motivation through the design of work: Test of a theory', Organizational Behaviour and Human Performance, 16(2), pp. 250–279.</w:t>
      </w:r>
    </w:p>
    <w:p w14:paraId="6F2119C8" w14:textId="77777777" w:rsidR="00AC7387" w:rsidRDefault="00000000">
      <w:pPr>
        <w:spacing w:after="160" w:line="360" w:lineRule="auto"/>
        <w:ind w:left="480" w:hanging="480"/>
      </w:pPr>
      <w:r>
        <w:rPr>
          <w:rFonts w:ascii="Arial" w:eastAsia="Arial" w:hAnsi="Arial" w:cs="Arial"/>
        </w:rPr>
        <w:t>Hunkenschroer, A.L. and Luetge, C. (2022) 'Ethics of AI-enabled recruiting and selection: A review and research agenda', Journal of Business Ethics, 178(4), pp. 977–1007.</w:t>
      </w:r>
    </w:p>
    <w:p w14:paraId="63E70B3C" w14:textId="77777777" w:rsidR="00AC7387" w:rsidRDefault="00000000">
      <w:pPr>
        <w:spacing w:after="160" w:line="360" w:lineRule="auto"/>
        <w:ind w:left="480" w:hanging="480"/>
      </w:pPr>
      <w:r>
        <w:rPr>
          <w:rFonts w:ascii="Arial" w:eastAsia="Arial" w:hAnsi="Arial" w:cs="Arial"/>
        </w:rPr>
        <w:t>Mitchell, T.R., Holtom, B.C., Lee, T.W., Sablynski, C.J. and Erez, M. (2001) 'Why people stay: Using job embeddedness to predict voluntary turnover', Academy of Management Journal, 44(6), pp. 1102–1121.</w:t>
      </w:r>
    </w:p>
    <w:p w14:paraId="31A6E71F" w14:textId="77777777" w:rsidR="00AC7387" w:rsidRDefault="00000000">
      <w:pPr>
        <w:spacing w:after="160" w:line="360" w:lineRule="auto"/>
        <w:ind w:left="480" w:hanging="480"/>
      </w:pPr>
      <w:r>
        <w:rPr>
          <w:rFonts w:ascii="Arial" w:eastAsia="Arial" w:hAnsi="Arial" w:cs="Arial"/>
        </w:rPr>
        <w:t>Parker, S.K. (2014) 'Beyond motivation: Job and work design for development, health, ambidexterity, and more', Annual Review of Psychology, 65, pp. 661–691.</w:t>
      </w:r>
    </w:p>
    <w:p w14:paraId="6AFD606F" w14:textId="77777777" w:rsidR="00AC7387" w:rsidRDefault="00000000">
      <w:pPr>
        <w:spacing w:after="160" w:line="360" w:lineRule="auto"/>
        <w:ind w:left="480" w:hanging="480"/>
      </w:pPr>
      <w:r>
        <w:rPr>
          <w:rFonts w:ascii="Arial" w:eastAsia="Arial" w:hAnsi="Arial" w:cs="Arial"/>
        </w:rPr>
        <w:lastRenderedPageBreak/>
        <w:t>Petriglieri, G., Ashford, S.J. and Wrzesniewski, A. (2018) 'Agony and ecstasy in the gig economy: Cultivating holding environments for precarious and personalised work identities', Administrative Science Quarterly, 64(1), pp. 124–170.</w:t>
      </w:r>
    </w:p>
    <w:p w14:paraId="156969CE" w14:textId="77777777" w:rsidR="00AC7387" w:rsidRDefault="00000000">
      <w:pPr>
        <w:spacing w:after="160" w:line="360" w:lineRule="auto"/>
        <w:ind w:left="480" w:hanging="480"/>
      </w:pPr>
      <w:r>
        <w:rPr>
          <w:rFonts w:ascii="Arial" w:eastAsia="Arial" w:hAnsi="Arial" w:cs="Arial"/>
        </w:rPr>
        <w:t>Rousseau, D.M. (1995) Psychological Contracts in Organisations: Understanding Written and Unwritten Agreements. Thousand Oaks: Sage.</w:t>
      </w:r>
    </w:p>
    <w:p w14:paraId="080CB179" w14:textId="77777777" w:rsidR="00AC7387" w:rsidRDefault="00000000">
      <w:pPr>
        <w:spacing w:after="160" w:line="360" w:lineRule="auto"/>
        <w:ind w:left="480" w:hanging="480"/>
      </w:pPr>
      <w:r>
        <w:rPr>
          <w:rFonts w:ascii="Arial" w:eastAsia="Arial" w:hAnsi="Arial" w:cs="Arial"/>
        </w:rPr>
        <w:t>Ryan, R.M. and Deci, E.L. (2000) 'Self-determination theory and the facilitation of intrinsic motivation, social development, and well-being', American Psychologist, 55(1), pp. 68–78.</w:t>
      </w:r>
    </w:p>
    <w:p w14:paraId="6A0113D2" w14:textId="77777777" w:rsidR="00AC7387" w:rsidRDefault="00000000">
      <w:pPr>
        <w:spacing w:after="160" w:line="360" w:lineRule="auto"/>
        <w:ind w:left="480" w:hanging="480"/>
      </w:pPr>
      <w:r>
        <w:rPr>
          <w:rFonts w:ascii="Arial" w:eastAsia="Arial" w:hAnsi="Arial" w:cs="Arial"/>
        </w:rPr>
        <w:t>Saks, A.M. and Gruman, J.A. (2021) 'Organizational socialization in the digital age', in Landers, R.N. (ed.) The Cambridge Handbook of Technology and Employee Behaviour. Cambridge: Cambridge University Press, pp. 379–409.</w:t>
      </w:r>
    </w:p>
    <w:p w14:paraId="46624737" w14:textId="77777777" w:rsidR="00AC7387" w:rsidRDefault="00000000">
      <w:pPr>
        <w:spacing w:after="160" w:line="360" w:lineRule="auto"/>
        <w:ind w:left="480" w:hanging="480"/>
      </w:pPr>
      <w:r>
        <w:rPr>
          <w:rFonts w:ascii="Arial" w:eastAsia="Arial" w:hAnsi="Arial" w:cs="Arial"/>
        </w:rPr>
        <w:t>Schein, E.H. (2010) Organizational Culture and Leadership. 4th edn. San Francisco: Jossey-Bass.</w:t>
      </w:r>
    </w:p>
    <w:p w14:paraId="4352E059" w14:textId="77777777" w:rsidR="00AC7387" w:rsidRDefault="00000000">
      <w:pPr>
        <w:spacing w:after="160" w:line="360" w:lineRule="auto"/>
        <w:ind w:left="480" w:hanging="480"/>
      </w:pPr>
      <w:r>
        <w:rPr>
          <w:rFonts w:ascii="Arial" w:eastAsia="Arial" w:hAnsi="Arial" w:cs="Arial"/>
        </w:rPr>
        <w:t>Schon, D.A. (1983) The Reflective Practitioner: How Professionals Think in Action. New York: Basic Books.</w:t>
      </w:r>
    </w:p>
    <w:p w14:paraId="5D75883A" w14:textId="77777777" w:rsidR="00AC7387" w:rsidRDefault="00000000">
      <w:pPr>
        <w:spacing w:after="160" w:line="360" w:lineRule="auto"/>
        <w:ind w:left="480" w:hanging="480"/>
      </w:pPr>
      <w:r>
        <w:rPr>
          <w:rFonts w:ascii="Arial" w:eastAsia="Arial" w:hAnsi="Arial" w:cs="Arial"/>
        </w:rPr>
        <w:t>Steger, M.F., Dik, B.J. and Duffy, R.D. (2012) 'Measuring meaningful work: The Work and Meaning Inventory (WAMI)', Journal of Career Assessment, 20(3), pp. 322–337.</w:t>
      </w:r>
    </w:p>
    <w:p w14:paraId="00F8075E" w14:textId="77777777" w:rsidR="00AC7387" w:rsidRDefault="00000000">
      <w:pPr>
        <w:spacing w:after="160" w:line="360" w:lineRule="auto"/>
        <w:ind w:left="480" w:hanging="480"/>
      </w:pPr>
      <w:r>
        <w:rPr>
          <w:rFonts w:ascii="Arial" w:eastAsia="Arial" w:hAnsi="Arial" w:cs="Arial"/>
        </w:rPr>
        <w:t>Ulrich, D., Kryscynski, D., Ulrich, M. and Brockbank, W. (2017) Victory Through Organization: Why the War for Talent is Failing Your Company and What You Can Do About It. New York: McGraw-Hill.</w:t>
      </w:r>
    </w:p>
    <w:p w14:paraId="463F6303" w14:textId="77777777" w:rsidR="00AC7387" w:rsidRDefault="00000000">
      <w:pPr>
        <w:spacing w:after="160" w:line="360" w:lineRule="auto"/>
        <w:ind w:left="480" w:hanging="480"/>
      </w:pPr>
      <w:r>
        <w:rPr>
          <w:rFonts w:ascii="Arial" w:eastAsia="Arial" w:hAnsi="Arial" w:cs="Arial"/>
        </w:rPr>
        <w:t>Van Maanen, J. and Schein, E.H. (1979) 'Toward a theory of organizational socialization', Research in Organizational Behaviour, 1, pp. 209–264.</w:t>
      </w:r>
    </w:p>
    <w:p w14:paraId="08C636F9" w14:textId="77777777" w:rsidR="00AC7387" w:rsidRDefault="00000000">
      <w:pPr>
        <w:spacing w:after="160" w:line="360" w:lineRule="auto"/>
        <w:ind w:left="480" w:hanging="480"/>
      </w:pPr>
      <w:r>
        <w:rPr>
          <w:rFonts w:ascii="Arial" w:eastAsia="Arial" w:hAnsi="Arial" w:cs="Arial"/>
        </w:rPr>
        <w:t>World Economic Forum (2020) Measuring Stakeholder Capitalism: Towards Common Metrics and Consistent Reporting of Sustainable Value Creation. Geneva: World Economic Forum.</w:t>
      </w:r>
    </w:p>
    <w:p w14:paraId="373794F9" w14:textId="77777777" w:rsidR="00AC7387" w:rsidRDefault="00000000">
      <w:pPr>
        <w:spacing w:after="160" w:line="360" w:lineRule="auto"/>
        <w:ind w:left="480" w:hanging="480"/>
      </w:pPr>
      <w:r>
        <w:rPr>
          <w:rFonts w:ascii="Arial" w:eastAsia="Arial" w:hAnsi="Arial" w:cs="Arial"/>
        </w:rPr>
        <w:t>Wrzesniewski, A. and Dutton, J.E. (2001) 'Crafting a job: Revisioning employees as active crafters of their work', Academy of Management Review, 26(2), pp. 179–201.</w:t>
      </w:r>
    </w:p>
    <w:sectPr w:rsidR="00AC7387">
      <w:headerReference w:type="default" r:id="rId8"/>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CE15CD" w14:textId="77777777" w:rsidR="005448CE" w:rsidRDefault="005448CE">
      <w:r>
        <w:separator/>
      </w:r>
    </w:p>
  </w:endnote>
  <w:endnote w:type="continuationSeparator" w:id="0">
    <w:p w14:paraId="216D3DD4" w14:textId="77777777" w:rsidR="005448CE" w:rsidRDefault="005448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1B1AE8" w14:textId="77777777" w:rsidR="00AC7387" w:rsidRDefault="00000000">
    <w:pPr>
      <w:jc w:val="center"/>
    </w:pPr>
    <w:r>
      <w:rPr>
        <w:rFonts w:ascii="Arial" w:eastAsia="Arial" w:hAnsi="Arial" w:cs="Arial"/>
        <w:sz w:val="18"/>
        <w:szCs w:val="18"/>
      </w:rPr>
      <w:fldChar w:fldCharType="begin"/>
    </w:r>
    <w:r>
      <w:rPr>
        <w:rFonts w:ascii="Arial" w:eastAsia="Arial" w:hAnsi="Arial" w:cs="Arial"/>
        <w:sz w:val="18"/>
        <w:szCs w:val="18"/>
      </w:rPr>
      <w:instrText>PAGE</w:instrText>
    </w:r>
    <w:r>
      <w:rPr>
        <w:rFonts w:ascii="Arial" w:eastAsia="Arial" w:hAnsi="Arial" w:cs="Arial"/>
        <w:sz w:val="18"/>
        <w:szCs w:val="18"/>
      </w:rPr>
      <w:fldChar w:fldCharType="separate"/>
    </w:r>
    <w:r w:rsidR="00F53472">
      <w:rPr>
        <w:rFonts w:ascii="Arial" w:eastAsia="Arial" w:hAnsi="Arial" w:cs="Arial"/>
        <w:noProof/>
        <w:sz w:val="18"/>
        <w:szCs w:val="18"/>
      </w:rPr>
      <w:t>1</w:t>
    </w:r>
    <w:r>
      <w:rPr>
        <w:rFonts w:ascii="Arial" w:eastAsia="Arial" w:hAnsi="Arial" w:cs="Arial"/>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0AD6A6" w14:textId="77777777" w:rsidR="005448CE" w:rsidRDefault="005448CE">
      <w:r>
        <w:separator/>
      </w:r>
    </w:p>
  </w:footnote>
  <w:footnote w:type="continuationSeparator" w:id="0">
    <w:p w14:paraId="6E6A0F08" w14:textId="77777777" w:rsidR="005448CE" w:rsidRDefault="005448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5F6CCD" w14:textId="77777777" w:rsidR="00AC7387" w:rsidRDefault="00000000">
    <w:pPr>
      <w:jc w:val="right"/>
    </w:pPr>
    <w:r>
      <w:rPr>
        <w:rFonts w:ascii="Arial" w:eastAsia="Arial" w:hAnsi="Arial" w:cs="Arial"/>
        <w:color w:val="808080"/>
        <w:sz w:val="16"/>
        <w:szCs w:val="16"/>
      </w:rPr>
      <w:t>Helios Urban Mobility — Strategic Human Capital Advisor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AC2B0A"/>
    <w:multiLevelType w:val="hybridMultilevel"/>
    <w:tmpl w:val="06987242"/>
    <w:lvl w:ilvl="0" w:tplc="C414F06E">
      <w:start w:val="1"/>
      <w:numFmt w:val="bullet"/>
      <w:lvlText w:val="●"/>
      <w:lvlJc w:val="left"/>
      <w:pPr>
        <w:ind w:left="720" w:hanging="360"/>
      </w:pPr>
    </w:lvl>
    <w:lvl w:ilvl="1" w:tplc="3370C142">
      <w:start w:val="1"/>
      <w:numFmt w:val="bullet"/>
      <w:lvlText w:val="○"/>
      <w:lvlJc w:val="left"/>
      <w:pPr>
        <w:ind w:left="1440" w:hanging="360"/>
      </w:pPr>
    </w:lvl>
    <w:lvl w:ilvl="2" w:tplc="7EAE6D58">
      <w:start w:val="1"/>
      <w:numFmt w:val="bullet"/>
      <w:lvlText w:val="■"/>
      <w:lvlJc w:val="left"/>
      <w:pPr>
        <w:ind w:left="2160" w:hanging="360"/>
      </w:pPr>
    </w:lvl>
    <w:lvl w:ilvl="3" w:tplc="423C42CA">
      <w:start w:val="1"/>
      <w:numFmt w:val="bullet"/>
      <w:lvlText w:val="●"/>
      <w:lvlJc w:val="left"/>
      <w:pPr>
        <w:ind w:left="2880" w:hanging="360"/>
      </w:pPr>
    </w:lvl>
    <w:lvl w:ilvl="4" w:tplc="A648AA96">
      <w:start w:val="1"/>
      <w:numFmt w:val="bullet"/>
      <w:lvlText w:val="○"/>
      <w:lvlJc w:val="left"/>
      <w:pPr>
        <w:ind w:left="3600" w:hanging="360"/>
      </w:pPr>
    </w:lvl>
    <w:lvl w:ilvl="5" w:tplc="ECE00D84">
      <w:start w:val="1"/>
      <w:numFmt w:val="bullet"/>
      <w:lvlText w:val="■"/>
      <w:lvlJc w:val="left"/>
      <w:pPr>
        <w:ind w:left="4320" w:hanging="360"/>
      </w:pPr>
    </w:lvl>
    <w:lvl w:ilvl="6" w:tplc="E56039F8">
      <w:start w:val="1"/>
      <w:numFmt w:val="bullet"/>
      <w:lvlText w:val="●"/>
      <w:lvlJc w:val="left"/>
      <w:pPr>
        <w:ind w:left="5040" w:hanging="360"/>
      </w:pPr>
    </w:lvl>
    <w:lvl w:ilvl="7" w:tplc="48625620">
      <w:start w:val="1"/>
      <w:numFmt w:val="bullet"/>
      <w:lvlText w:val="●"/>
      <w:lvlJc w:val="left"/>
      <w:pPr>
        <w:ind w:left="5760" w:hanging="360"/>
      </w:pPr>
    </w:lvl>
    <w:lvl w:ilvl="8" w:tplc="7A34C1E6">
      <w:start w:val="1"/>
      <w:numFmt w:val="bullet"/>
      <w:lvlText w:val="●"/>
      <w:lvlJc w:val="left"/>
      <w:pPr>
        <w:ind w:left="6480" w:hanging="360"/>
      </w:pPr>
    </w:lvl>
  </w:abstractNum>
  <w:abstractNum w:abstractNumId="1" w15:restartNumberingAfterBreak="0">
    <w:nsid w:val="7CEC3F96"/>
    <w:multiLevelType w:val="hybridMultilevel"/>
    <w:tmpl w:val="5422ED78"/>
    <w:lvl w:ilvl="0" w:tplc="B1382F88">
      <w:start w:val="1"/>
      <w:numFmt w:val="bullet"/>
      <w:lvlText w:val="•"/>
      <w:lvlJc w:val="left"/>
      <w:pPr>
        <w:ind w:left="720" w:hanging="260"/>
      </w:pPr>
    </w:lvl>
    <w:lvl w:ilvl="1" w:tplc="F79847C6">
      <w:numFmt w:val="decimal"/>
      <w:lvlText w:val=""/>
      <w:lvlJc w:val="left"/>
    </w:lvl>
    <w:lvl w:ilvl="2" w:tplc="C906A818">
      <w:numFmt w:val="decimal"/>
      <w:lvlText w:val=""/>
      <w:lvlJc w:val="left"/>
    </w:lvl>
    <w:lvl w:ilvl="3" w:tplc="3D8818E4">
      <w:numFmt w:val="decimal"/>
      <w:lvlText w:val=""/>
      <w:lvlJc w:val="left"/>
    </w:lvl>
    <w:lvl w:ilvl="4" w:tplc="4FB8A7B2">
      <w:numFmt w:val="decimal"/>
      <w:lvlText w:val=""/>
      <w:lvlJc w:val="left"/>
    </w:lvl>
    <w:lvl w:ilvl="5" w:tplc="C5443E0A">
      <w:numFmt w:val="decimal"/>
      <w:lvlText w:val=""/>
      <w:lvlJc w:val="left"/>
    </w:lvl>
    <w:lvl w:ilvl="6" w:tplc="7A082586">
      <w:numFmt w:val="decimal"/>
      <w:lvlText w:val=""/>
      <w:lvlJc w:val="left"/>
    </w:lvl>
    <w:lvl w:ilvl="7" w:tplc="12780D98">
      <w:numFmt w:val="decimal"/>
      <w:lvlText w:val=""/>
      <w:lvlJc w:val="left"/>
    </w:lvl>
    <w:lvl w:ilvl="8" w:tplc="F98C3528">
      <w:numFmt w:val="decimal"/>
      <w:lvlText w:val=""/>
      <w:lvlJc w:val="left"/>
    </w:lvl>
  </w:abstractNum>
  <w:num w:numId="1" w16cid:durableId="892739155">
    <w:abstractNumId w:val="0"/>
    <w:lvlOverride w:ilvl="0">
      <w:startOverride w:val="1"/>
    </w:lvlOverride>
  </w:num>
  <w:num w:numId="2" w16cid:durableId="1306817100">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7387"/>
    <w:rsid w:val="00002F28"/>
    <w:rsid w:val="000A025F"/>
    <w:rsid w:val="000B08F8"/>
    <w:rsid w:val="00192CA1"/>
    <w:rsid w:val="001966DB"/>
    <w:rsid w:val="00291E26"/>
    <w:rsid w:val="002D29B5"/>
    <w:rsid w:val="00391458"/>
    <w:rsid w:val="003E7E58"/>
    <w:rsid w:val="00504F14"/>
    <w:rsid w:val="005448CE"/>
    <w:rsid w:val="0069149A"/>
    <w:rsid w:val="006B0224"/>
    <w:rsid w:val="006C6095"/>
    <w:rsid w:val="007032F7"/>
    <w:rsid w:val="008556EB"/>
    <w:rsid w:val="00962F8B"/>
    <w:rsid w:val="00A317F7"/>
    <w:rsid w:val="00AC7387"/>
    <w:rsid w:val="00B725C6"/>
    <w:rsid w:val="00D83CB1"/>
    <w:rsid w:val="00D90AD8"/>
    <w:rsid w:val="00DC2C58"/>
    <w:rsid w:val="00DE4DDB"/>
    <w:rsid w:val="00E43F44"/>
    <w:rsid w:val="00F53472"/>
    <w:rsid w:val="00FD51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291F4"/>
  <w15:docId w15:val="{02325C9E-CEA8-41BD-A156-434B6B55B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146</TotalTime>
  <Pages>17</Pages>
  <Words>4535</Words>
  <Characters>25856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Nanga Pedro (2247167)</cp:lastModifiedBy>
  <cp:revision>4</cp:revision>
  <dcterms:created xsi:type="dcterms:W3CDTF">2026-07-15T13:48:00Z</dcterms:created>
  <dcterms:modified xsi:type="dcterms:W3CDTF">2026-07-15T21:55:00Z</dcterms:modified>
</cp:coreProperties>
</file>