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D225E" w14:textId="440D9010" w:rsidR="00EB583F" w:rsidRDefault="00EB583F" w:rsidP="00D73ACE">
      <w:pPr>
        <w:spacing w:line="360" w:lineRule="auto"/>
        <w:jc w:val="center"/>
        <w:rPr>
          <w:rFonts w:ascii="Arial" w:hAnsi="Arial" w:cs="Arial"/>
          <w:b/>
          <w:bCs/>
          <w:sz w:val="24"/>
          <w:szCs w:val="24"/>
        </w:rPr>
      </w:pPr>
      <w:r w:rsidRPr="00EB583F">
        <w:rPr>
          <w:rFonts w:ascii="Arial" w:hAnsi="Arial" w:cs="Arial"/>
          <w:b/>
          <w:bCs/>
          <w:sz w:val="24"/>
          <w:szCs w:val="24"/>
        </w:rPr>
        <w:t>Event Strategic Planning and Delivery Considerations for an International Meeting</w:t>
      </w:r>
    </w:p>
    <w:p w14:paraId="3BC64876" w14:textId="77777777" w:rsidR="00D73ACE" w:rsidRDefault="00D73ACE" w:rsidP="00EB583F">
      <w:pPr>
        <w:spacing w:line="360" w:lineRule="auto"/>
        <w:jc w:val="right"/>
        <w:rPr>
          <w:rFonts w:ascii="Arial" w:hAnsi="Arial" w:cs="Arial"/>
          <w:b/>
          <w:bCs/>
          <w:sz w:val="24"/>
          <w:szCs w:val="24"/>
        </w:rPr>
      </w:pPr>
    </w:p>
    <w:p w14:paraId="041B45E6" w14:textId="77777777" w:rsidR="00D73ACE" w:rsidRDefault="00D73ACE" w:rsidP="00EB583F">
      <w:pPr>
        <w:spacing w:line="360" w:lineRule="auto"/>
        <w:jc w:val="right"/>
        <w:rPr>
          <w:rFonts w:ascii="Arial" w:hAnsi="Arial" w:cs="Arial"/>
          <w:b/>
          <w:bCs/>
          <w:sz w:val="24"/>
          <w:szCs w:val="24"/>
        </w:rPr>
      </w:pPr>
    </w:p>
    <w:p w14:paraId="538ABDF4" w14:textId="77777777" w:rsidR="00D73ACE" w:rsidRDefault="00D73ACE" w:rsidP="00EB583F">
      <w:pPr>
        <w:spacing w:line="360" w:lineRule="auto"/>
        <w:jc w:val="right"/>
        <w:rPr>
          <w:rFonts w:ascii="Arial" w:hAnsi="Arial" w:cs="Arial"/>
          <w:b/>
          <w:bCs/>
          <w:sz w:val="24"/>
          <w:szCs w:val="24"/>
        </w:rPr>
      </w:pPr>
    </w:p>
    <w:p w14:paraId="44BF0695" w14:textId="255546D2" w:rsidR="00EB583F" w:rsidRDefault="00EB583F" w:rsidP="00EB583F">
      <w:pPr>
        <w:spacing w:line="360" w:lineRule="auto"/>
        <w:jc w:val="right"/>
        <w:rPr>
          <w:rFonts w:ascii="Arial" w:hAnsi="Arial" w:cs="Arial"/>
          <w:b/>
          <w:bCs/>
          <w:sz w:val="24"/>
          <w:szCs w:val="24"/>
        </w:rPr>
      </w:pPr>
      <w:r>
        <w:rPr>
          <w:rFonts w:ascii="Arial" w:hAnsi="Arial" w:cs="Arial"/>
          <w:b/>
          <w:bCs/>
          <w:sz w:val="24"/>
          <w:szCs w:val="24"/>
        </w:rPr>
        <w:t>Report</w:t>
      </w:r>
    </w:p>
    <w:p w14:paraId="0118C0AC" w14:textId="77777777" w:rsidR="00D73ACE" w:rsidRDefault="00D73ACE" w:rsidP="00EB583F">
      <w:pPr>
        <w:spacing w:line="360" w:lineRule="auto"/>
        <w:jc w:val="right"/>
        <w:rPr>
          <w:rFonts w:ascii="Arial" w:hAnsi="Arial" w:cs="Arial"/>
          <w:b/>
          <w:bCs/>
          <w:sz w:val="24"/>
          <w:szCs w:val="24"/>
        </w:rPr>
      </w:pPr>
    </w:p>
    <w:p w14:paraId="455BB2F0" w14:textId="77777777" w:rsidR="00D73ACE" w:rsidRDefault="00D73ACE" w:rsidP="00D73ACE">
      <w:pPr>
        <w:spacing w:line="360" w:lineRule="auto"/>
        <w:rPr>
          <w:rFonts w:ascii="Arial" w:hAnsi="Arial" w:cs="Arial"/>
        </w:rPr>
      </w:pPr>
    </w:p>
    <w:p w14:paraId="30274DFE" w14:textId="77777777" w:rsidR="00D73ACE" w:rsidRDefault="00D73ACE" w:rsidP="00D73ACE">
      <w:pPr>
        <w:spacing w:line="360" w:lineRule="auto"/>
        <w:rPr>
          <w:rFonts w:ascii="Arial" w:hAnsi="Arial" w:cs="Arial"/>
        </w:rPr>
      </w:pPr>
    </w:p>
    <w:p w14:paraId="4EE43985" w14:textId="77777777" w:rsidR="00D73ACE" w:rsidRDefault="00D73ACE" w:rsidP="00D73ACE">
      <w:pPr>
        <w:spacing w:line="360" w:lineRule="auto"/>
        <w:rPr>
          <w:rFonts w:ascii="Arial" w:hAnsi="Arial" w:cs="Arial"/>
        </w:rPr>
      </w:pPr>
    </w:p>
    <w:p w14:paraId="4AFF6D0C" w14:textId="77777777" w:rsidR="00D73ACE" w:rsidRDefault="00D73ACE" w:rsidP="00D73ACE">
      <w:pPr>
        <w:spacing w:line="360" w:lineRule="auto"/>
        <w:rPr>
          <w:rFonts w:ascii="Arial" w:hAnsi="Arial" w:cs="Arial"/>
        </w:rPr>
      </w:pPr>
    </w:p>
    <w:p w14:paraId="646F6071" w14:textId="77777777" w:rsidR="00D73ACE" w:rsidRDefault="00D73ACE" w:rsidP="00D73ACE">
      <w:pPr>
        <w:spacing w:line="360" w:lineRule="auto"/>
        <w:rPr>
          <w:rFonts w:ascii="Arial" w:hAnsi="Arial" w:cs="Arial"/>
        </w:rPr>
      </w:pPr>
    </w:p>
    <w:p w14:paraId="1608C43F" w14:textId="77777777" w:rsidR="00D73ACE" w:rsidRDefault="00D73ACE" w:rsidP="00D73ACE">
      <w:pPr>
        <w:spacing w:line="360" w:lineRule="auto"/>
        <w:rPr>
          <w:rFonts w:ascii="Arial" w:hAnsi="Arial" w:cs="Arial"/>
        </w:rPr>
      </w:pPr>
    </w:p>
    <w:p w14:paraId="1D39620C" w14:textId="1FD3A90B" w:rsidR="00D73ACE" w:rsidRPr="00D73ACE" w:rsidRDefault="00D73ACE" w:rsidP="00D73ACE">
      <w:pPr>
        <w:spacing w:line="360" w:lineRule="auto"/>
        <w:rPr>
          <w:rFonts w:ascii="Arial" w:hAnsi="Arial" w:cs="Arial"/>
        </w:rPr>
      </w:pPr>
      <w:r w:rsidRPr="00D73ACE">
        <w:rPr>
          <w:rFonts w:ascii="Arial" w:hAnsi="Arial" w:cs="Arial"/>
        </w:rPr>
        <w:t xml:space="preserve">Module: </w:t>
      </w:r>
      <w:r w:rsidRPr="00D73ACE">
        <w:rPr>
          <w:rFonts w:ascii="Arial" w:hAnsi="Arial" w:cs="Arial"/>
        </w:rPr>
        <w:t>BMIH6007</w:t>
      </w:r>
      <w:r>
        <w:rPr>
          <w:rFonts w:ascii="Arial" w:hAnsi="Arial" w:cs="Arial"/>
        </w:rPr>
        <w:t xml:space="preserve"> </w:t>
      </w:r>
      <w:r w:rsidRPr="00D73ACE">
        <w:rPr>
          <w:rFonts w:ascii="Arial" w:hAnsi="Arial" w:cs="Arial"/>
        </w:rPr>
        <w:t>International Meetings Management for the Hotel Industry</w:t>
      </w:r>
    </w:p>
    <w:p w14:paraId="0E36DC3A" w14:textId="0911AEFE" w:rsidR="00D73ACE" w:rsidRDefault="00D73ACE" w:rsidP="00D73ACE">
      <w:pPr>
        <w:spacing w:line="360" w:lineRule="auto"/>
        <w:rPr>
          <w:rFonts w:ascii="Arial" w:hAnsi="Arial" w:cs="Arial"/>
          <w:sz w:val="24"/>
          <w:szCs w:val="24"/>
        </w:rPr>
      </w:pPr>
      <w:r>
        <w:rPr>
          <w:rFonts w:ascii="Arial" w:hAnsi="Arial" w:cs="Arial"/>
          <w:sz w:val="24"/>
          <w:szCs w:val="24"/>
        </w:rPr>
        <w:t xml:space="preserve">Student name: </w:t>
      </w:r>
      <w:proofErr w:type="spellStart"/>
      <w:r>
        <w:rPr>
          <w:rFonts w:ascii="Arial" w:hAnsi="Arial" w:cs="Arial"/>
          <w:sz w:val="24"/>
          <w:szCs w:val="24"/>
        </w:rPr>
        <w:t>Petru</w:t>
      </w:r>
      <w:proofErr w:type="spellEnd"/>
      <w:r>
        <w:rPr>
          <w:rFonts w:ascii="Arial" w:hAnsi="Arial" w:cs="Arial"/>
          <w:sz w:val="24"/>
          <w:szCs w:val="24"/>
        </w:rPr>
        <w:t xml:space="preserve"> </w:t>
      </w:r>
      <w:proofErr w:type="spellStart"/>
      <w:r>
        <w:rPr>
          <w:rFonts w:ascii="Arial" w:hAnsi="Arial" w:cs="Arial"/>
          <w:sz w:val="24"/>
          <w:szCs w:val="24"/>
        </w:rPr>
        <w:t>Cucu</w:t>
      </w:r>
      <w:proofErr w:type="spellEnd"/>
    </w:p>
    <w:p w14:paraId="047985B3" w14:textId="52036DA2" w:rsidR="00D73ACE" w:rsidRDefault="00D73ACE" w:rsidP="00D73ACE">
      <w:pPr>
        <w:spacing w:line="360" w:lineRule="auto"/>
        <w:rPr>
          <w:rFonts w:ascii="Arial" w:hAnsi="Arial" w:cs="Arial"/>
          <w:sz w:val="24"/>
          <w:szCs w:val="24"/>
        </w:rPr>
      </w:pPr>
      <w:r>
        <w:rPr>
          <w:rFonts w:ascii="Arial" w:hAnsi="Arial" w:cs="Arial"/>
          <w:sz w:val="24"/>
          <w:szCs w:val="24"/>
        </w:rPr>
        <w:t>Student ID:2213956</w:t>
      </w:r>
    </w:p>
    <w:p w14:paraId="38E6D479" w14:textId="3C7125C4" w:rsidR="00D73ACE" w:rsidRPr="00D73ACE" w:rsidRDefault="00D73ACE" w:rsidP="00D73ACE">
      <w:pPr>
        <w:spacing w:line="360" w:lineRule="auto"/>
        <w:rPr>
          <w:rFonts w:ascii="Arial" w:hAnsi="Arial" w:cs="Arial"/>
          <w:sz w:val="24"/>
          <w:szCs w:val="24"/>
        </w:rPr>
      </w:pPr>
      <w:r>
        <w:rPr>
          <w:rFonts w:ascii="Arial" w:hAnsi="Arial" w:cs="Arial"/>
          <w:sz w:val="24"/>
          <w:szCs w:val="24"/>
        </w:rPr>
        <w:t>Lecturer: Kathryn Flynn</w:t>
      </w:r>
    </w:p>
    <w:p w14:paraId="66D046C3" w14:textId="77777777" w:rsidR="005B0773" w:rsidRDefault="005B0773" w:rsidP="00EB583F">
      <w:pPr>
        <w:spacing w:line="360" w:lineRule="auto"/>
        <w:jc w:val="right"/>
        <w:rPr>
          <w:rFonts w:ascii="Arial" w:hAnsi="Arial" w:cs="Arial"/>
          <w:b/>
          <w:bCs/>
          <w:sz w:val="24"/>
          <w:szCs w:val="24"/>
        </w:rPr>
      </w:pPr>
    </w:p>
    <w:p w14:paraId="71614D16" w14:textId="77777777" w:rsidR="005B0773" w:rsidRDefault="005B0773" w:rsidP="00EB583F">
      <w:pPr>
        <w:spacing w:line="360" w:lineRule="auto"/>
        <w:jc w:val="right"/>
        <w:rPr>
          <w:rFonts w:ascii="Arial" w:hAnsi="Arial" w:cs="Arial"/>
          <w:b/>
          <w:bCs/>
          <w:sz w:val="24"/>
          <w:szCs w:val="24"/>
        </w:rPr>
      </w:pPr>
    </w:p>
    <w:p w14:paraId="250E5462" w14:textId="77777777" w:rsidR="005B0773" w:rsidRDefault="005B0773" w:rsidP="00EB583F">
      <w:pPr>
        <w:spacing w:line="360" w:lineRule="auto"/>
        <w:jc w:val="right"/>
        <w:rPr>
          <w:rFonts w:ascii="Arial" w:hAnsi="Arial" w:cs="Arial"/>
          <w:b/>
          <w:bCs/>
          <w:sz w:val="24"/>
          <w:szCs w:val="24"/>
        </w:rPr>
      </w:pPr>
    </w:p>
    <w:p w14:paraId="62485EC4" w14:textId="77777777" w:rsidR="005B0773" w:rsidRDefault="005B0773" w:rsidP="00EB583F">
      <w:pPr>
        <w:spacing w:line="360" w:lineRule="auto"/>
        <w:jc w:val="right"/>
        <w:rPr>
          <w:rFonts w:ascii="Arial" w:hAnsi="Arial" w:cs="Arial"/>
          <w:b/>
          <w:bCs/>
          <w:sz w:val="24"/>
          <w:szCs w:val="24"/>
        </w:rPr>
      </w:pPr>
    </w:p>
    <w:p w14:paraId="79188EE5" w14:textId="77777777" w:rsidR="005B0773" w:rsidRDefault="005B0773" w:rsidP="00EB583F">
      <w:pPr>
        <w:spacing w:line="360" w:lineRule="auto"/>
        <w:jc w:val="right"/>
        <w:rPr>
          <w:rFonts w:ascii="Arial" w:hAnsi="Arial" w:cs="Arial"/>
          <w:b/>
          <w:bCs/>
          <w:sz w:val="24"/>
          <w:szCs w:val="24"/>
        </w:rPr>
      </w:pPr>
    </w:p>
    <w:p w14:paraId="29A93145" w14:textId="77777777" w:rsidR="005B0773" w:rsidRDefault="005B0773" w:rsidP="00EB583F">
      <w:pPr>
        <w:spacing w:line="360" w:lineRule="auto"/>
        <w:jc w:val="right"/>
        <w:rPr>
          <w:rFonts w:ascii="Arial" w:hAnsi="Arial" w:cs="Arial"/>
          <w:b/>
          <w:bCs/>
          <w:sz w:val="24"/>
          <w:szCs w:val="24"/>
        </w:rPr>
      </w:pPr>
    </w:p>
    <w:p w14:paraId="0D9BCEAE" w14:textId="77777777" w:rsidR="005B0773" w:rsidRDefault="005B0773" w:rsidP="00EB583F">
      <w:pPr>
        <w:spacing w:line="360" w:lineRule="auto"/>
        <w:jc w:val="right"/>
        <w:rPr>
          <w:rFonts w:ascii="Arial" w:hAnsi="Arial" w:cs="Arial"/>
          <w:b/>
          <w:bCs/>
          <w:sz w:val="24"/>
          <w:szCs w:val="24"/>
        </w:rPr>
      </w:pPr>
    </w:p>
    <w:p w14:paraId="1FE6D650" w14:textId="77777777" w:rsidR="005B0773" w:rsidRDefault="005B0773" w:rsidP="00EB583F">
      <w:pPr>
        <w:spacing w:line="360" w:lineRule="auto"/>
        <w:jc w:val="right"/>
        <w:rPr>
          <w:rFonts w:ascii="Arial" w:hAnsi="Arial" w:cs="Arial"/>
          <w:b/>
          <w:bCs/>
          <w:sz w:val="24"/>
          <w:szCs w:val="24"/>
        </w:rPr>
      </w:pPr>
    </w:p>
    <w:p w14:paraId="425DF44F" w14:textId="77777777" w:rsidR="005B0773" w:rsidRDefault="005B0773" w:rsidP="00EB583F">
      <w:pPr>
        <w:spacing w:line="360" w:lineRule="auto"/>
        <w:jc w:val="right"/>
        <w:rPr>
          <w:rFonts w:ascii="Arial" w:hAnsi="Arial" w:cs="Arial"/>
          <w:b/>
          <w:bCs/>
          <w:sz w:val="24"/>
          <w:szCs w:val="24"/>
        </w:rPr>
      </w:pPr>
    </w:p>
    <w:p w14:paraId="231938AF" w14:textId="77777777" w:rsidR="005B0773" w:rsidRDefault="005B0773" w:rsidP="00EB583F">
      <w:pPr>
        <w:spacing w:line="360" w:lineRule="auto"/>
        <w:jc w:val="right"/>
        <w:rPr>
          <w:rFonts w:ascii="Arial" w:hAnsi="Arial" w:cs="Arial"/>
          <w:b/>
          <w:bCs/>
          <w:sz w:val="24"/>
          <w:szCs w:val="24"/>
        </w:rPr>
      </w:pPr>
    </w:p>
    <w:p w14:paraId="38D5A3BC" w14:textId="77777777" w:rsidR="005B0773" w:rsidRDefault="005B0773" w:rsidP="00EB583F">
      <w:pPr>
        <w:spacing w:line="360" w:lineRule="auto"/>
        <w:jc w:val="right"/>
        <w:rPr>
          <w:rFonts w:ascii="Arial" w:hAnsi="Arial" w:cs="Arial"/>
          <w:b/>
          <w:bCs/>
          <w:sz w:val="24"/>
          <w:szCs w:val="24"/>
        </w:rPr>
      </w:pPr>
    </w:p>
    <w:p w14:paraId="04700AB8" w14:textId="77777777" w:rsidR="005B0773" w:rsidRDefault="005B0773" w:rsidP="00EB583F">
      <w:pPr>
        <w:spacing w:line="360" w:lineRule="auto"/>
        <w:jc w:val="right"/>
        <w:rPr>
          <w:rFonts w:ascii="Arial" w:hAnsi="Arial" w:cs="Arial"/>
          <w:b/>
          <w:bCs/>
          <w:sz w:val="24"/>
          <w:szCs w:val="24"/>
        </w:rPr>
      </w:pPr>
    </w:p>
    <w:p w14:paraId="1EABCA1E" w14:textId="77777777" w:rsidR="005B0773" w:rsidRDefault="005B0773" w:rsidP="00EB583F">
      <w:pPr>
        <w:spacing w:line="360" w:lineRule="auto"/>
        <w:jc w:val="right"/>
        <w:rPr>
          <w:rFonts w:ascii="Arial" w:hAnsi="Arial" w:cs="Arial"/>
          <w:b/>
          <w:bCs/>
          <w:sz w:val="24"/>
          <w:szCs w:val="24"/>
        </w:rPr>
      </w:pPr>
    </w:p>
    <w:p w14:paraId="1C683CF2" w14:textId="77777777" w:rsidR="005B0773" w:rsidRDefault="005B0773" w:rsidP="00EB583F">
      <w:pPr>
        <w:spacing w:line="360" w:lineRule="auto"/>
        <w:jc w:val="right"/>
        <w:rPr>
          <w:rFonts w:ascii="Arial" w:hAnsi="Arial" w:cs="Arial"/>
          <w:b/>
          <w:bCs/>
          <w:sz w:val="24"/>
          <w:szCs w:val="24"/>
        </w:rPr>
      </w:pPr>
    </w:p>
    <w:p w14:paraId="4A617A95" w14:textId="77777777" w:rsidR="005B0773" w:rsidRDefault="005B0773" w:rsidP="00EB583F">
      <w:pPr>
        <w:spacing w:line="360" w:lineRule="auto"/>
        <w:jc w:val="right"/>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126829316"/>
        <w:docPartObj>
          <w:docPartGallery w:val="Table of Contents"/>
          <w:docPartUnique/>
        </w:docPartObj>
      </w:sdtPr>
      <w:sdtEndPr>
        <w:rPr>
          <w:b/>
          <w:bCs/>
          <w:noProof/>
        </w:rPr>
      </w:sdtEndPr>
      <w:sdtContent>
        <w:p w14:paraId="16E2B59E" w14:textId="77777777" w:rsidR="00D73ACE" w:rsidRDefault="00D73ACE">
          <w:pPr>
            <w:pStyle w:val="TOCHeading"/>
            <w:rPr>
              <w:rFonts w:asciiTheme="minorHAnsi" w:eastAsiaTheme="minorHAnsi" w:hAnsiTheme="minorHAnsi" w:cstheme="minorBidi"/>
              <w:color w:val="auto"/>
              <w:kern w:val="2"/>
              <w:sz w:val="22"/>
              <w:szCs w:val="22"/>
              <w:lang w:val="en-GB"/>
              <w14:ligatures w14:val="standardContextual"/>
            </w:rPr>
          </w:pPr>
        </w:p>
        <w:p w14:paraId="5D16B412" w14:textId="6CA7893A" w:rsidR="00463E9D" w:rsidRPr="00463E9D" w:rsidRDefault="00463E9D">
          <w:pPr>
            <w:pStyle w:val="TOCHeading"/>
            <w:rPr>
              <w:rFonts w:ascii="Arial" w:hAnsi="Arial" w:cs="Arial"/>
              <w:sz w:val="24"/>
              <w:szCs w:val="24"/>
            </w:rPr>
          </w:pPr>
          <w:r w:rsidRPr="00463E9D">
            <w:rPr>
              <w:rFonts w:ascii="Arial" w:hAnsi="Arial" w:cs="Arial"/>
              <w:sz w:val="24"/>
              <w:szCs w:val="24"/>
            </w:rPr>
            <w:t>Table of Contents</w:t>
          </w:r>
        </w:p>
        <w:p w14:paraId="42BE9570" w14:textId="1CC156F6" w:rsidR="00463E9D" w:rsidRPr="00463E9D" w:rsidRDefault="00463E9D">
          <w:pPr>
            <w:pStyle w:val="TOC1"/>
            <w:tabs>
              <w:tab w:val="right" w:leader="dot" w:pos="9016"/>
            </w:tabs>
            <w:rPr>
              <w:rFonts w:ascii="Arial" w:hAnsi="Arial" w:cs="Arial"/>
              <w:noProof/>
              <w:sz w:val="24"/>
              <w:szCs w:val="24"/>
            </w:rPr>
          </w:pPr>
          <w:r w:rsidRPr="00463E9D">
            <w:rPr>
              <w:rFonts w:ascii="Arial" w:hAnsi="Arial" w:cs="Arial"/>
              <w:sz w:val="24"/>
              <w:szCs w:val="24"/>
            </w:rPr>
            <w:fldChar w:fldCharType="begin"/>
          </w:r>
          <w:r w:rsidRPr="00463E9D">
            <w:rPr>
              <w:rFonts w:ascii="Arial" w:hAnsi="Arial" w:cs="Arial"/>
              <w:sz w:val="24"/>
              <w:szCs w:val="24"/>
            </w:rPr>
            <w:instrText xml:space="preserve"> TOC \o "1-3" \h \z \u </w:instrText>
          </w:r>
          <w:r w:rsidRPr="00463E9D">
            <w:rPr>
              <w:rFonts w:ascii="Arial" w:hAnsi="Arial" w:cs="Arial"/>
              <w:sz w:val="24"/>
              <w:szCs w:val="24"/>
            </w:rPr>
            <w:fldChar w:fldCharType="separate"/>
          </w:r>
          <w:hyperlink w:anchor="_Toc181982448" w:history="1">
            <w:r w:rsidRPr="00463E9D">
              <w:rPr>
                <w:rStyle w:val="Hyperlink"/>
                <w:rFonts w:ascii="Arial" w:hAnsi="Arial" w:cs="Arial"/>
                <w:noProof/>
                <w:sz w:val="24"/>
                <w:szCs w:val="24"/>
              </w:rPr>
              <w:t>Introduction</w:t>
            </w:r>
            <w:r w:rsidRPr="00463E9D">
              <w:rPr>
                <w:rFonts w:ascii="Arial" w:hAnsi="Arial" w:cs="Arial"/>
                <w:noProof/>
                <w:webHidden/>
                <w:sz w:val="24"/>
                <w:szCs w:val="24"/>
              </w:rPr>
              <w:tab/>
            </w:r>
            <w:r w:rsidRPr="00463E9D">
              <w:rPr>
                <w:rFonts w:ascii="Arial" w:hAnsi="Arial" w:cs="Arial"/>
                <w:noProof/>
                <w:webHidden/>
                <w:sz w:val="24"/>
                <w:szCs w:val="24"/>
              </w:rPr>
              <w:fldChar w:fldCharType="begin"/>
            </w:r>
            <w:r w:rsidRPr="00463E9D">
              <w:rPr>
                <w:rFonts w:ascii="Arial" w:hAnsi="Arial" w:cs="Arial"/>
                <w:noProof/>
                <w:webHidden/>
                <w:sz w:val="24"/>
                <w:szCs w:val="24"/>
              </w:rPr>
              <w:instrText xml:space="preserve"> PAGEREF _Toc181982448 \h </w:instrText>
            </w:r>
            <w:r w:rsidRPr="00463E9D">
              <w:rPr>
                <w:rFonts w:ascii="Arial" w:hAnsi="Arial" w:cs="Arial"/>
                <w:noProof/>
                <w:webHidden/>
                <w:sz w:val="24"/>
                <w:szCs w:val="24"/>
              </w:rPr>
            </w:r>
            <w:r w:rsidRPr="00463E9D">
              <w:rPr>
                <w:rFonts w:ascii="Arial" w:hAnsi="Arial" w:cs="Arial"/>
                <w:noProof/>
                <w:webHidden/>
                <w:sz w:val="24"/>
                <w:szCs w:val="24"/>
              </w:rPr>
              <w:fldChar w:fldCharType="separate"/>
            </w:r>
            <w:r w:rsidR="00353E49">
              <w:rPr>
                <w:rFonts w:ascii="Arial" w:hAnsi="Arial" w:cs="Arial"/>
                <w:noProof/>
                <w:webHidden/>
                <w:sz w:val="24"/>
                <w:szCs w:val="24"/>
              </w:rPr>
              <w:t>3</w:t>
            </w:r>
            <w:r w:rsidRPr="00463E9D">
              <w:rPr>
                <w:rFonts w:ascii="Arial" w:hAnsi="Arial" w:cs="Arial"/>
                <w:noProof/>
                <w:webHidden/>
                <w:sz w:val="24"/>
                <w:szCs w:val="24"/>
              </w:rPr>
              <w:fldChar w:fldCharType="end"/>
            </w:r>
          </w:hyperlink>
        </w:p>
        <w:p w14:paraId="2477B72A" w14:textId="52FE38F3" w:rsidR="00463E9D" w:rsidRPr="00463E9D" w:rsidRDefault="00000000">
          <w:pPr>
            <w:pStyle w:val="TOC1"/>
            <w:tabs>
              <w:tab w:val="right" w:leader="dot" w:pos="9016"/>
            </w:tabs>
            <w:rPr>
              <w:rFonts w:ascii="Arial" w:hAnsi="Arial" w:cs="Arial"/>
              <w:noProof/>
              <w:sz w:val="24"/>
              <w:szCs w:val="24"/>
            </w:rPr>
          </w:pPr>
          <w:hyperlink w:anchor="_Toc181982449" w:history="1">
            <w:r w:rsidR="00463E9D" w:rsidRPr="00463E9D">
              <w:rPr>
                <w:rStyle w:val="Hyperlink"/>
                <w:rFonts w:ascii="Arial" w:hAnsi="Arial" w:cs="Arial"/>
                <w:noProof/>
                <w:sz w:val="24"/>
                <w:szCs w:val="24"/>
              </w:rPr>
              <w:t>The Event Cycle</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_Toc181982449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3</w:t>
            </w:r>
            <w:r w:rsidR="00463E9D" w:rsidRPr="00463E9D">
              <w:rPr>
                <w:rFonts w:ascii="Arial" w:hAnsi="Arial" w:cs="Arial"/>
                <w:noProof/>
                <w:webHidden/>
                <w:sz w:val="24"/>
                <w:szCs w:val="24"/>
              </w:rPr>
              <w:fldChar w:fldCharType="end"/>
            </w:r>
          </w:hyperlink>
        </w:p>
        <w:p w14:paraId="1FBA990E" w14:textId="6D2EFA80" w:rsidR="00463E9D" w:rsidRPr="00463E9D" w:rsidRDefault="00000000">
          <w:pPr>
            <w:pStyle w:val="TOC1"/>
            <w:tabs>
              <w:tab w:val="right" w:leader="dot" w:pos="9016"/>
            </w:tabs>
            <w:rPr>
              <w:rFonts w:ascii="Arial" w:hAnsi="Arial" w:cs="Arial"/>
              <w:noProof/>
              <w:sz w:val="24"/>
              <w:szCs w:val="24"/>
            </w:rPr>
          </w:pPr>
          <w:hyperlink w:anchor="_Toc181982450" w:history="1">
            <w:r w:rsidR="00463E9D" w:rsidRPr="00463E9D">
              <w:rPr>
                <w:rStyle w:val="Hyperlink"/>
                <w:rFonts w:ascii="Arial" w:hAnsi="Arial" w:cs="Arial"/>
                <w:noProof/>
                <w:sz w:val="24"/>
                <w:szCs w:val="24"/>
              </w:rPr>
              <w:t>Event Concept</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_Toc181982450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4</w:t>
            </w:r>
            <w:r w:rsidR="00463E9D" w:rsidRPr="00463E9D">
              <w:rPr>
                <w:rFonts w:ascii="Arial" w:hAnsi="Arial" w:cs="Arial"/>
                <w:noProof/>
                <w:webHidden/>
                <w:sz w:val="24"/>
                <w:szCs w:val="24"/>
              </w:rPr>
              <w:fldChar w:fldCharType="end"/>
            </w:r>
          </w:hyperlink>
        </w:p>
        <w:p w14:paraId="548E7CE9" w14:textId="26F37B40" w:rsidR="00463E9D" w:rsidRPr="00463E9D" w:rsidRDefault="00000000">
          <w:pPr>
            <w:pStyle w:val="TOC1"/>
            <w:tabs>
              <w:tab w:val="right" w:leader="dot" w:pos="9016"/>
            </w:tabs>
            <w:rPr>
              <w:rFonts w:ascii="Arial" w:hAnsi="Arial" w:cs="Arial"/>
              <w:noProof/>
              <w:sz w:val="24"/>
              <w:szCs w:val="24"/>
            </w:rPr>
          </w:pPr>
          <w:hyperlink w:anchor="_Toc181982451" w:history="1">
            <w:r w:rsidR="00463E9D" w:rsidRPr="00463E9D">
              <w:rPr>
                <w:rStyle w:val="Hyperlink"/>
                <w:rFonts w:ascii="Arial" w:hAnsi="Arial" w:cs="Arial"/>
                <w:noProof/>
                <w:sz w:val="24"/>
                <w:szCs w:val="24"/>
              </w:rPr>
              <w:t>The aim of the meeting</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_Toc181982451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6</w:t>
            </w:r>
            <w:r w:rsidR="00463E9D" w:rsidRPr="00463E9D">
              <w:rPr>
                <w:rFonts w:ascii="Arial" w:hAnsi="Arial" w:cs="Arial"/>
                <w:noProof/>
                <w:webHidden/>
                <w:sz w:val="24"/>
                <w:szCs w:val="24"/>
              </w:rPr>
              <w:fldChar w:fldCharType="end"/>
            </w:r>
          </w:hyperlink>
        </w:p>
        <w:p w14:paraId="795AD3C7" w14:textId="5DF8BD93" w:rsidR="00463E9D" w:rsidRPr="00463E9D" w:rsidRDefault="00000000">
          <w:pPr>
            <w:pStyle w:val="TOC1"/>
            <w:tabs>
              <w:tab w:val="right" w:leader="dot" w:pos="9016"/>
            </w:tabs>
            <w:rPr>
              <w:rFonts w:ascii="Arial" w:hAnsi="Arial" w:cs="Arial"/>
              <w:noProof/>
              <w:sz w:val="24"/>
              <w:szCs w:val="24"/>
            </w:rPr>
          </w:pPr>
          <w:hyperlink w:anchor="_Toc181982452" w:history="1">
            <w:r w:rsidR="00463E9D" w:rsidRPr="00463E9D">
              <w:rPr>
                <w:rStyle w:val="Hyperlink"/>
                <w:rFonts w:ascii="Arial" w:hAnsi="Arial" w:cs="Arial"/>
                <w:noProof/>
                <w:sz w:val="24"/>
                <w:szCs w:val="24"/>
              </w:rPr>
              <w:t>Objectives</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_Toc181982452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6</w:t>
            </w:r>
            <w:r w:rsidR="00463E9D" w:rsidRPr="00463E9D">
              <w:rPr>
                <w:rFonts w:ascii="Arial" w:hAnsi="Arial" w:cs="Arial"/>
                <w:noProof/>
                <w:webHidden/>
                <w:sz w:val="24"/>
                <w:szCs w:val="24"/>
              </w:rPr>
              <w:fldChar w:fldCharType="end"/>
            </w:r>
          </w:hyperlink>
        </w:p>
        <w:p w14:paraId="2C7B7108" w14:textId="178969D2" w:rsidR="00463E9D" w:rsidRPr="00463E9D" w:rsidRDefault="00000000">
          <w:pPr>
            <w:pStyle w:val="TOC1"/>
            <w:tabs>
              <w:tab w:val="right" w:leader="dot" w:pos="9016"/>
            </w:tabs>
            <w:rPr>
              <w:rFonts w:ascii="Arial" w:hAnsi="Arial" w:cs="Arial"/>
              <w:noProof/>
              <w:sz w:val="24"/>
              <w:szCs w:val="24"/>
            </w:rPr>
          </w:pPr>
          <w:hyperlink w:anchor="_Toc181982453" w:history="1">
            <w:r w:rsidR="00463E9D" w:rsidRPr="00463E9D">
              <w:rPr>
                <w:rStyle w:val="Hyperlink"/>
                <w:rFonts w:ascii="Arial" w:hAnsi="Arial" w:cs="Arial"/>
                <w:noProof/>
                <w:sz w:val="24"/>
                <w:szCs w:val="24"/>
              </w:rPr>
              <w:t>Event Management</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_Toc181982453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7</w:t>
            </w:r>
            <w:r w:rsidR="00463E9D" w:rsidRPr="00463E9D">
              <w:rPr>
                <w:rFonts w:ascii="Arial" w:hAnsi="Arial" w:cs="Arial"/>
                <w:noProof/>
                <w:webHidden/>
                <w:sz w:val="24"/>
                <w:szCs w:val="24"/>
              </w:rPr>
              <w:fldChar w:fldCharType="end"/>
            </w:r>
          </w:hyperlink>
        </w:p>
        <w:p w14:paraId="16ABFD93" w14:textId="4FC640EE" w:rsidR="00463E9D" w:rsidRPr="00463E9D" w:rsidRDefault="00000000">
          <w:pPr>
            <w:pStyle w:val="TOC1"/>
            <w:tabs>
              <w:tab w:val="right" w:leader="dot" w:pos="9016"/>
            </w:tabs>
            <w:rPr>
              <w:rFonts w:ascii="Arial" w:hAnsi="Arial" w:cs="Arial"/>
              <w:noProof/>
              <w:sz w:val="24"/>
              <w:szCs w:val="24"/>
            </w:rPr>
          </w:pPr>
          <w:hyperlink w:anchor="_Toc181982454" w:history="1">
            <w:r w:rsidR="00463E9D" w:rsidRPr="00463E9D">
              <w:rPr>
                <w:rStyle w:val="Hyperlink"/>
                <w:rFonts w:ascii="Arial" w:hAnsi="Arial" w:cs="Arial"/>
                <w:noProof/>
                <w:sz w:val="24"/>
                <w:szCs w:val="24"/>
              </w:rPr>
              <w:t>Event Budget</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_Toc181982454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8</w:t>
            </w:r>
            <w:r w:rsidR="00463E9D" w:rsidRPr="00463E9D">
              <w:rPr>
                <w:rFonts w:ascii="Arial" w:hAnsi="Arial" w:cs="Arial"/>
                <w:noProof/>
                <w:webHidden/>
                <w:sz w:val="24"/>
                <w:szCs w:val="24"/>
              </w:rPr>
              <w:fldChar w:fldCharType="end"/>
            </w:r>
          </w:hyperlink>
        </w:p>
        <w:p w14:paraId="5F2BB6AF" w14:textId="71D65182" w:rsidR="00463E9D" w:rsidRPr="00463E9D" w:rsidRDefault="00000000">
          <w:pPr>
            <w:pStyle w:val="TOC1"/>
            <w:tabs>
              <w:tab w:val="right" w:leader="dot" w:pos="9016"/>
            </w:tabs>
            <w:rPr>
              <w:rFonts w:ascii="Arial" w:hAnsi="Arial" w:cs="Arial"/>
              <w:noProof/>
              <w:sz w:val="24"/>
              <w:szCs w:val="24"/>
            </w:rPr>
          </w:pPr>
          <w:hyperlink w:anchor="_Toc181982455" w:history="1">
            <w:r w:rsidR="00463E9D" w:rsidRPr="00463E9D">
              <w:rPr>
                <w:rStyle w:val="Hyperlink"/>
                <w:rFonts w:ascii="Arial" w:hAnsi="Arial" w:cs="Arial"/>
                <w:noProof/>
                <w:sz w:val="24"/>
                <w:szCs w:val="24"/>
              </w:rPr>
              <w:t>Industry trends</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_Toc181982455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9</w:t>
            </w:r>
            <w:r w:rsidR="00463E9D" w:rsidRPr="00463E9D">
              <w:rPr>
                <w:rFonts w:ascii="Arial" w:hAnsi="Arial" w:cs="Arial"/>
                <w:noProof/>
                <w:webHidden/>
                <w:sz w:val="24"/>
                <w:szCs w:val="24"/>
              </w:rPr>
              <w:fldChar w:fldCharType="end"/>
            </w:r>
          </w:hyperlink>
        </w:p>
        <w:p w14:paraId="2B0C3FF3" w14:textId="5202387F" w:rsidR="00463E9D" w:rsidRPr="00463E9D" w:rsidRDefault="00000000">
          <w:pPr>
            <w:pStyle w:val="TOC1"/>
            <w:tabs>
              <w:tab w:val="right" w:leader="dot" w:pos="9016"/>
            </w:tabs>
            <w:rPr>
              <w:rFonts w:ascii="Arial" w:hAnsi="Arial" w:cs="Arial"/>
              <w:noProof/>
              <w:sz w:val="24"/>
              <w:szCs w:val="24"/>
            </w:rPr>
          </w:pPr>
          <w:hyperlink w:anchor="_Toc181982456" w:history="1">
            <w:r w:rsidR="00463E9D" w:rsidRPr="00463E9D">
              <w:rPr>
                <w:rStyle w:val="Hyperlink"/>
                <w:rFonts w:ascii="Arial" w:hAnsi="Arial" w:cs="Arial"/>
                <w:noProof/>
                <w:sz w:val="24"/>
                <w:szCs w:val="24"/>
              </w:rPr>
              <w:t>PESTEL Analysis</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_Toc181982456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11</w:t>
            </w:r>
            <w:r w:rsidR="00463E9D" w:rsidRPr="00463E9D">
              <w:rPr>
                <w:rFonts w:ascii="Arial" w:hAnsi="Arial" w:cs="Arial"/>
                <w:noProof/>
                <w:webHidden/>
                <w:sz w:val="24"/>
                <w:szCs w:val="24"/>
              </w:rPr>
              <w:fldChar w:fldCharType="end"/>
            </w:r>
          </w:hyperlink>
        </w:p>
        <w:p w14:paraId="0FFE2818" w14:textId="03C0F547" w:rsidR="00463E9D" w:rsidRPr="00463E9D" w:rsidRDefault="00000000">
          <w:pPr>
            <w:pStyle w:val="TOC1"/>
            <w:tabs>
              <w:tab w:val="right" w:leader="dot" w:pos="9016"/>
            </w:tabs>
            <w:rPr>
              <w:rFonts w:ascii="Arial" w:hAnsi="Arial" w:cs="Arial"/>
              <w:noProof/>
              <w:sz w:val="24"/>
              <w:szCs w:val="24"/>
            </w:rPr>
          </w:pPr>
          <w:hyperlink w:anchor="_Toc181982457" w:history="1">
            <w:r w:rsidR="00463E9D" w:rsidRPr="00463E9D">
              <w:rPr>
                <w:rStyle w:val="Hyperlink"/>
                <w:rFonts w:ascii="Arial" w:hAnsi="Arial" w:cs="Arial"/>
                <w:noProof/>
                <w:sz w:val="24"/>
                <w:szCs w:val="24"/>
              </w:rPr>
              <w:t>Conclusion</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_Toc181982457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14</w:t>
            </w:r>
            <w:r w:rsidR="00463E9D" w:rsidRPr="00463E9D">
              <w:rPr>
                <w:rFonts w:ascii="Arial" w:hAnsi="Arial" w:cs="Arial"/>
                <w:noProof/>
                <w:webHidden/>
                <w:sz w:val="24"/>
                <w:szCs w:val="24"/>
              </w:rPr>
              <w:fldChar w:fldCharType="end"/>
            </w:r>
          </w:hyperlink>
        </w:p>
        <w:p w14:paraId="2454D9E4" w14:textId="19731C8C" w:rsidR="00463E9D" w:rsidRPr="00463E9D" w:rsidRDefault="00000000">
          <w:pPr>
            <w:pStyle w:val="TOC1"/>
            <w:tabs>
              <w:tab w:val="right" w:leader="dot" w:pos="9016"/>
            </w:tabs>
            <w:rPr>
              <w:rFonts w:ascii="Arial" w:hAnsi="Arial" w:cs="Arial"/>
              <w:noProof/>
              <w:sz w:val="24"/>
              <w:szCs w:val="24"/>
            </w:rPr>
          </w:pPr>
          <w:hyperlink w:anchor="_Toc181982458" w:history="1">
            <w:r w:rsidR="00463E9D" w:rsidRPr="00463E9D">
              <w:rPr>
                <w:rStyle w:val="Hyperlink"/>
                <w:rFonts w:ascii="Arial" w:hAnsi="Arial" w:cs="Arial"/>
                <w:noProof/>
                <w:sz w:val="24"/>
                <w:szCs w:val="24"/>
              </w:rPr>
              <w:t>References</w:t>
            </w:r>
            <w:r w:rsidR="00463E9D" w:rsidRPr="00463E9D">
              <w:rPr>
                <w:rFonts w:ascii="Arial" w:hAnsi="Arial" w:cs="Arial"/>
                <w:noProof/>
                <w:webHidden/>
                <w:sz w:val="24"/>
                <w:szCs w:val="24"/>
              </w:rPr>
              <w:tab/>
            </w:r>
            <w:r w:rsidR="00463E9D" w:rsidRPr="00463E9D">
              <w:rPr>
                <w:rFonts w:ascii="Arial" w:hAnsi="Arial" w:cs="Arial"/>
                <w:noProof/>
                <w:webHidden/>
                <w:sz w:val="24"/>
                <w:szCs w:val="24"/>
              </w:rPr>
              <w:fldChar w:fldCharType="begin"/>
            </w:r>
            <w:r w:rsidR="00463E9D" w:rsidRPr="00463E9D">
              <w:rPr>
                <w:rFonts w:ascii="Arial" w:hAnsi="Arial" w:cs="Arial"/>
                <w:noProof/>
                <w:webHidden/>
                <w:sz w:val="24"/>
                <w:szCs w:val="24"/>
              </w:rPr>
              <w:instrText xml:space="preserve"> PAGEREF _Toc181982458 \h </w:instrText>
            </w:r>
            <w:r w:rsidR="00463E9D" w:rsidRPr="00463E9D">
              <w:rPr>
                <w:rFonts w:ascii="Arial" w:hAnsi="Arial" w:cs="Arial"/>
                <w:noProof/>
                <w:webHidden/>
                <w:sz w:val="24"/>
                <w:szCs w:val="24"/>
              </w:rPr>
            </w:r>
            <w:r w:rsidR="00463E9D" w:rsidRPr="00463E9D">
              <w:rPr>
                <w:rFonts w:ascii="Arial" w:hAnsi="Arial" w:cs="Arial"/>
                <w:noProof/>
                <w:webHidden/>
                <w:sz w:val="24"/>
                <w:szCs w:val="24"/>
              </w:rPr>
              <w:fldChar w:fldCharType="separate"/>
            </w:r>
            <w:r w:rsidR="00353E49">
              <w:rPr>
                <w:rFonts w:ascii="Arial" w:hAnsi="Arial" w:cs="Arial"/>
                <w:noProof/>
                <w:webHidden/>
                <w:sz w:val="24"/>
                <w:szCs w:val="24"/>
              </w:rPr>
              <w:t>15</w:t>
            </w:r>
            <w:r w:rsidR="00463E9D" w:rsidRPr="00463E9D">
              <w:rPr>
                <w:rFonts w:ascii="Arial" w:hAnsi="Arial" w:cs="Arial"/>
                <w:noProof/>
                <w:webHidden/>
                <w:sz w:val="24"/>
                <w:szCs w:val="24"/>
              </w:rPr>
              <w:fldChar w:fldCharType="end"/>
            </w:r>
          </w:hyperlink>
        </w:p>
        <w:p w14:paraId="4B070B80" w14:textId="227EF808" w:rsidR="00463E9D" w:rsidRDefault="00463E9D">
          <w:r w:rsidRPr="00463E9D">
            <w:rPr>
              <w:rFonts w:ascii="Arial" w:hAnsi="Arial" w:cs="Arial"/>
              <w:b/>
              <w:bCs/>
              <w:noProof/>
              <w:sz w:val="24"/>
              <w:szCs w:val="24"/>
            </w:rPr>
            <w:fldChar w:fldCharType="end"/>
          </w:r>
        </w:p>
      </w:sdtContent>
    </w:sdt>
    <w:p w14:paraId="11D7EF10" w14:textId="77777777" w:rsidR="005B0773" w:rsidRDefault="005B0773" w:rsidP="00EB583F">
      <w:pPr>
        <w:spacing w:line="360" w:lineRule="auto"/>
        <w:jc w:val="right"/>
        <w:rPr>
          <w:rFonts w:ascii="Arial" w:hAnsi="Arial" w:cs="Arial"/>
          <w:b/>
          <w:bCs/>
          <w:sz w:val="24"/>
          <w:szCs w:val="24"/>
        </w:rPr>
      </w:pPr>
    </w:p>
    <w:p w14:paraId="6F4A01E5" w14:textId="77777777" w:rsidR="005B0773" w:rsidRDefault="005B0773" w:rsidP="00EB583F">
      <w:pPr>
        <w:spacing w:line="360" w:lineRule="auto"/>
        <w:jc w:val="right"/>
        <w:rPr>
          <w:rFonts w:ascii="Arial" w:hAnsi="Arial" w:cs="Arial"/>
          <w:b/>
          <w:bCs/>
          <w:sz w:val="24"/>
          <w:szCs w:val="24"/>
        </w:rPr>
      </w:pPr>
    </w:p>
    <w:p w14:paraId="3F8F9F76" w14:textId="77777777" w:rsidR="005B0773" w:rsidRDefault="005B0773" w:rsidP="00EB583F">
      <w:pPr>
        <w:spacing w:line="360" w:lineRule="auto"/>
        <w:jc w:val="right"/>
        <w:rPr>
          <w:rFonts w:ascii="Arial" w:hAnsi="Arial" w:cs="Arial"/>
          <w:b/>
          <w:bCs/>
          <w:sz w:val="24"/>
          <w:szCs w:val="24"/>
        </w:rPr>
      </w:pPr>
    </w:p>
    <w:p w14:paraId="0FCF8255" w14:textId="77777777" w:rsidR="005B0773" w:rsidRDefault="005B0773" w:rsidP="00EB583F">
      <w:pPr>
        <w:spacing w:line="360" w:lineRule="auto"/>
        <w:jc w:val="right"/>
        <w:rPr>
          <w:rFonts w:ascii="Arial" w:hAnsi="Arial" w:cs="Arial"/>
          <w:b/>
          <w:bCs/>
          <w:sz w:val="24"/>
          <w:szCs w:val="24"/>
        </w:rPr>
      </w:pPr>
    </w:p>
    <w:p w14:paraId="2E274C9E" w14:textId="77777777" w:rsidR="00D73ACE" w:rsidRPr="00D73ACE" w:rsidRDefault="00D73ACE" w:rsidP="00D73ACE">
      <w:pPr>
        <w:spacing w:line="360" w:lineRule="auto"/>
        <w:rPr>
          <w:rFonts w:ascii="Arial" w:hAnsi="Arial" w:cs="Arial"/>
        </w:rPr>
      </w:pPr>
      <w:r w:rsidRPr="00D73ACE">
        <w:rPr>
          <w:rFonts w:ascii="Arial" w:hAnsi="Arial" w:cs="Arial"/>
        </w:rPr>
        <w:t xml:space="preserve">I confirm that I have not used any AI tools in the research and creation of </w:t>
      </w:r>
      <w:proofErr w:type="gramStart"/>
      <w:r w:rsidRPr="00D73ACE">
        <w:rPr>
          <w:rFonts w:ascii="Arial" w:hAnsi="Arial" w:cs="Arial"/>
        </w:rPr>
        <w:t>this</w:t>
      </w:r>
      <w:proofErr w:type="gramEnd"/>
      <w:r w:rsidRPr="00D73ACE">
        <w:rPr>
          <w:rFonts w:ascii="Arial" w:hAnsi="Arial" w:cs="Arial"/>
        </w:rPr>
        <w:t xml:space="preserve"> </w:t>
      </w:r>
    </w:p>
    <w:p w14:paraId="34B32590" w14:textId="77777777" w:rsidR="00D73ACE" w:rsidRPr="00D73ACE" w:rsidRDefault="00D73ACE" w:rsidP="00D73ACE">
      <w:pPr>
        <w:spacing w:line="360" w:lineRule="auto"/>
        <w:rPr>
          <w:rFonts w:ascii="Arial" w:hAnsi="Arial" w:cs="Arial"/>
        </w:rPr>
      </w:pPr>
      <w:r w:rsidRPr="00D73ACE">
        <w:rPr>
          <w:rFonts w:ascii="Arial" w:hAnsi="Arial" w:cs="Arial"/>
        </w:rPr>
        <w:t xml:space="preserve">assignment. I confirm that I have not presented any AI generated materials as my </w:t>
      </w:r>
      <w:proofErr w:type="gramStart"/>
      <w:r w:rsidRPr="00D73ACE">
        <w:rPr>
          <w:rFonts w:ascii="Arial" w:hAnsi="Arial" w:cs="Arial"/>
        </w:rPr>
        <w:t>own</w:t>
      </w:r>
      <w:proofErr w:type="gramEnd"/>
      <w:r w:rsidRPr="00D73ACE">
        <w:rPr>
          <w:rFonts w:ascii="Arial" w:hAnsi="Arial" w:cs="Arial"/>
        </w:rPr>
        <w:t xml:space="preserve"> </w:t>
      </w:r>
    </w:p>
    <w:p w14:paraId="57B4C8D2" w14:textId="77777777" w:rsidR="00D73ACE" w:rsidRPr="00D73ACE" w:rsidRDefault="00D73ACE" w:rsidP="00D73ACE">
      <w:pPr>
        <w:spacing w:line="360" w:lineRule="auto"/>
        <w:rPr>
          <w:rFonts w:ascii="Arial" w:hAnsi="Arial" w:cs="Arial"/>
        </w:rPr>
      </w:pPr>
      <w:r w:rsidRPr="00D73ACE">
        <w:rPr>
          <w:rFonts w:ascii="Arial" w:hAnsi="Arial" w:cs="Arial"/>
        </w:rPr>
        <w:t xml:space="preserve">work. I confirm I have copies of my drafts, notes, and other resources I used, which I </w:t>
      </w:r>
    </w:p>
    <w:p w14:paraId="567A443C" w14:textId="4D891361" w:rsidR="005B0773" w:rsidRPr="00D73ACE" w:rsidRDefault="00D73ACE" w:rsidP="00D73ACE">
      <w:pPr>
        <w:spacing w:line="360" w:lineRule="auto"/>
        <w:rPr>
          <w:rFonts w:ascii="Arial" w:hAnsi="Arial" w:cs="Arial"/>
        </w:rPr>
      </w:pPr>
      <w:r w:rsidRPr="00D73ACE">
        <w:rPr>
          <w:rFonts w:ascii="Arial" w:hAnsi="Arial" w:cs="Arial"/>
        </w:rPr>
        <w:t xml:space="preserve">may be asked to provide in </w:t>
      </w:r>
      <w:proofErr w:type="gramStart"/>
      <w:r w:rsidRPr="00D73ACE">
        <w:rPr>
          <w:rFonts w:ascii="Arial" w:hAnsi="Arial" w:cs="Arial"/>
        </w:rPr>
        <w:t>evidence</w:t>
      </w:r>
      <w:proofErr w:type="gramEnd"/>
    </w:p>
    <w:p w14:paraId="19CC7460" w14:textId="77777777" w:rsidR="005B0773" w:rsidRDefault="005B0773" w:rsidP="00EB583F">
      <w:pPr>
        <w:spacing w:line="360" w:lineRule="auto"/>
        <w:jc w:val="right"/>
        <w:rPr>
          <w:rFonts w:ascii="Arial" w:hAnsi="Arial" w:cs="Arial"/>
          <w:b/>
          <w:bCs/>
          <w:sz w:val="24"/>
          <w:szCs w:val="24"/>
        </w:rPr>
      </w:pPr>
    </w:p>
    <w:p w14:paraId="3B48DEDF" w14:textId="77777777" w:rsidR="005B0773" w:rsidRDefault="005B0773" w:rsidP="00EB583F">
      <w:pPr>
        <w:spacing w:line="360" w:lineRule="auto"/>
        <w:jc w:val="right"/>
        <w:rPr>
          <w:rFonts w:ascii="Arial" w:hAnsi="Arial" w:cs="Arial"/>
          <w:b/>
          <w:bCs/>
          <w:sz w:val="24"/>
          <w:szCs w:val="24"/>
        </w:rPr>
      </w:pPr>
    </w:p>
    <w:p w14:paraId="5424D3E0" w14:textId="77777777" w:rsidR="005B0773" w:rsidRDefault="005B0773" w:rsidP="00D73ACE">
      <w:pPr>
        <w:spacing w:line="360" w:lineRule="auto"/>
        <w:rPr>
          <w:rFonts w:ascii="Arial" w:hAnsi="Arial" w:cs="Arial"/>
          <w:b/>
          <w:bCs/>
          <w:sz w:val="24"/>
          <w:szCs w:val="24"/>
        </w:rPr>
      </w:pPr>
    </w:p>
    <w:p w14:paraId="0BB5A2F8" w14:textId="77777777" w:rsidR="005B0773" w:rsidRDefault="005B0773" w:rsidP="00EB583F">
      <w:pPr>
        <w:spacing w:line="360" w:lineRule="auto"/>
        <w:jc w:val="right"/>
        <w:rPr>
          <w:rFonts w:ascii="Arial" w:hAnsi="Arial" w:cs="Arial"/>
          <w:b/>
          <w:bCs/>
          <w:sz w:val="24"/>
          <w:szCs w:val="24"/>
        </w:rPr>
      </w:pPr>
    </w:p>
    <w:p w14:paraId="09AC0014" w14:textId="77777777" w:rsidR="005B0773" w:rsidRDefault="005B0773" w:rsidP="00EB583F">
      <w:pPr>
        <w:spacing w:line="360" w:lineRule="auto"/>
        <w:jc w:val="right"/>
        <w:rPr>
          <w:rFonts w:ascii="Arial" w:hAnsi="Arial" w:cs="Arial"/>
          <w:b/>
          <w:bCs/>
          <w:sz w:val="24"/>
          <w:szCs w:val="24"/>
        </w:rPr>
      </w:pPr>
    </w:p>
    <w:p w14:paraId="59B964A8" w14:textId="77777777" w:rsidR="005B0773" w:rsidRDefault="005B0773" w:rsidP="00EB583F">
      <w:pPr>
        <w:spacing w:line="360" w:lineRule="auto"/>
        <w:jc w:val="right"/>
        <w:rPr>
          <w:rFonts w:ascii="Arial" w:hAnsi="Arial" w:cs="Arial"/>
          <w:b/>
          <w:bCs/>
          <w:sz w:val="24"/>
          <w:szCs w:val="24"/>
        </w:rPr>
      </w:pPr>
    </w:p>
    <w:p w14:paraId="0E1D0275" w14:textId="77777777" w:rsidR="005B0773" w:rsidRDefault="005B0773" w:rsidP="00EB583F">
      <w:pPr>
        <w:spacing w:line="360" w:lineRule="auto"/>
        <w:jc w:val="right"/>
        <w:rPr>
          <w:rFonts w:ascii="Arial" w:hAnsi="Arial" w:cs="Arial"/>
          <w:b/>
          <w:bCs/>
          <w:sz w:val="24"/>
          <w:szCs w:val="24"/>
        </w:rPr>
      </w:pPr>
    </w:p>
    <w:p w14:paraId="70A05F4D" w14:textId="77777777" w:rsidR="005B0773" w:rsidRDefault="005B0773" w:rsidP="00EB583F">
      <w:pPr>
        <w:spacing w:line="360" w:lineRule="auto"/>
        <w:jc w:val="right"/>
        <w:rPr>
          <w:rFonts w:ascii="Arial" w:hAnsi="Arial" w:cs="Arial"/>
          <w:b/>
          <w:bCs/>
          <w:sz w:val="24"/>
          <w:szCs w:val="24"/>
        </w:rPr>
      </w:pPr>
    </w:p>
    <w:p w14:paraId="48263B88" w14:textId="77777777" w:rsidR="005B0773" w:rsidRDefault="005B0773" w:rsidP="00EB583F">
      <w:pPr>
        <w:spacing w:line="360" w:lineRule="auto"/>
        <w:jc w:val="right"/>
        <w:rPr>
          <w:rFonts w:ascii="Arial" w:hAnsi="Arial" w:cs="Arial"/>
          <w:b/>
          <w:bCs/>
          <w:sz w:val="24"/>
          <w:szCs w:val="24"/>
        </w:rPr>
      </w:pPr>
    </w:p>
    <w:p w14:paraId="2A6B2F51" w14:textId="77777777" w:rsidR="005B0773" w:rsidRPr="00E47487" w:rsidRDefault="005B0773" w:rsidP="00E47487">
      <w:pPr>
        <w:spacing w:line="360" w:lineRule="auto"/>
        <w:jc w:val="both"/>
        <w:rPr>
          <w:rFonts w:ascii="Arial" w:hAnsi="Arial" w:cs="Arial"/>
          <w:b/>
          <w:bCs/>
          <w:sz w:val="24"/>
          <w:szCs w:val="24"/>
        </w:rPr>
      </w:pPr>
    </w:p>
    <w:p w14:paraId="4AE10544" w14:textId="65CC1996" w:rsidR="0045245D" w:rsidRPr="00353E49" w:rsidRDefault="005B0773" w:rsidP="00E47487">
      <w:pPr>
        <w:pStyle w:val="EU"/>
        <w:spacing w:line="360" w:lineRule="auto"/>
        <w:rPr>
          <w:color w:val="auto"/>
        </w:rPr>
      </w:pPr>
      <w:bookmarkStart w:id="0" w:name="_Toc181982448"/>
      <w:r w:rsidRPr="00353E49">
        <w:rPr>
          <w:color w:val="auto"/>
        </w:rPr>
        <w:t>Introduction</w:t>
      </w:r>
      <w:bookmarkEnd w:id="0"/>
      <w:r w:rsidRPr="00353E49">
        <w:rPr>
          <w:color w:val="auto"/>
        </w:rPr>
        <w:t xml:space="preserve"> </w:t>
      </w:r>
    </w:p>
    <w:p w14:paraId="7D3D7587" w14:textId="4A272FF0" w:rsidR="0045245D" w:rsidRPr="00353E49" w:rsidRDefault="0045245D"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The Winter Wonderland Expo is a specialised event for professionals in the MICE (Meetings, Incentives, Conferences, and Exhibitions) segment of the hotel business. This expo focusses on winter-themed events and showcases the most recent ideas, products, and trends in seasonal event design. It is a helpful resource for hospitality workers looking to provide immersive, winter-specific experiences for clients (Getz </w:t>
      </w:r>
      <w:r w:rsidR="00463E9D" w:rsidRPr="00353E49">
        <w:rPr>
          <w:rFonts w:ascii="Arial" w:hAnsi="Arial" w:cs="Arial"/>
          <w:sz w:val="24"/>
          <w:szCs w:val="24"/>
          <w:lang w:eastAsia="en-GB"/>
        </w:rPr>
        <w:t xml:space="preserve">and </w:t>
      </w:r>
      <w:r w:rsidRPr="00353E49">
        <w:rPr>
          <w:rFonts w:ascii="Arial" w:hAnsi="Arial" w:cs="Arial"/>
          <w:sz w:val="24"/>
          <w:szCs w:val="24"/>
          <w:lang w:eastAsia="en-GB"/>
        </w:rPr>
        <w:t>Page, 2019). The event will be held at the Edinburgh International Conference Centre (EICC), a premium facility noted for its versatile rooms and superior technological resources required to conduct interactive displays and live demos (EICC, 2019). The selection of a winter theme reflects the growing need for distinctive and memorable events throughout the colder months, with winter gatherings becoming increasingly popular for business functions, holiday parties, and weddings (Smith, 2012). The exhibition caters to this specialised market by providing planners with winter-themed decor, live displays such as ice sculptures and snow machines, and seasonal cuisine demonstrations</w:t>
      </w:r>
      <w:r w:rsidR="00463E9D" w:rsidRPr="00353E49">
        <w:rPr>
          <w:rFonts w:ascii="Arial" w:hAnsi="Arial" w:cs="Arial"/>
          <w:sz w:val="24"/>
          <w:szCs w:val="24"/>
          <w:lang w:eastAsia="en-GB"/>
        </w:rPr>
        <w:t xml:space="preserve">. </w:t>
      </w:r>
      <w:r w:rsidRPr="00353E49">
        <w:rPr>
          <w:rFonts w:ascii="Arial" w:hAnsi="Arial" w:cs="Arial"/>
          <w:sz w:val="24"/>
          <w:szCs w:val="24"/>
          <w:lang w:eastAsia="en-GB"/>
        </w:rPr>
        <w:t>The Winter Wonderland Expo brings together vendors, suppliers, and event planners in one location, allowing visitors to network, explore creative ideas, and get practical insights into developing winter-themed events that appeal to both corporate and private clientele (Bladen et al., 2022).</w:t>
      </w:r>
    </w:p>
    <w:p w14:paraId="636A3BC5" w14:textId="13415CF2" w:rsidR="0045245D" w:rsidRPr="00353E49" w:rsidRDefault="0045245D" w:rsidP="00E47487">
      <w:pPr>
        <w:pStyle w:val="EU"/>
        <w:spacing w:line="360" w:lineRule="auto"/>
        <w:rPr>
          <w:color w:val="auto"/>
        </w:rPr>
      </w:pPr>
      <w:bookmarkStart w:id="1" w:name="_Toc181982449"/>
      <w:r w:rsidRPr="00353E49">
        <w:rPr>
          <w:color w:val="auto"/>
        </w:rPr>
        <w:lastRenderedPageBreak/>
        <w:t>The Event Cycle</w:t>
      </w:r>
      <w:bookmarkEnd w:id="1"/>
    </w:p>
    <w:p w14:paraId="7C2CD952" w14:textId="22A1CAF8"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The Event Cycle is a framework that guides event preparation, implementation, and assessment, resulting in a holistic approach to event management. This cycle generally consists of four stages: planning, promotion, at-event, and post-event, each having unique tasks and goals aimed at maximising the event's success. During the Planning phase, organisers do market research, establish budgets, choose locations, and form partnerships, laying the groundwork for a well-organised event (Bowdin et al., 2012). Promotion entails marketing initiatives such as social media participation, email campaigns, and cooperation with industry journals </w:t>
      </w:r>
      <w:proofErr w:type="gramStart"/>
      <w:r w:rsidRPr="00353E49">
        <w:rPr>
          <w:rFonts w:ascii="Arial" w:hAnsi="Arial" w:cs="Arial"/>
          <w:sz w:val="24"/>
          <w:szCs w:val="24"/>
          <w:lang w:eastAsia="en-GB"/>
        </w:rPr>
        <w:t>in order to</w:t>
      </w:r>
      <w:proofErr w:type="gramEnd"/>
      <w:r w:rsidRPr="00353E49">
        <w:rPr>
          <w:rFonts w:ascii="Arial" w:hAnsi="Arial" w:cs="Arial"/>
          <w:sz w:val="24"/>
          <w:szCs w:val="24"/>
          <w:lang w:eastAsia="en-GB"/>
        </w:rPr>
        <w:t xml:space="preserve"> increase attendance and visibility. During the At-Event phase, event planners oversee admission logistics, carry out the planned experience, and collect real-time feedback to ensure that participants' </w:t>
      </w:r>
      <w:proofErr w:type="gramStart"/>
      <w:r w:rsidRPr="00353E49">
        <w:rPr>
          <w:rFonts w:ascii="Arial" w:hAnsi="Arial" w:cs="Arial"/>
          <w:sz w:val="24"/>
          <w:szCs w:val="24"/>
          <w:lang w:eastAsia="en-GB"/>
        </w:rPr>
        <w:t>demands</w:t>
      </w:r>
      <w:proofErr w:type="gramEnd"/>
      <w:r w:rsidRPr="00353E49">
        <w:rPr>
          <w:rFonts w:ascii="Arial" w:hAnsi="Arial" w:cs="Arial"/>
          <w:sz w:val="24"/>
          <w:szCs w:val="24"/>
          <w:lang w:eastAsia="en-GB"/>
        </w:rPr>
        <w:t xml:space="preserve"> and the event's objectives are satisfied (Shone </w:t>
      </w:r>
      <w:r w:rsidR="00463E9D" w:rsidRPr="00353E49">
        <w:rPr>
          <w:rFonts w:ascii="Arial" w:hAnsi="Arial" w:cs="Arial"/>
          <w:sz w:val="24"/>
          <w:szCs w:val="24"/>
          <w:lang w:eastAsia="en-GB"/>
        </w:rPr>
        <w:t>and</w:t>
      </w:r>
      <w:r w:rsidRPr="00353E49">
        <w:rPr>
          <w:rFonts w:ascii="Arial" w:hAnsi="Arial" w:cs="Arial"/>
          <w:sz w:val="24"/>
          <w:szCs w:val="24"/>
          <w:lang w:eastAsia="en-GB"/>
        </w:rPr>
        <w:t xml:space="preserve"> Parry, 2019). Finally, the </w:t>
      </w:r>
      <w:r w:rsidR="00463E9D" w:rsidRPr="00353E49">
        <w:rPr>
          <w:rFonts w:ascii="Arial" w:hAnsi="Arial" w:cs="Arial"/>
          <w:sz w:val="24"/>
          <w:szCs w:val="24"/>
          <w:lang w:eastAsia="en-GB"/>
        </w:rPr>
        <w:t>post-event</w:t>
      </w:r>
      <w:r w:rsidRPr="00353E49">
        <w:rPr>
          <w:rFonts w:ascii="Arial" w:hAnsi="Arial" w:cs="Arial"/>
          <w:sz w:val="24"/>
          <w:szCs w:val="24"/>
          <w:lang w:eastAsia="en-GB"/>
        </w:rPr>
        <w:t xml:space="preserve"> process involves budget reconciliation, thanking stakeholders, presenting highlights, and soliciting guest input to assess success and propose areas for improvement (Bladen et al., 2022). Using this strategy for the Winter Wonderland Expo allows for a methodical approach: during the Planning phase, the Edinburgh International Conference Centre (EICC) is selected as a location, with sponsorships negotiated to supplement funding. Promotion targets hospitality professionals via digital and print media, while the At-Event phase provides engaging winter-themed activities such as live décor demos</w:t>
      </w:r>
      <w:r w:rsidR="008A0FB2" w:rsidRPr="00353E49">
        <w:rPr>
          <w:rFonts w:ascii="Arial" w:hAnsi="Arial" w:cs="Arial"/>
          <w:sz w:val="24"/>
          <w:szCs w:val="24"/>
          <w:lang w:eastAsia="en-GB"/>
        </w:rPr>
        <w:t xml:space="preserve"> (Allen, Haris, and Jago, 2022)</w:t>
      </w:r>
      <w:r w:rsidRPr="00353E49">
        <w:rPr>
          <w:rFonts w:ascii="Arial" w:hAnsi="Arial" w:cs="Arial"/>
          <w:sz w:val="24"/>
          <w:szCs w:val="24"/>
          <w:lang w:eastAsia="en-GB"/>
        </w:rPr>
        <w:t xml:space="preserve">. In the </w:t>
      </w:r>
      <w:proofErr w:type="gramStart"/>
      <w:r w:rsidRPr="00353E49">
        <w:rPr>
          <w:rFonts w:ascii="Arial" w:hAnsi="Arial" w:cs="Arial"/>
          <w:sz w:val="24"/>
          <w:szCs w:val="24"/>
          <w:lang w:eastAsia="en-GB"/>
        </w:rPr>
        <w:t>Post-Event</w:t>
      </w:r>
      <w:proofErr w:type="gramEnd"/>
      <w:r w:rsidRPr="00353E49">
        <w:rPr>
          <w:rFonts w:ascii="Arial" w:hAnsi="Arial" w:cs="Arial"/>
          <w:sz w:val="24"/>
          <w:szCs w:val="24"/>
          <w:lang w:eastAsia="en-GB"/>
        </w:rPr>
        <w:t xml:space="preserve"> stage, input is analysed to determine participant satisfaction, allowing for improvements in future expos. Following each phase of the Event Cycle allows the Winter Wonderland Expo to deliver a well-rounded, memorable experience for participants while also meeting the special needs of winter-themed events.</w:t>
      </w:r>
    </w:p>
    <w:p w14:paraId="5CA5DC4E" w14:textId="437E9396" w:rsidR="00E45872" w:rsidRPr="00353E49" w:rsidRDefault="00E45872" w:rsidP="008A0FB2">
      <w:pPr>
        <w:pStyle w:val="EU"/>
        <w:spacing w:line="360" w:lineRule="auto"/>
        <w:rPr>
          <w:color w:val="auto"/>
        </w:rPr>
      </w:pPr>
      <w:bookmarkStart w:id="2" w:name="_Toc181982450"/>
      <w:r w:rsidRPr="00353E49">
        <w:rPr>
          <w:color w:val="auto"/>
        </w:rPr>
        <w:t>Event Concept</w:t>
      </w:r>
      <w:bookmarkEnd w:id="2"/>
    </w:p>
    <w:tbl>
      <w:tblPr>
        <w:tblStyle w:val="TableGrid"/>
        <w:tblW w:w="0" w:type="auto"/>
        <w:tblLook w:val="04A0" w:firstRow="1" w:lastRow="0" w:firstColumn="1" w:lastColumn="0" w:noHBand="0" w:noVBand="1"/>
      </w:tblPr>
      <w:tblGrid>
        <w:gridCol w:w="2254"/>
        <w:gridCol w:w="2254"/>
        <w:gridCol w:w="2254"/>
        <w:gridCol w:w="2254"/>
      </w:tblGrid>
      <w:tr w:rsidR="00353E49" w:rsidRPr="00353E49" w14:paraId="0092D5BF" w14:textId="77777777" w:rsidTr="00E45872">
        <w:tc>
          <w:tcPr>
            <w:tcW w:w="2254" w:type="dxa"/>
          </w:tcPr>
          <w:p w14:paraId="541E25F4" w14:textId="5512C652" w:rsidR="00E45872" w:rsidRPr="00353E49" w:rsidRDefault="00E45872" w:rsidP="00E47487">
            <w:pPr>
              <w:spacing w:line="360" w:lineRule="auto"/>
              <w:jc w:val="both"/>
              <w:rPr>
                <w:rFonts w:ascii="Arial" w:hAnsi="Arial" w:cs="Arial"/>
                <w:b/>
                <w:bCs/>
                <w:sz w:val="24"/>
                <w:szCs w:val="24"/>
                <w:lang w:eastAsia="en-GB"/>
              </w:rPr>
            </w:pPr>
            <w:r w:rsidRPr="00353E49">
              <w:rPr>
                <w:rFonts w:ascii="Arial" w:hAnsi="Arial" w:cs="Arial"/>
                <w:b/>
                <w:bCs/>
                <w:sz w:val="24"/>
                <w:szCs w:val="24"/>
              </w:rPr>
              <w:t>Time</w:t>
            </w:r>
          </w:p>
        </w:tc>
        <w:tc>
          <w:tcPr>
            <w:tcW w:w="2254" w:type="dxa"/>
          </w:tcPr>
          <w:p w14:paraId="23A2E49F" w14:textId="4C4F1C6B" w:rsidR="00E45872" w:rsidRPr="00353E49" w:rsidRDefault="00E45872" w:rsidP="00E47487">
            <w:pPr>
              <w:spacing w:line="360" w:lineRule="auto"/>
              <w:jc w:val="both"/>
              <w:rPr>
                <w:rFonts w:ascii="Arial" w:hAnsi="Arial" w:cs="Arial"/>
                <w:b/>
                <w:bCs/>
                <w:sz w:val="24"/>
                <w:szCs w:val="24"/>
                <w:lang w:eastAsia="en-GB"/>
              </w:rPr>
            </w:pPr>
            <w:r w:rsidRPr="00353E49">
              <w:rPr>
                <w:rFonts w:ascii="Arial" w:hAnsi="Arial" w:cs="Arial"/>
                <w:b/>
                <w:bCs/>
                <w:sz w:val="24"/>
                <w:szCs w:val="24"/>
              </w:rPr>
              <w:t>Activity</w:t>
            </w:r>
          </w:p>
        </w:tc>
        <w:tc>
          <w:tcPr>
            <w:tcW w:w="2254" w:type="dxa"/>
          </w:tcPr>
          <w:p w14:paraId="3B297F94" w14:textId="12020C8A" w:rsidR="00E45872" w:rsidRPr="00353E49" w:rsidRDefault="00E45872" w:rsidP="00E47487">
            <w:pPr>
              <w:spacing w:line="360" w:lineRule="auto"/>
              <w:jc w:val="both"/>
              <w:rPr>
                <w:rFonts w:ascii="Arial" w:hAnsi="Arial" w:cs="Arial"/>
                <w:b/>
                <w:bCs/>
                <w:sz w:val="24"/>
                <w:szCs w:val="24"/>
                <w:lang w:eastAsia="en-GB"/>
              </w:rPr>
            </w:pPr>
            <w:r w:rsidRPr="00353E49">
              <w:rPr>
                <w:rFonts w:ascii="Arial" w:hAnsi="Arial" w:cs="Arial"/>
                <w:b/>
                <w:bCs/>
                <w:sz w:val="24"/>
                <w:szCs w:val="24"/>
              </w:rPr>
              <w:t>Description</w:t>
            </w:r>
          </w:p>
        </w:tc>
        <w:tc>
          <w:tcPr>
            <w:tcW w:w="2254" w:type="dxa"/>
          </w:tcPr>
          <w:p w14:paraId="4210261C" w14:textId="73A7D189" w:rsidR="00E45872" w:rsidRPr="00353E49" w:rsidRDefault="00E45872" w:rsidP="00E47487">
            <w:pPr>
              <w:spacing w:line="360" w:lineRule="auto"/>
              <w:jc w:val="both"/>
              <w:rPr>
                <w:rFonts w:ascii="Arial" w:hAnsi="Arial" w:cs="Arial"/>
                <w:b/>
                <w:bCs/>
                <w:sz w:val="24"/>
                <w:szCs w:val="24"/>
                <w:lang w:eastAsia="en-GB"/>
              </w:rPr>
            </w:pPr>
            <w:r w:rsidRPr="00353E49">
              <w:rPr>
                <w:rFonts w:ascii="Arial" w:hAnsi="Arial" w:cs="Arial"/>
                <w:b/>
                <w:bCs/>
                <w:sz w:val="24"/>
                <w:szCs w:val="24"/>
              </w:rPr>
              <w:t>Location</w:t>
            </w:r>
          </w:p>
        </w:tc>
      </w:tr>
      <w:tr w:rsidR="00353E49" w:rsidRPr="00353E49" w14:paraId="2EE90645" w14:textId="77777777" w:rsidTr="00E45872">
        <w:tc>
          <w:tcPr>
            <w:tcW w:w="2254" w:type="dxa"/>
          </w:tcPr>
          <w:p w14:paraId="1C1E9E23" w14:textId="081E78F2"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09:00 – 09:30</w:t>
            </w:r>
          </w:p>
        </w:tc>
        <w:tc>
          <w:tcPr>
            <w:tcW w:w="2254" w:type="dxa"/>
          </w:tcPr>
          <w:p w14:paraId="5DA55C76" w14:textId="06D42465"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Registration and Welcome Reception</w:t>
            </w:r>
          </w:p>
        </w:tc>
        <w:tc>
          <w:tcPr>
            <w:tcW w:w="2254" w:type="dxa"/>
          </w:tcPr>
          <w:p w14:paraId="2BD9059B" w14:textId="29752596"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 xml:space="preserve">Delegates check in and receive event materials. The welcome area is decorated with winter-themed decor, setting a </w:t>
            </w:r>
            <w:r w:rsidRPr="00353E49">
              <w:rPr>
                <w:rFonts w:ascii="Arial" w:hAnsi="Arial" w:cs="Arial"/>
                <w:sz w:val="24"/>
                <w:szCs w:val="24"/>
              </w:rPr>
              <w:lastRenderedPageBreak/>
              <w:t>festive tone with background music.</w:t>
            </w:r>
          </w:p>
        </w:tc>
        <w:tc>
          <w:tcPr>
            <w:tcW w:w="2254" w:type="dxa"/>
          </w:tcPr>
          <w:p w14:paraId="3FB8C84D" w14:textId="0E2FA737" w:rsidR="00E45872" w:rsidRPr="00353E49" w:rsidRDefault="00E45872" w:rsidP="00E47487">
            <w:pPr>
              <w:spacing w:line="360" w:lineRule="auto"/>
              <w:jc w:val="both"/>
              <w:rPr>
                <w:rFonts w:ascii="Arial" w:hAnsi="Arial" w:cs="Arial"/>
                <w:sz w:val="24"/>
                <w:szCs w:val="24"/>
                <w:lang w:eastAsia="en-GB"/>
              </w:rPr>
            </w:pPr>
            <w:proofErr w:type="spellStart"/>
            <w:r w:rsidRPr="00353E49">
              <w:rPr>
                <w:rFonts w:ascii="Arial" w:hAnsi="Arial" w:cs="Arial"/>
                <w:sz w:val="24"/>
                <w:szCs w:val="24"/>
              </w:rPr>
              <w:lastRenderedPageBreak/>
              <w:t>Strathblane</w:t>
            </w:r>
            <w:proofErr w:type="spellEnd"/>
            <w:r w:rsidRPr="00353E49">
              <w:rPr>
                <w:rFonts w:ascii="Arial" w:hAnsi="Arial" w:cs="Arial"/>
                <w:sz w:val="24"/>
                <w:szCs w:val="24"/>
              </w:rPr>
              <w:t xml:space="preserve"> Hall</w:t>
            </w:r>
          </w:p>
        </w:tc>
      </w:tr>
      <w:tr w:rsidR="00353E49" w:rsidRPr="00353E49" w14:paraId="59994D7D" w14:textId="77777777" w:rsidTr="00E45872">
        <w:tc>
          <w:tcPr>
            <w:tcW w:w="2254" w:type="dxa"/>
          </w:tcPr>
          <w:p w14:paraId="3CA245CE" w14:textId="552E938A"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09:30 – 10:00</w:t>
            </w:r>
          </w:p>
        </w:tc>
        <w:tc>
          <w:tcPr>
            <w:tcW w:w="2254" w:type="dxa"/>
          </w:tcPr>
          <w:p w14:paraId="385CC747" w14:textId="76DEF590"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Opening Keynote: Trends in Winter Event Design</w:t>
            </w:r>
          </w:p>
        </w:tc>
        <w:tc>
          <w:tcPr>
            <w:tcW w:w="2254" w:type="dxa"/>
          </w:tcPr>
          <w:p w14:paraId="5A55C7A8" w14:textId="627F8CBF"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A keynote on winter event trends, covering demand for immersive seasonal experiences and aesthetic choices for winter events.</w:t>
            </w:r>
          </w:p>
        </w:tc>
        <w:tc>
          <w:tcPr>
            <w:tcW w:w="2254" w:type="dxa"/>
          </w:tcPr>
          <w:p w14:paraId="27D96235" w14:textId="524769E8"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Pentland Suite</w:t>
            </w:r>
          </w:p>
        </w:tc>
      </w:tr>
      <w:tr w:rsidR="00353E49" w:rsidRPr="00353E49" w14:paraId="2F17D8B2" w14:textId="77777777" w:rsidTr="00E45872">
        <w:tc>
          <w:tcPr>
            <w:tcW w:w="2254" w:type="dxa"/>
          </w:tcPr>
          <w:p w14:paraId="693EA420" w14:textId="18B6C00D"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10:00 – 11:30</w:t>
            </w:r>
          </w:p>
        </w:tc>
        <w:tc>
          <w:tcPr>
            <w:tcW w:w="2254" w:type="dxa"/>
          </w:tcPr>
          <w:p w14:paraId="232B5929" w14:textId="35F2733D"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Interactive Workshop: Winter Decor Techniques</w:t>
            </w:r>
          </w:p>
        </w:tc>
        <w:tc>
          <w:tcPr>
            <w:tcW w:w="2254" w:type="dxa"/>
          </w:tcPr>
          <w:p w14:paraId="51084532" w14:textId="2D03BFFE" w:rsidR="00E45872" w:rsidRPr="00353E49" w:rsidRDefault="008A0FB2" w:rsidP="00E47487">
            <w:pPr>
              <w:spacing w:line="360" w:lineRule="auto"/>
              <w:jc w:val="both"/>
              <w:rPr>
                <w:rFonts w:ascii="Arial" w:hAnsi="Arial" w:cs="Arial"/>
                <w:sz w:val="24"/>
                <w:szCs w:val="24"/>
                <w:lang w:eastAsia="en-GB"/>
              </w:rPr>
            </w:pPr>
            <w:r w:rsidRPr="00353E49">
              <w:rPr>
                <w:rFonts w:ascii="Arial" w:hAnsi="Arial" w:cs="Arial"/>
                <w:sz w:val="24"/>
                <w:szCs w:val="24"/>
              </w:rPr>
              <w:t>W</w:t>
            </w:r>
            <w:r w:rsidR="00E45872" w:rsidRPr="00353E49">
              <w:rPr>
                <w:rFonts w:ascii="Arial" w:hAnsi="Arial" w:cs="Arial"/>
                <w:sz w:val="24"/>
                <w:szCs w:val="24"/>
              </w:rPr>
              <w:t>orkshop with expert-led setups, including ice sculptures, snow machines, and dramatic lighting effects.</w:t>
            </w:r>
          </w:p>
        </w:tc>
        <w:tc>
          <w:tcPr>
            <w:tcW w:w="2254" w:type="dxa"/>
          </w:tcPr>
          <w:p w14:paraId="45537E0F" w14:textId="59836AE4" w:rsidR="00E45872" w:rsidRPr="00353E49" w:rsidRDefault="00E45872" w:rsidP="00E47487">
            <w:pPr>
              <w:spacing w:line="360" w:lineRule="auto"/>
              <w:jc w:val="both"/>
              <w:rPr>
                <w:rFonts w:ascii="Arial" w:hAnsi="Arial" w:cs="Arial"/>
                <w:sz w:val="24"/>
                <w:szCs w:val="24"/>
                <w:lang w:eastAsia="en-GB"/>
              </w:rPr>
            </w:pPr>
            <w:proofErr w:type="spellStart"/>
            <w:r w:rsidRPr="00353E49">
              <w:rPr>
                <w:rFonts w:ascii="Arial" w:hAnsi="Arial" w:cs="Arial"/>
                <w:sz w:val="24"/>
                <w:szCs w:val="24"/>
              </w:rPr>
              <w:t>Lammermuir</w:t>
            </w:r>
            <w:proofErr w:type="spellEnd"/>
            <w:r w:rsidRPr="00353E49">
              <w:rPr>
                <w:rFonts w:ascii="Arial" w:hAnsi="Arial" w:cs="Arial"/>
                <w:sz w:val="24"/>
                <w:szCs w:val="24"/>
              </w:rPr>
              <w:t xml:space="preserve"> Suite</w:t>
            </w:r>
          </w:p>
        </w:tc>
      </w:tr>
      <w:tr w:rsidR="00353E49" w:rsidRPr="00353E49" w14:paraId="299504BF" w14:textId="77777777" w:rsidTr="00E45872">
        <w:tc>
          <w:tcPr>
            <w:tcW w:w="2254" w:type="dxa"/>
          </w:tcPr>
          <w:p w14:paraId="40E0F6F0" w14:textId="21A895E1"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11:30 – 12:00</w:t>
            </w:r>
          </w:p>
        </w:tc>
        <w:tc>
          <w:tcPr>
            <w:tcW w:w="2254" w:type="dxa"/>
          </w:tcPr>
          <w:p w14:paraId="116E199A" w14:textId="1138B5DA"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Coffee Break and Networking</w:t>
            </w:r>
          </w:p>
        </w:tc>
        <w:tc>
          <w:tcPr>
            <w:tcW w:w="2254" w:type="dxa"/>
          </w:tcPr>
          <w:p w14:paraId="47D8D634" w14:textId="70FD7FF0"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Seasonal refreshments are served, providing a relaxed environment for networking among peers.</w:t>
            </w:r>
          </w:p>
        </w:tc>
        <w:tc>
          <w:tcPr>
            <w:tcW w:w="2254" w:type="dxa"/>
          </w:tcPr>
          <w:p w14:paraId="649E57A3" w14:textId="48220E1A" w:rsidR="00E45872" w:rsidRPr="00353E49" w:rsidRDefault="00E45872" w:rsidP="00E47487">
            <w:pPr>
              <w:spacing w:line="360" w:lineRule="auto"/>
              <w:jc w:val="both"/>
              <w:rPr>
                <w:rFonts w:ascii="Arial" w:hAnsi="Arial" w:cs="Arial"/>
                <w:sz w:val="24"/>
                <w:szCs w:val="24"/>
                <w:lang w:eastAsia="en-GB"/>
              </w:rPr>
            </w:pPr>
            <w:proofErr w:type="spellStart"/>
            <w:r w:rsidRPr="00353E49">
              <w:rPr>
                <w:rFonts w:ascii="Arial" w:hAnsi="Arial" w:cs="Arial"/>
                <w:sz w:val="24"/>
                <w:szCs w:val="24"/>
              </w:rPr>
              <w:t>Strathblane</w:t>
            </w:r>
            <w:proofErr w:type="spellEnd"/>
            <w:r w:rsidRPr="00353E49">
              <w:rPr>
                <w:rFonts w:ascii="Arial" w:hAnsi="Arial" w:cs="Arial"/>
                <w:sz w:val="24"/>
                <w:szCs w:val="24"/>
              </w:rPr>
              <w:t xml:space="preserve"> Hall</w:t>
            </w:r>
          </w:p>
        </w:tc>
      </w:tr>
      <w:tr w:rsidR="00353E49" w:rsidRPr="00353E49" w14:paraId="56AA85A6" w14:textId="77777777" w:rsidTr="00E45872">
        <w:tc>
          <w:tcPr>
            <w:tcW w:w="2254" w:type="dxa"/>
          </w:tcPr>
          <w:p w14:paraId="54E3E8E1" w14:textId="5D83D548"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12:00 – 13:00</w:t>
            </w:r>
          </w:p>
        </w:tc>
        <w:tc>
          <w:tcPr>
            <w:tcW w:w="2254" w:type="dxa"/>
          </w:tcPr>
          <w:p w14:paraId="4669E33E" w14:textId="259A2331"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Panel Discussion: Creating Memorable Winter Events</w:t>
            </w:r>
          </w:p>
        </w:tc>
        <w:tc>
          <w:tcPr>
            <w:tcW w:w="2254" w:type="dxa"/>
          </w:tcPr>
          <w:p w14:paraId="673FA3C1" w14:textId="2544E831"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 xml:space="preserve">A panel with event planners discussing strategies for impactful winter experiences, covering decor, guest </w:t>
            </w:r>
            <w:r w:rsidRPr="00353E49">
              <w:rPr>
                <w:rFonts w:ascii="Arial" w:hAnsi="Arial" w:cs="Arial"/>
                <w:sz w:val="24"/>
                <w:szCs w:val="24"/>
              </w:rPr>
              <w:lastRenderedPageBreak/>
              <w:t>engagement, and seasonal themes.</w:t>
            </w:r>
          </w:p>
        </w:tc>
        <w:tc>
          <w:tcPr>
            <w:tcW w:w="2254" w:type="dxa"/>
          </w:tcPr>
          <w:p w14:paraId="0F7A01FA" w14:textId="5F8C6E06"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lastRenderedPageBreak/>
              <w:t>Pentland Suite</w:t>
            </w:r>
          </w:p>
        </w:tc>
      </w:tr>
      <w:tr w:rsidR="00353E49" w:rsidRPr="00353E49" w14:paraId="5D75466C" w14:textId="77777777" w:rsidTr="00E45872">
        <w:tc>
          <w:tcPr>
            <w:tcW w:w="2254" w:type="dxa"/>
          </w:tcPr>
          <w:p w14:paraId="66D60320" w14:textId="2965CE4C"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13:00 – 14:00</w:t>
            </w:r>
          </w:p>
        </w:tc>
        <w:tc>
          <w:tcPr>
            <w:tcW w:w="2254" w:type="dxa"/>
          </w:tcPr>
          <w:p w14:paraId="3B42C9F4" w14:textId="506BB260"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Lunch and Seasonal Tastings</w:t>
            </w:r>
          </w:p>
        </w:tc>
        <w:tc>
          <w:tcPr>
            <w:tcW w:w="2254" w:type="dxa"/>
          </w:tcPr>
          <w:p w14:paraId="0C4A5BA1" w14:textId="65EB2C5F"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Lunch buffet with winter-inspired dishes and seasonal specialties.</w:t>
            </w:r>
          </w:p>
        </w:tc>
        <w:tc>
          <w:tcPr>
            <w:tcW w:w="2254" w:type="dxa"/>
          </w:tcPr>
          <w:p w14:paraId="1BA9D5A1" w14:textId="0A123366" w:rsidR="00E45872" w:rsidRPr="00353E49" w:rsidRDefault="00E45872" w:rsidP="00E47487">
            <w:pPr>
              <w:spacing w:line="360" w:lineRule="auto"/>
              <w:jc w:val="both"/>
              <w:rPr>
                <w:rFonts w:ascii="Arial" w:hAnsi="Arial" w:cs="Arial"/>
                <w:sz w:val="24"/>
                <w:szCs w:val="24"/>
                <w:lang w:eastAsia="en-GB"/>
              </w:rPr>
            </w:pPr>
            <w:proofErr w:type="spellStart"/>
            <w:r w:rsidRPr="00353E49">
              <w:rPr>
                <w:rFonts w:ascii="Arial" w:hAnsi="Arial" w:cs="Arial"/>
                <w:sz w:val="24"/>
                <w:szCs w:val="24"/>
              </w:rPr>
              <w:t>Strathblane</w:t>
            </w:r>
            <w:proofErr w:type="spellEnd"/>
            <w:r w:rsidRPr="00353E49">
              <w:rPr>
                <w:rFonts w:ascii="Arial" w:hAnsi="Arial" w:cs="Arial"/>
                <w:sz w:val="24"/>
                <w:szCs w:val="24"/>
              </w:rPr>
              <w:t xml:space="preserve"> Hall</w:t>
            </w:r>
          </w:p>
        </w:tc>
      </w:tr>
      <w:tr w:rsidR="00353E49" w:rsidRPr="00353E49" w14:paraId="6E47FA99" w14:textId="77777777" w:rsidTr="00E45872">
        <w:tc>
          <w:tcPr>
            <w:tcW w:w="2254" w:type="dxa"/>
          </w:tcPr>
          <w:p w14:paraId="771B7B44" w14:textId="774A7F55"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14:00 – 15:00</w:t>
            </w:r>
          </w:p>
        </w:tc>
        <w:tc>
          <w:tcPr>
            <w:tcW w:w="2254" w:type="dxa"/>
          </w:tcPr>
          <w:p w14:paraId="7454DE54" w14:textId="0003D153"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Exhibitor Showcase</w:t>
            </w:r>
          </w:p>
        </w:tc>
        <w:tc>
          <w:tcPr>
            <w:tcW w:w="2254" w:type="dxa"/>
          </w:tcPr>
          <w:p w14:paraId="76E23BD1" w14:textId="2D8210EE"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Showcase featuring suppliers of winter-themed decor, catering, and event services, providing direct connections for planners.</w:t>
            </w:r>
          </w:p>
        </w:tc>
        <w:tc>
          <w:tcPr>
            <w:tcW w:w="2254" w:type="dxa"/>
          </w:tcPr>
          <w:p w14:paraId="601DB224" w14:textId="71D041A4" w:rsidR="00E45872" w:rsidRPr="00353E49" w:rsidRDefault="00E45872" w:rsidP="00E47487">
            <w:pPr>
              <w:spacing w:line="360" w:lineRule="auto"/>
              <w:jc w:val="both"/>
              <w:rPr>
                <w:rFonts w:ascii="Arial" w:hAnsi="Arial" w:cs="Arial"/>
                <w:sz w:val="24"/>
                <w:szCs w:val="24"/>
                <w:lang w:eastAsia="en-GB"/>
              </w:rPr>
            </w:pPr>
            <w:proofErr w:type="spellStart"/>
            <w:r w:rsidRPr="00353E49">
              <w:rPr>
                <w:rFonts w:ascii="Arial" w:hAnsi="Arial" w:cs="Arial"/>
                <w:sz w:val="24"/>
                <w:szCs w:val="24"/>
              </w:rPr>
              <w:t>Cromdale</w:t>
            </w:r>
            <w:proofErr w:type="spellEnd"/>
            <w:r w:rsidRPr="00353E49">
              <w:rPr>
                <w:rFonts w:ascii="Arial" w:hAnsi="Arial" w:cs="Arial"/>
                <w:sz w:val="24"/>
                <w:szCs w:val="24"/>
              </w:rPr>
              <w:t xml:space="preserve"> Hall</w:t>
            </w:r>
          </w:p>
        </w:tc>
      </w:tr>
      <w:tr w:rsidR="00353E49" w:rsidRPr="00353E49" w14:paraId="08753F2A" w14:textId="77777777" w:rsidTr="00E45872">
        <w:tc>
          <w:tcPr>
            <w:tcW w:w="2254" w:type="dxa"/>
          </w:tcPr>
          <w:p w14:paraId="6F5A8CC4" w14:textId="5D732DAB"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15:00 – 16:00</w:t>
            </w:r>
          </w:p>
        </w:tc>
        <w:tc>
          <w:tcPr>
            <w:tcW w:w="2254" w:type="dxa"/>
          </w:tcPr>
          <w:p w14:paraId="7FD7205A" w14:textId="26ABEFBC"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Live Demonstration: Winter Lighting Effects</w:t>
            </w:r>
          </w:p>
        </w:tc>
        <w:tc>
          <w:tcPr>
            <w:tcW w:w="2254" w:type="dxa"/>
          </w:tcPr>
          <w:p w14:paraId="7B012549" w14:textId="2D18C761"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 xml:space="preserve">Live showcase of advanced winter lighting techniques, including snowfall simulations and thematic </w:t>
            </w:r>
            <w:proofErr w:type="spellStart"/>
            <w:r w:rsidRPr="00353E49">
              <w:rPr>
                <w:rFonts w:ascii="Arial" w:hAnsi="Arial" w:cs="Arial"/>
                <w:sz w:val="24"/>
                <w:szCs w:val="24"/>
              </w:rPr>
              <w:t>color</w:t>
            </w:r>
            <w:proofErr w:type="spellEnd"/>
            <w:r w:rsidRPr="00353E49">
              <w:rPr>
                <w:rFonts w:ascii="Arial" w:hAnsi="Arial" w:cs="Arial"/>
                <w:sz w:val="24"/>
                <w:szCs w:val="24"/>
              </w:rPr>
              <w:t xml:space="preserve"> palettes.</w:t>
            </w:r>
          </w:p>
        </w:tc>
        <w:tc>
          <w:tcPr>
            <w:tcW w:w="2254" w:type="dxa"/>
          </w:tcPr>
          <w:p w14:paraId="760066D0" w14:textId="2AA5A40A"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Pentland Suite</w:t>
            </w:r>
          </w:p>
        </w:tc>
      </w:tr>
      <w:tr w:rsidR="00353E49" w:rsidRPr="00353E49" w14:paraId="2F403809" w14:textId="77777777" w:rsidTr="00E45872">
        <w:tc>
          <w:tcPr>
            <w:tcW w:w="2254" w:type="dxa"/>
          </w:tcPr>
          <w:p w14:paraId="7276BD58" w14:textId="2F92D845"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16:00 – 17:00</w:t>
            </w:r>
          </w:p>
        </w:tc>
        <w:tc>
          <w:tcPr>
            <w:tcW w:w="2254" w:type="dxa"/>
          </w:tcPr>
          <w:p w14:paraId="504AE0D0" w14:textId="2F7F913B"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Closing Session &amp; Networking Cocktail</w:t>
            </w:r>
          </w:p>
        </w:tc>
        <w:tc>
          <w:tcPr>
            <w:tcW w:w="2254" w:type="dxa"/>
          </w:tcPr>
          <w:p w14:paraId="639F718A" w14:textId="4BF346D2"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rPr>
              <w:t xml:space="preserve">Closing remarks, followed by a networking cocktail hour in a festive, winter-themed setting, encouraging attendees to connect and reflect </w:t>
            </w:r>
            <w:r w:rsidRPr="00353E49">
              <w:rPr>
                <w:rFonts w:ascii="Arial" w:hAnsi="Arial" w:cs="Arial"/>
                <w:sz w:val="24"/>
                <w:szCs w:val="24"/>
              </w:rPr>
              <w:lastRenderedPageBreak/>
              <w:t>on the day’s experiences.</w:t>
            </w:r>
          </w:p>
        </w:tc>
        <w:tc>
          <w:tcPr>
            <w:tcW w:w="2254" w:type="dxa"/>
          </w:tcPr>
          <w:p w14:paraId="76D39D23" w14:textId="4EF0BD94" w:rsidR="00E45872" w:rsidRPr="00353E49" w:rsidRDefault="00E45872" w:rsidP="00E47487">
            <w:pPr>
              <w:spacing w:line="360" w:lineRule="auto"/>
              <w:jc w:val="both"/>
              <w:rPr>
                <w:rFonts w:ascii="Arial" w:hAnsi="Arial" w:cs="Arial"/>
                <w:sz w:val="24"/>
                <w:szCs w:val="24"/>
                <w:lang w:eastAsia="en-GB"/>
              </w:rPr>
            </w:pPr>
            <w:proofErr w:type="spellStart"/>
            <w:r w:rsidRPr="00353E49">
              <w:rPr>
                <w:rFonts w:ascii="Arial" w:hAnsi="Arial" w:cs="Arial"/>
                <w:sz w:val="24"/>
                <w:szCs w:val="24"/>
              </w:rPr>
              <w:lastRenderedPageBreak/>
              <w:t>Strathblane</w:t>
            </w:r>
            <w:proofErr w:type="spellEnd"/>
            <w:r w:rsidRPr="00353E49">
              <w:rPr>
                <w:rFonts w:ascii="Arial" w:hAnsi="Arial" w:cs="Arial"/>
                <w:sz w:val="24"/>
                <w:szCs w:val="24"/>
              </w:rPr>
              <w:t xml:space="preserve"> Hall</w:t>
            </w:r>
          </w:p>
        </w:tc>
      </w:tr>
    </w:tbl>
    <w:p w14:paraId="6F195741" w14:textId="77777777" w:rsidR="00E45872" w:rsidRPr="00353E49" w:rsidRDefault="00E45872" w:rsidP="00E47487">
      <w:pPr>
        <w:spacing w:line="360" w:lineRule="auto"/>
        <w:rPr>
          <w:rFonts w:ascii="Arial" w:hAnsi="Arial" w:cs="Arial"/>
          <w:sz w:val="24"/>
          <w:szCs w:val="24"/>
          <w:lang w:eastAsia="en-GB"/>
        </w:rPr>
      </w:pPr>
    </w:p>
    <w:p w14:paraId="154CB965" w14:textId="645BF9EC" w:rsidR="00E45872" w:rsidRPr="00353E49" w:rsidRDefault="00E45872" w:rsidP="00E47487">
      <w:pPr>
        <w:pStyle w:val="EU"/>
        <w:spacing w:line="360" w:lineRule="auto"/>
        <w:rPr>
          <w:color w:val="auto"/>
        </w:rPr>
      </w:pPr>
      <w:bookmarkStart w:id="3" w:name="_Toc181982451"/>
      <w:r w:rsidRPr="00353E49">
        <w:rPr>
          <w:color w:val="auto"/>
        </w:rPr>
        <w:t>The aim of the meeting</w:t>
      </w:r>
      <w:bookmarkEnd w:id="3"/>
      <w:r w:rsidRPr="00353E49">
        <w:rPr>
          <w:color w:val="auto"/>
        </w:rPr>
        <w:t xml:space="preserve"> </w:t>
      </w:r>
    </w:p>
    <w:p w14:paraId="3ED7B170" w14:textId="6AD1542A" w:rsidR="00E45872" w:rsidRPr="00353E49" w:rsidRDefault="00E45872"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The Winter Wonderland Expo aims to give hospitality event planners with a dedicated platform to explore winter-themed event options, in response to the growing demand for distinctive seasonal experiences</w:t>
      </w:r>
      <w:r w:rsidR="008A0FB2" w:rsidRPr="00353E49">
        <w:rPr>
          <w:rFonts w:ascii="Arial" w:hAnsi="Arial" w:cs="Arial"/>
          <w:sz w:val="24"/>
          <w:szCs w:val="24"/>
        </w:rPr>
        <w:t xml:space="preserve"> </w:t>
      </w:r>
      <w:r w:rsidR="008A0FB2" w:rsidRPr="00353E49">
        <w:rPr>
          <w:rFonts w:ascii="Arial" w:hAnsi="Arial" w:cs="Arial"/>
          <w:sz w:val="24"/>
          <w:szCs w:val="24"/>
          <w:lang w:eastAsia="en-GB"/>
        </w:rPr>
        <w:t>(Connell, Page and Meyer, 2015)</w:t>
      </w:r>
      <w:r w:rsidRPr="00353E49">
        <w:rPr>
          <w:rFonts w:ascii="Arial" w:hAnsi="Arial" w:cs="Arial"/>
          <w:sz w:val="24"/>
          <w:szCs w:val="24"/>
          <w:lang w:eastAsia="en-GB"/>
        </w:rPr>
        <w:t>. The exhibition helps planners create unforgettable winter events for corporate and private clients by providing interactive vendor presentations, live décor demos, and gourmet samples. This expands their creative possibilities in the MICE industry.</w:t>
      </w:r>
    </w:p>
    <w:p w14:paraId="7F0BFECE" w14:textId="5134E582" w:rsidR="00E45872" w:rsidRPr="00353E49" w:rsidRDefault="00E45872" w:rsidP="00E47487">
      <w:pPr>
        <w:pStyle w:val="EU"/>
        <w:spacing w:line="360" w:lineRule="auto"/>
        <w:rPr>
          <w:color w:val="auto"/>
        </w:rPr>
      </w:pPr>
      <w:bookmarkStart w:id="4" w:name="_Toc181982452"/>
      <w:r w:rsidRPr="00353E49">
        <w:rPr>
          <w:color w:val="auto"/>
        </w:rPr>
        <w:t>Objectives</w:t>
      </w:r>
      <w:bookmarkEnd w:id="4"/>
    </w:p>
    <w:p w14:paraId="20BE9635" w14:textId="1D900A67" w:rsidR="0043185C" w:rsidRPr="00353E49" w:rsidRDefault="0043185C" w:rsidP="00E47487">
      <w:pPr>
        <w:pStyle w:val="ListParagraph"/>
        <w:numPr>
          <w:ilvl w:val="0"/>
          <w:numId w:val="1"/>
        </w:numPr>
        <w:spacing w:line="360" w:lineRule="auto"/>
        <w:jc w:val="both"/>
        <w:rPr>
          <w:rFonts w:ascii="Arial" w:eastAsiaTheme="majorEastAsia" w:hAnsi="Arial" w:cs="Arial"/>
          <w:bCs/>
          <w:kern w:val="0"/>
          <w:sz w:val="24"/>
          <w:szCs w:val="24"/>
          <w:lang w:eastAsia="en-GB"/>
          <w14:ligatures w14:val="none"/>
        </w:rPr>
      </w:pPr>
      <w:r w:rsidRPr="00353E49">
        <w:rPr>
          <w:rFonts w:ascii="Arial" w:eastAsiaTheme="majorEastAsia" w:hAnsi="Arial" w:cs="Arial"/>
          <w:bCs/>
          <w:kern w:val="0"/>
          <w:sz w:val="24"/>
          <w:szCs w:val="24"/>
          <w:lang w:eastAsia="en-GB"/>
          <w14:ligatures w14:val="none"/>
        </w:rPr>
        <w:t>At the end of the exhibition, 90% of event planners will have met at least three new winter-themed decor, entertainment, and catering exhibitors. This goal supports the expo's goal of providing personalised, seasonal MICE solutions by giving planners practical information and new connections to build engaging winter events.</w:t>
      </w:r>
    </w:p>
    <w:p w14:paraId="5753A6BE" w14:textId="39EBCDA9" w:rsidR="0043185C" w:rsidRPr="00353E49" w:rsidRDefault="0043185C" w:rsidP="00E47487">
      <w:pPr>
        <w:pStyle w:val="ListParagraph"/>
        <w:numPr>
          <w:ilvl w:val="0"/>
          <w:numId w:val="1"/>
        </w:numPr>
        <w:spacing w:line="360" w:lineRule="auto"/>
        <w:jc w:val="both"/>
        <w:rPr>
          <w:rFonts w:ascii="Arial" w:eastAsiaTheme="majorEastAsia" w:hAnsi="Arial" w:cs="Arial"/>
          <w:bCs/>
          <w:kern w:val="0"/>
          <w:sz w:val="24"/>
          <w:szCs w:val="24"/>
          <w:lang w:eastAsia="en-GB"/>
          <w14:ligatures w14:val="none"/>
        </w:rPr>
      </w:pPr>
      <w:r w:rsidRPr="00353E49">
        <w:rPr>
          <w:rFonts w:ascii="Arial" w:eastAsiaTheme="majorEastAsia" w:hAnsi="Arial" w:cs="Arial"/>
          <w:bCs/>
          <w:kern w:val="0"/>
          <w:sz w:val="24"/>
          <w:szCs w:val="24"/>
          <w:lang w:eastAsia="en-GB"/>
          <w14:ligatures w14:val="none"/>
        </w:rPr>
        <w:t>To foster professional partnerships and cooperation, the expo will have at least two networking sessions for registrants to meet industry leaders and colleagues. This specialised networking strategy will assist planners make winter event contacts, complementing the expo's objective of providing hospitality professionals with resources for winter-themed occasions.</w:t>
      </w:r>
    </w:p>
    <w:p w14:paraId="7BABFECA" w14:textId="1DE621A9" w:rsidR="0043185C" w:rsidRPr="00353E49" w:rsidRDefault="0043185C" w:rsidP="00E47487">
      <w:pPr>
        <w:pStyle w:val="ListParagraph"/>
        <w:numPr>
          <w:ilvl w:val="0"/>
          <w:numId w:val="1"/>
        </w:numPr>
        <w:spacing w:line="360" w:lineRule="auto"/>
        <w:jc w:val="both"/>
        <w:rPr>
          <w:rFonts w:ascii="Arial" w:eastAsiaTheme="majorEastAsia" w:hAnsi="Arial" w:cs="Arial"/>
          <w:bCs/>
          <w:kern w:val="0"/>
          <w:sz w:val="24"/>
          <w:szCs w:val="24"/>
          <w:lang w:eastAsia="en-GB"/>
          <w14:ligatures w14:val="none"/>
        </w:rPr>
      </w:pPr>
      <w:r w:rsidRPr="00353E49">
        <w:rPr>
          <w:rFonts w:ascii="Arial" w:eastAsiaTheme="majorEastAsia" w:hAnsi="Arial" w:cs="Arial"/>
          <w:bCs/>
          <w:kern w:val="0"/>
          <w:sz w:val="24"/>
          <w:szCs w:val="24"/>
          <w:lang w:eastAsia="en-GB"/>
          <w14:ligatures w14:val="none"/>
        </w:rPr>
        <w:t>Attendees will engage in at least two interactive workshops, such as live decor demonstrations and seasonal tastings, to inspire and educate their winter event planning. The exhibition supports winter-themed event innovation by immersing planners in these experiences and providing direct, relevant examples to help them create outstanding winter events.</w:t>
      </w:r>
    </w:p>
    <w:p w14:paraId="1E50B845" w14:textId="77777777" w:rsidR="0043185C" w:rsidRPr="00353E49" w:rsidRDefault="0043185C" w:rsidP="00E47487">
      <w:pPr>
        <w:spacing w:line="360" w:lineRule="auto"/>
        <w:jc w:val="both"/>
        <w:rPr>
          <w:rFonts w:ascii="Arial" w:eastAsiaTheme="majorEastAsia" w:hAnsi="Arial" w:cs="Arial"/>
          <w:bCs/>
          <w:kern w:val="0"/>
          <w:sz w:val="24"/>
          <w:szCs w:val="24"/>
          <w:lang w:eastAsia="en-GB"/>
          <w14:ligatures w14:val="none"/>
        </w:rPr>
      </w:pPr>
    </w:p>
    <w:p w14:paraId="1C54F55A" w14:textId="6F549F74" w:rsidR="0043185C" w:rsidRPr="00353E49" w:rsidRDefault="0043185C" w:rsidP="00E47487">
      <w:pPr>
        <w:pStyle w:val="EU"/>
        <w:spacing w:line="360" w:lineRule="auto"/>
        <w:rPr>
          <w:color w:val="auto"/>
        </w:rPr>
      </w:pPr>
      <w:bookmarkStart w:id="5" w:name="_Toc181982453"/>
      <w:r w:rsidRPr="00353E49">
        <w:rPr>
          <w:color w:val="auto"/>
        </w:rPr>
        <w:t>Event Management</w:t>
      </w:r>
      <w:bookmarkEnd w:id="5"/>
    </w:p>
    <w:tbl>
      <w:tblPr>
        <w:tblStyle w:val="TableGrid"/>
        <w:tblW w:w="0" w:type="auto"/>
        <w:tblLook w:val="04A0" w:firstRow="1" w:lastRow="0" w:firstColumn="1" w:lastColumn="0" w:noHBand="0" w:noVBand="1"/>
      </w:tblPr>
      <w:tblGrid>
        <w:gridCol w:w="3005"/>
        <w:gridCol w:w="3005"/>
        <w:gridCol w:w="3006"/>
      </w:tblGrid>
      <w:tr w:rsidR="00353E49" w:rsidRPr="00353E49" w14:paraId="6A366B08" w14:textId="77777777" w:rsidTr="0043185C">
        <w:tc>
          <w:tcPr>
            <w:tcW w:w="3005" w:type="dxa"/>
          </w:tcPr>
          <w:p w14:paraId="66DCDFC5" w14:textId="43F987FD" w:rsidR="0043185C" w:rsidRPr="00353E49" w:rsidRDefault="0043185C" w:rsidP="00E47487">
            <w:pPr>
              <w:spacing w:line="360" w:lineRule="auto"/>
              <w:jc w:val="both"/>
              <w:rPr>
                <w:rFonts w:ascii="Arial" w:hAnsi="Arial" w:cs="Arial"/>
                <w:b/>
                <w:bCs/>
                <w:sz w:val="24"/>
                <w:szCs w:val="24"/>
                <w:lang w:eastAsia="en-GB"/>
              </w:rPr>
            </w:pPr>
            <w:r w:rsidRPr="00353E49">
              <w:rPr>
                <w:rFonts w:ascii="Arial" w:hAnsi="Arial" w:cs="Arial"/>
                <w:b/>
                <w:bCs/>
                <w:sz w:val="24"/>
                <w:szCs w:val="24"/>
              </w:rPr>
              <w:t>Category</w:t>
            </w:r>
          </w:p>
        </w:tc>
        <w:tc>
          <w:tcPr>
            <w:tcW w:w="3005" w:type="dxa"/>
          </w:tcPr>
          <w:p w14:paraId="428185B2" w14:textId="0AB0D301" w:rsidR="0043185C" w:rsidRPr="00353E49" w:rsidRDefault="0043185C" w:rsidP="00E47487">
            <w:pPr>
              <w:spacing w:line="360" w:lineRule="auto"/>
              <w:jc w:val="both"/>
              <w:rPr>
                <w:rFonts w:ascii="Arial" w:hAnsi="Arial" w:cs="Arial"/>
                <w:b/>
                <w:bCs/>
                <w:sz w:val="24"/>
                <w:szCs w:val="24"/>
                <w:lang w:eastAsia="en-GB"/>
              </w:rPr>
            </w:pPr>
            <w:r w:rsidRPr="00353E49">
              <w:rPr>
                <w:rFonts w:ascii="Arial" w:hAnsi="Arial" w:cs="Arial"/>
                <w:b/>
                <w:bCs/>
                <w:sz w:val="24"/>
                <w:szCs w:val="24"/>
              </w:rPr>
              <w:t>Skills</w:t>
            </w:r>
          </w:p>
        </w:tc>
        <w:tc>
          <w:tcPr>
            <w:tcW w:w="3006" w:type="dxa"/>
          </w:tcPr>
          <w:p w14:paraId="7DF2E48A" w14:textId="11D1AE87" w:rsidR="0043185C" w:rsidRPr="00353E49" w:rsidRDefault="0043185C" w:rsidP="00E47487">
            <w:pPr>
              <w:spacing w:line="360" w:lineRule="auto"/>
              <w:jc w:val="both"/>
              <w:rPr>
                <w:rFonts w:ascii="Arial" w:hAnsi="Arial" w:cs="Arial"/>
                <w:b/>
                <w:bCs/>
                <w:sz w:val="24"/>
                <w:szCs w:val="24"/>
                <w:lang w:eastAsia="en-GB"/>
              </w:rPr>
            </w:pPr>
            <w:r w:rsidRPr="00353E49">
              <w:rPr>
                <w:rFonts w:ascii="Arial" w:hAnsi="Arial" w:cs="Arial"/>
                <w:b/>
                <w:bCs/>
                <w:sz w:val="24"/>
                <w:szCs w:val="24"/>
              </w:rPr>
              <w:t>Resources</w:t>
            </w:r>
          </w:p>
        </w:tc>
      </w:tr>
      <w:tr w:rsidR="00353E49" w:rsidRPr="00353E49" w14:paraId="3D9FAD3A" w14:textId="77777777" w:rsidTr="0043185C">
        <w:tc>
          <w:tcPr>
            <w:tcW w:w="3005" w:type="dxa"/>
          </w:tcPr>
          <w:p w14:paraId="44B4F722" w14:textId="4F0B3AD3"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Operational</w:t>
            </w:r>
          </w:p>
        </w:tc>
        <w:tc>
          <w:tcPr>
            <w:tcW w:w="3005" w:type="dxa"/>
          </w:tcPr>
          <w:p w14:paraId="287FECC1"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Venue management</w:t>
            </w:r>
          </w:p>
          <w:p w14:paraId="4EAA609C"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Technical setup</w:t>
            </w:r>
          </w:p>
          <w:p w14:paraId="6D79BC66" w14:textId="794918DC"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lastRenderedPageBreak/>
              <w:t>- Logistics</w:t>
            </w:r>
          </w:p>
        </w:tc>
        <w:tc>
          <w:tcPr>
            <w:tcW w:w="3006" w:type="dxa"/>
          </w:tcPr>
          <w:p w14:paraId="7F27ABD7"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lastRenderedPageBreak/>
              <w:t>- EICC venue</w:t>
            </w:r>
          </w:p>
          <w:p w14:paraId="2FF86612"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AV equipment</w:t>
            </w:r>
          </w:p>
          <w:p w14:paraId="723D8837" w14:textId="677089E4"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lastRenderedPageBreak/>
              <w:t>- Seating setups</w:t>
            </w:r>
          </w:p>
        </w:tc>
      </w:tr>
      <w:tr w:rsidR="00353E49" w:rsidRPr="00353E49" w14:paraId="63434908" w14:textId="77777777" w:rsidTr="0043185C">
        <w:tc>
          <w:tcPr>
            <w:tcW w:w="3005" w:type="dxa"/>
          </w:tcPr>
          <w:p w14:paraId="31C55EAA" w14:textId="27B0E015"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lastRenderedPageBreak/>
              <w:t>Marketing</w:t>
            </w:r>
          </w:p>
        </w:tc>
        <w:tc>
          <w:tcPr>
            <w:tcW w:w="3005" w:type="dxa"/>
          </w:tcPr>
          <w:p w14:paraId="25E1F744" w14:textId="7B96AC8A"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-Social media management</w:t>
            </w:r>
          </w:p>
          <w:p w14:paraId="68D7A7DE"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Content creation</w:t>
            </w:r>
          </w:p>
          <w:p w14:paraId="7BCD7C5E" w14:textId="344FEA62"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Networking</w:t>
            </w:r>
          </w:p>
        </w:tc>
        <w:tc>
          <w:tcPr>
            <w:tcW w:w="3006" w:type="dxa"/>
          </w:tcPr>
          <w:p w14:paraId="6DA3DE9A"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Social media platforms</w:t>
            </w:r>
          </w:p>
          <w:p w14:paraId="429FAF0F"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Industry publications</w:t>
            </w:r>
          </w:p>
          <w:p w14:paraId="15290F79" w14:textId="030BA8B2"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Email marketing tools</w:t>
            </w:r>
          </w:p>
        </w:tc>
      </w:tr>
      <w:tr w:rsidR="00353E49" w:rsidRPr="00353E49" w14:paraId="1ECDD546" w14:textId="77777777" w:rsidTr="0043185C">
        <w:tc>
          <w:tcPr>
            <w:tcW w:w="3005" w:type="dxa"/>
          </w:tcPr>
          <w:p w14:paraId="27559AF7" w14:textId="3CEADD89"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Planning</w:t>
            </w:r>
          </w:p>
        </w:tc>
        <w:tc>
          <w:tcPr>
            <w:tcW w:w="3005" w:type="dxa"/>
          </w:tcPr>
          <w:p w14:paraId="0236895F"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Budgeting</w:t>
            </w:r>
          </w:p>
          <w:p w14:paraId="0140AC00"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Scheduling</w:t>
            </w:r>
          </w:p>
          <w:p w14:paraId="1A26AE27" w14:textId="29132F1B"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Vendor coordination</w:t>
            </w:r>
          </w:p>
        </w:tc>
        <w:tc>
          <w:tcPr>
            <w:tcW w:w="3006" w:type="dxa"/>
          </w:tcPr>
          <w:p w14:paraId="1A83748D"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Financial plan</w:t>
            </w:r>
          </w:p>
          <w:p w14:paraId="401AF720" w14:textId="777777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Event schedule</w:t>
            </w:r>
          </w:p>
          <w:p w14:paraId="58F3DF64" w14:textId="65875F6A"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Vendor contacts</w:t>
            </w:r>
          </w:p>
        </w:tc>
      </w:tr>
    </w:tbl>
    <w:p w14:paraId="790954EF" w14:textId="77777777" w:rsidR="0043185C" w:rsidRPr="00353E49" w:rsidRDefault="0043185C" w:rsidP="00E47487">
      <w:pPr>
        <w:spacing w:line="360" w:lineRule="auto"/>
        <w:rPr>
          <w:rFonts w:ascii="Arial" w:hAnsi="Arial" w:cs="Arial"/>
          <w:sz w:val="24"/>
          <w:szCs w:val="24"/>
          <w:lang w:eastAsia="en-GB"/>
        </w:rPr>
      </w:pPr>
    </w:p>
    <w:p w14:paraId="0D403549" w14:textId="3024163B"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Effective event management for the Winter Wonderland Expo requires operational, planning, and marketing skills and resources. Venue management and technical setup abilities are needed to handle the expo's interactive sessions with EICC space, AV equipment, and seating layouts</w:t>
      </w:r>
      <w:r w:rsidR="008A0FB2" w:rsidRPr="00353E49">
        <w:rPr>
          <w:rFonts w:ascii="Arial" w:hAnsi="Arial" w:cs="Arial"/>
          <w:sz w:val="24"/>
          <w:szCs w:val="24"/>
          <w:lang w:eastAsia="en-GB"/>
        </w:rPr>
        <w:t xml:space="preserve"> (Junek et a., 2009)</w:t>
      </w:r>
      <w:r w:rsidRPr="00353E49">
        <w:rPr>
          <w:rFonts w:ascii="Arial" w:hAnsi="Arial" w:cs="Arial"/>
          <w:sz w:val="24"/>
          <w:szCs w:val="24"/>
          <w:lang w:eastAsia="en-GB"/>
        </w:rPr>
        <w:t>. Planning, budgeting, scheduling, and vendor coordination assure event flow with a financial strategy, event schedule, and trustworthy vendor connections. Marketing emphasises social media, content, and networking to increase attendance and engagement. This requires prominent social media networks, industry journal relationships, and email marketing tools to reach a wide audience</w:t>
      </w:r>
      <w:r w:rsidR="008A0FB2" w:rsidRPr="00353E49">
        <w:rPr>
          <w:rFonts w:ascii="Arial" w:hAnsi="Arial" w:cs="Arial"/>
          <w:sz w:val="24"/>
          <w:szCs w:val="24"/>
          <w:lang w:eastAsia="en-GB"/>
        </w:rPr>
        <w:t xml:space="preserve"> (Ashley and Tuten, 2015)</w:t>
      </w:r>
      <w:r w:rsidRPr="00353E49">
        <w:rPr>
          <w:rFonts w:ascii="Arial" w:hAnsi="Arial" w:cs="Arial"/>
          <w:sz w:val="24"/>
          <w:szCs w:val="24"/>
          <w:lang w:eastAsia="en-GB"/>
        </w:rPr>
        <w:t>. These skills and tools help the Winter Wonderland Expo satisfy event planners' professional objectives by offering a meaningful experience focussing on winter-themed event solutions.</w:t>
      </w:r>
    </w:p>
    <w:p w14:paraId="35A0E204" w14:textId="4B072517" w:rsidR="0043185C" w:rsidRPr="00353E49" w:rsidRDefault="0043185C" w:rsidP="00E47487">
      <w:pPr>
        <w:pStyle w:val="EU"/>
        <w:spacing w:line="360" w:lineRule="auto"/>
        <w:rPr>
          <w:color w:val="auto"/>
        </w:rPr>
      </w:pPr>
      <w:bookmarkStart w:id="6" w:name="_Toc181982454"/>
      <w:r w:rsidRPr="00353E49">
        <w:rPr>
          <w:color w:val="auto"/>
        </w:rPr>
        <w:t>Event Budget</w:t>
      </w:r>
      <w:bookmarkEnd w:id="6"/>
    </w:p>
    <w:tbl>
      <w:tblPr>
        <w:tblStyle w:val="TableGrid"/>
        <w:tblW w:w="0" w:type="auto"/>
        <w:tblLook w:val="04A0" w:firstRow="1" w:lastRow="0" w:firstColumn="1" w:lastColumn="0" w:noHBand="0" w:noVBand="1"/>
      </w:tblPr>
      <w:tblGrid>
        <w:gridCol w:w="1980"/>
        <w:gridCol w:w="3544"/>
        <w:gridCol w:w="1417"/>
      </w:tblGrid>
      <w:tr w:rsidR="00353E49" w:rsidRPr="00353E49" w14:paraId="2B87237A" w14:textId="77777777" w:rsidTr="0043185C">
        <w:tc>
          <w:tcPr>
            <w:tcW w:w="1980" w:type="dxa"/>
          </w:tcPr>
          <w:p w14:paraId="1BE72CAE" w14:textId="4CA4FE02"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Income Source</w:t>
            </w:r>
          </w:p>
        </w:tc>
        <w:tc>
          <w:tcPr>
            <w:tcW w:w="3544" w:type="dxa"/>
          </w:tcPr>
          <w:p w14:paraId="0EA9D439" w14:textId="70B1625F"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Details</w:t>
            </w:r>
          </w:p>
        </w:tc>
        <w:tc>
          <w:tcPr>
            <w:tcW w:w="1417" w:type="dxa"/>
          </w:tcPr>
          <w:p w14:paraId="243F4D59" w14:textId="6017D9EF"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Amount (£)</w:t>
            </w:r>
          </w:p>
        </w:tc>
      </w:tr>
      <w:tr w:rsidR="00353E49" w:rsidRPr="00353E49" w14:paraId="6F008F72" w14:textId="77777777" w:rsidTr="0043185C">
        <w:tc>
          <w:tcPr>
            <w:tcW w:w="1980" w:type="dxa"/>
          </w:tcPr>
          <w:p w14:paraId="7A68D87B" w14:textId="0E1096BF"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Exhibitor Fees</w:t>
            </w:r>
          </w:p>
        </w:tc>
        <w:tc>
          <w:tcPr>
            <w:tcW w:w="3544" w:type="dxa"/>
          </w:tcPr>
          <w:p w14:paraId="2345ECBB" w14:textId="2D73C699"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50 exhibitors at £1,000 each</w:t>
            </w:r>
          </w:p>
        </w:tc>
        <w:tc>
          <w:tcPr>
            <w:tcW w:w="1417" w:type="dxa"/>
          </w:tcPr>
          <w:p w14:paraId="4C979A20" w14:textId="4D96B1AD"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50,000</w:t>
            </w:r>
          </w:p>
        </w:tc>
      </w:tr>
      <w:tr w:rsidR="00353E49" w:rsidRPr="00353E49" w14:paraId="782D3D41" w14:textId="77777777" w:rsidTr="0043185C">
        <w:tc>
          <w:tcPr>
            <w:tcW w:w="1980" w:type="dxa"/>
          </w:tcPr>
          <w:p w14:paraId="038BEFBF" w14:textId="292B0860"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Ticket Sales</w:t>
            </w:r>
          </w:p>
        </w:tc>
        <w:tc>
          <w:tcPr>
            <w:tcW w:w="3544" w:type="dxa"/>
          </w:tcPr>
          <w:p w14:paraId="2A791215" w14:textId="72ED0C22"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500 attendees at £100 each</w:t>
            </w:r>
          </w:p>
        </w:tc>
        <w:tc>
          <w:tcPr>
            <w:tcW w:w="1417" w:type="dxa"/>
          </w:tcPr>
          <w:p w14:paraId="01B7831A" w14:textId="0AF77C93"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50,000</w:t>
            </w:r>
          </w:p>
        </w:tc>
      </w:tr>
      <w:tr w:rsidR="00353E49" w:rsidRPr="00353E49" w14:paraId="4790683F" w14:textId="77777777" w:rsidTr="0043185C">
        <w:tc>
          <w:tcPr>
            <w:tcW w:w="1980" w:type="dxa"/>
          </w:tcPr>
          <w:p w14:paraId="7A93EB63" w14:textId="5372CF92"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Sponsorships</w:t>
            </w:r>
          </w:p>
        </w:tc>
        <w:tc>
          <w:tcPr>
            <w:tcW w:w="3544" w:type="dxa"/>
          </w:tcPr>
          <w:p w14:paraId="17BA20CA" w14:textId="7691E868"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5 sponsors at £5,000 each</w:t>
            </w:r>
          </w:p>
        </w:tc>
        <w:tc>
          <w:tcPr>
            <w:tcW w:w="1417" w:type="dxa"/>
          </w:tcPr>
          <w:p w14:paraId="5A88A78B" w14:textId="568DCBDA"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25,000</w:t>
            </w:r>
          </w:p>
        </w:tc>
      </w:tr>
      <w:tr w:rsidR="00353E49" w:rsidRPr="00353E49" w14:paraId="2DE64257" w14:textId="77777777" w:rsidTr="0043185C">
        <w:tc>
          <w:tcPr>
            <w:tcW w:w="1980" w:type="dxa"/>
          </w:tcPr>
          <w:p w14:paraId="09FC102F" w14:textId="18D23D98"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Merchandise Sales</w:t>
            </w:r>
          </w:p>
        </w:tc>
        <w:tc>
          <w:tcPr>
            <w:tcW w:w="3544" w:type="dxa"/>
          </w:tcPr>
          <w:p w14:paraId="26057FA4" w14:textId="5491AA10"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Branded items (e.g., 200 units at £20 each)</w:t>
            </w:r>
          </w:p>
        </w:tc>
        <w:tc>
          <w:tcPr>
            <w:tcW w:w="1417" w:type="dxa"/>
          </w:tcPr>
          <w:p w14:paraId="3BFE82A2" w14:textId="73360A5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4,000</w:t>
            </w:r>
          </w:p>
        </w:tc>
      </w:tr>
      <w:tr w:rsidR="00353E49" w:rsidRPr="00353E49" w14:paraId="24502548" w14:textId="77777777" w:rsidTr="0043185C">
        <w:tc>
          <w:tcPr>
            <w:tcW w:w="1980" w:type="dxa"/>
          </w:tcPr>
          <w:p w14:paraId="758BD400" w14:textId="7B37A656"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Food and Beverage Sales</w:t>
            </w:r>
          </w:p>
        </w:tc>
        <w:tc>
          <w:tcPr>
            <w:tcW w:w="3544" w:type="dxa"/>
          </w:tcPr>
          <w:p w14:paraId="10510062" w14:textId="20F51F77"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Estimated profit from on-site sales</w:t>
            </w:r>
          </w:p>
        </w:tc>
        <w:tc>
          <w:tcPr>
            <w:tcW w:w="1417" w:type="dxa"/>
          </w:tcPr>
          <w:p w14:paraId="0E887729" w14:textId="76C4D332"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3,000</w:t>
            </w:r>
          </w:p>
        </w:tc>
      </w:tr>
      <w:tr w:rsidR="00353E49" w:rsidRPr="00353E49" w14:paraId="31086973" w14:textId="77777777" w:rsidTr="0043185C">
        <w:tc>
          <w:tcPr>
            <w:tcW w:w="1980" w:type="dxa"/>
          </w:tcPr>
          <w:p w14:paraId="31B2F647" w14:textId="77E7237D"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Advertising Revenue</w:t>
            </w:r>
          </w:p>
        </w:tc>
        <w:tc>
          <w:tcPr>
            <w:tcW w:w="3544" w:type="dxa"/>
          </w:tcPr>
          <w:p w14:paraId="399EC155" w14:textId="79497C33"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Ads in event program and website</w:t>
            </w:r>
          </w:p>
        </w:tc>
        <w:tc>
          <w:tcPr>
            <w:tcW w:w="1417" w:type="dxa"/>
          </w:tcPr>
          <w:p w14:paraId="1A6BB4EB" w14:textId="132EB23B"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2,000</w:t>
            </w:r>
          </w:p>
        </w:tc>
      </w:tr>
      <w:tr w:rsidR="00353E49" w:rsidRPr="00353E49" w14:paraId="5080A4ED" w14:textId="77777777" w:rsidTr="0043185C">
        <w:tc>
          <w:tcPr>
            <w:tcW w:w="1980" w:type="dxa"/>
          </w:tcPr>
          <w:p w14:paraId="2AC21E98" w14:textId="01784519" w:rsidR="0043185C" w:rsidRPr="00353E49" w:rsidRDefault="0043185C" w:rsidP="00E47487">
            <w:pPr>
              <w:spacing w:line="360" w:lineRule="auto"/>
              <w:jc w:val="both"/>
              <w:rPr>
                <w:rFonts w:ascii="Arial" w:hAnsi="Arial" w:cs="Arial"/>
                <w:b/>
                <w:bCs/>
                <w:sz w:val="24"/>
                <w:szCs w:val="24"/>
                <w:lang w:eastAsia="en-GB"/>
              </w:rPr>
            </w:pPr>
            <w:r w:rsidRPr="00353E49">
              <w:rPr>
                <w:rFonts w:ascii="Arial" w:hAnsi="Arial" w:cs="Arial"/>
                <w:b/>
                <w:bCs/>
                <w:sz w:val="24"/>
                <w:szCs w:val="24"/>
              </w:rPr>
              <w:lastRenderedPageBreak/>
              <w:t>Total Income</w:t>
            </w:r>
          </w:p>
        </w:tc>
        <w:tc>
          <w:tcPr>
            <w:tcW w:w="3544" w:type="dxa"/>
          </w:tcPr>
          <w:p w14:paraId="741C816F" w14:textId="77777777" w:rsidR="0043185C" w:rsidRPr="00353E49" w:rsidRDefault="0043185C" w:rsidP="00E47487">
            <w:pPr>
              <w:spacing w:line="360" w:lineRule="auto"/>
              <w:jc w:val="both"/>
              <w:rPr>
                <w:rFonts w:ascii="Arial" w:hAnsi="Arial" w:cs="Arial"/>
                <w:b/>
                <w:bCs/>
                <w:sz w:val="24"/>
                <w:szCs w:val="24"/>
                <w:lang w:eastAsia="en-GB"/>
              </w:rPr>
            </w:pPr>
          </w:p>
        </w:tc>
        <w:tc>
          <w:tcPr>
            <w:tcW w:w="1417" w:type="dxa"/>
          </w:tcPr>
          <w:p w14:paraId="049E85D3" w14:textId="7DFF8461" w:rsidR="0043185C" w:rsidRPr="00353E49" w:rsidRDefault="0043185C" w:rsidP="00E47487">
            <w:pPr>
              <w:spacing w:line="360" w:lineRule="auto"/>
              <w:jc w:val="both"/>
              <w:rPr>
                <w:rFonts w:ascii="Arial" w:hAnsi="Arial" w:cs="Arial"/>
                <w:b/>
                <w:bCs/>
                <w:sz w:val="24"/>
                <w:szCs w:val="24"/>
                <w:lang w:eastAsia="en-GB"/>
              </w:rPr>
            </w:pPr>
            <w:r w:rsidRPr="00353E49">
              <w:rPr>
                <w:rFonts w:ascii="Arial" w:hAnsi="Arial" w:cs="Arial"/>
                <w:b/>
                <w:bCs/>
                <w:sz w:val="24"/>
                <w:szCs w:val="24"/>
              </w:rPr>
              <w:t>£134,000</w:t>
            </w:r>
          </w:p>
        </w:tc>
      </w:tr>
    </w:tbl>
    <w:p w14:paraId="6DCDECB3" w14:textId="77777777" w:rsidR="0043185C" w:rsidRPr="00353E49" w:rsidRDefault="0043185C" w:rsidP="00E47487">
      <w:pPr>
        <w:spacing w:line="360" w:lineRule="auto"/>
        <w:jc w:val="both"/>
        <w:rPr>
          <w:rFonts w:ascii="Arial" w:hAnsi="Arial" w:cs="Arial"/>
          <w:sz w:val="24"/>
          <w:szCs w:val="24"/>
          <w:lang w:eastAsia="en-GB"/>
        </w:rPr>
      </w:pPr>
    </w:p>
    <w:tbl>
      <w:tblPr>
        <w:tblStyle w:val="TableGrid"/>
        <w:tblW w:w="0" w:type="auto"/>
        <w:tblLook w:val="04A0" w:firstRow="1" w:lastRow="0" w:firstColumn="1" w:lastColumn="0" w:noHBand="0" w:noVBand="1"/>
      </w:tblPr>
      <w:tblGrid>
        <w:gridCol w:w="2122"/>
        <w:gridCol w:w="3888"/>
        <w:gridCol w:w="1123"/>
      </w:tblGrid>
      <w:tr w:rsidR="00353E49" w:rsidRPr="00353E49" w14:paraId="2DC8FF4F" w14:textId="77777777" w:rsidTr="0043185C">
        <w:tc>
          <w:tcPr>
            <w:tcW w:w="2122" w:type="dxa"/>
          </w:tcPr>
          <w:p w14:paraId="5D19AF63" w14:textId="39589ADC"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 xml:space="preserve">Expense </w:t>
            </w:r>
          </w:p>
        </w:tc>
        <w:tc>
          <w:tcPr>
            <w:tcW w:w="3888" w:type="dxa"/>
          </w:tcPr>
          <w:p w14:paraId="3D6A4D4B" w14:textId="3758C44B"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Particulars</w:t>
            </w:r>
          </w:p>
        </w:tc>
        <w:tc>
          <w:tcPr>
            <w:tcW w:w="1073" w:type="dxa"/>
          </w:tcPr>
          <w:p w14:paraId="32241867" w14:textId="4AD1DDAA"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Amount (£)</w:t>
            </w:r>
          </w:p>
        </w:tc>
      </w:tr>
      <w:tr w:rsidR="00353E49" w:rsidRPr="00353E49" w14:paraId="2DDA03FD" w14:textId="77777777" w:rsidTr="0043185C">
        <w:tc>
          <w:tcPr>
            <w:tcW w:w="2122" w:type="dxa"/>
          </w:tcPr>
          <w:p w14:paraId="12F75604" w14:textId="70319421"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Venue Hire</w:t>
            </w:r>
          </w:p>
        </w:tc>
        <w:tc>
          <w:tcPr>
            <w:tcW w:w="3888" w:type="dxa"/>
          </w:tcPr>
          <w:p w14:paraId="35AB828A" w14:textId="390C99DE"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EICC main hall and additional rooms for one day</w:t>
            </w:r>
          </w:p>
        </w:tc>
        <w:tc>
          <w:tcPr>
            <w:tcW w:w="1073" w:type="dxa"/>
          </w:tcPr>
          <w:p w14:paraId="0FBBAC9F" w14:textId="3377B86F"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20,000</w:t>
            </w:r>
          </w:p>
        </w:tc>
      </w:tr>
      <w:tr w:rsidR="00353E49" w:rsidRPr="00353E49" w14:paraId="4706E830" w14:textId="77777777" w:rsidTr="0043185C">
        <w:tc>
          <w:tcPr>
            <w:tcW w:w="2122" w:type="dxa"/>
          </w:tcPr>
          <w:p w14:paraId="1FD7CB8B" w14:textId="12EB4B8D"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Catering</w:t>
            </w:r>
          </w:p>
        </w:tc>
        <w:tc>
          <w:tcPr>
            <w:tcW w:w="3888" w:type="dxa"/>
          </w:tcPr>
          <w:p w14:paraId="34A843AD" w14:textId="67BE0FCD"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Lunch and refreshments for 500 attendees (£30 per person)</w:t>
            </w:r>
          </w:p>
        </w:tc>
        <w:tc>
          <w:tcPr>
            <w:tcW w:w="1073" w:type="dxa"/>
          </w:tcPr>
          <w:p w14:paraId="363915D2" w14:textId="0171126E"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15,000</w:t>
            </w:r>
          </w:p>
        </w:tc>
      </w:tr>
      <w:tr w:rsidR="00353E49" w:rsidRPr="00353E49" w14:paraId="2DBB1FA3" w14:textId="77777777" w:rsidTr="0043185C">
        <w:tc>
          <w:tcPr>
            <w:tcW w:w="2122" w:type="dxa"/>
          </w:tcPr>
          <w:p w14:paraId="6F065D8A" w14:textId="69DCA91A"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Marketing and Promotion</w:t>
            </w:r>
          </w:p>
        </w:tc>
        <w:tc>
          <w:tcPr>
            <w:tcW w:w="3888" w:type="dxa"/>
          </w:tcPr>
          <w:p w14:paraId="623F6ABF" w14:textId="51502B8E"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Advertising, social media campaigns, and promotional materials</w:t>
            </w:r>
          </w:p>
        </w:tc>
        <w:tc>
          <w:tcPr>
            <w:tcW w:w="1073" w:type="dxa"/>
          </w:tcPr>
          <w:p w14:paraId="35EF05B7" w14:textId="0BA3B51D"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10,000</w:t>
            </w:r>
          </w:p>
        </w:tc>
      </w:tr>
      <w:tr w:rsidR="00353E49" w:rsidRPr="00353E49" w14:paraId="5F71B89A" w14:textId="77777777" w:rsidTr="0043185C">
        <w:tc>
          <w:tcPr>
            <w:tcW w:w="2122" w:type="dxa"/>
          </w:tcPr>
          <w:p w14:paraId="7EB9881A" w14:textId="2267DACD"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Staffing</w:t>
            </w:r>
          </w:p>
        </w:tc>
        <w:tc>
          <w:tcPr>
            <w:tcW w:w="3888" w:type="dxa"/>
          </w:tcPr>
          <w:p w14:paraId="2EA7501F" w14:textId="0541A5F8"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Event staff, security, and technical support</w:t>
            </w:r>
          </w:p>
        </w:tc>
        <w:tc>
          <w:tcPr>
            <w:tcW w:w="1073" w:type="dxa"/>
          </w:tcPr>
          <w:p w14:paraId="63B986B5" w14:textId="4288D71D"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12,000</w:t>
            </w:r>
          </w:p>
        </w:tc>
      </w:tr>
      <w:tr w:rsidR="00353E49" w:rsidRPr="00353E49" w14:paraId="262B42A1" w14:textId="77777777" w:rsidTr="0043185C">
        <w:tc>
          <w:tcPr>
            <w:tcW w:w="2122" w:type="dxa"/>
          </w:tcPr>
          <w:p w14:paraId="28C3C689" w14:textId="16B139F8"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Decor and Setup</w:t>
            </w:r>
          </w:p>
        </w:tc>
        <w:tc>
          <w:tcPr>
            <w:tcW w:w="3888" w:type="dxa"/>
          </w:tcPr>
          <w:p w14:paraId="79A44065" w14:textId="2809AF0B"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Winter-themed decorations and setup costs</w:t>
            </w:r>
          </w:p>
        </w:tc>
        <w:tc>
          <w:tcPr>
            <w:tcW w:w="1073" w:type="dxa"/>
          </w:tcPr>
          <w:p w14:paraId="2D475F99" w14:textId="168D0B92"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8,000</w:t>
            </w:r>
          </w:p>
        </w:tc>
      </w:tr>
      <w:tr w:rsidR="00353E49" w:rsidRPr="00353E49" w14:paraId="26C6067F" w14:textId="77777777" w:rsidTr="0043185C">
        <w:tc>
          <w:tcPr>
            <w:tcW w:w="2122" w:type="dxa"/>
          </w:tcPr>
          <w:p w14:paraId="64A7F05B" w14:textId="3C0199F6"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Audio-Visual Equipment</w:t>
            </w:r>
          </w:p>
        </w:tc>
        <w:tc>
          <w:tcPr>
            <w:tcW w:w="3888" w:type="dxa"/>
          </w:tcPr>
          <w:p w14:paraId="19BCB30B" w14:textId="247C3581"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AV equipment rental and technical services</w:t>
            </w:r>
          </w:p>
        </w:tc>
        <w:tc>
          <w:tcPr>
            <w:tcW w:w="1073" w:type="dxa"/>
          </w:tcPr>
          <w:p w14:paraId="772D7A9E" w14:textId="4C1D661C"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7,000</w:t>
            </w:r>
          </w:p>
        </w:tc>
      </w:tr>
      <w:tr w:rsidR="00353E49" w:rsidRPr="00353E49" w14:paraId="072AA794" w14:textId="77777777" w:rsidTr="0043185C">
        <w:tc>
          <w:tcPr>
            <w:tcW w:w="2122" w:type="dxa"/>
          </w:tcPr>
          <w:p w14:paraId="15F3FCCC" w14:textId="1EE32E9E"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Insurance</w:t>
            </w:r>
          </w:p>
        </w:tc>
        <w:tc>
          <w:tcPr>
            <w:tcW w:w="3888" w:type="dxa"/>
          </w:tcPr>
          <w:p w14:paraId="4C35DC99" w14:textId="0C803333"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Event liability insurance</w:t>
            </w:r>
          </w:p>
        </w:tc>
        <w:tc>
          <w:tcPr>
            <w:tcW w:w="1073" w:type="dxa"/>
          </w:tcPr>
          <w:p w14:paraId="495CC627" w14:textId="2D38F02A"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3,000</w:t>
            </w:r>
          </w:p>
        </w:tc>
      </w:tr>
      <w:tr w:rsidR="00353E49" w:rsidRPr="00353E49" w14:paraId="01B891AB" w14:textId="77777777" w:rsidTr="0043185C">
        <w:tc>
          <w:tcPr>
            <w:tcW w:w="2122" w:type="dxa"/>
          </w:tcPr>
          <w:p w14:paraId="507A2927" w14:textId="7C623D6B"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Miscellaneous</w:t>
            </w:r>
          </w:p>
        </w:tc>
        <w:tc>
          <w:tcPr>
            <w:tcW w:w="3888" w:type="dxa"/>
          </w:tcPr>
          <w:p w14:paraId="7989A1DE" w14:textId="5FDB1A9F"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Contingency fund for unforeseen expenses</w:t>
            </w:r>
          </w:p>
        </w:tc>
        <w:tc>
          <w:tcPr>
            <w:tcW w:w="1073" w:type="dxa"/>
          </w:tcPr>
          <w:p w14:paraId="3013C6A6" w14:textId="73991D33"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5,000</w:t>
            </w:r>
          </w:p>
        </w:tc>
      </w:tr>
      <w:tr w:rsidR="00353E49" w:rsidRPr="00353E49" w14:paraId="794954FE" w14:textId="77777777" w:rsidTr="0043185C">
        <w:tc>
          <w:tcPr>
            <w:tcW w:w="2122" w:type="dxa"/>
          </w:tcPr>
          <w:p w14:paraId="21D28D95" w14:textId="54022CC1" w:rsidR="0043185C" w:rsidRPr="00353E49" w:rsidRDefault="0043185C" w:rsidP="00E47487">
            <w:pPr>
              <w:spacing w:line="360" w:lineRule="auto"/>
              <w:jc w:val="both"/>
              <w:rPr>
                <w:rFonts w:ascii="Arial" w:hAnsi="Arial" w:cs="Arial"/>
                <w:b/>
                <w:bCs/>
                <w:sz w:val="24"/>
                <w:szCs w:val="24"/>
                <w:lang w:eastAsia="en-GB"/>
              </w:rPr>
            </w:pPr>
            <w:r w:rsidRPr="00353E49">
              <w:rPr>
                <w:rFonts w:ascii="Arial" w:hAnsi="Arial" w:cs="Arial"/>
                <w:b/>
                <w:bCs/>
                <w:sz w:val="24"/>
                <w:szCs w:val="24"/>
              </w:rPr>
              <w:t>Total Expenditure</w:t>
            </w:r>
          </w:p>
        </w:tc>
        <w:tc>
          <w:tcPr>
            <w:tcW w:w="3888" w:type="dxa"/>
          </w:tcPr>
          <w:p w14:paraId="258E3FA2" w14:textId="77777777" w:rsidR="0043185C" w:rsidRPr="00353E49" w:rsidRDefault="0043185C" w:rsidP="00E47487">
            <w:pPr>
              <w:spacing w:line="360" w:lineRule="auto"/>
              <w:jc w:val="both"/>
              <w:rPr>
                <w:rFonts w:ascii="Arial" w:hAnsi="Arial" w:cs="Arial"/>
                <w:b/>
                <w:bCs/>
                <w:sz w:val="24"/>
                <w:szCs w:val="24"/>
                <w:lang w:eastAsia="en-GB"/>
              </w:rPr>
            </w:pPr>
          </w:p>
        </w:tc>
        <w:tc>
          <w:tcPr>
            <w:tcW w:w="1073" w:type="dxa"/>
          </w:tcPr>
          <w:p w14:paraId="5D2BEDA9" w14:textId="727BD26F" w:rsidR="0043185C" w:rsidRPr="00353E49" w:rsidRDefault="0043185C" w:rsidP="00E47487">
            <w:pPr>
              <w:spacing w:line="360" w:lineRule="auto"/>
              <w:jc w:val="both"/>
              <w:rPr>
                <w:rFonts w:ascii="Arial" w:hAnsi="Arial" w:cs="Arial"/>
                <w:b/>
                <w:bCs/>
                <w:sz w:val="24"/>
                <w:szCs w:val="24"/>
                <w:lang w:eastAsia="en-GB"/>
              </w:rPr>
            </w:pPr>
            <w:r w:rsidRPr="00353E49">
              <w:rPr>
                <w:rFonts w:ascii="Arial" w:hAnsi="Arial" w:cs="Arial"/>
                <w:b/>
                <w:bCs/>
                <w:sz w:val="24"/>
                <w:szCs w:val="24"/>
              </w:rPr>
              <w:t>£80,000</w:t>
            </w:r>
          </w:p>
        </w:tc>
      </w:tr>
    </w:tbl>
    <w:p w14:paraId="1BAE8440" w14:textId="77777777" w:rsidR="0043185C" w:rsidRPr="00353E49" w:rsidRDefault="0043185C" w:rsidP="00E47487">
      <w:pPr>
        <w:spacing w:line="360" w:lineRule="auto"/>
        <w:jc w:val="both"/>
        <w:rPr>
          <w:rFonts w:ascii="Arial" w:hAnsi="Arial" w:cs="Arial"/>
          <w:sz w:val="24"/>
          <w:szCs w:val="24"/>
          <w:lang w:eastAsia="en-GB"/>
        </w:rPr>
      </w:pPr>
    </w:p>
    <w:tbl>
      <w:tblPr>
        <w:tblStyle w:val="TableGrid"/>
        <w:tblW w:w="0" w:type="auto"/>
        <w:tblLook w:val="04A0" w:firstRow="1" w:lastRow="0" w:firstColumn="1" w:lastColumn="0" w:noHBand="0" w:noVBand="1"/>
      </w:tblPr>
      <w:tblGrid>
        <w:gridCol w:w="2122"/>
        <w:gridCol w:w="2693"/>
        <w:gridCol w:w="1701"/>
      </w:tblGrid>
      <w:tr w:rsidR="00353E49" w:rsidRPr="00353E49" w14:paraId="6B3926E6" w14:textId="77777777" w:rsidTr="0043185C">
        <w:tc>
          <w:tcPr>
            <w:tcW w:w="2122" w:type="dxa"/>
          </w:tcPr>
          <w:p w14:paraId="7162523F" w14:textId="4CBD309E"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Total Income (£)</w:t>
            </w:r>
          </w:p>
        </w:tc>
        <w:tc>
          <w:tcPr>
            <w:tcW w:w="2693" w:type="dxa"/>
          </w:tcPr>
          <w:p w14:paraId="63FA2D3A" w14:textId="10FEEAA7"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Total Expenditure (£)</w:t>
            </w:r>
          </w:p>
        </w:tc>
        <w:tc>
          <w:tcPr>
            <w:tcW w:w="1701" w:type="dxa"/>
          </w:tcPr>
          <w:p w14:paraId="0FA5EB1B" w14:textId="1E7CC690" w:rsidR="0043185C" w:rsidRPr="00353E49" w:rsidRDefault="0043185C" w:rsidP="00E47487">
            <w:pPr>
              <w:spacing w:line="360" w:lineRule="auto"/>
              <w:jc w:val="both"/>
              <w:rPr>
                <w:rFonts w:ascii="Arial" w:hAnsi="Arial" w:cs="Arial"/>
                <w:b/>
                <w:bCs/>
                <w:i/>
                <w:iCs/>
                <w:sz w:val="24"/>
                <w:szCs w:val="24"/>
                <w:lang w:eastAsia="en-GB"/>
              </w:rPr>
            </w:pPr>
            <w:r w:rsidRPr="00353E49">
              <w:rPr>
                <w:rFonts w:ascii="Arial" w:hAnsi="Arial" w:cs="Arial"/>
                <w:b/>
                <w:bCs/>
                <w:i/>
                <w:iCs/>
                <w:sz w:val="24"/>
                <w:szCs w:val="24"/>
              </w:rPr>
              <w:t>Net Profit (£)</w:t>
            </w:r>
          </w:p>
        </w:tc>
      </w:tr>
      <w:tr w:rsidR="00353E49" w:rsidRPr="00353E49" w14:paraId="534C909F" w14:textId="77777777" w:rsidTr="0043185C">
        <w:tc>
          <w:tcPr>
            <w:tcW w:w="2122" w:type="dxa"/>
          </w:tcPr>
          <w:p w14:paraId="0A963953" w14:textId="33DA3723"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134,000</w:t>
            </w:r>
          </w:p>
        </w:tc>
        <w:tc>
          <w:tcPr>
            <w:tcW w:w="2693" w:type="dxa"/>
          </w:tcPr>
          <w:p w14:paraId="4021CAB1" w14:textId="558215BA"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80,000</w:t>
            </w:r>
          </w:p>
        </w:tc>
        <w:tc>
          <w:tcPr>
            <w:tcW w:w="1701" w:type="dxa"/>
          </w:tcPr>
          <w:p w14:paraId="6B69C236" w14:textId="7A885C81" w:rsidR="0043185C" w:rsidRPr="00353E49" w:rsidRDefault="0043185C" w:rsidP="00E47487">
            <w:pPr>
              <w:spacing w:line="360" w:lineRule="auto"/>
              <w:jc w:val="both"/>
              <w:rPr>
                <w:rFonts w:ascii="Arial" w:hAnsi="Arial" w:cs="Arial"/>
                <w:sz w:val="24"/>
                <w:szCs w:val="24"/>
                <w:lang w:eastAsia="en-GB"/>
              </w:rPr>
            </w:pPr>
            <w:r w:rsidRPr="00353E49">
              <w:rPr>
                <w:rFonts w:ascii="Arial" w:hAnsi="Arial" w:cs="Arial"/>
                <w:sz w:val="24"/>
                <w:szCs w:val="24"/>
              </w:rPr>
              <w:t>54,000</w:t>
            </w:r>
          </w:p>
        </w:tc>
      </w:tr>
    </w:tbl>
    <w:p w14:paraId="04DC7A63" w14:textId="77777777" w:rsidR="0043185C" w:rsidRPr="00353E49" w:rsidRDefault="0043185C" w:rsidP="00E47487">
      <w:pPr>
        <w:spacing w:line="360" w:lineRule="auto"/>
        <w:jc w:val="both"/>
        <w:rPr>
          <w:rFonts w:ascii="Arial" w:hAnsi="Arial" w:cs="Arial"/>
          <w:sz w:val="24"/>
          <w:szCs w:val="24"/>
          <w:lang w:eastAsia="en-GB"/>
        </w:rPr>
      </w:pPr>
    </w:p>
    <w:p w14:paraId="44F3E949" w14:textId="6D4FD5DB" w:rsidR="0043185C" w:rsidRPr="00353E49" w:rsidRDefault="00FB388B"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Edinburgh International Conference Centre (EICC) venue hire is a substantial expenditure due to its adaptable venues for exhibition events. Catering costs £30 per person to improve the guest experience, while £10,000 in marketing targets social media and industry channels. Staffing, AV, and decor promote seamless operations and engaging experiences, giving value to guests. Exhibitor fees (£1,000 each vendor), ticket sales (£100 per guest), sponsorships, and advertising generate cash. </w:t>
      </w:r>
      <w:r w:rsidRPr="00353E49">
        <w:rPr>
          <w:rFonts w:ascii="Arial" w:hAnsi="Arial" w:cs="Arial"/>
          <w:sz w:val="24"/>
          <w:szCs w:val="24"/>
          <w:lang w:eastAsia="en-GB"/>
        </w:rPr>
        <w:lastRenderedPageBreak/>
        <w:t>Branded products and on-site food sales boost profits and engagement. This balanced budget plan ensures operational efficiency and financial success by creating a memorable, high-quality event that matches the expo's winter theme.</w:t>
      </w:r>
    </w:p>
    <w:p w14:paraId="455D0E08" w14:textId="77777777" w:rsidR="00FB388B" w:rsidRPr="00353E49" w:rsidRDefault="00FB388B" w:rsidP="00E47487">
      <w:pPr>
        <w:spacing w:line="360" w:lineRule="auto"/>
        <w:rPr>
          <w:rFonts w:ascii="Arial" w:hAnsi="Arial" w:cs="Arial"/>
          <w:sz w:val="24"/>
          <w:szCs w:val="24"/>
          <w:lang w:eastAsia="en-GB"/>
        </w:rPr>
      </w:pPr>
    </w:p>
    <w:p w14:paraId="204F4C9D" w14:textId="367E437F" w:rsidR="00FB388B" w:rsidRPr="00353E49" w:rsidRDefault="00FB388B" w:rsidP="00E47487">
      <w:pPr>
        <w:pStyle w:val="EU"/>
        <w:spacing w:line="360" w:lineRule="auto"/>
        <w:rPr>
          <w:color w:val="auto"/>
        </w:rPr>
      </w:pPr>
      <w:bookmarkStart w:id="7" w:name="_Toc181982455"/>
      <w:r w:rsidRPr="00353E49">
        <w:rPr>
          <w:color w:val="auto"/>
        </w:rPr>
        <w:t>Industry trends</w:t>
      </w:r>
      <w:bookmarkEnd w:id="7"/>
    </w:p>
    <w:p w14:paraId="796CEDC9" w14:textId="710F2AB7" w:rsidR="005103DF" w:rsidRPr="00353E49" w:rsidRDefault="005103DF"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The meetings and events sector has changed because to technological advances, changing guest expectations, sustainability concerns, and external issues like the COVID-19 pandemic. These considerations have altered event conception, planning, and execution</w:t>
      </w:r>
      <w:r w:rsidR="008B6BF2" w:rsidRPr="00353E49">
        <w:rPr>
          <w:rFonts w:ascii="Arial" w:hAnsi="Arial" w:cs="Arial"/>
          <w:sz w:val="24"/>
          <w:szCs w:val="24"/>
          <w:lang w:eastAsia="en-GB"/>
        </w:rPr>
        <w:t xml:space="preserve"> (</w:t>
      </w:r>
      <w:proofErr w:type="spellStart"/>
      <w:r w:rsidR="008B6BF2" w:rsidRPr="00353E49">
        <w:rPr>
          <w:rFonts w:ascii="Arial" w:hAnsi="Arial" w:cs="Arial"/>
          <w:sz w:val="24"/>
          <w:szCs w:val="24"/>
          <w:lang w:eastAsia="en-GB"/>
        </w:rPr>
        <w:t>Dragin</w:t>
      </w:r>
      <w:proofErr w:type="spellEnd"/>
      <w:r w:rsidR="008B6BF2" w:rsidRPr="00353E49">
        <w:rPr>
          <w:rFonts w:ascii="Arial" w:hAnsi="Arial" w:cs="Arial"/>
          <w:sz w:val="24"/>
          <w:szCs w:val="24"/>
          <w:lang w:eastAsia="en-GB"/>
        </w:rPr>
        <w:t>-Jensen et al., 2022)</w:t>
      </w:r>
      <w:r w:rsidRPr="00353E49">
        <w:rPr>
          <w:rFonts w:ascii="Arial" w:hAnsi="Arial" w:cs="Arial"/>
          <w:sz w:val="24"/>
          <w:szCs w:val="24"/>
          <w:lang w:eastAsia="en-GB"/>
        </w:rPr>
        <w:t>. Technological integration is key to modern event management. The rise of virtual and hybrid events has increased audience reach and flexibility. Standard platforms enable live broadcasting, interactive sessions, and virtual networking, allowing users to participate remotely</w:t>
      </w:r>
      <w:r w:rsidR="008B6BF2" w:rsidRPr="00353E49">
        <w:rPr>
          <w:rFonts w:ascii="Arial" w:hAnsi="Arial" w:cs="Arial"/>
          <w:sz w:val="24"/>
          <w:szCs w:val="24"/>
          <w:lang w:eastAsia="en-GB"/>
        </w:rPr>
        <w:t xml:space="preserve"> (Puccinelli et al.,2022)</w:t>
      </w:r>
      <w:r w:rsidRPr="00353E49">
        <w:rPr>
          <w:rFonts w:ascii="Arial" w:hAnsi="Arial" w:cs="Arial"/>
          <w:sz w:val="24"/>
          <w:szCs w:val="24"/>
          <w:lang w:eastAsia="en-GB"/>
        </w:rPr>
        <w:t>. Data analytics helps organisers personalise experiences and make educated decisions by revealing attendance behaviour, preferences, and engagement levels. Events are personalised, administrative processes are automated, and marketing tactics are improved using AI and ML. AI chatbots answer guest questions, while ML algorithms optimise event material and scheduling. These technologies can enhance the Winter Wonderland Expo's in-person experience with virtual elements</w:t>
      </w:r>
      <w:r w:rsidR="008B6BF2" w:rsidRPr="00353E49">
        <w:rPr>
          <w:rFonts w:ascii="Arial" w:hAnsi="Arial" w:cs="Arial"/>
          <w:sz w:val="24"/>
          <w:szCs w:val="24"/>
          <w:lang w:eastAsia="en-GB"/>
        </w:rPr>
        <w:t xml:space="preserve"> (Babatunde et al.,2024)</w:t>
      </w:r>
      <w:r w:rsidRPr="00353E49">
        <w:rPr>
          <w:rFonts w:ascii="Arial" w:hAnsi="Arial" w:cs="Arial"/>
          <w:sz w:val="24"/>
          <w:szCs w:val="24"/>
          <w:lang w:eastAsia="en-GB"/>
        </w:rPr>
        <w:t>. Live streaming of important sessions and virtual exhibitor booths can reach more people. Data analytics on expo attendee interaction can inform future event planning. Sustainability has become important in event planning. Organisers are decreasing trash, using sustainable products, and choosing green-certified sites. Digital tickets, virtual events, and sustainable food demonstrate a commitment to environmental sustainability. Sustainability-conscious attendees like events that match their environmental beliefs. The industry has innovated in carbon offset schemes and sustainable event transportation due to this trend</w:t>
      </w:r>
      <w:r w:rsidR="008B6BF2" w:rsidRPr="00353E49">
        <w:rPr>
          <w:rFonts w:ascii="Arial" w:hAnsi="Arial" w:cs="Arial"/>
          <w:sz w:val="24"/>
          <w:szCs w:val="24"/>
          <w:lang w:eastAsia="en-GB"/>
        </w:rPr>
        <w:t xml:space="preserve"> (Mair and Smith, 2022)</w:t>
      </w:r>
      <w:r w:rsidRPr="00353E49">
        <w:rPr>
          <w:rFonts w:ascii="Arial" w:hAnsi="Arial" w:cs="Arial"/>
          <w:sz w:val="24"/>
          <w:szCs w:val="24"/>
          <w:lang w:eastAsia="en-GB"/>
        </w:rPr>
        <w:t xml:space="preserve">. The Winter Wonderland Expo may follow these environmental trends by being green. This includes employing digital tickets, choosing an environmentally friendly location, and supplying sustainable meals. Sustainable event planning workshops may also make the exhibition a leader in industry environmental responsibility. </w:t>
      </w:r>
      <w:r w:rsidR="004D1DDA" w:rsidRPr="00353E49">
        <w:rPr>
          <w:rFonts w:ascii="Arial" w:hAnsi="Arial" w:cs="Arial"/>
          <w:sz w:val="24"/>
          <w:szCs w:val="24"/>
          <w:lang w:eastAsia="en-GB"/>
        </w:rPr>
        <w:t>Attendees now expect personalisation and immersion</w:t>
      </w:r>
      <w:r w:rsidRPr="00353E49">
        <w:rPr>
          <w:rFonts w:ascii="Arial" w:hAnsi="Arial" w:cs="Arial"/>
          <w:sz w:val="24"/>
          <w:szCs w:val="24"/>
          <w:lang w:eastAsia="en-GB"/>
        </w:rPr>
        <w:t xml:space="preserve">. Participants want engaging, networking, and interest-specific events. Experiences like live demonstrations, workshops, and interactive exhibitions are crucial to audience engagement. Health and safety have become more </w:t>
      </w:r>
      <w:r w:rsidRPr="00353E49">
        <w:rPr>
          <w:rFonts w:ascii="Arial" w:hAnsi="Arial" w:cs="Arial"/>
          <w:sz w:val="24"/>
          <w:szCs w:val="24"/>
          <w:lang w:eastAsia="en-GB"/>
        </w:rPr>
        <w:lastRenderedPageBreak/>
        <w:t>important, with guests demanding strict sanitation and crowd management practices. The option to participate in person or virtually has also become important in meeting attendee choices. The Winter Wonderland Expo may include live décor demos, hands-on seminars, and immersive exhibits to suit these changing expectations. Networking in scheduled and casual sessions can boost participant satisfaction. Sanitation facilities and regulated crowd movement will address attendance concerns and assure safety. Recent global developments highlight the need for thorough risk management. Health crises, geopolitical difficulties, and natural calamities are now more carefully planned for by organisers. Secure enough insurance, create clear communication routes, and prepare for swift reaction to unanticipated events. Risk mitigation solutions must include the flexibility to switch to virtual formats or hybrid models to ensure event continuation despite external obstacles</w:t>
      </w:r>
      <w:r w:rsidR="004D1DDA" w:rsidRPr="00353E49">
        <w:rPr>
          <w:rFonts w:ascii="Arial" w:hAnsi="Arial" w:cs="Arial"/>
          <w:sz w:val="24"/>
          <w:szCs w:val="24"/>
          <w:lang w:eastAsia="en-GB"/>
        </w:rPr>
        <w:t xml:space="preserve"> (Xu and Tan, 2023)</w:t>
      </w:r>
      <w:r w:rsidRPr="00353E49">
        <w:rPr>
          <w:rFonts w:ascii="Arial" w:hAnsi="Arial" w:cs="Arial"/>
          <w:sz w:val="24"/>
          <w:szCs w:val="24"/>
          <w:lang w:eastAsia="en-GB"/>
        </w:rPr>
        <w:t>. The Winter Wonderland Expo needs a robust risk management plan. This should include provisions for unexpected health advisories and logistical issues. Clear communication mechanisms will notify stakeholders of changes quickly. After the COVID-19 outbreak, the meetings and events business has struggled economically. Financial restrictions, event cancellations, and lower attendance have hurt profitability and sustainability. To reduce financial risks, organisers are investigating virtual event offers and varied sponsorship options. In addition, the sector struggles with labour management concerns including talent retention and upskilling for new technologies and methods</w:t>
      </w:r>
      <w:r w:rsidR="004D1DDA" w:rsidRPr="00353E49">
        <w:rPr>
          <w:rFonts w:ascii="Arial" w:hAnsi="Arial" w:cs="Arial"/>
          <w:sz w:val="24"/>
          <w:szCs w:val="24"/>
          <w:lang w:eastAsia="en-GB"/>
        </w:rPr>
        <w:t xml:space="preserve"> (McMahon, </w:t>
      </w:r>
      <w:proofErr w:type="gramStart"/>
      <w:r w:rsidR="004D1DDA" w:rsidRPr="00353E49">
        <w:rPr>
          <w:rFonts w:ascii="Arial" w:hAnsi="Arial" w:cs="Arial"/>
          <w:sz w:val="24"/>
          <w:szCs w:val="24"/>
          <w:lang w:eastAsia="en-GB"/>
        </w:rPr>
        <w:t>Spencer,  and</w:t>
      </w:r>
      <w:proofErr w:type="gramEnd"/>
      <w:r w:rsidR="004D1DDA" w:rsidRPr="00353E49">
        <w:rPr>
          <w:rFonts w:ascii="Arial" w:hAnsi="Arial" w:cs="Arial"/>
          <w:sz w:val="24"/>
          <w:szCs w:val="24"/>
          <w:lang w:eastAsia="en-GB"/>
        </w:rPr>
        <w:t xml:space="preserve"> Witzig, 2022)</w:t>
      </w:r>
      <w:r w:rsidRPr="00353E49">
        <w:rPr>
          <w:rFonts w:ascii="Arial" w:hAnsi="Arial" w:cs="Arial"/>
          <w:sz w:val="24"/>
          <w:szCs w:val="24"/>
          <w:lang w:eastAsia="en-GB"/>
        </w:rPr>
        <w:t>. Diversifying revenue streams can help the Winter Wonderland Expo overcome these economic issues. Virtual access cards, premium experiences, and unique content may increase revenue and viewership. Building solid sponsor connections and offering creative brand exposure options helps boost financial stability. Training personnel to use new technology and event formats can help them provide a great experience. Compliance with regulations is essential to event preparation. Compliance covers health and safety, data protection, and accessibility. Organisers must monitor local and international legislation that may affect events</w:t>
      </w:r>
      <w:r w:rsidR="004D1DDA" w:rsidRPr="00353E49">
        <w:rPr>
          <w:rFonts w:ascii="Arial" w:hAnsi="Arial" w:cs="Arial"/>
          <w:sz w:val="24"/>
          <w:szCs w:val="24"/>
          <w:lang w:eastAsia="en-GB"/>
        </w:rPr>
        <w:t xml:space="preserve"> (BBC, 2024)</w:t>
      </w:r>
      <w:r w:rsidRPr="00353E49">
        <w:rPr>
          <w:rFonts w:ascii="Arial" w:hAnsi="Arial" w:cs="Arial"/>
          <w:sz w:val="24"/>
          <w:szCs w:val="24"/>
          <w:lang w:eastAsia="en-GB"/>
        </w:rPr>
        <w:t>. Legal, financial, and reputational consequences might ensue from noncompliance. Compliance with all rules is crucial for the Winter Wonderland Expo. This requires extensive risk assessments, safety measures, and data protection compliance in marketing and data gathering. Making facilities and services accessible ensures inclusion and compliance.</w:t>
      </w:r>
    </w:p>
    <w:p w14:paraId="52203175" w14:textId="6E4ECD98" w:rsidR="005103DF" w:rsidRPr="00353E49" w:rsidRDefault="005103DF" w:rsidP="00E47487">
      <w:pPr>
        <w:pStyle w:val="EU"/>
        <w:spacing w:line="360" w:lineRule="auto"/>
        <w:rPr>
          <w:color w:val="auto"/>
        </w:rPr>
      </w:pPr>
      <w:bookmarkStart w:id="8" w:name="_Toc181982456"/>
      <w:r w:rsidRPr="00353E49">
        <w:rPr>
          <w:color w:val="auto"/>
        </w:rPr>
        <w:lastRenderedPageBreak/>
        <w:t>PESTEL Analysis</w:t>
      </w:r>
      <w:bookmarkEnd w:id="8"/>
    </w:p>
    <w:p w14:paraId="0148AE12" w14:textId="170819F5" w:rsidR="005103DF" w:rsidRPr="00353E49" w:rsidRDefault="005103DF" w:rsidP="00E47487">
      <w:pPr>
        <w:spacing w:line="360" w:lineRule="auto"/>
        <w:jc w:val="both"/>
        <w:rPr>
          <w:rFonts w:ascii="Arial" w:hAnsi="Arial" w:cs="Arial"/>
          <w:b/>
          <w:bCs/>
          <w:sz w:val="24"/>
          <w:szCs w:val="24"/>
          <w:lang w:eastAsia="en-GB"/>
        </w:rPr>
      </w:pPr>
      <w:r w:rsidRPr="00353E49">
        <w:rPr>
          <w:rFonts w:ascii="Arial" w:hAnsi="Arial" w:cs="Arial"/>
          <w:b/>
          <w:bCs/>
          <w:sz w:val="24"/>
          <w:szCs w:val="24"/>
          <w:lang w:eastAsia="en-GB"/>
        </w:rPr>
        <w:t>Political factors</w:t>
      </w:r>
    </w:p>
    <w:p w14:paraId="50EFE896" w14:textId="0FE839D3" w:rsidR="005103DF" w:rsidRPr="00353E49" w:rsidRDefault="005103DF" w:rsidP="00E47487">
      <w:pPr>
        <w:spacing w:line="360" w:lineRule="auto"/>
        <w:jc w:val="both"/>
        <w:rPr>
          <w:rFonts w:ascii="Arial" w:hAnsi="Arial" w:cs="Arial"/>
          <w:sz w:val="24"/>
          <w:szCs w:val="24"/>
          <w:lang w:eastAsia="en-GB"/>
        </w:rPr>
      </w:pPr>
      <w:r w:rsidRPr="005103DF">
        <w:rPr>
          <w:rFonts w:ascii="Arial" w:hAnsi="Arial" w:cs="Arial"/>
          <w:sz w:val="24"/>
          <w:szCs w:val="24"/>
          <w:lang w:eastAsia="en-GB"/>
        </w:rPr>
        <w:t xml:space="preserve">Government policy, political stability, and foreign relations all play important roles in </w:t>
      </w:r>
      <w:r w:rsidR="004D1DDA" w:rsidRPr="00353E49">
        <w:rPr>
          <w:rFonts w:ascii="Arial" w:hAnsi="Arial" w:cs="Arial"/>
          <w:sz w:val="24"/>
          <w:szCs w:val="24"/>
          <w:lang w:eastAsia="en-GB"/>
        </w:rPr>
        <w:t>deciding</w:t>
      </w:r>
      <w:r w:rsidRPr="005103DF">
        <w:rPr>
          <w:rFonts w:ascii="Arial" w:hAnsi="Arial" w:cs="Arial"/>
          <w:sz w:val="24"/>
          <w:szCs w:val="24"/>
          <w:lang w:eastAsia="en-GB"/>
        </w:rPr>
        <w:t xml:space="preserve"> the operating environment for events. For example, the United Kingdom's vote to leave the European Union (Brexit) created uncertainty in travel laws, visa requirements, and trade agreements, hurting international event attendance (</w:t>
      </w:r>
      <w:proofErr w:type="spellStart"/>
      <w:r w:rsidRPr="005103DF">
        <w:rPr>
          <w:rFonts w:ascii="Arial" w:hAnsi="Arial" w:cs="Arial"/>
          <w:sz w:val="24"/>
          <w:szCs w:val="24"/>
          <w:lang w:eastAsia="en-GB"/>
        </w:rPr>
        <w:t>Gössling</w:t>
      </w:r>
      <w:proofErr w:type="spellEnd"/>
      <w:r w:rsidR="00353E49" w:rsidRPr="00353E49">
        <w:rPr>
          <w:rFonts w:ascii="Arial" w:hAnsi="Arial" w:cs="Arial"/>
          <w:sz w:val="24"/>
          <w:szCs w:val="24"/>
          <w:lang w:eastAsia="en-GB"/>
        </w:rPr>
        <w:t>, Scott and Hall</w:t>
      </w:r>
      <w:r w:rsidRPr="005103DF">
        <w:rPr>
          <w:rFonts w:ascii="Arial" w:hAnsi="Arial" w:cs="Arial"/>
          <w:sz w:val="24"/>
          <w:szCs w:val="24"/>
          <w:lang w:eastAsia="en-GB"/>
        </w:rPr>
        <w:t>, 202</w:t>
      </w:r>
      <w:r w:rsidR="00353E49" w:rsidRPr="00353E49">
        <w:rPr>
          <w:rFonts w:ascii="Arial" w:hAnsi="Arial" w:cs="Arial"/>
          <w:sz w:val="24"/>
          <w:szCs w:val="24"/>
          <w:lang w:eastAsia="en-GB"/>
        </w:rPr>
        <w:t>0</w:t>
      </w:r>
      <w:r w:rsidRPr="005103DF">
        <w:rPr>
          <w:rFonts w:ascii="Arial" w:hAnsi="Arial" w:cs="Arial"/>
          <w:sz w:val="24"/>
          <w:szCs w:val="24"/>
          <w:lang w:eastAsia="en-GB"/>
        </w:rPr>
        <w:t>). Furthermore, government assistance through projects and financing can boost the business. The UK government has recognised the economic importance of the events industry and is taking steps to help it rebound post-pandemic (</w:t>
      </w:r>
      <w:r w:rsidR="00353E49" w:rsidRPr="00353E49">
        <w:rPr>
          <w:rFonts w:ascii="Arial" w:hAnsi="Arial" w:cs="Arial"/>
          <w:sz w:val="24"/>
          <w:szCs w:val="24"/>
          <w:lang w:eastAsia="en-GB"/>
        </w:rPr>
        <w:t>GOV UK, n.d.</w:t>
      </w:r>
      <w:r w:rsidRPr="005103DF">
        <w:rPr>
          <w:rFonts w:ascii="Arial" w:hAnsi="Arial" w:cs="Arial"/>
          <w:sz w:val="24"/>
          <w:szCs w:val="24"/>
          <w:lang w:eastAsia="en-GB"/>
        </w:rPr>
        <w:t>). However, political instability or policy adjustments can cause swings in financing and support, affecting event planning and execution.</w:t>
      </w:r>
    </w:p>
    <w:p w14:paraId="0EC01E62" w14:textId="7D603F9C" w:rsidR="005103DF" w:rsidRPr="005103DF" w:rsidRDefault="005103DF" w:rsidP="00E47487">
      <w:pPr>
        <w:spacing w:line="360" w:lineRule="auto"/>
        <w:jc w:val="both"/>
        <w:rPr>
          <w:rFonts w:ascii="Arial" w:hAnsi="Arial" w:cs="Arial"/>
          <w:b/>
          <w:bCs/>
          <w:sz w:val="24"/>
          <w:szCs w:val="24"/>
          <w:lang w:eastAsia="en-GB"/>
        </w:rPr>
      </w:pPr>
      <w:r w:rsidRPr="00353E49">
        <w:rPr>
          <w:rFonts w:ascii="Arial" w:hAnsi="Arial" w:cs="Arial"/>
          <w:b/>
          <w:bCs/>
          <w:sz w:val="24"/>
          <w:szCs w:val="24"/>
          <w:lang w:eastAsia="en-GB"/>
        </w:rPr>
        <w:t>Economic factors</w:t>
      </w:r>
    </w:p>
    <w:p w14:paraId="0DBAE06B" w14:textId="713DE78B" w:rsidR="005103DF" w:rsidRPr="00353E49" w:rsidRDefault="005103DF"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Economic conditions are critical to the MICE industry's success. GDP growth, inflation, and consumer buying power all have a direct impact on event attendance and sponsorship. The COVID-19 pandemic reduced the UK's GDP by 9.8% in 2020, negatively harming the events sector (Office for National Statistics, 2021). However, as the economy has recovered, event activities have risen again. Exchange rates also have an impact; a lower pound can make the UK a more appealing location for overseas delegates, thereby increasing event attendance </w:t>
      </w:r>
      <w:r w:rsidR="00353E49" w:rsidRPr="00353E49">
        <w:rPr>
          <w:rFonts w:ascii="Arial" w:hAnsi="Arial" w:cs="Arial"/>
          <w:sz w:val="24"/>
          <w:szCs w:val="24"/>
          <w:lang w:eastAsia="en-GB"/>
        </w:rPr>
        <w:t xml:space="preserve">(Buckley, 2021). </w:t>
      </w:r>
      <w:r w:rsidRPr="00353E49">
        <w:rPr>
          <w:rFonts w:ascii="Arial" w:hAnsi="Arial" w:cs="Arial"/>
          <w:sz w:val="24"/>
          <w:szCs w:val="24"/>
          <w:lang w:eastAsia="en-GB"/>
        </w:rPr>
        <w:t>In contrast, economic downturns can result in lower corporate event expenditures, impacting the size and frequency of MICE activities.</w:t>
      </w:r>
    </w:p>
    <w:p w14:paraId="140E4C95" w14:textId="2B3D3871" w:rsidR="005103DF" w:rsidRPr="00353E49" w:rsidRDefault="005103DF" w:rsidP="00E47487">
      <w:pPr>
        <w:spacing w:line="360" w:lineRule="auto"/>
        <w:jc w:val="both"/>
        <w:rPr>
          <w:rFonts w:ascii="Arial" w:hAnsi="Arial" w:cs="Arial"/>
          <w:b/>
          <w:bCs/>
          <w:sz w:val="24"/>
          <w:szCs w:val="24"/>
          <w:lang w:eastAsia="en-GB"/>
        </w:rPr>
      </w:pPr>
      <w:r w:rsidRPr="00353E49">
        <w:rPr>
          <w:rFonts w:ascii="Arial" w:hAnsi="Arial" w:cs="Arial"/>
          <w:b/>
          <w:bCs/>
          <w:sz w:val="24"/>
          <w:szCs w:val="24"/>
          <w:lang w:eastAsia="en-GB"/>
        </w:rPr>
        <w:t>Social factors</w:t>
      </w:r>
    </w:p>
    <w:p w14:paraId="4ADAE1E0" w14:textId="40A6C7B7" w:rsidR="005103DF" w:rsidRPr="00353E49" w:rsidRDefault="005103DF"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Social variables such as demographic transitions, cultural trends, and public health concerns have an impact on the MICE business. The growing emphasis on sustainability and corporate social responsibility has created a demand for environmentally friendly events (</w:t>
      </w:r>
      <w:r w:rsidR="00353E49" w:rsidRPr="00353E49">
        <w:rPr>
          <w:rFonts w:ascii="Arial" w:hAnsi="Arial" w:cs="Arial"/>
          <w:sz w:val="24"/>
          <w:szCs w:val="24"/>
          <w:lang w:eastAsia="en-GB"/>
        </w:rPr>
        <w:t>Holmes et al., 2015</w:t>
      </w:r>
      <w:r w:rsidRPr="00353E49">
        <w:rPr>
          <w:rFonts w:ascii="Arial" w:hAnsi="Arial" w:cs="Arial"/>
          <w:sz w:val="24"/>
          <w:szCs w:val="24"/>
          <w:lang w:eastAsia="en-GB"/>
        </w:rPr>
        <w:t>). Furthermore, due to the UK's ageing population, event design must take accessibility and inclusion into account. The COVID-19 pandemic has raised health and safety concerns, leading to increased need for strict hygiene standards at events (</w:t>
      </w:r>
      <w:proofErr w:type="spellStart"/>
      <w:r w:rsidRPr="00353E49">
        <w:rPr>
          <w:rFonts w:ascii="Arial" w:hAnsi="Arial" w:cs="Arial"/>
          <w:sz w:val="24"/>
          <w:szCs w:val="24"/>
          <w:lang w:eastAsia="en-GB"/>
        </w:rPr>
        <w:t>Gössling</w:t>
      </w:r>
      <w:proofErr w:type="spellEnd"/>
      <w:r w:rsidR="00353E49" w:rsidRPr="00353E49">
        <w:rPr>
          <w:rFonts w:ascii="Arial" w:hAnsi="Arial" w:cs="Arial"/>
          <w:sz w:val="24"/>
          <w:szCs w:val="24"/>
          <w:lang w:eastAsia="en-GB"/>
        </w:rPr>
        <w:t>, Scott and Hall</w:t>
      </w:r>
      <w:r w:rsidRPr="00353E49">
        <w:rPr>
          <w:rFonts w:ascii="Arial" w:hAnsi="Arial" w:cs="Arial"/>
          <w:sz w:val="24"/>
          <w:szCs w:val="24"/>
          <w:lang w:eastAsia="en-GB"/>
        </w:rPr>
        <w:t>, 202</w:t>
      </w:r>
      <w:r w:rsidR="00353E49" w:rsidRPr="00353E49">
        <w:rPr>
          <w:rFonts w:ascii="Arial" w:hAnsi="Arial" w:cs="Arial"/>
          <w:sz w:val="24"/>
          <w:szCs w:val="24"/>
          <w:lang w:eastAsia="en-GB"/>
        </w:rPr>
        <w:t>0</w:t>
      </w:r>
      <w:r w:rsidRPr="00353E49">
        <w:rPr>
          <w:rFonts w:ascii="Arial" w:hAnsi="Arial" w:cs="Arial"/>
          <w:sz w:val="24"/>
          <w:szCs w:val="24"/>
          <w:lang w:eastAsia="en-GB"/>
        </w:rPr>
        <w:t>). Furthermore, the advent of remote work and digital engagement has moved tastes towards hybrid events, which combine in-person and virtual experiences to meet the different demands of attendees.</w:t>
      </w:r>
    </w:p>
    <w:p w14:paraId="693790BC" w14:textId="73CF653A" w:rsidR="005103DF" w:rsidRPr="00353E49" w:rsidRDefault="005103DF" w:rsidP="00E47487">
      <w:pPr>
        <w:spacing w:line="360" w:lineRule="auto"/>
        <w:jc w:val="both"/>
        <w:rPr>
          <w:rFonts w:ascii="Arial" w:hAnsi="Arial" w:cs="Arial"/>
          <w:b/>
          <w:bCs/>
          <w:sz w:val="24"/>
          <w:szCs w:val="24"/>
          <w:lang w:eastAsia="en-GB"/>
        </w:rPr>
      </w:pPr>
      <w:r w:rsidRPr="00353E49">
        <w:rPr>
          <w:rFonts w:ascii="Arial" w:hAnsi="Arial" w:cs="Arial"/>
          <w:b/>
          <w:bCs/>
          <w:sz w:val="24"/>
          <w:szCs w:val="24"/>
          <w:lang w:eastAsia="en-GB"/>
        </w:rPr>
        <w:lastRenderedPageBreak/>
        <w:t>Technological Factors</w:t>
      </w:r>
    </w:p>
    <w:p w14:paraId="40F15577" w14:textId="0EBBD9A0" w:rsidR="00747922" w:rsidRPr="00353E49" w:rsidRDefault="00747922"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Technological advances have transformed the MICE business. The use of virtual platforms, augmented reality, and data analytics has increased audience engagement and event management efficiency </w:t>
      </w:r>
      <w:r w:rsidR="00353E49" w:rsidRPr="00353E49">
        <w:rPr>
          <w:rFonts w:ascii="Arial" w:hAnsi="Arial" w:cs="Arial"/>
          <w:sz w:val="24"/>
          <w:szCs w:val="24"/>
          <w:lang w:eastAsia="en-GB"/>
        </w:rPr>
        <w:t>(PricewaterhouseCoopers, 2024).</w:t>
      </w:r>
      <w:r w:rsidRPr="00353E49">
        <w:rPr>
          <w:rFonts w:ascii="Arial" w:hAnsi="Arial" w:cs="Arial"/>
          <w:sz w:val="24"/>
          <w:szCs w:val="24"/>
          <w:lang w:eastAsia="en-GB"/>
        </w:rPr>
        <w:t xml:space="preserve"> The use of mobile applications for event navigation, networking, and feedback collecting has become commonplace. However, this digital transition brings with it new concerns, including as cybersecurity issues and the need for event workers to constantly update their technology skills.</w:t>
      </w:r>
    </w:p>
    <w:p w14:paraId="17CE89E0" w14:textId="31BE8393" w:rsidR="00747922" w:rsidRPr="00353E49" w:rsidRDefault="00747922" w:rsidP="00E47487">
      <w:pPr>
        <w:spacing w:line="360" w:lineRule="auto"/>
        <w:jc w:val="both"/>
        <w:rPr>
          <w:rFonts w:ascii="Arial" w:hAnsi="Arial" w:cs="Arial"/>
          <w:b/>
          <w:bCs/>
          <w:sz w:val="24"/>
          <w:szCs w:val="24"/>
          <w:lang w:eastAsia="en-GB"/>
        </w:rPr>
      </w:pPr>
      <w:r w:rsidRPr="00353E49">
        <w:rPr>
          <w:rFonts w:ascii="Arial" w:hAnsi="Arial" w:cs="Arial"/>
          <w:b/>
          <w:bCs/>
          <w:sz w:val="24"/>
          <w:szCs w:val="24"/>
          <w:lang w:eastAsia="en-GB"/>
        </w:rPr>
        <w:t>Environmental Factors</w:t>
      </w:r>
    </w:p>
    <w:p w14:paraId="128E4113" w14:textId="41557880" w:rsidR="00747922" w:rsidRPr="00353E49" w:rsidRDefault="00747922"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Environmental issues are becoming increasingly important in the MICE business. There is an increasing need for sustainable behaviours such as lowering carbon footprints, decreasing waste, and choosing eco-friendly locations (Jones, 201</w:t>
      </w:r>
      <w:r w:rsidR="00353E49" w:rsidRPr="00353E49">
        <w:rPr>
          <w:rFonts w:ascii="Arial" w:hAnsi="Arial" w:cs="Arial"/>
          <w:sz w:val="24"/>
          <w:szCs w:val="24"/>
          <w:lang w:eastAsia="en-GB"/>
        </w:rPr>
        <w:t>7</w:t>
      </w:r>
      <w:r w:rsidRPr="00353E49">
        <w:rPr>
          <w:rFonts w:ascii="Arial" w:hAnsi="Arial" w:cs="Arial"/>
          <w:sz w:val="24"/>
          <w:szCs w:val="24"/>
          <w:lang w:eastAsia="en-GB"/>
        </w:rPr>
        <w:t>). Concerns about climate change have resulted in a preference for local events that limit travel-related emissions. The UK government's aim to reaching net-zero carbon emissions by 2050 increases the pressure on the sector to adopt sustainable practices</w:t>
      </w:r>
      <w:r w:rsidR="00353E49" w:rsidRPr="00353E49">
        <w:rPr>
          <w:rFonts w:ascii="Arial" w:hAnsi="Arial" w:cs="Arial"/>
          <w:sz w:val="24"/>
          <w:szCs w:val="24"/>
          <w:lang w:eastAsia="en-GB"/>
        </w:rPr>
        <w:t xml:space="preserve">. </w:t>
      </w:r>
      <w:r w:rsidRPr="00353E49">
        <w:rPr>
          <w:rFonts w:ascii="Arial" w:hAnsi="Arial" w:cs="Arial"/>
          <w:sz w:val="24"/>
          <w:szCs w:val="24"/>
          <w:lang w:eastAsia="en-GB"/>
        </w:rPr>
        <w:t>To fulfil legal obligations as well as audience expectations, event organisers must now integrate green initiatives such as digital ticketing, sustainable food, and energy-efficient technologies.</w:t>
      </w:r>
    </w:p>
    <w:p w14:paraId="186FFB81" w14:textId="4DE46BE3" w:rsidR="00747922" w:rsidRPr="00353E49" w:rsidRDefault="00747922" w:rsidP="00E47487">
      <w:pPr>
        <w:spacing w:line="360" w:lineRule="auto"/>
        <w:jc w:val="both"/>
        <w:rPr>
          <w:rFonts w:ascii="Arial" w:hAnsi="Arial" w:cs="Arial"/>
          <w:b/>
          <w:bCs/>
          <w:sz w:val="24"/>
          <w:szCs w:val="24"/>
          <w:lang w:eastAsia="en-GB"/>
        </w:rPr>
      </w:pPr>
      <w:r w:rsidRPr="00353E49">
        <w:rPr>
          <w:rFonts w:ascii="Arial" w:hAnsi="Arial" w:cs="Arial"/>
          <w:b/>
          <w:bCs/>
          <w:sz w:val="24"/>
          <w:szCs w:val="24"/>
          <w:lang w:eastAsia="en-GB"/>
        </w:rPr>
        <w:t>Legal factors</w:t>
      </w:r>
    </w:p>
    <w:p w14:paraId="43E874F8" w14:textId="06FCAD3B" w:rsidR="00747922" w:rsidRPr="00353E49" w:rsidRDefault="00747922"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The MICE sector operates under a regulatory framework that includes health and safety standards, data protection rules, and employment legislation. The General Data Protection Regulation (GDPR) was implemented in 2018 with rigorous regulations for how event organisers manage personal data (Information Commissioner's Office, 2018). Compliance with these standards is critical for avoiding legal fines and maintaining confidence with attendees. Furthermore, health and safety rules require thorough risk assessments and the installation of safeguards to assure attendee safety. The pandemic created new legal issues, such as adherence to public health recommendations and capacity constraints, which required event organisers to adapt and be vigilant.</w:t>
      </w:r>
    </w:p>
    <w:p w14:paraId="6379330E" w14:textId="10A2178E" w:rsidR="00747922" w:rsidRPr="00353E49" w:rsidRDefault="00747922" w:rsidP="00E47487">
      <w:pPr>
        <w:spacing w:line="360" w:lineRule="auto"/>
        <w:jc w:val="both"/>
        <w:rPr>
          <w:rFonts w:ascii="Arial" w:hAnsi="Arial" w:cs="Arial"/>
          <w:b/>
          <w:bCs/>
          <w:sz w:val="24"/>
          <w:szCs w:val="24"/>
          <w:lang w:eastAsia="en-GB"/>
        </w:rPr>
      </w:pPr>
      <w:r w:rsidRPr="00353E49">
        <w:rPr>
          <w:rFonts w:ascii="Arial" w:hAnsi="Arial" w:cs="Arial"/>
          <w:b/>
          <w:bCs/>
          <w:sz w:val="24"/>
          <w:szCs w:val="24"/>
          <w:lang w:eastAsia="en-GB"/>
        </w:rPr>
        <w:t xml:space="preserve">Analysis of the impacts </w:t>
      </w:r>
    </w:p>
    <w:p w14:paraId="2365642D" w14:textId="7B617F4F" w:rsidR="00DA3651" w:rsidRPr="00353E49" w:rsidRDefault="00DA3651"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lastRenderedPageBreak/>
        <w:t xml:space="preserve">The PESTEL research identifies numerous significant external factors that affect the Winter Wonderland Expo. Politically, post-Brexit visa constraints may limit international attendance, reducing the event's diversity and appeal. Economically, while the recent recovery has increased attendance possibilities, inflation pressures may limit budgets for both guests and exhibitors. Socially, increased health and safety standards following the pandemic need the implementation of tight protocols to provide a safe atmosphere for all participants. Technologically, the incorporation of virtual components can increase the expo's accessibility, but it also </w:t>
      </w:r>
      <w:proofErr w:type="gramStart"/>
      <w:r w:rsidRPr="00353E49">
        <w:rPr>
          <w:rFonts w:ascii="Arial" w:hAnsi="Arial" w:cs="Arial"/>
          <w:sz w:val="24"/>
          <w:szCs w:val="24"/>
          <w:lang w:eastAsia="en-GB"/>
        </w:rPr>
        <w:t>need</w:t>
      </w:r>
      <w:proofErr w:type="gramEnd"/>
      <w:r w:rsidRPr="00353E49">
        <w:rPr>
          <w:rFonts w:ascii="Arial" w:hAnsi="Arial" w:cs="Arial"/>
          <w:sz w:val="24"/>
          <w:szCs w:val="24"/>
          <w:lang w:eastAsia="en-GB"/>
        </w:rPr>
        <w:t xml:space="preserve"> strong cybersecurity and digital infrastructure to manage hybrid participation. Environmentally, rising demands for sustainable practices need the use of eco-friendly solutions like as digital ticketing and energy-efficient displays to fulfil attendance expectations and regulatory requirements. Legally, adherence to GDPR and health rules is required to preserve attendee trust and avoid penalties. Together, these aspects need careful preparation and adaptation, which have a direct impact on the event's design, promotion, and operational execution.</w:t>
      </w:r>
    </w:p>
    <w:p w14:paraId="48CFEAC9" w14:textId="77777777" w:rsidR="00DA3651" w:rsidRPr="00353E49" w:rsidRDefault="00DA3651" w:rsidP="00E47487">
      <w:pPr>
        <w:spacing w:line="360" w:lineRule="auto"/>
        <w:jc w:val="both"/>
        <w:rPr>
          <w:rFonts w:ascii="Arial" w:hAnsi="Arial" w:cs="Arial"/>
          <w:sz w:val="24"/>
          <w:szCs w:val="24"/>
          <w:lang w:eastAsia="en-GB"/>
        </w:rPr>
      </w:pPr>
    </w:p>
    <w:p w14:paraId="00EC1555" w14:textId="327A7039" w:rsidR="00E47487" w:rsidRPr="00353E49" w:rsidRDefault="00DA3651" w:rsidP="00E47487">
      <w:pPr>
        <w:pStyle w:val="EU"/>
        <w:spacing w:line="360" w:lineRule="auto"/>
        <w:rPr>
          <w:color w:val="auto"/>
        </w:rPr>
      </w:pPr>
      <w:bookmarkStart w:id="9" w:name="_Toc181982457"/>
      <w:r w:rsidRPr="00353E49">
        <w:rPr>
          <w:color w:val="auto"/>
        </w:rPr>
        <w:t>Conclusion</w:t>
      </w:r>
      <w:bookmarkEnd w:id="9"/>
      <w:r w:rsidRPr="00353E49">
        <w:rPr>
          <w:color w:val="auto"/>
        </w:rPr>
        <w:t xml:space="preserve"> </w:t>
      </w:r>
    </w:p>
    <w:p w14:paraId="26F08DBE" w14:textId="77777777" w:rsidR="00E47487" w:rsidRPr="00353E49" w:rsidRDefault="00E47487" w:rsidP="00E47487">
      <w:pPr>
        <w:spacing w:line="360" w:lineRule="auto"/>
        <w:jc w:val="both"/>
        <w:rPr>
          <w:rFonts w:ascii="Arial" w:hAnsi="Arial" w:cs="Arial"/>
          <w:sz w:val="24"/>
          <w:szCs w:val="24"/>
          <w:lang w:eastAsia="en-GB"/>
        </w:rPr>
      </w:pPr>
      <w:r w:rsidRPr="00353E49">
        <w:rPr>
          <w:rFonts w:ascii="Arial" w:hAnsi="Arial" w:cs="Arial"/>
          <w:sz w:val="24"/>
          <w:szCs w:val="24"/>
          <w:lang w:eastAsia="en-GB"/>
        </w:rPr>
        <w:t>To conclude, the Winter Wonderland Expo is a unique platform designed to address the MICE industry's growing need for winter-themed events. By emphasising immersive design, interactive demonstrations, and seasonal cuisine options, the exhibition efficiently caters to the specific demands of corporate and private clientele seeking unforgettable winter occasions. The strategic use of the Event Cycle framework provides extensive preparation, focused advertising, and efficient post-event evaluation, hence increasing the event's success. A complete PESTEL study also indicates the impact of external elements on event planning and execution, such as economic conditions, post-Brexit political developments, and increased environmental requirements. With a strong emphasis on sustainability, risk management, and responding to guest preferences, the expo is well-positioned to generate value and increase engagement in a competitive market. This deliberate strategy guarantees that the Winter Wonderland Expo not only achieves its goals, but also positions itself as a premier resource for winter event planning.</w:t>
      </w:r>
    </w:p>
    <w:p w14:paraId="360CAAF9" w14:textId="77777777" w:rsidR="00E47487" w:rsidRPr="00E47487" w:rsidRDefault="00E47487" w:rsidP="00E47487">
      <w:pPr>
        <w:spacing w:line="360" w:lineRule="auto"/>
        <w:jc w:val="both"/>
        <w:rPr>
          <w:rFonts w:ascii="Arial" w:hAnsi="Arial" w:cs="Arial"/>
          <w:sz w:val="24"/>
          <w:szCs w:val="24"/>
          <w:lang w:eastAsia="en-GB"/>
        </w:rPr>
      </w:pPr>
    </w:p>
    <w:p w14:paraId="0A607B0F" w14:textId="77777777" w:rsidR="00E47487" w:rsidRPr="00E47487" w:rsidRDefault="00E47487" w:rsidP="00E47487">
      <w:pPr>
        <w:spacing w:line="360" w:lineRule="auto"/>
        <w:jc w:val="both"/>
        <w:rPr>
          <w:rFonts w:ascii="Arial" w:hAnsi="Arial" w:cs="Arial"/>
          <w:sz w:val="24"/>
          <w:szCs w:val="24"/>
          <w:lang w:eastAsia="en-GB"/>
        </w:rPr>
      </w:pPr>
    </w:p>
    <w:p w14:paraId="4B4B0797" w14:textId="77777777" w:rsidR="00E47487" w:rsidRPr="00E47487" w:rsidRDefault="00E47487" w:rsidP="00E47487">
      <w:pPr>
        <w:spacing w:line="360" w:lineRule="auto"/>
        <w:jc w:val="both"/>
        <w:rPr>
          <w:rFonts w:ascii="Arial" w:hAnsi="Arial" w:cs="Arial"/>
          <w:sz w:val="24"/>
          <w:szCs w:val="24"/>
          <w:lang w:eastAsia="en-GB"/>
        </w:rPr>
      </w:pPr>
    </w:p>
    <w:p w14:paraId="73C7AC28" w14:textId="77777777" w:rsidR="00E47487" w:rsidRDefault="00E47487" w:rsidP="00E47487">
      <w:pPr>
        <w:spacing w:line="360" w:lineRule="auto"/>
        <w:jc w:val="both"/>
        <w:rPr>
          <w:rFonts w:ascii="Arial" w:hAnsi="Arial" w:cs="Arial"/>
          <w:sz w:val="24"/>
          <w:szCs w:val="24"/>
          <w:lang w:eastAsia="en-GB"/>
        </w:rPr>
      </w:pPr>
    </w:p>
    <w:p w14:paraId="448DC2D6" w14:textId="77777777" w:rsidR="008A0FB2" w:rsidRDefault="008A0FB2" w:rsidP="00E47487">
      <w:pPr>
        <w:spacing w:line="360" w:lineRule="auto"/>
        <w:jc w:val="both"/>
        <w:rPr>
          <w:rFonts w:ascii="Arial" w:hAnsi="Arial" w:cs="Arial"/>
          <w:sz w:val="24"/>
          <w:szCs w:val="24"/>
          <w:lang w:eastAsia="en-GB"/>
        </w:rPr>
      </w:pPr>
    </w:p>
    <w:p w14:paraId="60E61F64" w14:textId="77777777" w:rsidR="008A0FB2" w:rsidRDefault="008A0FB2" w:rsidP="00E47487">
      <w:pPr>
        <w:spacing w:line="360" w:lineRule="auto"/>
        <w:jc w:val="both"/>
        <w:rPr>
          <w:rFonts w:ascii="Arial" w:hAnsi="Arial" w:cs="Arial"/>
          <w:sz w:val="24"/>
          <w:szCs w:val="24"/>
          <w:lang w:eastAsia="en-GB"/>
        </w:rPr>
      </w:pPr>
    </w:p>
    <w:p w14:paraId="457949A5" w14:textId="77777777" w:rsidR="008A0FB2" w:rsidRDefault="008A0FB2" w:rsidP="00E47487">
      <w:pPr>
        <w:spacing w:line="360" w:lineRule="auto"/>
        <w:jc w:val="both"/>
        <w:rPr>
          <w:rFonts w:ascii="Arial" w:hAnsi="Arial" w:cs="Arial"/>
          <w:sz w:val="24"/>
          <w:szCs w:val="24"/>
          <w:lang w:eastAsia="en-GB"/>
        </w:rPr>
      </w:pPr>
    </w:p>
    <w:p w14:paraId="45B1425B" w14:textId="77777777" w:rsidR="004D1DDA" w:rsidRDefault="004D1DDA" w:rsidP="00E47487">
      <w:pPr>
        <w:spacing w:line="360" w:lineRule="auto"/>
        <w:jc w:val="both"/>
        <w:rPr>
          <w:rFonts w:ascii="Arial" w:hAnsi="Arial" w:cs="Arial"/>
          <w:sz w:val="24"/>
          <w:szCs w:val="24"/>
          <w:lang w:eastAsia="en-GB"/>
        </w:rPr>
      </w:pPr>
    </w:p>
    <w:p w14:paraId="364B2529" w14:textId="77777777" w:rsidR="004D1DDA" w:rsidRDefault="004D1DDA" w:rsidP="00E47487">
      <w:pPr>
        <w:spacing w:line="360" w:lineRule="auto"/>
        <w:jc w:val="both"/>
        <w:rPr>
          <w:rFonts w:ascii="Arial" w:hAnsi="Arial" w:cs="Arial"/>
          <w:sz w:val="24"/>
          <w:szCs w:val="24"/>
          <w:lang w:eastAsia="en-GB"/>
        </w:rPr>
      </w:pPr>
    </w:p>
    <w:p w14:paraId="145AA24A" w14:textId="77777777" w:rsidR="00353E49" w:rsidRDefault="00353E49" w:rsidP="00E47487">
      <w:pPr>
        <w:spacing w:line="360" w:lineRule="auto"/>
        <w:jc w:val="both"/>
        <w:rPr>
          <w:rFonts w:ascii="Arial" w:hAnsi="Arial" w:cs="Arial"/>
          <w:sz w:val="24"/>
          <w:szCs w:val="24"/>
          <w:lang w:eastAsia="en-GB"/>
        </w:rPr>
      </w:pPr>
    </w:p>
    <w:p w14:paraId="3C0E3FA6" w14:textId="77777777" w:rsidR="00353E49" w:rsidRDefault="00353E49" w:rsidP="00E47487">
      <w:pPr>
        <w:spacing w:line="360" w:lineRule="auto"/>
        <w:jc w:val="both"/>
        <w:rPr>
          <w:rFonts w:ascii="Arial" w:hAnsi="Arial" w:cs="Arial"/>
          <w:sz w:val="24"/>
          <w:szCs w:val="24"/>
          <w:lang w:eastAsia="en-GB"/>
        </w:rPr>
      </w:pPr>
    </w:p>
    <w:p w14:paraId="4E63AC3C" w14:textId="77777777" w:rsidR="008A0FB2" w:rsidRPr="00E47487" w:rsidRDefault="008A0FB2" w:rsidP="00E47487">
      <w:pPr>
        <w:spacing w:line="360" w:lineRule="auto"/>
        <w:jc w:val="both"/>
        <w:rPr>
          <w:rFonts w:ascii="Arial" w:hAnsi="Arial" w:cs="Arial"/>
          <w:sz w:val="24"/>
          <w:szCs w:val="24"/>
          <w:lang w:eastAsia="en-GB"/>
        </w:rPr>
      </w:pPr>
    </w:p>
    <w:p w14:paraId="5D52A05A" w14:textId="1262FAB4" w:rsidR="00E47487" w:rsidRPr="00353E49" w:rsidRDefault="00E47487" w:rsidP="00353E49">
      <w:pPr>
        <w:pStyle w:val="EU"/>
        <w:spacing w:line="360" w:lineRule="auto"/>
        <w:rPr>
          <w:color w:val="auto"/>
        </w:rPr>
      </w:pPr>
      <w:bookmarkStart w:id="10" w:name="_Toc181982458"/>
      <w:r w:rsidRPr="00353E49">
        <w:rPr>
          <w:color w:val="auto"/>
        </w:rPr>
        <w:t>References</w:t>
      </w:r>
      <w:bookmarkEnd w:id="10"/>
    </w:p>
    <w:p w14:paraId="220C0DEA" w14:textId="77777777" w:rsidR="008A0FB2" w:rsidRPr="00353E49" w:rsidRDefault="008A0FB2"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Allen, J., Harris, R. and Jago, L., 2022. Festival &amp; special event management. John Wiley &amp; Sons.</w:t>
      </w:r>
    </w:p>
    <w:p w14:paraId="48AE50E8" w14:textId="307ABB60" w:rsidR="008B6BF2" w:rsidRPr="00353E49" w:rsidRDefault="008B6BF2"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Babatunde, S.O., </w:t>
      </w:r>
      <w:proofErr w:type="spellStart"/>
      <w:r w:rsidRPr="00353E49">
        <w:rPr>
          <w:rFonts w:ascii="Arial" w:hAnsi="Arial" w:cs="Arial"/>
          <w:sz w:val="24"/>
          <w:szCs w:val="24"/>
          <w:lang w:eastAsia="en-GB"/>
        </w:rPr>
        <w:t>Odejide</w:t>
      </w:r>
      <w:proofErr w:type="spellEnd"/>
      <w:r w:rsidRPr="00353E49">
        <w:rPr>
          <w:rFonts w:ascii="Arial" w:hAnsi="Arial" w:cs="Arial"/>
          <w:sz w:val="24"/>
          <w:szCs w:val="24"/>
          <w:lang w:eastAsia="en-GB"/>
        </w:rPr>
        <w:t xml:space="preserve">, O.A., </w:t>
      </w:r>
      <w:proofErr w:type="spellStart"/>
      <w:r w:rsidRPr="00353E49">
        <w:rPr>
          <w:rFonts w:ascii="Arial" w:hAnsi="Arial" w:cs="Arial"/>
          <w:sz w:val="24"/>
          <w:szCs w:val="24"/>
          <w:lang w:eastAsia="en-GB"/>
        </w:rPr>
        <w:t>Edunjobi</w:t>
      </w:r>
      <w:proofErr w:type="spellEnd"/>
      <w:r w:rsidRPr="00353E49">
        <w:rPr>
          <w:rFonts w:ascii="Arial" w:hAnsi="Arial" w:cs="Arial"/>
          <w:sz w:val="24"/>
          <w:szCs w:val="24"/>
          <w:lang w:eastAsia="en-GB"/>
        </w:rPr>
        <w:t>, T.E. and Ogundipe, D.O., 2024. The role of AI in marketing personalization: A theoretical exploration of consumer engagement strategies. International Journal of Management &amp; Entrepreneurship Research, 6(3), pp.936-949.</w:t>
      </w:r>
    </w:p>
    <w:p w14:paraId="74E14155" w14:textId="060391E9" w:rsidR="004D1DDA" w:rsidRPr="00353E49" w:rsidRDefault="004D1DDA"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BBC (2024). Events: Planning and Management. [online] www.bbc.co.uk. Available at: https://www.bbc.co.uk/safety/resources/aztopics/event-planning-management/.</w:t>
      </w:r>
    </w:p>
    <w:p w14:paraId="395D7C3C" w14:textId="1A32985E" w:rsidR="00463E9D" w:rsidRPr="00353E49" w:rsidRDefault="00463E9D"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Bladen, C., Kennell, J., Abson, E. and Wilde, N., 2022. Events management: An introduction. Routledge. </w:t>
      </w:r>
    </w:p>
    <w:p w14:paraId="15612B0F" w14:textId="61145718" w:rsidR="00463E9D" w:rsidRPr="00353E49" w:rsidRDefault="00463E9D"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Bowdin, G., Allen, J., Harris, R., McDonnell, I. and </w:t>
      </w:r>
      <w:proofErr w:type="spellStart"/>
      <w:r w:rsidRPr="00353E49">
        <w:rPr>
          <w:rFonts w:ascii="Arial" w:hAnsi="Arial" w:cs="Arial"/>
          <w:sz w:val="24"/>
          <w:szCs w:val="24"/>
          <w:lang w:eastAsia="en-GB"/>
        </w:rPr>
        <w:t>O'toole</w:t>
      </w:r>
      <w:proofErr w:type="spellEnd"/>
      <w:r w:rsidRPr="00353E49">
        <w:rPr>
          <w:rFonts w:ascii="Arial" w:hAnsi="Arial" w:cs="Arial"/>
          <w:sz w:val="24"/>
          <w:szCs w:val="24"/>
          <w:lang w:eastAsia="en-GB"/>
        </w:rPr>
        <w:t>, W., 2012. Events management. Routledge.</w:t>
      </w:r>
    </w:p>
    <w:p w14:paraId="73007CE8" w14:textId="1176B823" w:rsidR="00353E49" w:rsidRPr="00353E49" w:rsidRDefault="00353E49"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Buckley, P. (2021). 2021 industry outlooks. [online] Deloitte Insights. Available at: https://www2.deloitte.com/us/en/insights/economy/industry-trends/2021-industry-outlooks.html.</w:t>
      </w:r>
    </w:p>
    <w:p w14:paraId="38B1506A" w14:textId="2AFA9921" w:rsidR="008A0FB2" w:rsidRPr="00353E49" w:rsidRDefault="008A0FB2"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lastRenderedPageBreak/>
        <w:t xml:space="preserve">Connell, J., Page, S.J. and Meyer, D. (2015). Visitor attractions and events: Responding to seasonality. Tourism Management, 46(1), pp.283–298. </w:t>
      </w:r>
      <w:proofErr w:type="spellStart"/>
      <w:proofErr w:type="gramStart"/>
      <w:r w:rsidRPr="00353E49">
        <w:rPr>
          <w:rFonts w:ascii="Arial" w:hAnsi="Arial" w:cs="Arial"/>
          <w:sz w:val="24"/>
          <w:szCs w:val="24"/>
          <w:lang w:eastAsia="en-GB"/>
        </w:rPr>
        <w:t>doi:https</w:t>
      </w:r>
      <w:proofErr w:type="spellEnd"/>
      <w:r w:rsidRPr="00353E49">
        <w:rPr>
          <w:rFonts w:ascii="Arial" w:hAnsi="Arial" w:cs="Arial"/>
          <w:sz w:val="24"/>
          <w:szCs w:val="24"/>
          <w:lang w:eastAsia="en-GB"/>
        </w:rPr>
        <w:t>://doi.org/10.1016/j.tourman.2014.06.013</w:t>
      </w:r>
      <w:proofErr w:type="gramEnd"/>
      <w:r w:rsidRPr="00353E49">
        <w:rPr>
          <w:rFonts w:ascii="Arial" w:hAnsi="Arial" w:cs="Arial"/>
          <w:sz w:val="24"/>
          <w:szCs w:val="24"/>
          <w:lang w:eastAsia="en-GB"/>
        </w:rPr>
        <w:t>.</w:t>
      </w:r>
    </w:p>
    <w:p w14:paraId="387E4321" w14:textId="6358CD5D" w:rsidR="008B6BF2" w:rsidRPr="00353E49" w:rsidRDefault="008B6BF2" w:rsidP="00353E49">
      <w:pPr>
        <w:spacing w:line="360" w:lineRule="auto"/>
        <w:jc w:val="both"/>
        <w:rPr>
          <w:rFonts w:ascii="Arial" w:hAnsi="Arial" w:cs="Arial"/>
          <w:sz w:val="24"/>
          <w:szCs w:val="24"/>
          <w:lang w:eastAsia="en-GB"/>
        </w:rPr>
      </w:pPr>
      <w:proofErr w:type="spellStart"/>
      <w:r w:rsidRPr="00353E49">
        <w:rPr>
          <w:rFonts w:ascii="Arial" w:hAnsi="Arial" w:cs="Arial"/>
          <w:sz w:val="24"/>
          <w:szCs w:val="24"/>
          <w:lang w:eastAsia="en-GB"/>
        </w:rPr>
        <w:t>Dragin</w:t>
      </w:r>
      <w:proofErr w:type="spellEnd"/>
      <w:r w:rsidRPr="00353E49">
        <w:rPr>
          <w:rFonts w:ascii="Arial" w:hAnsi="Arial" w:cs="Arial"/>
          <w:sz w:val="24"/>
          <w:szCs w:val="24"/>
          <w:lang w:eastAsia="en-GB"/>
        </w:rPr>
        <w:t>-Jensen, C., Kwiatkowski, G., Lien, V.H., Ossowska, L., Janiszewska, D., Kloskowski, D. and Strzelecka, M., 2022. Event innovation in times of uncertainty. International Journal of Event and Festival Management, 13(4), pp.387-405.</w:t>
      </w:r>
    </w:p>
    <w:p w14:paraId="29B15502" w14:textId="0EC4E2DF" w:rsidR="004D1DDA" w:rsidRPr="00353E49" w:rsidRDefault="004D1DDA"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EICC. (2019). Edinburgh International Conference Centre - EICC. [online] Available at: https://www.eicc.co.uk/. Accessed online [2. Oct. 2024]</w:t>
      </w:r>
    </w:p>
    <w:p w14:paraId="603E733C" w14:textId="243FA9B0" w:rsidR="00463E9D" w:rsidRPr="00353E49" w:rsidRDefault="00463E9D"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Getz, D. and Page, S.J., 2019. Event studies: Theory, research and policy for planned events. Routledge.</w:t>
      </w:r>
    </w:p>
    <w:p w14:paraId="356F255F" w14:textId="2B859323" w:rsidR="00353E49" w:rsidRPr="00353E49" w:rsidRDefault="00353E49" w:rsidP="00353E49">
      <w:pPr>
        <w:spacing w:line="360" w:lineRule="auto"/>
        <w:jc w:val="both"/>
        <w:rPr>
          <w:rFonts w:ascii="Arial" w:hAnsi="Arial" w:cs="Arial"/>
          <w:sz w:val="24"/>
          <w:szCs w:val="24"/>
          <w:lang w:eastAsia="en-GB"/>
        </w:rPr>
      </w:pPr>
      <w:proofErr w:type="spellStart"/>
      <w:r w:rsidRPr="00353E49">
        <w:rPr>
          <w:rFonts w:ascii="Arial" w:hAnsi="Arial" w:cs="Arial"/>
          <w:sz w:val="24"/>
          <w:szCs w:val="24"/>
          <w:lang w:eastAsia="en-GB"/>
        </w:rPr>
        <w:t>Gössling</w:t>
      </w:r>
      <w:proofErr w:type="spellEnd"/>
      <w:r w:rsidRPr="00353E49">
        <w:rPr>
          <w:rFonts w:ascii="Arial" w:hAnsi="Arial" w:cs="Arial"/>
          <w:sz w:val="24"/>
          <w:szCs w:val="24"/>
          <w:lang w:eastAsia="en-GB"/>
        </w:rPr>
        <w:t>, S., Scott, D. and Hall, C.M., 2020. Pandemics, tourism and global change: a rapid assessment of COVID-19. Journal of sustainable tourism, 29(1), pp.1-20.</w:t>
      </w:r>
    </w:p>
    <w:p w14:paraId="087BA3BA" w14:textId="0EE7F659" w:rsidR="00353E49" w:rsidRPr="00353E49" w:rsidRDefault="00353E49"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GOV UK (n.d.). </w:t>
      </w:r>
      <w:r w:rsidRPr="00353E49">
        <w:rPr>
          <w:rFonts w:ascii="Arial" w:hAnsi="Arial" w:cs="Arial"/>
          <w:i/>
          <w:iCs/>
          <w:sz w:val="24"/>
          <w:szCs w:val="24"/>
          <w:lang w:eastAsia="en-GB"/>
        </w:rPr>
        <w:t>Events Research Programme: Phase I findings</w:t>
      </w:r>
      <w:r w:rsidRPr="00353E49">
        <w:rPr>
          <w:rFonts w:ascii="Arial" w:hAnsi="Arial" w:cs="Arial"/>
          <w:sz w:val="24"/>
          <w:szCs w:val="24"/>
          <w:lang w:eastAsia="en-GB"/>
        </w:rPr>
        <w:t xml:space="preserve">. [online] Available at: </w:t>
      </w:r>
      <w:hyperlink r:id="rId7" w:history="1">
        <w:r w:rsidRPr="00353E49">
          <w:rPr>
            <w:rStyle w:val="Hyperlink"/>
            <w:rFonts w:ascii="Arial" w:hAnsi="Arial" w:cs="Arial"/>
            <w:color w:val="auto"/>
            <w:sz w:val="24"/>
            <w:szCs w:val="24"/>
            <w:lang w:eastAsia="en-GB"/>
          </w:rPr>
          <w:t>https://www.gov.uk/government/publications/events-research-programme-phase-i-findings/events-research-programme-phase-i-findings</w:t>
        </w:r>
      </w:hyperlink>
      <w:r w:rsidRPr="00353E49">
        <w:rPr>
          <w:rFonts w:ascii="Arial" w:hAnsi="Arial" w:cs="Arial"/>
          <w:sz w:val="24"/>
          <w:szCs w:val="24"/>
          <w:lang w:eastAsia="en-GB"/>
        </w:rPr>
        <w:t>.</w:t>
      </w:r>
    </w:p>
    <w:p w14:paraId="7516D198" w14:textId="47FA7AFD" w:rsidR="00353E49" w:rsidRPr="00353E49" w:rsidRDefault="00353E49"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Holmes, K., Hughes, M., Mair, J. and Carlsen, J., 2015. Events and sustainability (pp. 1-206). Abingdon: Routledge.</w:t>
      </w:r>
    </w:p>
    <w:p w14:paraId="3FC6D160" w14:textId="567FBB2C" w:rsidR="00353E49" w:rsidRPr="00353E49" w:rsidRDefault="00353E49"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ICO (2018). Essential Guide to the General Data Protection Regulation (GDPR). Guide to the General Data Protection Regulation (GDPR). [online] </w:t>
      </w:r>
      <w:proofErr w:type="spellStart"/>
      <w:proofErr w:type="gramStart"/>
      <w:r w:rsidRPr="00353E49">
        <w:rPr>
          <w:rFonts w:ascii="Arial" w:hAnsi="Arial" w:cs="Arial"/>
          <w:sz w:val="24"/>
          <w:szCs w:val="24"/>
          <w:lang w:eastAsia="en-GB"/>
        </w:rPr>
        <w:t>doi:https</w:t>
      </w:r>
      <w:proofErr w:type="spellEnd"/>
      <w:r w:rsidRPr="00353E49">
        <w:rPr>
          <w:rFonts w:ascii="Arial" w:hAnsi="Arial" w:cs="Arial"/>
          <w:sz w:val="24"/>
          <w:szCs w:val="24"/>
          <w:lang w:eastAsia="en-GB"/>
        </w:rPr>
        <w:t>://doi.org/10.1211/pj.2017.20203048</w:t>
      </w:r>
      <w:proofErr w:type="gramEnd"/>
      <w:r w:rsidRPr="00353E49">
        <w:rPr>
          <w:rFonts w:ascii="Arial" w:hAnsi="Arial" w:cs="Arial"/>
          <w:sz w:val="24"/>
          <w:szCs w:val="24"/>
          <w:lang w:eastAsia="en-GB"/>
        </w:rPr>
        <w:t>.</w:t>
      </w:r>
    </w:p>
    <w:p w14:paraId="4A0794C5" w14:textId="490EAD59" w:rsidR="00353E49" w:rsidRPr="00353E49" w:rsidRDefault="00353E49"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Jones, M., 2017. Sustainable event management: A practical guide. Routledge.</w:t>
      </w:r>
    </w:p>
    <w:p w14:paraId="5EC0AF0D" w14:textId="7CE967CB" w:rsidR="008A0FB2" w:rsidRPr="00353E49" w:rsidRDefault="008A0FB2"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Junek, O., </w:t>
      </w:r>
      <w:proofErr w:type="spellStart"/>
      <w:r w:rsidRPr="00353E49">
        <w:rPr>
          <w:rFonts w:ascii="Arial" w:hAnsi="Arial" w:cs="Arial"/>
          <w:sz w:val="24"/>
          <w:szCs w:val="24"/>
          <w:lang w:eastAsia="en-GB"/>
        </w:rPr>
        <w:t>Lockstone</w:t>
      </w:r>
      <w:proofErr w:type="spellEnd"/>
      <w:r w:rsidRPr="00353E49">
        <w:rPr>
          <w:rFonts w:ascii="Arial" w:hAnsi="Arial" w:cs="Arial"/>
          <w:sz w:val="24"/>
          <w:szCs w:val="24"/>
          <w:lang w:eastAsia="en-GB"/>
        </w:rPr>
        <w:t xml:space="preserve">, L. and Mair, J., 2009. Two perspectives on event management employment: student and employer insights into the skills required to get the job </w:t>
      </w:r>
      <w:proofErr w:type="gramStart"/>
      <w:r w:rsidRPr="00353E49">
        <w:rPr>
          <w:rFonts w:ascii="Arial" w:hAnsi="Arial" w:cs="Arial"/>
          <w:sz w:val="24"/>
          <w:szCs w:val="24"/>
          <w:lang w:eastAsia="en-GB"/>
        </w:rPr>
        <w:t>done!.</w:t>
      </w:r>
      <w:proofErr w:type="gramEnd"/>
      <w:r w:rsidRPr="00353E49">
        <w:rPr>
          <w:rFonts w:ascii="Arial" w:hAnsi="Arial" w:cs="Arial"/>
          <w:sz w:val="24"/>
          <w:szCs w:val="24"/>
          <w:lang w:eastAsia="en-GB"/>
        </w:rPr>
        <w:t xml:space="preserve"> Journal of Hospitality and Tourism Management, 16(1), pp.120-129.</w:t>
      </w:r>
    </w:p>
    <w:p w14:paraId="49322105" w14:textId="0BD58A25" w:rsidR="008B6BF2" w:rsidRPr="00353E49" w:rsidRDefault="008B6BF2"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Mair, J. and Smith, A., 2022. Events and sustainability: why making events more sustainable is not enough. In Events and sustainability (pp. 1-17). Routledge.</w:t>
      </w:r>
    </w:p>
    <w:p w14:paraId="1943E4BD" w14:textId="4BE6AC37" w:rsidR="004D1DDA" w:rsidRPr="00353E49" w:rsidRDefault="004D1DDA"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McMahon, D., Spencer, J. and Witzig, L., 2022. A post-covid strategy for event planners. Event Management, 26(7), pp.1537-1547.</w:t>
      </w:r>
    </w:p>
    <w:p w14:paraId="011BE6FA" w14:textId="423267F9" w:rsidR="00353E49" w:rsidRPr="00353E49" w:rsidRDefault="00353E49"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lastRenderedPageBreak/>
        <w:t xml:space="preserve">Office of National Statistics (2021). GDP and Events in history: How the COVID-19 Pandemic Shocked the UK Economy - Office for National Statistics. [online] www.ons.gov.uk. Available at: </w:t>
      </w:r>
      <w:hyperlink r:id="rId8" w:history="1">
        <w:r w:rsidRPr="00353E49">
          <w:rPr>
            <w:rStyle w:val="Hyperlink"/>
            <w:rFonts w:ascii="Arial" w:hAnsi="Arial" w:cs="Arial"/>
            <w:color w:val="auto"/>
            <w:sz w:val="24"/>
            <w:szCs w:val="24"/>
            <w:lang w:eastAsia="en-GB"/>
          </w:rPr>
          <w:t>https://www.ons.gov.uk/economy/grossdomesticproductgdp/articles/gdpandeventsinhistoryhowthecovid19pandemicshockedtheukeconomy/2022-05-24</w:t>
        </w:r>
      </w:hyperlink>
      <w:r w:rsidRPr="00353E49">
        <w:rPr>
          <w:rFonts w:ascii="Arial" w:hAnsi="Arial" w:cs="Arial"/>
          <w:sz w:val="24"/>
          <w:szCs w:val="24"/>
          <w:lang w:eastAsia="en-GB"/>
        </w:rPr>
        <w:t>.</w:t>
      </w:r>
    </w:p>
    <w:p w14:paraId="0F0294B3" w14:textId="590C0E34" w:rsidR="00353E49" w:rsidRPr="00353E49" w:rsidRDefault="00353E49"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PricewaterhouseCoopers (2024). Cloud and Digital Transformation - PwC UK. [online] PwC. Available at: https://www.pwc.co.uk/issues/transformation/cloud.html?gclid=EAIaIQobChMIqLGt3bbNiQMVj4BQBh3ljAvhEAAYAiAAEgKdR_D_BwE [Accessed 1 Nov. 2024].</w:t>
      </w:r>
    </w:p>
    <w:p w14:paraId="62DC5E2D" w14:textId="4FD61234" w:rsidR="008B6BF2" w:rsidRPr="00353E49" w:rsidRDefault="008B6BF2"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 xml:space="preserve">Puccinelli, E., </w:t>
      </w:r>
      <w:proofErr w:type="spellStart"/>
      <w:r w:rsidRPr="00353E49">
        <w:rPr>
          <w:rFonts w:ascii="Arial" w:hAnsi="Arial" w:cs="Arial"/>
          <w:sz w:val="24"/>
          <w:szCs w:val="24"/>
          <w:lang w:eastAsia="en-GB"/>
        </w:rPr>
        <w:t>Zeppilli</w:t>
      </w:r>
      <w:proofErr w:type="spellEnd"/>
      <w:r w:rsidRPr="00353E49">
        <w:rPr>
          <w:rFonts w:ascii="Arial" w:hAnsi="Arial" w:cs="Arial"/>
          <w:sz w:val="24"/>
          <w:szCs w:val="24"/>
          <w:lang w:eastAsia="en-GB"/>
        </w:rPr>
        <w:t xml:space="preserve">, D., </w:t>
      </w:r>
      <w:proofErr w:type="spellStart"/>
      <w:r w:rsidRPr="00353E49">
        <w:rPr>
          <w:rFonts w:ascii="Arial" w:hAnsi="Arial" w:cs="Arial"/>
          <w:sz w:val="24"/>
          <w:szCs w:val="24"/>
          <w:lang w:eastAsia="en-GB"/>
        </w:rPr>
        <w:t>Stefanoudis</w:t>
      </w:r>
      <w:proofErr w:type="spellEnd"/>
      <w:r w:rsidRPr="00353E49">
        <w:rPr>
          <w:rFonts w:ascii="Arial" w:hAnsi="Arial" w:cs="Arial"/>
          <w:sz w:val="24"/>
          <w:szCs w:val="24"/>
          <w:lang w:eastAsia="en-GB"/>
        </w:rPr>
        <w:t xml:space="preserve">, P.V., </w:t>
      </w:r>
      <w:proofErr w:type="spellStart"/>
      <w:r w:rsidRPr="00353E49">
        <w:rPr>
          <w:rFonts w:ascii="Arial" w:hAnsi="Arial" w:cs="Arial"/>
          <w:sz w:val="24"/>
          <w:szCs w:val="24"/>
          <w:lang w:eastAsia="en-GB"/>
        </w:rPr>
        <w:t>Wittische-Helou</w:t>
      </w:r>
      <w:proofErr w:type="spellEnd"/>
      <w:r w:rsidRPr="00353E49">
        <w:rPr>
          <w:rFonts w:ascii="Arial" w:hAnsi="Arial" w:cs="Arial"/>
          <w:sz w:val="24"/>
          <w:szCs w:val="24"/>
          <w:lang w:eastAsia="en-GB"/>
        </w:rPr>
        <w:t>, A., Kermorgant, M., Fuchs, S., Menot, L., Easton, E.E. and Weber, A.A., 2022. Hybrid conferences: opportunities, challenges and ways forward. Frontiers in Marine Science, 9, p.902772.</w:t>
      </w:r>
    </w:p>
    <w:p w14:paraId="0AF6EE3E" w14:textId="557B5FA4" w:rsidR="00463E9D" w:rsidRPr="00353E49" w:rsidRDefault="00463E9D"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Smith, A., 2012. Events and urban regeneration: The strategic use of events to revitalise cities. Routledge.</w:t>
      </w:r>
    </w:p>
    <w:p w14:paraId="14E6FD44" w14:textId="427732E4" w:rsidR="00463E9D" w:rsidRPr="00353E49" w:rsidRDefault="00463E9D"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Shone, A. and Parry, B., 2019. Successful event management: a practical handbook. Cengage learning</w:t>
      </w:r>
    </w:p>
    <w:p w14:paraId="52821C75" w14:textId="3407E9B7" w:rsidR="004D1DDA" w:rsidRPr="00353E49" w:rsidRDefault="004D1DDA" w:rsidP="00353E49">
      <w:pPr>
        <w:spacing w:line="360" w:lineRule="auto"/>
        <w:jc w:val="both"/>
        <w:rPr>
          <w:rFonts w:ascii="Arial" w:hAnsi="Arial" w:cs="Arial"/>
          <w:sz w:val="24"/>
          <w:szCs w:val="24"/>
          <w:lang w:eastAsia="en-GB"/>
        </w:rPr>
      </w:pPr>
      <w:r w:rsidRPr="00353E49">
        <w:rPr>
          <w:rFonts w:ascii="Arial" w:hAnsi="Arial" w:cs="Arial"/>
          <w:sz w:val="24"/>
          <w:szCs w:val="24"/>
          <w:lang w:eastAsia="en-GB"/>
        </w:rPr>
        <w:t>Xu, Y.H. and Tan, X.S., 2023. Event risk management. Cases For Event Management and Event Tourism, p.17.</w:t>
      </w:r>
    </w:p>
    <w:sectPr w:rsidR="004D1DDA" w:rsidRPr="00353E4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AC197" w14:textId="77777777" w:rsidR="0054125C" w:rsidRDefault="0054125C" w:rsidP="00EB583F">
      <w:pPr>
        <w:spacing w:after="0" w:line="240" w:lineRule="auto"/>
      </w:pPr>
      <w:r>
        <w:separator/>
      </w:r>
    </w:p>
  </w:endnote>
  <w:endnote w:type="continuationSeparator" w:id="0">
    <w:p w14:paraId="22FA5C63" w14:textId="77777777" w:rsidR="0054125C" w:rsidRDefault="0054125C" w:rsidP="00EB5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6610422"/>
      <w:docPartObj>
        <w:docPartGallery w:val="Page Numbers (Bottom of Page)"/>
        <w:docPartUnique/>
      </w:docPartObj>
    </w:sdtPr>
    <w:sdtEndPr>
      <w:rPr>
        <w:noProof/>
      </w:rPr>
    </w:sdtEndPr>
    <w:sdtContent>
      <w:p w14:paraId="03A5E476" w14:textId="6BFE4BB9" w:rsidR="00EB583F" w:rsidRDefault="00EB58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47D8E" w14:textId="77777777" w:rsidR="00EB583F" w:rsidRDefault="00EB5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69300" w14:textId="77777777" w:rsidR="0054125C" w:rsidRDefault="0054125C" w:rsidP="00EB583F">
      <w:pPr>
        <w:spacing w:after="0" w:line="240" w:lineRule="auto"/>
      </w:pPr>
      <w:r>
        <w:separator/>
      </w:r>
    </w:p>
  </w:footnote>
  <w:footnote w:type="continuationSeparator" w:id="0">
    <w:p w14:paraId="6AA184EB" w14:textId="77777777" w:rsidR="0054125C" w:rsidRDefault="0054125C" w:rsidP="00EB5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453E4"/>
    <w:multiLevelType w:val="hybridMultilevel"/>
    <w:tmpl w:val="2954F2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2461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83F"/>
    <w:rsid w:val="00353E49"/>
    <w:rsid w:val="0043185C"/>
    <w:rsid w:val="0045245D"/>
    <w:rsid w:val="00463E9D"/>
    <w:rsid w:val="004D1DDA"/>
    <w:rsid w:val="005103DF"/>
    <w:rsid w:val="0054125C"/>
    <w:rsid w:val="005B0773"/>
    <w:rsid w:val="00747922"/>
    <w:rsid w:val="007B0CC3"/>
    <w:rsid w:val="00856D23"/>
    <w:rsid w:val="008A0FB2"/>
    <w:rsid w:val="008B6BF2"/>
    <w:rsid w:val="00A32A8C"/>
    <w:rsid w:val="00B151A8"/>
    <w:rsid w:val="00C82D1F"/>
    <w:rsid w:val="00D73ACE"/>
    <w:rsid w:val="00DA3651"/>
    <w:rsid w:val="00E45872"/>
    <w:rsid w:val="00E47487"/>
    <w:rsid w:val="00EB583F"/>
    <w:rsid w:val="00FB3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D4F69"/>
  <w15:chartTrackingRefBased/>
  <w15:docId w15:val="{AC0A9C94-B057-40F4-A947-35FD436A5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EB58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58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58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8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EB58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58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58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8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83F"/>
    <w:rPr>
      <w:rFonts w:eastAsiaTheme="majorEastAsia" w:cstheme="majorBidi"/>
      <w:color w:val="272727" w:themeColor="text1" w:themeTint="D8"/>
    </w:rPr>
  </w:style>
  <w:style w:type="paragraph" w:styleId="Title">
    <w:name w:val="Title"/>
    <w:basedOn w:val="Normal"/>
    <w:next w:val="Normal"/>
    <w:link w:val="TitleChar"/>
    <w:uiPriority w:val="10"/>
    <w:qFormat/>
    <w:rsid w:val="00EB5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83F"/>
    <w:pPr>
      <w:spacing w:before="160"/>
      <w:jc w:val="center"/>
    </w:pPr>
    <w:rPr>
      <w:i/>
      <w:iCs/>
      <w:color w:val="404040" w:themeColor="text1" w:themeTint="BF"/>
    </w:rPr>
  </w:style>
  <w:style w:type="character" w:customStyle="1" w:styleId="QuoteChar">
    <w:name w:val="Quote Char"/>
    <w:basedOn w:val="DefaultParagraphFont"/>
    <w:link w:val="Quote"/>
    <w:uiPriority w:val="29"/>
    <w:rsid w:val="00EB583F"/>
    <w:rPr>
      <w:i/>
      <w:iCs/>
      <w:color w:val="404040" w:themeColor="text1" w:themeTint="BF"/>
    </w:rPr>
  </w:style>
  <w:style w:type="paragraph" w:styleId="ListParagraph">
    <w:name w:val="List Paragraph"/>
    <w:basedOn w:val="Normal"/>
    <w:uiPriority w:val="34"/>
    <w:qFormat/>
    <w:rsid w:val="00EB583F"/>
    <w:pPr>
      <w:ind w:left="720"/>
      <w:contextualSpacing/>
    </w:pPr>
  </w:style>
  <w:style w:type="character" w:styleId="IntenseEmphasis">
    <w:name w:val="Intense Emphasis"/>
    <w:basedOn w:val="DefaultParagraphFont"/>
    <w:uiPriority w:val="21"/>
    <w:qFormat/>
    <w:rsid w:val="00EB583F"/>
    <w:rPr>
      <w:i/>
      <w:iCs/>
      <w:color w:val="0F4761" w:themeColor="accent1" w:themeShade="BF"/>
    </w:rPr>
  </w:style>
  <w:style w:type="paragraph" w:styleId="IntenseQuote">
    <w:name w:val="Intense Quote"/>
    <w:basedOn w:val="Normal"/>
    <w:next w:val="Normal"/>
    <w:link w:val="IntenseQuoteChar"/>
    <w:uiPriority w:val="30"/>
    <w:qFormat/>
    <w:rsid w:val="00EB58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83F"/>
    <w:rPr>
      <w:i/>
      <w:iCs/>
      <w:color w:val="0F4761" w:themeColor="accent1" w:themeShade="BF"/>
    </w:rPr>
  </w:style>
  <w:style w:type="character" w:styleId="IntenseReference">
    <w:name w:val="Intense Reference"/>
    <w:basedOn w:val="DefaultParagraphFont"/>
    <w:uiPriority w:val="32"/>
    <w:qFormat/>
    <w:rsid w:val="00EB583F"/>
    <w:rPr>
      <w:b/>
      <w:bCs/>
      <w:smallCaps/>
      <w:color w:val="0F4761" w:themeColor="accent1" w:themeShade="BF"/>
      <w:spacing w:val="5"/>
    </w:rPr>
  </w:style>
  <w:style w:type="paragraph" w:styleId="Header">
    <w:name w:val="header"/>
    <w:basedOn w:val="Normal"/>
    <w:link w:val="HeaderChar"/>
    <w:uiPriority w:val="99"/>
    <w:unhideWhenUsed/>
    <w:rsid w:val="00EB5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83F"/>
  </w:style>
  <w:style w:type="paragraph" w:styleId="Footer">
    <w:name w:val="footer"/>
    <w:basedOn w:val="Normal"/>
    <w:link w:val="FooterChar"/>
    <w:uiPriority w:val="99"/>
    <w:unhideWhenUsed/>
    <w:rsid w:val="00EB5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83F"/>
  </w:style>
  <w:style w:type="table" w:styleId="TableGrid">
    <w:name w:val="Table Grid"/>
    <w:basedOn w:val="TableNormal"/>
    <w:uiPriority w:val="39"/>
    <w:rsid w:val="00E458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3E9D"/>
    <w:pPr>
      <w:outlineLvl w:val="9"/>
    </w:pPr>
    <w:rPr>
      <w:kern w:val="0"/>
      <w:lang w:val="en-US"/>
      <w14:ligatures w14:val="none"/>
    </w:rPr>
  </w:style>
  <w:style w:type="paragraph" w:styleId="TOC1">
    <w:name w:val="toc 1"/>
    <w:basedOn w:val="Normal"/>
    <w:next w:val="Normal"/>
    <w:autoRedefine/>
    <w:uiPriority w:val="39"/>
    <w:unhideWhenUsed/>
    <w:rsid w:val="00463E9D"/>
    <w:pPr>
      <w:spacing w:after="100"/>
    </w:pPr>
  </w:style>
  <w:style w:type="character" w:styleId="Hyperlink">
    <w:name w:val="Hyperlink"/>
    <w:basedOn w:val="DefaultParagraphFont"/>
    <w:uiPriority w:val="99"/>
    <w:unhideWhenUsed/>
    <w:rsid w:val="00463E9D"/>
    <w:rPr>
      <w:color w:val="467886" w:themeColor="hyperlink"/>
      <w:u w:val="single"/>
    </w:rPr>
  </w:style>
  <w:style w:type="paragraph" w:styleId="NormalWeb">
    <w:name w:val="Normal (Web)"/>
    <w:basedOn w:val="Normal"/>
    <w:uiPriority w:val="99"/>
    <w:semiHidden/>
    <w:unhideWhenUsed/>
    <w:rsid w:val="00353E4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353E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344417">
      <w:bodyDiv w:val="1"/>
      <w:marLeft w:val="0"/>
      <w:marRight w:val="0"/>
      <w:marTop w:val="0"/>
      <w:marBottom w:val="0"/>
      <w:divBdr>
        <w:top w:val="none" w:sz="0" w:space="0" w:color="auto"/>
        <w:left w:val="none" w:sz="0" w:space="0" w:color="auto"/>
        <w:bottom w:val="none" w:sz="0" w:space="0" w:color="auto"/>
        <w:right w:val="none" w:sz="0" w:space="0" w:color="auto"/>
      </w:divBdr>
    </w:div>
    <w:div w:id="562832744">
      <w:bodyDiv w:val="1"/>
      <w:marLeft w:val="0"/>
      <w:marRight w:val="0"/>
      <w:marTop w:val="0"/>
      <w:marBottom w:val="0"/>
      <w:divBdr>
        <w:top w:val="none" w:sz="0" w:space="0" w:color="auto"/>
        <w:left w:val="none" w:sz="0" w:space="0" w:color="auto"/>
        <w:bottom w:val="none" w:sz="0" w:space="0" w:color="auto"/>
        <w:right w:val="none" w:sz="0" w:space="0" w:color="auto"/>
      </w:divBdr>
    </w:div>
    <w:div w:id="909003015">
      <w:bodyDiv w:val="1"/>
      <w:marLeft w:val="0"/>
      <w:marRight w:val="0"/>
      <w:marTop w:val="0"/>
      <w:marBottom w:val="0"/>
      <w:divBdr>
        <w:top w:val="none" w:sz="0" w:space="0" w:color="auto"/>
        <w:left w:val="none" w:sz="0" w:space="0" w:color="auto"/>
        <w:bottom w:val="none" w:sz="0" w:space="0" w:color="auto"/>
        <w:right w:val="none" w:sz="0" w:space="0" w:color="auto"/>
      </w:divBdr>
    </w:div>
    <w:div w:id="1100874245">
      <w:bodyDiv w:val="1"/>
      <w:marLeft w:val="0"/>
      <w:marRight w:val="0"/>
      <w:marTop w:val="0"/>
      <w:marBottom w:val="0"/>
      <w:divBdr>
        <w:top w:val="none" w:sz="0" w:space="0" w:color="auto"/>
        <w:left w:val="none" w:sz="0" w:space="0" w:color="auto"/>
        <w:bottom w:val="none" w:sz="0" w:space="0" w:color="auto"/>
        <w:right w:val="none" w:sz="0" w:space="0" w:color="auto"/>
      </w:divBdr>
    </w:div>
    <w:div w:id="1478259611">
      <w:bodyDiv w:val="1"/>
      <w:marLeft w:val="0"/>
      <w:marRight w:val="0"/>
      <w:marTop w:val="0"/>
      <w:marBottom w:val="0"/>
      <w:divBdr>
        <w:top w:val="none" w:sz="0" w:space="0" w:color="auto"/>
        <w:left w:val="none" w:sz="0" w:space="0" w:color="auto"/>
        <w:bottom w:val="none" w:sz="0" w:space="0" w:color="auto"/>
        <w:right w:val="none" w:sz="0" w:space="0" w:color="auto"/>
      </w:divBdr>
    </w:div>
    <w:div w:id="1674262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conomy/grossdomesticproductgdp/articles/gdpandeventsinhistoryhowthecovid19pandemicshockedtheukeconomy/2022-05-24" TargetMode="External"/><Relationship Id="rId3" Type="http://schemas.openxmlformats.org/officeDocument/2006/relationships/settings" Target="settings.xml"/><Relationship Id="rId7" Type="http://schemas.openxmlformats.org/officeDocument/2006/relationships/hyperlink" Target="https://www.gov.uk/government/publications/events-research-programme-phase-i-findings/events-research-programme-phase-i-findin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17</Pages>
  <Words>4061</Words>
  <Characters>23151</Characters>
  <Application>Microsoft Office Word</Application>
  <DocSecurity>0</DocSecurity>
  <Lines>192</Lines>
  <Paragraphs>54</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 </vt:lpstr>
      <vt:lpstr>The Event Cycle</vt:lpstr>
      <vt:lpstr>Event Concept</vt:lpstr>
      <vt:lpstr>The aim of the meeting </vt:lpstr>
      <vt:lpstr>Objectives</vt:lpstr>
      <vt:lpstr>Event Management</vt:lpstr>
      <vt:lpstr>Event Budget</vt:lpstr>
      <vt:lpstr>Industry trends</vt:lpstr>
      <vt:lpstr>PESTEL Analysis</vt:lpstr>
      <vt:lpstr>Conclusion </vt:lpstr>
      <vt:lpstr>References</vt:lpstr>
    </vt:vector>
  </TitlesOfParts>
  <Company/>
  <LinksUpToDate>false</LinksUpToDate>
  <CharactersWithSpaces>27158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Petru Cucu (2213956)</cp:lastModifiedBy>
  <cp:revision>5</cp:revision>
  <dcterms:created xsi:type="dcterms:W3CDTF">2024-11-08T15:36:00Z</dcterms:created>
  <dcterms:modified xsi:type="dcterms:W3CDTF">2024-11-08T19:16:00Z</dcterms:modified>
</cp:coreProperties>
</file>