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3130F5" w14:textId="0907946F" w:rsidR="00921124" w:rsidRDefault="00921124" w:rsidP="00945257">
      <w:pPr>
        <w:spacing w:line="360" w:lineRule="auto"/>
        <w:jc w:val="both"/>
        <w:rPr>
          <w:rFonts w:ascii="Arial" w:hAnsi="Arial" w:cs="Arial"/>
          <w:sz w:val="24"/>
          <w:szCs w:val="24"/>
        </w:rPr>
      </w:pPr>
      <w:r w:rsidRPr="003B2AE9">
        <w:rPr>
          <w:rFonts w:ascii="Arial" w:hAnsi="Arial" w:cs="Arial"/>
          <w:sz w:val="24"/>
          <w:szCs w:val="24"/>
        </w:rPr>
        <w:t>Alexander the Great’s alleged meeting with Queen Thalestris</w:t>
      </w:r>
      <w:r w:rsidR="005047CA" w:rsidRPr="003B2AE9">
        <w:rPr>
          <w:rFonts w:ascii="Arial" w:hAnsi="Arial" w:cs="Arial"/>
          <w:sz w:val="24"/>
          <w:szCs w:val="24"/>
        </w:rPr>
        <w:t xml:space="preserve"> of the Amazons</w:t>
      </w:r>
      <w:r w:rsidRPr="003B2AE9">
        <w:rPr>
          <w:rFonts w:ascii="Arial" w:hAnsi="Arial" w:cs="Arial"/>
          <w:sz w:val="24"/>
          <w:szCs w:val="24"/>
        </w:rPr>
        <w:t xml:space="preserve"> is marked within </w:t>
      </w:r>
      <w:r w:rsidRPr="003B2AE9">
        <w:rPr>
          <w:rFonts w:ascii="Arial" w:hAnsi="Arial" w:cs="Arial"/>
          <w:i/>
          <w:iCs/>
          <w:sz w:val="24"/>
          <w:szCs w:val="24"/>
        </w:rPr>
        <w:t>Alexander Romance</w:t>
      </w:r>
      <w:r w:rsidRPr="003B2AE9">
        <w:rPr>
          <w:rFonts w:ascii="Arial" w:hAnsi="Arial" w:cs="Arial"/>
          <w:sz w:val="24"/>
          <w:szCs w:val="24"/>
        </w:rPr>
        <w:t xml:space="preserve">, particularly in </w:t>
      </w:r>
      <w:r w:rsidR="001B5B0E" w:rsidRPr="003B2AE9">
        <w:rPr>
          <w:rFonts w:ascii="Arial" w:hAnsi="Arial" w:cs="Arial"/>
          <w:sz w:val="24"/>
          <w:szCs w:val="24"/>
        </w:rPr>
        <w:t xml:space="preserve">the works of </w:t>
      </w:r>
      <w:r w:rsidRPr="003B2AE9">
        <w:rPr>
          <w:rFonts w:ascii="Arial" w:hAnsi="Arial" w:cs="Arial"/>
          <w:sz w:val="24"/>
          <w:szCs w:val="24"/>
        </w:rPr>
        <w:t>Walter of Châtillon</w:t>
      </w:r>
      <w:r w:rsidR="00E20448" w:rsidRPr="003B2AE9">
        <w:rPr>
          <w:rFonts w:ascii="Arial" w:hAnsi="Arial" w:cs="Arial"/>
          <w:sz w:val="24"/>
          <w:szCs w:val="24"/>
        </w:rPr>
        <w:t xml:space="preserve">’s </w:t>
      </w:r>
      <w:r w:rsidR="00E20448" w:rsidRPr="003B2AE9">
        <w:rPr>
          <w:rFonts w:ascii="Arial" w:hAnsi="Arial" w:cs="Arial"/>
          <w:i/>
          <w:iCs/>
          <w:sz w:val="24"/>
          <w:szCs w:val="24"/>
        </w:rPr>
        <w:t>Alexandreis</w:t>
      </w:r>
      <w:r w:rsidR="00E20448" w:rsidRPr="003B2AE9">
        <w:rPr>
          <w:rFonts w:ascii="Arial" w:hAnsi="Arial" w:cs="Arial"/>
          <w:sz w:val="24"/>
          <w:szCs w:val="24"/>
        </w:rPr>
        <w:t>, Quintus Curtius Rufus</w:t>
      </w:r>
      <w:r w:rsidR="00112973">
        <w:rPr>
          <w:rFonts w:ascii="Arial" w:hAnsi="Arial" w:cs="Arial"/>
          <w:sz w:val="24"/>
          <w:szCs w:val="24"/>
        </w:rPr>
        <w:t xml:space="preserve">’ </w:t>
      </w:r>
      <w:r w:rsidR="00250E19">
        <w:rPr>
          <w:rFonts w:ascii="Arial" w:hAnsi="Arial" w:cs="Arial"/>
          <w:i/>
          <w:iCs/>
          <w:sz w:val="24"/>
          <w:szCs w:val="24"/>
        </w:rPr>
        <w:t>Historiae Alexandri Mag</w:t>
      </w:r>
      <w:r w:rsidR="00D64872">
        <w:rPr>
          <w:rFonts w:ascii="Arial" w:hAnsi="Arial" w:cs="Arial"/>
          <w:i/>
          <w:iCs/>
          <w:sz w:val="24"/>
          <w:szCs w:val="24"/>
        </w:rPr>
        <w:t>n</w:t>
      </w:r>
      <w:r w:rsidR="00250E19">
        <w:rPr>
          <w:rFonts w:ascii="Arial" w:hAnsi="Arial" w:cs="Arial"/>
          <w:i/>
          <w:iCs/>
          <w:sz w:val="24"/>
          <w:szCs w:val="24"/>
        </w:rPr>
        <w:t>i</w:t>
      </w:r>
      <w:r w:rsidR="00E20448" w:rsidRPr="003B2AE9">
        <w:rPr>
          <w:rFonts w:ascii="Arial" w:hAnsi="Arial" w:cs="Arial"/>
          <w:sz w:val="24"/>
          <w:szCs w:val="24"/>
        </w:rPr>
        <w:t>, and the</w:t>
      </w:r>
      <w:r w:rsidR="00250E19">
        <w:rPr>
          <w:rFonts w:ascii="Arial" w:hAnsi="Arial" w:cs="Arial"/>
          <w:sz w:val="24"/>
          <w:szCs w:val="24"/>
        </w:rPr>
        <w:t xml:space="preserve"> Leo of Naples’</w:t>
      </w:r>
      <w:r w:rsidR="00E20448" w:rsidRPr="003B2AE9">
        <w:rPr>
          <w:rFonts w:ascii="Arial" w:hAnsi="Arial" w:cs="Arial"/>
          <w:sz w:val="24"/>
          <w:szCs w:val="24"/>
        </w:rPr>
        <w:t xml:space="preserve"> </w:t>
      </w:r>
      <w:r w:rsidR="00E20448" w:rsidRPr="003B2AE9">
        <w:rPr>
          <w:rFonts w:ascii="Arial" w:hAnsi="Arial" w:cs="Arial"/>
          <w:i/>
          <w:iCs/>
          <w:sz w:val="24"/>
          <w:szCs w:val="24"/>
        </w:rPr>
        <w:t>Historia de preliis</w:t>
      </w:r>
      <w:r w:rsidR="00E20448" w:rsidRPr="003B2AE9">
        <w:rPr>
          <w:rFonts w:ascii="Arial" w:hAnsi="Arial" w:cs="Arial"/>
          <w:sz w:val="24"/>
          <w:szCs w:val="24"/>
        </w:rPr>
        <w:t>.</w:t>
      </w:r>
      <w:r w:rsidR="00C176ED">
        <w:rPr>
          <w:rStyle w:val="FootnoteReference"/>
          <w:rFonts w:ascii="Arial" w:hAnsi="Arial" w:cs="Arial"/>
          <w:sz w:val="24"/>
          <w:szCs w:val="24"/>
        </w:rPr>
        <w:footnoteReference w:id="1"/>
      </w:r>
      <w:r w:rsidR="00E20448" w:rsidRPr="003B2AE9">
        <w:rPr>
          <w:rFonts w:ascii="Arial" w:hAnsi="Arial" w:cs="Arial"/>
          <w:sz w:val="24"/>
          <w:szCs w:val="24"/>
        </w:rPr>
        <w:t xml:space="preserve"> </w:t>
      </w:r>
      <w:r w:rsidR="00C471E2">
        <w:rPr>
          <w:rFonts w:ascii="Arial" w:hAnsi="Arial" w:cs="Arial"/>
          <w:sz w:val="24"/>
          <w:szCs w:val="24"/>
        </w:rPr>
        <w:t xml:space="preserve">The perception of the meeting between Thalestris and Alexander differs between later sources, and </w:t>
      </w:r>
      <w:r w:rsidR="000977DD">
        <w:rPr>
          <w:rFonts w:ascii="Arial" w:hAnsi="Arial" w:cs="Arial"/>
          <w:sz w:val="24"/>
          <w:szCs w:val="24"/>
        </w:rPr>
        <w:t xml:space="preserve">the information presented in each can be analysed to explore </w:t>
      </w:r>
      <w:r w:rsidR="00250E19">
        <w:rPr>
          <w:rFonts w:ascii="Arial" w:hAnsi="Arial" w:cs="Arial"/>
          <w:sz w:val="24"/>
          <w:szCs w:val="24"/>
        </w:rPr>
        <w:t xml:space="preserve">whether accounts are sources of </w:t>
      </w:r>
      <w:r w:rsidR="000977DD">
        <w:rPr>
          <w:rFonts w:ascii="Arial" w:hAnsi="Arial" w:cs="Arial"/>
          <w:sz w:val="24"/>
          <w:szCs w:val="24"/>
        </w:rPr>
        <w:t xml:space="preserve">historical writing or </w:t>
      </w:r>
      <w:r w:rsidR="00112973">
        <w:rPr>
          <w:rFonts w:ascii="Arial" w:hAnsi="Arial" w:cs="Arial"/>
          <w:sz w:val="24"/>
          <w:szCs w:val="24"/>
        </w:rPr>
        <w:t xml:space="preserve">literary narrative. </w:t>
      </w:r>
      <w:bookmarkStart w:id="0" w:name="_GoBack"/>
      <w:bookmarkEnd w:id="0"/>
    </w:p>
    <w:p w14:paraId="7045A63B" w14:textId="6A3781DB" w:rsidR="003B2AE9" w:rsidRPr="00D96B63" w:rsidRDefault="004C102B" w:rsidP="00945257">
      <w:pPr>
        <w:spacing w:line="360" w:lineRule="auto"/>
        <w:jc w:val="both"/>
        <w:rPr>
          <w:rFonts w:ascii="Arial" w:hAnsi="Arial" w:cs="Arial"/>
          <w:sz w:val="24"/>
          <w:szCs w:val="24"/>
        </w:rPr>
      </w:pPr>
      <w:r w:rsidRPr="00D96B63">
        <w:rPr>
          <w:rFonts w:ascii="Arial" w:hAnsi="Arial" w:cs="Arial"/>
          <w:sz w:val="24"/>
          <w:szCs w:val="24"/>
        </w:rPr>
        <w:t xml:space="preserve">It seems significant to firstly consider the description each source gives of the </w:t>
      </w:r>
      <w:r w:rsidR="00D64872" w:rsidRPr="00D96B63">
        <w:rPr>
          <w:rFonts w:ascii="Arial" w:hAnsi="Arial" w:cs="Arial"/>
          <w:sz w:val="24"/>
          <w:szCs w:val="24"/>
        </w:rPr>
        <w:t xml:space="preserve">Amazon Queen Thalestris, </w:t>
      </w:r>
      <w:r w:rsidR="00D96B63" w:rsidRPr="00D96B63">
        <w:rPr>
          <w:rFonts w:ascii="Arial" w:hAnsi="Arial" w:cs="Arial"/>
          <w:sz w:val="24"/>
          <w:szCs w:val="24"/>
        </w:rPr>
        <w:t>t</w:t>
      </w:r>
      <w:r w:rsidR="00D64872" w:rsidRPr="00D96B63">
        <w:rPr>
          <w:rFonts w:ascii="Arial" w:hAnsi="Arial" w:cs="Arial"/>
          <w:sz w:val="24"/>
          <w:szCs w:val="24"/>
        </w:rPr>
        <w:t xml:space="preserve">he Roman historian </w:t>
      </w:r>
      <w:r w:rsidR="00990C7A" w:rsidRPr="00D96B63">
        <w:rPr>
          <w:rFonts w:ascii="Arial" w:hAnsi="Arial" w:cs="Arial"/>
          <w:sz w:val="24"/>
          <w:szCs w:val="24"/>
        </w:rPr>
        <w:t>Quintus Curtius Rufus</w:t>
      </w:r>
      <w:r w:rsidR="00D64872" w:rsidRPr="00D96B63">
        <w:rPr>
          <w:rFonts w:ascii="Arial" w:hAnsi="Arial" w:cs="Arial"/>
          <w:sz w:val="24"/>
          <w:szCs w:val="24"/>
        </w:rPr>
        <w:t xml:space="preserve">, provides an in-depth account of the meeting between Alexander and Thalestris in his work the </w:t>
      </w:r>
      <w:r w:rsidR="00D64872" w:rsidRPr="00D96B63">
        <w:rPr>
          <w:rFonts w:ascii="Arial" w:hAnsi="Arial" w:cs="Arial"/>
          <w:i/>
          <w:iCs/>
          <w:sz w:val="24"/>
          <w:szCs w:val="24"/>
        </w:rPr>
        <w:t xml:space="preserve">Historiae Alexandri Magni, </w:t>
      </w:r>
      <w:r w:rsidR="00D64872" w:rsidRPr="00D96B63">
        <w:rPr>
          <w:rFonts w:ascii="Arial" w:hAnsi="Arial" w:cs="Arial"/>
          <w:sz w:val="24"/>
          <w:szCs w:val="24"/>
        </w:rPr>
        <w:t xml:space="preserve">written </w:t>
      </w:r>
      <w:r w:rsidR="008E34E8" w:rsidRPr="00D96B63">
        <w:rPr>
          <w:rFonts w:ascii="Arial" w:hAnsi="Arial" w:cs="Arial"/>
          <w:sz w:val="24"/>
          <w:szCs w:val="24"/>
        </w:rPr>
        <w:t xml:space="preserve">in </w:t>
      </w:r>
      <w:r w:rsidR="00D96B63" w:rsidRPr="00D96B63">
        <w:rPr>
          <w:rFonts w:ascii="Arial" w:hAnsi="Arial" w:cs="Arial"/>
          <w:sz w:val="24"/>
          <w:szCs w:val="24"/>
        </w:rPr>
        <w:t xml:space="preserve">the first century. </w:t>
      </w:r>
      <w:r w:rsidR="008E34E8" w:rsidRPr="00D96B63">
        <w:rPr>
          <w:rFonts w:ascii="Arial" w:hAnsi="Arial" w:cs="Arial"/>
          <w:sz w:val="24"/>
          <w:szCs w:val="24"/>
        </w:rPr>
        <w:t xml:space="preserve">Curtius describes Thalestris to have leaped from her horse carrying two spears in her right hand, wearing clothing that left </w:t>
      </w:r>
      <w:r w:rsidR="008A2D19">
        <w:rPr>
          <w:rFonts w:ascii="Arial" w:hAnsi="Arial" w:cs="Arial"/>
          <w:sz w:val="24"/>
          <w:szCs w:val="24"/>
        </w:rPr>
        <w:t xml:space="preserve">one </w:t>
      </w:r>
      <w:r w:rsidR="008E34E8" w:rsidRPr="00D96B63">
        <w:rPr>
          <w:rFonts w:ascii="Arial" w:hAnsi="Arial" w:cs="Arial"/>
          <w:sz w:val="24"/>
          <w:szCs w:val="24"/>
        </w:rPr>
        <w:t xml:space="preserve">side nude as far as her breast with the rest of her body concealed, </w:t>
      </w:r>
      <w:r w:rsidR="00D96B63" w:rsidRPr="00D96B63">
        <w:rPr>
          <w:rFonts w:ascii="Arial" w:hAnsi="Arial" w:cs="Arial"/>
          <w:sz w:val="24"/>
          <w:szCs w:val="24"/>
        </w:rPr>
        <w:t>and notes that whilst one breast nourished children the other had been removed for improved bow use and spear hurling.</w:t>
      </w:r>
      <w:r w:rsidR="00D96B63" w:rsidRPr="00D96B63">
        <w:rPr>
          <w:rStyle w:val="FootnoteReference"/>
          <w:rFonts w:ascii="Arial" w:hAnsi="Arial" w:cs="Arial"/>
          <w:sz w:val="24"/>
          <w:szCs w:val="24"/>
        </w:rPr>
        <w:footnoteReference w:id="2"/>
      </w:r>
      <w:r w:rsidR="00D96B63" w:rsidRPr="00D96B63">
        <w:rPr>
          <w:rFonts w:ascii="Arial" w:hAnsi="Arial" w:cs="Arial"/>
          <w:sz w:val="24"/>
          <w:szCs w:val="24"/>
        </w:rPr>
        <w:t xml:space="preserve"> </w:t>
      </w:r>
      <w:r w:rsidR="00D64872" w:rsidRPr="00D96B63">
        <w:rPr>
          <w:rFonts w:ascii="Arial" w:hAnsi="Arial" w:cs="Arial"/>
          <w:sz w:val="24"/>
          <w:szCs w:val="24"/>
        </w:rPr>
        <w:t xml:space="preserve">Lloyd Gunderson states Curtius does not place Alexander in </w:t>
      </w:r>
      <w:r w:rsidR="008A2D19">
        <w:rPr>
          <w:rFonts w:ascii="Arial" w:hAnsi="Arial" w:cs="Arial"/>
          <w:sz w:val="24"/>
          <w:szCs w:val="24"/>
        </w:rPr>
        <w:t xml:space="preserve">the </w:t>
      </w:r>
      <w:r w:rsidR="00D64872" w:rsidRPr="00D96B63">
        <w:rPr>
          <w:rFonts w:ascii="Arial" w:hAnsi="Arial" w:cs="Arial"/>
          <w:sz w:val="24"/>
          <w:szCs w:val="24"/>
        </w:rPr>
        <w:t>centre of his work, instead focusing upon more minor characters, perhaps explaining Curtius’ seemingly vivid description of Thalestris and the Amazons.</w:t>
      </w:r>
      <w:r w:rsidR="00D64872" w:rsidRPr="00D96B63">
        <w:rPr>
          <w:rStyle w:val="FootnoteReference"/>
          <w:rFonts w:ascii="Arial" w:hAnsi="Arial" w:cs="Arial"/>
          <w:sz w:val="24"/>
          <w:szCs w:val="24"/>
        </w:rPr>
        <w:footnoteReference w:id="3"/>
      </w:r>
      <w:r w:rsidR="00D64872" w:rsidRPr="00D96B63">
        <w:rPr>
          <w:rFonts w:ascii="Arial" w:hAnsi="Arial" w:cs="Arial"/>
          <w:sz w:val="24"/>
          <w:szCs w:val="24"/>
        </w:rPr>
        <w:t xml:space="preserve"> </w:t>
      </w:r>
      <w:r w:rsidR="00D96B63" w:rsidRPr="00D96B63">
        <w:rPr>
          <w:rFonts w:ascii="Arial" w:hAnsi="Arial" w:cs="Arial"/>
          <w:sz w:val="24"/>
          <w:szCs w:val="24"/>
        </w:rPr>
        <w:t xml:space="preserve">The description of the Amazons as given by Curtius appears almost identically in the twelfth-century French writer and theologian Walter of Châtillon’s </w:t>
      </w:r>
      <w:r w:rsidR="00D96B63" w:rsidRPr="00D96B63">
        <w:rPr>
          <w:rFonts w:ascii="Arial" w:hAnsi="Arial" w:cs="Arial"/>
          <w:i/>
          <w:iCs/>
          <w:sz w:val="24"/>
          <w:szCs w:val="24"/>
        </w:rPr>
        <w:t>Alexandreis</w:t>
      </w:r>
      <w:r w:rsidR="00D96B63" w:rsidRPr="00D96B63">
        <w:rPr>
          <w:rFonts w:ascii="Arial" w:hAnsi="Arial" w:cs="Arial"/>
          <w:sz w:val="24"/>
          <w:szCs w:val="24"/>
        </w:rPr>
        <w:t xml:space="preserve">, composed in the late-twelfth century. </w:t>
      </w:r>
      <w:r w:rsidR="00D96B63">
        <w:rPr>
          <w:rFonts w:ascii="Arial" w:hAnsi="Arial" w:cs="Arial"/>
          <w:sz w:val="24"/>
          <w:szCs w:val="24"/>
        </w:rPr>
        <w:t xml:space="preserve">Walter’s account appears as being perhaps more poetic </w:t>
      </w:r>
      <w:r w:rsidR="008A2D19">
        <w:rPr>
          <w:rFonts w:ascii="Arial" w:hAnsi="Arial" w:cs="Arial"/>
          <w:sz w:val="24"/>
          <w:szCs w:val="24"/>
        </w:rPr>
        <w:t>yet</w:t>
      </w:r>
      <w:r w:rsidR="00D96B63">
        <w:rPr>
          <w:rFonts w:ascii="Arial" w:hAnsi="Arial" w:cs="Arial"/>
          <w:sz w:val="24"/>
          <w:szCs w:val="24"/>
        </w:rPr>
        <w:t xml:space="preserve"> condensed in its description of the Amazon Thalestris, and Maura </w:t>
      </w:r>
      <w:r w:rsidR="00D64872" w:rsidRPr="00D96B63">
        <w:rPr>
          <w:rFonts w:ascii="Arial" w:hAnsi="Arial" w:cs="Arial"/>
          <w:sz w:val="24"/>
          <w:szCs w:val="24"/>
        </w:rPr>
        <w:t>Lafferty notes that some sections of the A</w:t>
      </w:r>
      <w:r w:rsidR="00D64872" w:rsidRPr="00D96B63">
        <w:rPr>
          <w:rFonts w:ascii="Arial" w:hAnsi="Arial" w:cs="Arial"/>
          <w:i/>
          <w:iCs/>
          <w:sz w:val="24"/>
          <w:szCs w:val="24"/>
        </w:rPr>
        <w:t xml:space="preserve">lexandreis </w:t>
      </w:r>
      <w:r w:rsidR="00D64872" w:rsidRPr="00D96B63">
        <w:rPr>
          <w:rFonts w:ascii="Arial" w:hAnsi="Arial" w:cs="Arial"/>
          <w:sz w:val="24"/>
          <w:szCs w:val="24"/>
        </w:rPr>
        <w:t>are copied somewhat exactly</w:t>
      </w:r>
      <w:r w:rsidR="00D96B63">
        <w:rPr>
          <w:rFonts w:ascii="Arial" w:hAnsi="Arial" w:cs="Arial"/>
          <w:sz w:val="24"/>
          <w:szCs w:val="24"/>
        </w:rPr>
        <w:t>.</w:t>
      </w:r>
      <w:r w:rsidR="00D64872" w:rsidRPr="00D96B63">
        <w:rPr>
          <w:rStyle w:val="FootnoteReference"/>
          <w:rFonts w:ascii="Arial" w:hAnsi="Arial" w:cs="Arial"/>
          <w:sz w:val="24"/>
          <w:szCs w:val="24"/>
        </w:rPr>
        <w:footnoteReference w:id="4"/>
      </w:r>
      <w:r w:rsidR="00D96B63">
        <w:rPr>
          <w:rFonts w:ascii="Arial" w:hAnsi="Arial" w:cs="Arial"/>
          <w:sz w:val="24"/>
          <w:szCs w:val="24"/>
        </w:rPr>
        <w:t xml:space="preserve"> </w:t>
      </w:r>
      <w:r w:rsidR="00C471E2" w:rsidRPr="00D96B63">
        <w:rPr>
          <w:rFonts w:ascii="Arial" w:hAnsi="Arial" w:cs="Arial"/>
          <w:sz w:val="24"/>
          <w:szCs w:val="24"/>
        </w:rPr>
        <w:t>Interestingly, the</w:t>
      </w:r>
      <w:r w:rsidR="003B2AE9" w:rsidRPr="00D96B63">
        <w:rPr>
          <w:rFonts w:ascii="Arial" w:hAnsi="Arial" w:cs="Arial"/>
          <w:sz w:val="24"/>
          <w:szCs w:val="24"/>
        </w:rPr>
        <w:t xml:space="preserve"> A</w:t>
      </w:r>
      <w:r w:rsidR="003B2AE9" w:rsidRPr="00D96B63">
        <w:rPr>
          <w:rFonts w:ascii="Arial" w:hAnsi="Arial" w:cs="Arial"/>
          <w:i/>
          <w:iCs/>
          <w:sz w:val="24"/>
          <w:szCs w:val="24"/>
        </w:rPr>
        <w:t xml:space="preserve">lexandreis </w:t>
      </w:r>
      <w:r w:rsidR="003B2AE9" w:rsidRPr="00D96B63">
        <w:rPr>
          <w:rFonts w:ascii="Arial" w:hAnsi="Arial" w:cs="Arial"/>
          <w:sz w:val="24"/>
          <w:szCs w:val="24"/>
        </w:rPr>
        <w:t>is likely to have been dedicated to William of Champagne, and Lafferty notes that the first letters of each book spell his Latinised name ‘Guillermus’</w:t>
      </w:r>
      <w:r w:rsidR="00DD76DD" w:rsidRPr="00D96B63">
        <w:rPr>
          <w:rFonts w:ascii="Arial" w:hAnsi="Arial" w:cs="Arial"/>
          <w:sz w:val="24"/>
          <w:szCs w:val="24"/>
        </w:rPr>
        <w:t>, thus drawing comparison between William and Alexander the Great</w:t>
      </w:r>
      <w:r w:rsidR="00B12D50" w:rsidRPr="00D96B63">
        <w:rPr>
          <w:rFonts w:ascii="Arial" w:hAnsi="Arial" w:cs="Arial"/>
          <w:sz w:val="24"/>
          <w:szCs w:val="24"/>
        </w:rPr>
        <w:t>.</w:t>
      </w:r>
      <w:r w:rsidR="00DD76DD" w:rsidRPr="00D96B63">
        <w:rPr>
          <w:rStyle w:val="FootnoteReference"/>
          <w:rFonts w:ascii="Arial" w:hAnsi="Arial" w:cs="Arial"/>
          <w:sz w:val="24"/>
          <w:szCs w:val="24"/>
        </w:rPr>
        <w:footnoteReference w:id="5"/>
      </w:r>
      <w:r w:rsidR="00D96B63" w:rsidRPr="00D96B63">
        <w:rPr>
          <w:rFonts w:ascii="Arial" w:hAnsi="Arial" w:cs="Arial"/>
          <w:sz w:val="24"/>
          <w:szCs w:val="24"/>
        </w:rPr>
        <w:t xml:space="preserve"> </w:t>
      </w:r>
    </w:p>
    <w:p w14:paraId="359487F7" w14:textId="3DAC866A" w:rsidR="002E19DB" w:rsidRPr="006F1257" w:rsidRDefault="008A2D19" w:rsidP="00945257">
      <w:pPr>
        <w:spacing w:line="360" w:lineRule="auto"/>
        <w:jc w:val="both"/>
        <w:rPr>
          <w:rFonts w:ascii="Arial" w:hAnsi="Arial" w:cs="Arial"/>
          <w:sz w:val="24"/>
          <w:szCs w:val="24"/>
          <w:lang w:val="en-US"/>
        </w:rPr>
      </w:pPr>
      <w:r>
        <w:rPr>
          <w:rFonts w:ascii="Arial" w:hAnsi="Arial" w:cs="Arial"/>
          <w:sz w:val="24"/>
          <w:szCs w:val="24"/>
        </w:rPr>
        <w:t>The c</w:t>
      </w:r>
      <w:r w:rsidR="002E19DB">
        <w:rPr>
          <w:rFonts w:ascii="Arial" w:hAnsi="Arial" w:cs="Arial"/>
          <w:sz w:val="24"/>
          <w:szCs w:val="24"/>
        </w:rPr>
        <w:t xml:space="preserve">ircumstances </w:t>
      </w:r>
      <w:r>
        <w:rPr>
          <w:rFonts w:ascii="Arial" w:hAnsi="Arial" w:cs="Arial"/>
          <w:sz w:val="24"/>
          <w:szCs w:val="24"/>
        </w:rPr>
        <w:t xml:space="preserve">through which Alexander and Thalestris are noted to have met differ only slightly between sources, with the </w:t>
      </w:r>
      <w:r w:rsidRPr="008A2D19">
        <w:rPr>
          <w:rFonts w:ascii="Arial" w:hAnsi="Arial" w:cs="Arial"/>
          <w:i/>
          <w:iCs/>
          <w:sz w:val="24"/>
          <w:szCs w:val="24"/>
        </w:rPr>
        <w:t>Historia de preliis</w:t>
      </w:r>
      <w:r>
        <w:rPr>
          <w:rFonts w:ascii="Arial" w:hAnsi="Arial" w:cs="Arial"/>
          <w:sz w:val="24"/>
          <w:szCs w:val="24"/>
        </w:rPr>
        <w:t xml:space="preserve"> omitting the event </w:t>
      </w:r>
      <w:r>
        <w:rPr>
          <w:rFonts w:ascii="Arial" w:hAnsi="Arial" w:cs="Arial"/>
          <w:sz w:val="24"/>
          <w:szCs w:val="24"/>
        </w:rPr>
        <w:lastRenderedPageBreak/>
        <w:t xml:space="preserve">completely from </w:t>
      </w:r>
      <w:r w:rsidRPr="008A2D19">
        <w:rPr>
          <w:rFonts w:ascii="Arial" w:hAnsi="Arial" w:cs="Arial"/>
          <w:i/>
          <w:iCs/>
          <w:sz w:val="24"/>
          <w:szCs w:val="24"/>
        </w:rPr>
        <w:t>Alexander Romance</w:t>
      </w:r>
      <w:r>
        <w:rPr>
          <w:rFonts w:ascii="Arial" w:hAnsi="Arial" w:cs="Arial"/>
          <w:sz w:val="24"/>
          <w:szCs w:val="24"/>
        </w:rPr>
        <w:t xml:space="preserve">. Quintus Curtius Rufus </w:t>
      </w:r>
      <w:r w:rsidR="008F30FF">
        <w:rPr>
          <w:rFonts w:ascii="Arial" w:hAnsi="Arial" w:cs="Arial"/>
          <w:sz w:val="24"/>
          <w:szCs w:val="24"/>
        </w:rPr>
        <w:t xml:space="preserve">details that upon reaching the boundaries of </w:t>
      </w:r>
      <w:proofErr w:type="spellStart"/>
      <w:r w:rsidR="008F30FF">
        <w:rPr>
          <w:rFonts w:ascii="Arial" w:hAnsi="Arial" w:cs="Arial"/>
          <w:sz w:val="24"/>
          <w:szCs w:val="24"/>
        </w:rPr>
        <w:t>Hyrcania</w:t>
      </w:r>
      <w:proofErr w:type="spellEnd"/>
      <w:r w:rsidR="008F30FF">
        <w:rPr>
          <w:rFonts w:ascii="Arial" w:hAnsi="Arial" w:cs="Arial"/>
          <w:sz w:val="24"/>
          <w:szCs w:val="24"/>
        </w:rPr>
        <w:t xml:space="preserve">, Thalestris is </w:t>
      </w:r>
      <w:r w:rsidR="0080637C">
        <w:rPr>
          <w:rFonts w:ascii="Arial" w:hAnsi="Arial" w:cs="Arial"/>
          <w:sz w:val="24"/>
          <w:szCs w:val="24"/>
        </w:rPr>
        <w:t>“</w:t>
      </w:r>
      <w:r w:rsidR="008F30FF">
        <w:rPr>
          <w:rFonts w:ascii="Arial" w:hAnsi="Arial" w:cs="Arial"/>
          <w:sz w:val="24"/>
          <w:szCs w:val="24"/>
        </w:rPr>
        <w:t>fired with a desire to visit the king</w:t>
      </w:r>
      <w:r w:rsidR="0080637C">
        <w:rPr>
          <w:rFonts w:ascii="Arial" w:hAnsi="Arial" w:cs="Arial"/>
          <w:sz w:val="24"/>
          <w:szCs w:val="24"/>
        </w:rPr>
        <w:t xml:space="preserve">” </w:t>
      </w:r>
      <w:r w:rsidR="008F30FF">
        <w:rPr>
          <w:rFonts w:ascii="Arial" w:hAnsi="Arial" w:cs="Arial"/>
          <w:sz w:val="24"/>
          <w:szCs w:val="24"/>
        </w:rPr>
        <w:t>and goes to him at once with an escort of Amazons.</w:t>
      </w:r>
      <w:r w:rsidR="008F30FF">
        <w:rPr>
          <w:rStyle w:val="FootnoteReference"/>
          <w:rFonts w:ascii="Arial" w:hAnsi="Arial" w:cs="Arial"/>
          <w:sz w:val="24"/>
          <w:szCs w:val="24"/>
        </w:rPr>
        <w:footnoteReference w:id="6"/>
      </w:r>
      <w:r w:rsidR="008F30FF">
        <w:rPr>
          <w:rFonts w:ascii="Arial" w:hAnsi="Arial" w:cs="Arial"/>
          <w:sz w:val="24"/>
          <w:szCs w:val="24"/>
        </w:rPr>
        <w:t xml:space="preserve"> </w:t>
      </w:r>
      <w:r w:rsidR="008F30FF">
        <w:rPr>
          <w:rFonts w:ascii="Arial" w:hAnsi="Arial" w:cs="Arial"/>
          <w:sz w:val="24"/>
          <w:szCs w:val="24"/>
        </w:rPr>
        <w:t>Daniel Ogden highlights Curtius’ emphasis on Thalestris’ lust for Alexander and it being the reason for their meeting, something that translates also into the work of Walter of Châtillon.</w:t>
      </w:r>
      <w:r w:rsidR="008F30FF">
        <w:rPr>
          <w:rStyle w:val="FootnoteReference"/>
          <w:rFonts w:ascii="Arial" w:hAnsi="Arial" w:cs="Arial"/>
          <w:sz w:val="24"/>
          <w:szCs w:val="24"/>
        </w:rPr>
        <w:footnoteReference w:id="7"/>
      </w:r>
      <w:r w:rsidR="008F30FF">
        <w:rPr>
          <w:rFonts w:ascii="Arial" w:hAnsi="Arial" w:cs="Arial"/>
          <w:sz w:val="24"/>
          <w:szCs w:val="24"/>
        </w:rPr>
        <w:t xml:space="preserve"> </w:t>
      </w:r>
      <w:r w:rsidR="008F30FF">
        <w:rPr>
          <w:rFonts w:ascii="Arial" w:hAnsi="Arial" w:cs="Arial"/>
          <w:sz w:val="24"/>
          <w:szCs w:val="24"/>
        </w:rPr>
        <w:t xml:space="preserve">Walter of Châtillon describes Thalestris’ lust for Alexander as being </w:t>
      </w:r>
      <w:r w:rsidR="0080637C">
        <w:rPr>
          <w:rFonts w:ascii="Arial" w:hAnsi="Arial" w:cs="Arial"/>
          <w:sz w:val="24"/>
          <w:szCs w:val="24"/>
        </w:rPr>
        <w:t>“</w:t>
      </w:r>
      <w:r w:rsidR="008F30FF">
        <w:rPr>
          <w:rFonts w:ascii="Arial" w:hAnsi="Arial" w:cs="Arial"/>
          <w:sz w:val="24"/>
          <w:szCs w:val="24"/>
        </w:rPr>
        <w:t>aflame with her desire to see the king</w:t>
      </w:r>
      <w:r w:rsidR="0080637C">
        <w:rPr>
          <w:rFonts w:ascii="Arial" w:hAnsi="Arial" w:cs="Arial"/>
          <w:sz w:val="24"/>
          <w:szCs w:val="24"/>
        </w:rPr>
        <w:t>”</w:t>
      </w:r>
      <w:r w:rsidR="008F30FF">
        <w:rPr>
          <w:rFonts w:ascii="Arial" w:hAnsi="Arial" w:cs="Arial"/>
          <w:sz w:val="24"/>
          <w:szCs w:val="24"/>
        </w:rPr>
        <w:t>, an almost exact copy of Curtius’ work.</w:t>
      </w:r>
      <w:r w:rsidR="008F30FF" w:rsidRPr="00342837">
        <w:rPr>
          <w:rFonts w:ascii="Arial" w:hAnsi="Arial" w:cs="Arial"/>
          <w:sz w:val="24"/>
          <w:szCs w:val="24"/>
        </w:rPr>
        <w:t xml:space="preserve"> Maura </w:t>
      </w:r>
      <w:r w:rsidRPr="00342837">
        <w:rPr>
          <w:rFonts w:ascii="Arial" w:hAnsi="Arial" w:cs="Arial"/>
          <w:sz w:val="24"/>
          <w:szCs w:val="24"/>
        </w:rPr>
        <w:t>Lafferty notes that the A</w:t>
      </w:r>
      <w:r w:rsidRPr="00342837">
        <w:rPr>
          <w:rFonts w:ascii="Arial" w:hAnsi="Arial" w:cs="Arial"/>
          <w:i/>
          <w:iCs/>
          <w:sz w:val="24"/>
          <w:szCs w:val="24"/>
        </w:rPr>
        <w:t xml:space="preserve">lexandreis </w:t>
      </w:r>
      <w:r w:rsidRPr="00342837">
        <w:rPr>
          <w:rFonts w:ascii="Arial" w:hAnsi="Arial" w:cs="Arial"/>
          <w:sz w:val="24"/>
          <w:szCs w:val="24"/>
        </w:rPr>
        <w:t xml:space="preserve">is notable for </w:t>
      </w:r>
      <w:r w:rsidR="0080637C">
        <w:rPr>
          <w:rFonts w:ascii="Arial" w:hAnsi="Arial" w:cs="Arial"/>
          <w:sz w:val="24"/>
          <w:szCs w:val="24"/>
        </w:rPr>
        <w:t>“</w:t>
      </w:r>
      <w:r w:rsidRPr="00342837">
        <w:rPr>
          <w:rFonts w:ascii="Arial" w:hAnsi="Arial" w:cs="Arial"/>
          <w:sz w:val="24"/>
          <w:szCs w:val="24"/>
        </w:rPr>
        <w:t>intertextual allusion</w:t>
      </w:r>
      <w:r w:rsidR="0080637C">
        <w:rPr>
          <w:rFonts w:ascii="Arial" w:hAnsi="Arial" w:cs="Arial"/>
          <w:sz w:val="24"/>
          <w:szCs w:val="24"/>
        </w:rPr>
        <w:t>”</w:t>
      </w:r>
      <w:r w:rsidRPr="00342837">
        <w:rPr>
          <w:rFonts w:ascii="Arial" w:hAnsi="Arial" w:cs="Arial"/>
          <w:sz w:val="24"/>
          <w:szCs w:val="24"/>
        </w:rPr>
        <w:t xml:space="preserve"> and relies therefore upon his audience’s pre-existing knowledge and iconography of the Middle Ages</w:t>
      </w:r>
      <w:r w:rsidR="008F30FF" w:rsidRPr="00342837">
        <w:rPr>
          <w:rFonts w:ascii="Arial" w:hAnsi="Arial" w:cs="Arial"/>
          <w:sz w:val="24"/>
          <w:szCs w:val="24"/>
        </w:rPr>
        <w:t xml:space="preserve">, </w:t>
      </w:r>
      <w:r w:rsidR="00342837" w:rsidRPr="00342837">
        <w:rPr>
          <w:rFonts w:ascii="Arial" w:hAnsi="Arial" w:cs="Arial"/>
          <w:sz w:val="24"/>
          <w:szCs w:val="24"/>
        </w:rPr>
        <w:t>perhaps giving rise to a shortened and less heavily narrated account.</w:t>
      </w:r>
      <w:r w:rsidRPr="00342837">
        <w:rPr>
          <w:rStyle w:val="FootnoteReference"/>
          <w:rFonts w:ascii="Arial" w:hAnsi="Arial" w:cs="Arial"/>
          <w:sz w:val="24"/>
          <w:szCs w:val="24"/>
        </w:rPr>
        <w:footnoteReference w:id="8"/>
      </w:r>
      <w:r w:rsidRPr="00342837">
        <w:rPr>
          <w:rFonts w:ascii="Arial" w:hAnsi="Arial" w:cs="Arial"/>
          <w:i/>
          <w:iCs/>
          <w:sz w:val="24"/>
          <w:szCs w:val="24"/>
        </w:rPr>
        <w:t xml:space="preserve"> </w:t>
      </w:r>
      <w:r w:rsidR="000A5D27">
        <w:rPr>
          <w:rFonts w:ascii="Arial" w:hAnsi="Arial" w:cs="Arial"/>
          <w:sz w:val="24"/>
          <w:szCs w:val="24"/>
        </w:rPr>
        <w:t>The A</w:t>
      </w:r>
      <w:r w:rsidR="000A5D27">
        <w:rPr>
          <w:rFonts w:ascii="Arial" w:hAnsi="Arial" w:cs="Arial"/>
          <w:i/>
          <w:iCs/>
          <w:sz w:val="24"/>
          <w:szCs w:val="24"/>
        </w:rPr>
        <w:t xml:space="preserve">lexandreis </w:t>
      </w:r>
      <w:r w:rsidR="000A5D27">
        <w:rPr>
          <w:rFonts w:ascii="Arial" w:hAnsi="Arial" w:cs="Arial"/>
          <w:sz w:val="24"/>
          <w:szCs w:val="24"/>
        </w:rPr>
        <w:t xml:space="preserve">adds in addition to her desire for Alexander that Thalestris had </w:t>
      </w:r>
      <w:r w:rsidR="0080637C">
        <w:rPr>
          <w:rFonts w:ascii="Arial" w:hAnsi="Arial" w:cs="Arial"/>
          <w:sz w:val="24"/>
          <w:szCs w:val="24"/>
        </w:rPr>
        <w:t>“</w:t>
      </w:r>
      <w:r w:rsidR="000A5D27">
        <w:rPr>
          <w:rFonts w:ascii="Arial" w:hAnsi="Arial" w:cs="Arial"/>
          <w:sz w:val="24"/>
          <w:szCs w:val="24"/>
        </w:rPr>
        <w:t>come to fill her womb</w:t>
      </w:r>
      <w:r w:rsidR="0080637C">
        <w:rPr>
          <w:rFonts w:ascii="Arial" w:hAnsi="Arial" w:cs="Arial"/>
          <w:sz w:val="24"/>
          <w:szCs w:val="24"/>
        </w:rPr>
        <w:t>”</w:t>
      </w:r>
      <w:r w:rsidR="000A5D27">
        <w:rPr>
          <w:rFonts w:ascii="Arial" w:hAnsi="Arial" w:cs="Arial"/>
          <w:sz w:val="24"/>
          <w:szCs w:val="24"/>
        </w:rPr>
        <w:t>, a detail Curtius focuses on in more depth with a greater understanding of the customs of the Amazons.</w:t>
      </w:r>
      <w:r w:rsidR="000A5D27">
        <w:rPr>
          <w:rStyle w:val="FootnoteReference"/>
          <w:rFonts w:ascii="Arial" w:hAnsi="Arial" w:cs="Arial"/>
          <w:sz w:val="24"/>
          <w:szCs w:val="24"/>
        </w:rPr>
        <w:footnoteReference w:id="9"/>
      </w:r>
      <w:r w:rsidR="000A5D27">
        <w:rPr>
          <w:rFonts w:ascii="Arial" w:hAnsi="Arial" w:cs="Arial"/>
          <w:sz w:val="24"/>
          <w:szCs w:val="24"/>
        </w:rPr>
        <w:t xml:space="preserve"> </w:t>
      </w:r>
      <w:r w:rsidRPr="00342837">
        <w:rPr>
          <w:rFonts w:ascii="Arial" w:hAnsi="Arial" w:cs="Arial"/>
          <w:sz w:val="24"/>
          <w:szCs w:val="24"/>
        </w:rPr>
        <w:t xml:space="preserve">The </w:t>
      </w:r>
      <w:r w:rsidRPr="00342837">
        <w:rPr>
          <w:rFonts w:ascii="Arial" w:hAnsi="Arial" w:cs="Arial"/>
          <w:i/>
          <w:iCs/>
          <w:sz w:val="24"/>
          <w:szCs w:val="24"/>
        </w:rPr>
        <w:t xml:space="preserve">Alexandreis </w:t>
      </w:r>
      <w:r w:rsidRPr="00342837">
        <w:rPr>
          <w:rFonts w:ascii="Arial" w:hAnsi="Arial" w:cs="Arial"/>
          <w:sz w:val="24"/>
          <w:szCs w:val="24"/>
        </w:rPr>
        <w:t xml:space="preserve">is a significant source for understanding the continued reception of the </w:t>
      </w:r>
      <w:r w:rsidRPr="00342837">
        <w:rPr>
          <w:rFonts w:ascii="Arial" w:hAnsi="Arial" w:cs="Arial"/>
          <w:i/>
          <w:iCs/>
          <w:sz w:val="24"/>
          <w:szCs w:val="24"/>
        </w:rPr>
        <w:t>Alexander Romance</w:t>
      </w:r>
      <w:r w:rsidRPr="00342837">
        <w:rPr>
          <w:rFonts w:ascii="Arial" w:hAnsi="Arial" w:cs="Arial"/>
          <w:sz w:val="24"/>
          <w:szCs w:val="24"/>
        </w:rPr>
        <w:t xml:space="preserve"> into the Middle Ages, </w:t>
      </w:r>
      <w:r w:rsidR="00342837" w:rsidRPr="00342837">
        <w:rPr>
          <w:rFonts w:ascii="Arial" w:hAnsi="Arial" w:cs="Arial"/>
          <w:sz w:val="24"/>
          <w:szCs w:val="24"/>
        </w:rPr>
        <w:t xml:space="preserve">however it becomes clear that the continuation of the story of Alexander appears with little </w:t>
      </w:r>
      <w:r w:rsidR="00342837">
        <w:rPr>
          <w:rFonts w:ascii="Arial" w:hAnsi="Arial" w:cs="Arial"/>
          <w:sz w:val="24"/>
          <w:szCs w:val="24"/>
        </w:rPr>
        <w:t xml:space="preserve">evidence of twelfth-century influence. </w:t>
      </w:r>
      <w:r w:rsidR="002E19DB">
        <w:rPr>
          <w:rFonts w:ascii="Arial" w:hAnsi="Arial" w:cs="Arial"/>
          <w:sz w:val="24"/>
          <w:szCs w:val="24"/>
        </w:rPr>
        <w:t xml:space="preserve"> </w:t>
      </w:r>
    </w:p>
    <w:p w14:paraId="68832E67" w14:textId="578EDD1C" w:rsidR="00342837" w:rsidRDefault="002E19DB" w:rsidP="00945257">
      <w:pPr>
        <w:spacing w:line="360" w:lineRule="auto"/>
        <w:jc w:val="both"/>
        <w:rPr>
          <w:rFonts w:ascii="Arial" w:hAnsi="Arial" w:cs="Arial"/>
          <w:sz w:val="24"/>
          <w:szCs w:val="24"/>
        </w:rPr>
      </w:pPr>
      <w:r>
        <w:rPr>
          <w:rFonts w:ascii="Arial" w:hAnsi="Arial" w:cs="Arial"/>
          <w:sz w:val="24"/>
          <w:szCs w:val="24"/>
        </w:rPr>
        <w:t xml:space="preserve">Furthermore, Walter of Châtillon’s </w:t>
      </w:r>
      <w:r>
        <w:rPr>
          <w:rFonts w:ascii="Arial" w:hAnsi="Arial" w:cs="Arial"/>
          <w:i/>
          <w:iCs/>
          <w:sz w:val="24"/>
          <w:szCs w:val="24"/>
        </w:rPr>
        <w:t xml:space="preserve">Alexandreis </w:t>
      </w:r>
      <w:r>
        <w:rPr>
          <w:rFonts w:ascii="Arial" w:hAnsi="Arial" w:cs="Arial"/>
          <w:sz w:val="24"/>
          <w:szCs w:val="24"/>
        </w:rPr>
        <w:t xml:space="preserve">follows closely the account of Alexander and Thalestris’ meeting as </w:t>
      </w:r>
      <w:r w:rsidR="006F1257">
        <w:rPr>
          <w:rFonts w:ascii="Arial" w:hAnsi="Arial" w:cs="Arial"/>
          <w:sz w:val="24"/>
          <w:szCs w:val="24"/>
        </w:rPr>
        <w:t>found</w:t>
      </w:r>
      <w:r>
        <w:rPr>
          <w:rFonts w:ascii="Arial" w:hAnsi="Arial" w:cs="Arial"/>
          <w:sz w:val="24"/>
          <w:szCs w:val="24"/>
        </w:rPr>
        <w:t xml:space="preserve"> in the work of </w:t>
      </w:r>
      <w:r w:rsidR="006F1257">
        <w:rPr>
          <w:rFonts w:ascii="Arial" w:hAnsi="Arial" w:cs="Arial"/>
          <w:sz w:val="24"/>
          <w:szCs w:val="24"/>
        </w:rPr>
        <w:t xml:space="preserve">Quintus </w:t>
      </w:r>
      <w:r>
        <w:rPr>
          <w:rFonts w:ascii="Arial" w:hAnsi="Arial" w:cs="Arial"/>
          <w:sz w:val="24"/>
          <w:szCs w:val="24"/>
        </w:rPr>
        <w:t xml:space="preserve">Curtius Rufus. </w:t>
      </w:r>
      <w:r w:rsidR="00366525">
        <w:rPr>
          <w:rFonts w:ascii="Arial" w:hAnsi="Arial" w:cs="Arial"/>
          <w:sz w:val="24"/>
          <w:szCs w:val="24"/>
        </w:rPr>
        <w:t xml:space="preserve">Curtius </w:t>
      </w:r>
      <w:r w:rsidR="00366525">
        <w:rPr>
          <w:rFonts w:ascii="Arial" w:hAnsi="Arial" w:cs="Arial"/>
          <w:sz w:val="24"/>
          <w:szCs w:val="24"/>
        </w:rPr>
        <w:t xml:space="preserve">describes that </w:t>
      </w:r>
      <w:r w:rsidR="0080637C">
        <w:rPr>
          <w:rFonts w:ascii="Arial" w:hAnsi="Arial" w:cs="Arial"/>
          <w:sz w:val="24"/>
          <w:szCs w:val="24"/>
        </w:rPr>
        <w:t>“</w:t>
      </w:r>
      <w:r w:rsidR="00366525">
        <w:rPr>
          <w:rFonts w:ascii="Arial" w:hAnsi="Arial" w:cs="Arial"/>
          <w:sz w:val="24"/>
          <w:szCs w:val="24"/>
        </w:rPr>
        <w:t>with fearless expression Thalestris gazed at the king, carefully surveying his person which did not by any means correspond to the fame of his exploits</w:t>
      </w:r>
      <w:r w:rsidR="00555334">
        <w:rPr>
          <w:rFonts w:ascii="Arial" w:hAnsi="Arial" w:cs="Arial"/>
          <w:sz w:val="24"/>
          <w:szCs w:val="24"/>
        </w:rPr>
        <w:t>.</w:t>
      </w:r>
      <w:r w:rsidR="0080637C">
        <w:rPr>
          <w:rFonts w:ascii="Arial" w:hAnsi="Arial" w:cs="Arial"/>
          <w:sz w:val="24"/>
          <w:szCs w:val="24"/>
        </w:rPr>
        <w:t>”</w:t>
      </w:r>
      <w:r w:rsidR="00555334">
        <w:rPr>
          <w:rStyle w:val="FootnoteReference"/>
          <w:rFonts w:ascii="Arial" w:hAnsi="Arial" w:cs="Arial"/>
          <w:sz w:val="24"/>
          <w:szCs w:val="24"/>
        </w:rPr>
        <w:footnoteReference w:id="10"/>
      </w:r>
      <w:r w:rsidR="00555334">
        <w:rPr>
          <w:rFonts w:ascii="Arial" w:hAnsi="Arial" w:cs="Arial"/>
          <w:sz w:val="24"/>
          <w:szCs w:val="24"/>
        </w:rPr>
        <w:t xml:space="preserve"> </w:t>
      </w:r>
      <w:r w:rsidR="00E61419">
        <w:rPr>
          <w:rFonts w:ascii="Arial" w:hAnsi="Arial" w:cs="Arial"/>
          <w:sz w:val="24"/>
          <w:szCs w:val="24"/>
        </w:rPr>
        <w:t xml:space="preserve">The description of Thalestris’ initial reaction to Alexander is virtually identical </w:t>
      </w:r>
      <w:r w:rsidR="00D359F7">
        <w:rPr>
          <w:rFonts w:ascii="Arial" w:hAnsi="Arial" w:cs="Arial"/>
          <w:sz w:val="24"/>
          <w:szCs w:val="24"/>
        </w:rPr>
        <w:t xml:space="preserve">in both </w:t>
      </w:r>
      <w:r w:rsidR="00E61419">
        <w:rPr>
          <w:rFonts w:ascii="Arial" w:hAnsi="Arial" w:cs="Arial"/>
          <w:sz w:val="24"/>
          <w:szCs w:val="24"/>
        </w:rPr>
        <w:t>Walter of Châtillon and Curtius Rufus</w:t>
      </w:r>
      <w:r w:rsidR="00A93B98">
        <w:rPr>
          <w:rFonts w:ascii="Arial" w:hAnsi="Arial" w:cs="Arial"/>
          <w:sz w:val="24"/>
          <w:szCs w:val="24"/>
        </w:rPr>
        <w:t xml:space="preserve">, </w:t>
      </w:r>
      <w:r w:rsidR="00D359F7">
        <w:rPr>
          <w:rFonts w:ascii="Arial" w:hAnsi="Arial" w:cs="Arial"/>
          <w:sz w:val="24"/>
          <w:szCs w:val="24"/>
        </w:rPr>
        <w:t xml:space="preserve">however not being entirely prominent within the </w:t>
      </w:r>
      <w:r w:rsidR="00D359F7">
        <w:rPr>
          <w:rFonts w:ascii="Arial" w:hAnsi="Arial" w:cs="Arial"/>
          <w:i/>
          <w:iCs/>
          <w:sz w:val="24"/>
          <w:szCs w:val="24"/>
        </w:rPr>
        <w:t>Historia de preliis</w:t>
      </w:r>
      <w:r w:rsidR="00BD7947">
        <w:rPr>
          <w:rFonts w:ascii="Arial" w:hAnsi="Arial" w:cs="Arial"/>
          <w:sz w:val="24"/>
          <w:szCs w:val="24"/>
        </w:rPr>
        <w:t xml:space="preserve">. </w:t>
      </w:r>
      <w:r w:rsidR="00342837">
        <w:rPr>
          <w:rFonts w:ascii="Arial" w:hAnsi="Arial" w:cs="Arial"/>
          <w:sz w:val="24"/>
          <w:szCs w:val="24"/>
        </w:rPr>
        <w:t xml:space="preserve">Walter </w:t>
      </w:r>
      <w:r w:rsidR="00555334">
        <w:rPr>
          <w:rFonts w:ascii="Arial" w:hAnsi="Arial" w:cs="Arial"/>
          <w:sz w:val="24"/>
          <w:szCs w:val="24"/>
        </w:rPr>
        <w:t xml:space="preserve">of Châtillon writes that </w:t>
      </w:r>
      <w:r w:rsidR="0080637C">
        <w:rPr>
          <w:rFonts w:ascii="Arial" w:hAnsi="Arial" w:cs="Arial"/>
          <w:sz w:val="24"/>
          <w:szCs w:val="24"/>
        </w:rPr>
        <w:t>“</w:t>
      </w:r>
      <w:r w:rsidR="00342837">
        <w:rPr>
          <w:rFonts w:ascii="Arial" w:hAnsi="Arial" w:cs="Arial"/>
          <w:sz w:val="24"/>
          <w:szCs w:val="24"/>
        </w:rPr>
        <w:t>Talestris marvelled that his meagre body / ill fit his frame, and silently she pondered / where the great virtue of the unvanquished prince / might lie concealed</w:t>
      </w:r>
      <w:r w:rsidR="00555334">
        <w:rPr>
          <w:rFonts w:ascii="Arial" w:hAnsi="Arial" w:cs="Arial"/>
          <w:sz w:val="24"/>
          <w:szCs w:val="24"/>
        </w:rPr>
        <w:t>.</w:t>
      </w:r>
      <w:r w:rsidR="0080637C">
        <w:rPr>
          <w:rFonts w:ascii="Arial" w:hAnsi="Arial" w:cs="Arial"/>
          <w:sz w:val="24"/>
          <w:szCs w:val="24"/>
        </w:rPr>
        <w:t>”</w:t>
      </w:r>
      <w:r w:rsidR="00555334">
        <w:rPr>
          <w:rStyle w:val="FootnoteReference"/>
          <w:rFonts w:ascii="Arial" w:hAnsi="Arial" w:cs="Arial"/>
          <w:sz w:val="24"/>
          <w:szCs w:val="24"/>
        </w:rPr>
        <w:footnoteReference w:id="11"/>
      </w:r>
      <w:r w:rsidR="00555334">
        <w:rPr>
          <w:rFonts w:ascii="Arial" w:hAnsi="Arial" w:cs="Arial"/>
          <w:sz w:val="24"/>
          <w:szCs w:val="24"/>
        </w:rPr>
        <w:t xml:space="preserve"> Both narratives then continue to highlight that Thalestris spends thirteen days with Alexander before returning home, it seems worthy of note that </w:t>
      </w:r>
      <w:r w:rsidR="005E0153">
        <w:rPr>
          <w:rFonts w:ascii="Arial" w:hAnsi="Arial" w:cs="Arial"/>
          <w:sz w:val="24"/>
          <w:szCs w:val="24"/>
        </w:rPr>
        <w:t xml:space="preserve">despite Curtius presenting the meeting between Alexander and Thalestris as somewhat of an arrangement for the production </w:t>
      </w:r>
      <w:r w:rsidR="005E0153">
        <w:rPr>
          <w:rFonts w:ascii="Arial" w:hAnsi="Arial" w:cs="Arial"/>
          <w:sz w:val="24"/>
          <w:szCs w:val="24"/>
        </w:rPr>
        <w:lastRenderedPageBreak/>
        <w:t xml:space="preserve">of an heir, the romantic tone of the narrative is undeniable. Maura Lafferty notes that this </w:t>
      </w:r>
      <w:proofErr w:type="gramStart"/>
      <w:r w:rsidR="005E0153">
        <w:rPr>
          <w:rFonts w:ascii="Arial" w:hAnsi="Arial" w:cs="Arial"/>
          <w:sz w:val="24"/>
          <w:szCs w:val="24"/>
        </w:rPr>
        <w:t>particular scene</w:t>
      </w:r>
      <w:proofErr w:type="gramEnd"/>
      <w:r w:rsidR="005E0153">
        <w:rPr>
          <w:rFonts w:ascii="Arial" w:hAnsi="Arial" w:cs="Arial"/>
          <w:sz w:val="24"/>
          <w:szCs w:val="24"/>
        </w:rPr>
        <w:t xml:space="preserve"> is likely to have been intended to be </w:t>
      </w:r>
      <w:r w:rsidR="002B3F67">
        <w:rPr>
          <w:rFonts w:ascii="Arial" w:hAnsi="Arial" w:cs="Arial"/>
          <w:sz w:val="24"/>
          <w:szCs w:val="24"/>
        </w:rPr>
        <w:t>humorous and</w:t>
      </w:r>
      <w:r w:rsidR="005E0153">
        <w:rPr>
          <w:rFonts w:ascii="Arial" w:hAnsi="Arial" w:cs="Arial"/>
          <w:sz w:val="24"/>
          <w:szCs w:val="24"/>
        </w:rPr>
        <w:t xml:space="preserve"> suggest that both Curtius and Walter of Châtillon were not writing solely for the purpose of historical narrative.</w:t>
      </w:r>
      <w:r w:rsidR="005E0153">
        <w:rPr>
          <w:rStyle w:val="FootnoteReference"/>
          <w:rFonts w:ascii="Arial" w:hAnsi="Arial" w:cs="Arial"/>
          <w:sz w:val="24"/>
          <w:szCs w:val="24"/>
        </w:rPr>
        <w:footnoteReference w:id="12"/>
      </w:r>
    </w:p>
    <w:p w14:paraId="1167759F" w14:textId="37A26778" w:rsidR="002E19DB" w:rsidRDefault="00006557" w:rsidP="00945257">
      <w:pPr>
        <w:spacing w:line="360" w:lineRule="auto"/>
        <w:jc w:val="both"/>
        <w:rPr>
          <w:rFonts w:ascii="Arial" w:hAnsi="Arial" w:cs="Arial"/>
          <w:sz w:val="24"/>
          <w:szCs w:val="24"/>
        </w:rPr>
      </w:pPr>
      <w:r w:rsidRPr="006B4494">
        <w:rPr>
          <w:rFonts w:ascii="Arial" w:hAnsi="Arial" w:cs="Arial"/>
          <w:sz w:val="24"/>
          <w:szCs w:val="24"/>
        </w:rPr>
        <w:t>In contrast to the above-mentioned literary sources detailing the encounter between Alexander and Thalestris, the</w:t>
      </w:r>
      <w:r w:rsidR="006B4494">
        <w:rPr>
          <w:rFonts w:ascii="Arial" w:hAnsi="Arial" w:cs="Arial"/>
          <w:sz w:val="24"/>
          <w:szCs w:val="24"/>
        </w:rPr>
        <w:t xml:space="preserve"> tenth-century work</w:t>
      </w:r>
      <w:r w:rsidRPr="006B4494">
        <w:rPr>
          <w:rFonts w:ascii="Arial" w:hAnsi="Arial" w:cs="Arial"/>
          <w:sz w:val="24"/>
          <w:szCs w:val="24"/>
        </w:rPr>
        <w:t xml:space="preserve"> </w:t>
      </w:r>
      <w:r w:rsidRPr="006B4494">
        <w:rPr>
          <w:rFonts w:ascii="Arial" w:hAnsi="Arial" w:cs="Arial"/>
          <w:i/>
          <w:iCs/>
          <w:sz w:val="24"/>
          <w:szCs w:val="24"/>
        </w:rPr>
        <w:t xml:space="preserve">Historia de preliis </w:t>
      </w:r>
      <w:r w:rsidR="006B4494">
        <w:rPr>
          <w:rFonts w:ascii="Arial" w:hAnsi="Arial" w:cs="Arial"/>
          <w:sz w:val="24"/>
          <w:szCs w:val="24"/>
        </w:rPr>
        <w:t>by Leo of Naples</w:t>
      </w:r>
      <w:r w:rsidRPr="006B4494">
        <w:rPr>
          <w:rFonts w:ascii="Arial" w:hAnsi="Arial" w:cs="Arial"/>
          <w:sz w:val="24"/>
          <w:szCs w:val="24"/>
        </w:rPr>
        <w:t xml:space="preserve"> disproves their meeting entirely, instead detailing the interaction between Alexander and Thalestris through letters. The circumstances under which Alexander and Thalestris correspond differ greatly from the </w:t>
      </w:r>
      <w:r w:rsidR="0080637C">
        <w:rPr>
          <w:rFonts w:ascii="Arial" w:hAnsi="Arial" w:cs="Arial"/>
          <w:sz w:val="24"/>
          <w:szCs w:val="24"/>
        </w:rPr>
        <w:t>“</w:t>
      </w:r>
      <w:r w:rsidRPr="006B4494">
        <w:rPr>
          <w:rFonts w:ascii="Arial" w:hAnsi="Arial" w:cs="Arial"/>
          <w:sz w:val="24"/>
          <w:szCs w:val="24"/>
        </w:rPr>
        <w:t>burning desire</w:t>
      </w:r>
      <w:r w:rsidR="0080637C">
        <w:rPr>
          <w:rFonts w:ascii="Arial" w:hAnsi="Arial" w:cs="Arial"/>
          <w:sz w:val="24"/>
          <w:szCs w:val="24"/>
        </w:rPr>
        <w:t>”</w:t>
      </w:r>
      <w:r w:rsidRPr="006B4494">
        <w:rPr>
          <w:rFonts w:ascii="Arial" w:hAnsi="Arial" w:cs="Arial"/>
          <w:sz w:val="24"/>
          <w:szCs w:val="24"/>
        </w:rPr>
        <w:t xml:space="preserve"> featured in Walter of Châtillon and Quintus Curtius Rufus. The </w:t>
      </w:r>
      <w:r w:rsidRPr="006B4494">
        <w:rPr>
          <w:rFonts w:ascii="Arial" w:hAnsi="Arial" w:cs="Arial"/>
          <w:i/>
          <w:iCs/>
          <w:sz w:val="24"/>
          <w:szCs w:val="24"/>
        </w:rPr>
        <w:t xml:space="preserve">Historia de preliis </w:t>
      </w:r>
      <w:r w:rsidRPr="006B4494">
        <w:rPr>
          <w:rFonts w:ascii="Arial" w:hAnsi="Arial" w:cs="Arial"/>
          <w:sz w:val="24"/>
          <w:szCs w:val="24"/>
        </w:rPr>
        <w:t xml:space="preserve">seemingly suggests that Alexander had threatened Thalestris </w:t>
      </w:r>
      <w:r w:rsidR="00344AC7" w:rsidRPr="006B4494">
        <w:rPr>
          <w:rFonts w:ascii="Arial" w:hAnsi="Arial" w:cs="Arial"/>
          <w:sz w:val="24"/>
          <w:szCs w:val="24"/>
        </w:rPr>
        <w:t xml:space="preserve">into submitting to his authority, </w:t>
      </w:r>
      <w:r w:rsidR="0080637C">
        <w:rPr>
          <w:rFonts w:ascii="Arial" w:hAnsi="Arial" w:cs="Arial"/>
          <w:sz w:val="24"/>
          <w:szCs w:val="24"/>
        </w:rPr>
        <w:t>“I</w:t>
      </w:r>
      <w:r w:rsidRPr="006B4494">
        <w:rPr>
          <w:rFonts w:ascii="Arial" w:hAnsi="Arial" w:cs="Arial"/>
          <w:sz w:val="24"/>
          <w:szCs w:val="24"/>
        </w:rPr>
        <w:t xml:space="preserve"> command you to pay me tribute if you do not wish me to come against you and inflict some harm upon you</w:t>
      </w:r>
      <w:r w:rsidR="00344AC7" w:rsidRPr="006B4494">
        <w:rPr>
          <w:rFonts w:ascii="Arial" w:hAnsi="Arial" w:cs="Arial"/>
          <w:sz w:val="24"/>
          <w:szCs w:val="24"/>
        </w:rPr>
        <w:t>.</w:t>
      </w:r>
      <w:r w:rsidR="0080637C">
        <w:rPr>
          <w:rFonts w:ascii="Arial" w:hAnsi="Arial" w:cs="Arial"/>
          <w:sz w:val="24"/>
          <w:szCs w:val="24"/>
        </w:rPr>
        <w:t>”</w:t>
      </w:r>
      <w:r w:rsidRPr="006B4494">
        <w:rPr>
          <w:rStyle w:val="FootnoteReference"/>
          <w:rFonts w:ascii="Arial" w:hAnsi="Arial" w:cs="Arial"/>
          <w:sz w:val="24"/>
          <w:szCs w:val="24"/>
        </w:rPr>
        <w:footnoteReference w:id="13"/>
      </w:r>
      <w:r w:rsidR="008E5579" w:rsidRPr="006B4494">
        <w:rPr>
          <w:rFonts w:ascii="Arial" w:hAnsi="Arial" w:cs="Arial"/>
          <w:sz w:val="24"/>
          <w:szCs w:val="24"/>
        </w:rPr>
        <w:t xml:space="preserve"> </w:t>
      </w:r>
      <w:r w:rsidR="00344AC7" w:rsidRPr="006B4494">
        <w:rPr>
          <w:rFonts w:ascii="Arial" w:hAnsi="Arial" w:cs="Arial"/>
          <w:sz w:val="24"/>
          <w:szCs w:val="24"/>
        </w:rPr>
        <w:t xml:space="preserve">Throughout the series of letters exchanged between Alexander and Thalestris, there is very little to indicate the two </w:t>
      </w:r>
      <w:r w:rsidR="00872847" w:rsidRPr="006B4494">
        <w:rPr>
          <w:rFonts w:ascii="Arial" w:hAnsi="Arial" w:cs="Arial"/>
          <w:sz w:val="24"/>
          <w:szCs w:val="24"/>
        </w:rPr>
        <w:t xml:space="preserve">actually met one another, and it does differentiate greatly from the above mentioned sources. </w:t>
      </w:r>
      <w:r w:rsidR="006B4494">
        <w:rPr>
          <w:rFonts w:ascii="Arial" w:hAnsi="Arial" w:cs="Arial"/>
          <w:sz w:val="24"/>
          <w:szCs w:val="24"/>
        </w:rPr>
        <w:t xml:space="preserve">When consulting the above works as part of the </w:t>
      </w:r>
      <w:r w:rsidR="006B4494">
        <w:rPr>
          <w:rFonts w:ascii="Arial" w:hAnsi="Arial" w:cs="Arial"/>
          <w:i/>
          <w:iCs/>
          <w:sz w:val="24"/>
          <w:szCs w:val="24"/>
        </w:rPr>
        <w:t>Alexander Romance</w:t>
      </w:r>
      <w:r w:rsidR="006B4494">
        <w:rPr>
          <w:rFonts w:ascii="Arial" w:hAnsi="Arial" w:cs="Arial"/>
          <w:sz w:val="24"/>
          <w:szCs w:val="24"/>
        </w:rPr>
        <w:t xml:space="preserve"> tradition, the </w:t>
      </w:r>
      <w:r w:rsidR="00DD4B09">
        <w:rPr>
          <w:rFonts w:ascii="Arial" w:hAnsi="Arial" w:cs="Arial"/>
          <w:i/>
          <w:iCs/>
          <w:sz w:val="24"/>
          <w:szCs w:val="24"/>
        </w:rPr>
        <w:t>H</w:t>
      </w:r>
      <w:r w:rsidR="006B4494">
        <w:rPr>
          <w:rFonts w:ascii="Arial" w:hAnsi="Arial" w:cs="Arial"/>
          <w:i/>
          <w:iCs/>
          <w:sz w:val="24"/>
          <w:szCs w:val="24"/>
        </w:rPr>
        <w:t xml:space="preserve">istoria de preliis </w:t>
      </w:r>
      <w:r w:rsidR="006B4494">
        <w:rPr>
          <w:rFonts w:ascii="Arial" w:hAnsi="Arial" w:cs="Arial"/>
          <w:sz w:val="24"/>
          <w:szCs w:val="24"/>
        </w:rPr>
        <w:t xml:space="preserve">does not seem romantic in conjunction with contemporary conventions of romantic literature. </w:t>
      </w:r>
      <w:r w:rsidR="00872847" w:rsidRPr="006B4494">
        <w:rPr>
          <w:rFonts w:ascii="Arial" w:hAnsi="Arial" w:cs="Arial"/>
          <w:sz w:val="24"/>
          <w:szCs w:val="24"/>
        </w:rPr>
        <w:t xml:space="preserve">It cannot be assumed that the period in which literary sources are composed would affect scepticism surrounding Alexander’s meeting with Thalestris, </w:t>
      </w:r>
      <w:r w:rsidR="006B4494" w:rsidRPr="006B4494">
        <w:rPr>
          <w:rFonts w:ascii="Arial" w:hAnsi="Arial" w:cs="Arial"/>
          <w:sz w:val="24"/>
          <w:szCs w:val="24"/>
        </w:rPr>
        <w:t>considering Walter of Ch</w:t>
      </w:r>
      <w:r w:rsidR="002E19DB">
        <w:rPr>
          <w:rFonts w:ascii="Arial" w:hAnsi="Arial" w:cs="Arial"/>
          <w:sz w:val="24"/>
          <w:szCs w:val="24"/>
        </w:rPr>
        <w:t>â</w:t>
      </w:r>
      <w:r w:rsidR="006B4494" w:rsidRPr="006B4494">
        <w:rPr>
          <w:rFonts w:ascii="Arial" w:hAnsi="Arial" w:cs="Arial"/>
          <w:sz w:val="24"/>
          <w:szCs w:val="24"/>
        </w:rPr>
        <w:t xml:space="preserve">tillon’s </w:t>
      </w:r>
      <w:r w:rsidR="006B4494" w:rsidRPr="006B4494">
        <w:rPr>
          <w:rFonts w:ascii="Arial" w:hAnsi="Arial" w:cs="Arial"/>
          <w:i/>
          <w:iCs/>
          <w:sz w:val="24"/>
          <w:szCs w:val="24"/>
        </w:rPr>
        <w:t>Alexandreis w</w:t>
      </w:r>
      <w:r w:rsidR="006B4494" w:rsidRPr="006B4494">
        <w:rPr>
          <w:rFonts w:ascii="Arial" w:hAnsi="Arial" w:cs="Arial"/>
          <w:sz w:val="24"/>
          <w:szCs w:val="24"/>
        </w:rPr>
        <w:t xml:space="preserve">as composed two centuries later. </w:t>
      </w:r>
    </w:p>
    <w:p w14:paraId="129B373E" w14:textId="5E06AFB4" w:rsidR="00634817" w:rsidRDefault="00634817" w:rsidP="00945257">
      <w:pPr>
        <w:spacing w:line="360" w:lineRule="auto"/>
        <w:jc w:val="both"/>
        <w:rPr>
          <w:rFonts w:ascii="Arial" w:hAnsi="Arial" w:cs="Arial"/>
          <w:sz w:val="24"/>
          <w:szCs w:val="24"/>
        </w:rPr>
      </w:pPr>
      <w:r>
        <w:rPr>
          <w:rFonts w:ascii="Arial" w:hAnsi="Arial" w:cs="Arial"/>
          <w:sz w:val="24"/>
          <w:szCs w:val="24"/>
        </w:rPr>
        <w:t xml:space="preserve">When considering the differences between the sources, it becomes clear that the author’s purpose for writing impacts the description of Alexander and Thalestris’ meeting, or lack thereof. Quintus Curtius Rufus presents his work as a historical narrative, suggesting therefore that he would intend to include as much historical information as possible, further explaining the depth through which Thalestris and the Amazons are described. In addition to this, Walter of Châtillon was writing under theological influence and </w:t>
      </w:r>
      <w:r w:rsidR="00BD36CD">
        <w:rPr>
          <w:rFonts w:ascii="Arial" w:hAnsi="Arial" w:cs="Arial"/>
          <w:sz w:val="24"/>
          <w:szCs w:val="24"/>
        </w:rPr>
        <w:t xml:space="preserve">is likely to have weaved Curtius’ historical narrative with his own theological compositions. As mentioned above, the differences between the sources are not simply identifiable in relation to their time period. </w:t>
      </w:r>
    </w:p>
    <w:p w14:paraId="7F9C839A" w14:textId="5658C889" w:rsidR="00945257" w:rsidRDefault="00945257" w:rsidP="00945257">
      <w:pPr>
        <w:spacing w:line="360" w:lineRule="auto"/>
        <w:jc w:val="both"/>
        <w:rPr>
          <w:rFonts w:ascii="Arial" w:hAnsi="Arial" w:cs="Arial"/>
          <w:b/>
          <w:bCs/>
          <w:sz w:val="24"/>
          <w:szCs w:val="24"/>
        </w:rPr>
      </w:pPr>
      <w:r>
        <w:rPr>
          <w:rFonts w:ascii="Arial" w:hAnsi="Arial" w:cs="Arial"/>
          <w:b/>
          <w:bCs/>
          <w:sz w:val="24"/>
          <w:szCs w:val="24"/>
        </w:rPr>
        <w:lastRenderedPageBreak/>
        <w:t xml:space="preserve">Bibliography </w:t>
      </w:r>
    </w:p>
    <w:p w14:paraId="27121B98" w14:textId="5AA31898" w:rsidR="00945257" w:rsidRDefault="00945257" w:rsidP="00F4658D">
      <w:pPr>
        <w:spacing w:line="360" w:lineRule="auto"/>
        <w:jc w:val="both"/>
        <w:rPr>
          <w:rFonts w:ascii="Arial" w:hAnsi="Arial" w:cs="Arial"/>
          <w:b/>
          <w:bCs/>
          <w:sz w:val="24"/>
          <w:szCs w:val="24"/>
        </w:rPr>
      </w:pPr>
      <w:r>
        <w:rPr>
          <w:rFonts w:ascii="Arial" w:hAnsi="Arial" w:cs="Arial"/>
          <w:b/>
          <w:bCs/>
          <w:sz w:val="24"/>
          <w:szCs w:val="24"/>
        </w:rPr>
        <w:t xml:space="preserve">Primary Sources </w:t>
      </w:r>
    </w:p>
    <w:p w14:paraId="035048B3" w14:textId="77777777" w:rsidR="00F4658D" w:rsidRPr="00945257" w:rsidRDefault="009E6376" w:rsidP="00F4658D">
      <w:pPr>
        <w:pStyle w:val="FootnoteText"/>
        <w:spacing w:after="240" w:line="360" w:lineRule="auto"/>
        <w:rPr>
          <w:rFonts w:ascii="Arial" w:hAnsi="Arial" w:cs="Arial"/>
          <w:lang w:val="en-US"/>
        </w:rPr>
      </w:pPr>
      <w:r w:rsidRPr="009E6376">
        <w:rPr>
          <w:rFonts w:ascii="Arial" w:hAnsi="Arial" w:cs="Arial"/>
          <w:sz w:val="24"/>
          <w:szCs w:val="24"/>
        </w:rPr>
        <w:t>Walter of Châtillon</w:t>
      </w:r>
      <w:r w:rsidR="00A109A4">
        <w:rPr>
          <w:rFonts w:ascii="Arial" w:hAnsi="Arial" w:cs="Arial"/>
          <w:sz w:val="24"/>
          <w:szCs w:val="24"/>
        </w:rPr>
        <w:t>,</w:t>
      </w:r>
      <w:r>
        <w:rPr>
          <w:rFonts w:ascii="Arial" w:hAnsi="Arial" w:cs="Arial"/>
          <w:sz w:val="24"/>
          <w:szCs w:val="24"/>
        </w:rPr>
        <w:t xml:space="preserve"> </w:t>
      </w:r>
      <w:r w:rsidR="00F4658D">
        <w:rPr>
          <w:rFonts w:ascii="Arial" w:hAnsi="Arial" w:cs="Arial"/>
          <w:i/>
          <w:iCs/>
          <w:sz w:val="24"/>
          <w:szCs w:val="24"/>
        </w:rPr>
        <w:t xml:space="preserve">Alexandreis. </w:t>
      </w:r>
      <w:r w:rsidR="00F4658D">
        <w:rPr>
          <w:rFonts w:ascii="Arial" w:hAnsi="Arial" w:cs="Arial"/>
          <w:sz w:val="24"/>
          <w:szCs w:val="24"/>
        </w:rPr>
        <w:t xml:space="preserve">Townsend, David. (Trans.) </w:t>
      </w:r>
      <w:r w:rsidR="00F4658D" w:rsidRPr="00F4658D">
        <w:rPr>
          <w:rFonts w:ascii="Arial" w:hAnsi="Arial" w:cs="Arial"/>
          <w:i/>
          <w:iCs/>
          <w:sz w:val="24"/>
          <w:szCs w:val="24"/>
        </w:rPr>
        <w:t xml:space="preserve">The Alexandreis of Walter of </w:t>
      </w:r>
      <w:proofErr w:type="spellStart"/>
      <w:proofErr w:type="gramStart"/>
      <w:r w:rsidR="00F4658D" w:rsidRPr="00F4658D">
        <w:rPr>
          <w:rFonts w:ascii="Arial" w:hAnsi="Arial" w:cs="Arial"/>
          <w:i/>
          <w:iCs/>
          <w:sz w:val="24"/>
          <w:szCs w:val="24"/>
        </w:rPr>
        <w:t>Chatilon</w:t>
      </w:r>
      <w:proofErr w:type="spellEnd"/>
      <w:r w:rsidR="00F4658D" w:rsidRPr="00F4658D">
        <w:rPr>
          <w:rFonts w:ascii="Arial" w:hAnsi="Arial" w:cs="Arial"/>
          <w:i/>
          <w:iCs/>
          <w:sz w:val="24"/>
          <w:szCs w:val="24"/>
        </w:rPr>
        <w:t xml:space="preserve"> :</w:t>
      </w:r>
      <w:proofErr w:type="gramEnd"/>
      <w:r w:rsidR="00F4658D" w:rsidRPr="00F4658D">
        <w:rPr>
          <w:rFonts w:ascii="Arial" w:hAnsi="Arial" w:cs="Arial"/>
          <w:i/>
          <w:iCs/>
          <w:sz w:val="24"/>
          <w:szCs w:val="24"/>
        </w:rPr>
        <w:t xml:space="preserve"> A Twelfth-Century Epic</w:t>
      </w:r>
      <w:r w:rsidR="00F4658D">
        <w:rPr>
          <w:rFonts w:ascii="Arial" w:hAnsi="Arial" w:cs="Arial"/>
          <w:sz w:val="24"/>
          <w:szCs w:val="24"/>
        </w:rPr>
        <w:t>. (1996). University of Pennsylvania Press</w:t>
      </w:r>
      <w:r w:rsidR="00F4658D" w:rsidRPr="00F4658D">
        <w:rPr>
          <w:rFonts w:ascii="Arial" w:hAnsi="Arial" w:cs="Arial"/>
          <w:sz w:val="24"/>
          <w:szCs w:val="24"/>
        </w:rPr>
        <w:t xml:space="preserve">. </w:t>
      </w:r>
      <w:r w:rsidR="00F4658D" w:rsidRPr="00F4658D">
        <w:rPr>
          <w:rFonts w:ascii="Arial" w:hAnsi="Arial" w:cs="Arial"/>
          <w:sz w:val="24"/>
          <w:szCs w:val="24"/>
          <w:lang w:val="en-US"/>
        </w:rPr>
        <w:t>8.1-48.</w:t>
      </w:r>
    </w:p>
    <w:p w14:paraId="16AFCF7D" w14:textId="30E07001" w:rsidR="009E6376" w:rsidRDefault="00A109A4" w:rsidP="00B66F3B">
      <w:pPr>
        <w:spacing w:line="360" w:lineRule="auto"/>
        <w:rPr>
          <w:rFonts w:ascii="Arial" w:hAnsi="Arial" w:cs="Arial"/>
          <w:sz w:val="24"/>
          <w:szCs w:val="24"/>
        </w:rPr>
      </w:pPr>
      <w:r w:rsidRPr="00A109A4">
        <w:rPr>
          <w:rFonts w:ascii="Arial" w:hAnsi="Arial" w:cs="Arial"/>
          <w:sz w:val="24"/>
          <w:szCs w:val="24"/>
        </w:rPr>
        <w:t>Quintus Curtius Rufus</w:t>
      </w:r>
      <w:r>
        <w:rPr>
          <w:rFonts w:ascii="Arial" w:hAnsi="Arial" w:cs="Arial"/>
          <w:sz w:val="24"/>
          <w:szCs w:val="24"/>
        </w:rPr>
        <w:t xml:space="preserve">, </w:t>
      </w:r>
      <w:r w:rsidR="00F4658D" w:rsidRPr="00E15454">
        <w:rPr>
          <w:rFonts w:ascii="Arial" w:hAnsi="Arial" w:cs="Arial"/>
          <w:i/>
          <w:iCs/>
          <w:sz w:val="24"/>
          <w:szCs w:val="24"/>
        </w:rPr>
        <w:t>History of Alexander, Volume II: Books 6-10. </w:t>
      </w:r>
      <w:r w:rsidR="00F4658D" w:rsidRPr="00E15454">
        <w:rPr>
          <w:rFonts w:ascii="Arial" w:hAnsi="Arial" w:cs="Arial"/>
          <w:sz w:val="24"/>
          <w:szCs w:val="24"/>
        </w:rPr>
        <w:t>J. C. Rolfe</w:t>
      </w:r>
      <w:r w:rsidR="00F4658D">
        <w:rPr>
          <w:rFonts w:ascii="Arial" w:hAnsi="Arial" w:cs="Arial"/>
          <w:sz w:val="24"/>
          <w:szCs w:val="24"/>
        </w:rPr>
        <w:t>. (Trans.)</w:t>
      </w:r>
      <w:r w:rsidR="00F4658D" w:rsidRPr="00E15454">
        <w:rPr>
          <w:rFonts w:ascii="Arial" w:hAnsi="Arial" w:cs="Arial"/>
          <w:sz w:val="24"/>
          <w:szCs w:val="24"/>
        </w:rPr>
        <w:t> </w:t>
      </w:r>
      <w:r w:rsidR="00F4658D" w:rsidRPr="00E15454">
        <w:rPr>
          <w:rFonts w:ascii="Arial" w:hAnsi="Arial" w:cs="Arial"/>
          <w:i/>
          <w:iCs/>
          <w:sz w:val="24"/>
          <w:szCs w:val="24"/>
        </w:rPr>
        <w:t>Loeb Classical Library 369</w:t>
      </w:r>
      <w:r w:rsidR="00F4658D" w:rsidRPr="00E15454">
        <w:rPr>
          <w:rFonts w:ascii="Arial" w:hAnsi="Arial" w:cs="Arial"/>
          <w:sz w:val="24"/>
          <w:szCs w:val="24"/>
        </w:rPr>
        <w:t xml:space="preserve">. </w:t>
      </w:r>
      <w:r w:rsidR="00F4658D">
        <w:rPr>
          <w:rFonts w:ascii="Arial" w:hAnsi="Arial" w:cs="Arial"/>
          <w:sz w:val="24"/>
          <w:szCs w:val="24"/>
        </w:rPr>
        <w:t>(</w:t>
      </w:r>
      <w:r w:rsidR="00F4658D" w:rsidRPr="00E15454">
        <w:rPr>
          <w:rFonts w:ascii="Arial" w:hAnsi="Arial" w:cs="Arial"/>
          <w:sz w:val="24"/>
          <w:szCs w:val="24"/>
        </w:rPr>
        <w:t>1946</w:t>
      </w:r>
      <w:r w:rsidR="00F4658D">
        <w:rPr>
          <w:rFonts w:ascii="Arial" w:hAnsi="Arial" w:cs="Arial"/>
          <w:sz w:val="24"/>
          <w:szCs w:val="24"/>
        </w:rPr>
        <w:t>)</w:t>
      </w:r>
      <w:r w:rsidR="00F4658D" w:rsidRPr="00E15454">
        <w:rPr>
          <w:rFonts w:ascii="Arial" w:hAnsi="Arial" w:cs="Arial"/>
          <w:sz w:val="24"/>
          <w:szCs w:val="24"/>
        </w:rPr>
        <w:t>.</w:t>
      </w:r>
      <w:r w:rsidR="00F4658D">
        <w:rPr>
          <w:rFonts w:ascii="Arial" w:hAnsi="Arial" w:cs="Arial"/>
          <w:sz w:val="24"/>
          <w:szCs w:val="24"/>
        </w:rPr>
        <w:t xml:space="preserve"> </w:t>
      </w:r>
      <w:r w:rsidR="00F4658D" w:rsidRPr="00E15454">
        <w:rPr>
          <w:rFonts w:ascii="Arial" w:hAnsi="Arial" w:cs="Arial"/>
          <w:sz w:val="24"/>
          <w:szCs w:val="24"/>
        </w:rPr>
        <w:t>Cambridge, MA: Harvard University Press</w:t>
      </w:r>
      <w:r w:rsidR="00F4658D">
        <w:rPr>
          <w:rFonts w:ascii="Arial" w:hAnsi="Arial" w:cs="Arial"/>
          <w:sz w:val="24"/>
          <w:szCs w:val="24"/>
        </w:rPr>
        <w:t>.</w:t>
      </w:r>
      <w:r w:rsidR="00F4658D" w:rsidRPr="00E15454">
        <w:rPr>
          <w:rFonts w:ascii="Arial" w:hAnsi="Arial" w:cs="Arial"/>
          <w:sz w:val="24"/>
          <w:szCs w:val="24"/>
        </w:rPr>
        <w:t xml:space="preserve"> </w:t>
      </w:r>
      <w:r w:rsidR="00F4658D" w:rsidRPr="00F4658D">
        <w:rPr>
          <w:rFonts w:ascii="Arial" w:hAnsi="Arial" w:cs="Arial"/>
          <w:sz w:val="24"/>
          <w:szCs w:val="24"/>
        </w:rPr>
        <w:t>6.5.24-32.</w:t>
      </w:r>
    </w:p>
    <w:p w14:paraId="2168B45F" w14:textId="2787F8E8" w:rsidR="00A109A4" w:rsidRPr="00A81791" w:rsidRDefault="00A109A4" w:rsidP="00B66F3B">
      <w:pPr>
        <w:spacing w:line="360" w:lineRule="auto"/>
        <w:rPr>
          <w:rFonts w:ascii="Arial" w:hAnsi="Arial" w:cs="Arial"/>
          <w:sz w:val="24"/>
          <w:szCs w:val="24"/>
        </w:rPr>
      </w:pPr>
      <w:r>
        <w:rPr>
          <w:rFonts w:ascii="Arial" w:hAnsi="Arial" w:cs="Arial"/>
          <w:sz w:val="24"/>
          <w:szCs w:val="24"/>
        </w:rPr>
        <w:t xml:space="preserve">Leo of Naples, </w:t>
      </w:r>
      <w:r>
        <w:rPr>
          <w:rFonts w:ascii="Arial" w:hAnsi="Arial" w:cs="Arial"/>
          <w:i/>
          <w:iCs/>
          <w:sz w:val="24"/>
          <w:szCs w:val="24"/>
        </w:rPr>
        <w:t>Historia de preliis</w:t>
      </w:r>
      <w:r>
        <w:rPr>
          <w:rFonts w:ascii="Arial" w:hAnsi="Arial" w:cs="Arial"/>
          <w:sz w:val="24"/>
          <w:szCs w:val="24"/>
        </w:rPr>
        <w:t>.</w:t>
      </w:r>
      <w:r w:rsidR="00B66F3B">
        <w:rPr>
          <w:rFonts w:ascii="Arial" w:hAnsi="Arial" w:cs="Arial"/>
          <w:sz w:val="24"/>
          <w:szCs w:val="24"/>
        </w:rPr>
        <w:t xml:space="preserve"> Pritchard, R </w:t>
      </w:r>
      <w:proofErr w:type="spellStart"/>
      <w:r w:rsidR="00B66F3B">
        <w:rPr>
          <w:rFonts w:ascii="Arial" w:hAnsi="Arial" w:cs="Arial"/>
          <w:sz w:val="24"/>
          <w:szCs w:val="24"/>
        </w:rPr>
        <w:t>Telfryn</w:t>
      </w:r>
      <w:proofErr w:type="spellEnd"/>
      <w:r w:rsidR="00B66F3B">
        <w:rPr>
          <w:rFonts w:ascii="Arial" w:hAnsi="Arial" w:cs="Arial"/>
          <w:sz w:val="24"/>
          <w:szCs w:val="24"/>
        </w:rPr>
        <w:t xml:space="preserve">. (Trans.) </w:t>
      </w:r>
      <w:r w:rsidR="00A81791">
        <w:rPr>
          <w:rFonts w:ascii="Arial" w:hAnsi="Arial" w:cs="Arial"/>
          <w:i/>
          <w:iCs/>
          <w:sz w:val="24"/>
          <w:szCs w:val="24"/>
        </w:rPr>
        <w:t>The History of Alexander’s Battles</w:t>
      </w:r>
      <w:r w:rsidR="00A81791">
        <w:rPr>
          <w:rFonts w:ascii="Arial" w:hAnsi="Arial" w:cs="Arial"/>
          <w:sz w:val="24"/>
          <w:szCs w:val="24"/>
        </w:rPr>
        <w:t xml:space="preserve">. (1992). Toronto: Pontifical Institute of Medieval Studies. Pp77-79. </w:t>
      </w:r>
    </w:p>
    <w:p w14:paraId="069B0C93" w14:textId="18D2F1D8" w:rsidR="00945257" w:rsidRDefault="00945257" w:rsidP="00B66F3B">
      <w:pPr>
        <w:spacing w:line="360" w:lineRule="auto"/>
        <w:rPr>
          <w:rFonts w:ascii="Arial" w:hAnsi="Arial" w:cs="Arial"/>
          <w:b/>
          <w:bCs/>
          <w:sz w:val="24"/>
          <w:szCs w:val="24"/>
        </w:rPr>
      </w:pPr>
      <w:r>
        <w:rPr>
          <w:rFonts w:ascii="Arial" w:hAnsi="Arial" w:cs="Arial"/>
          <w:b/>
          <w:bCs/>
          <w:sz w:val="24"/>
          <w:szCs w:val="24"/>
        </w:rPr>
        <w:t xml:space="preserve">Secondary Sources </w:t>
      </w:r>
    </w:p>
    <w:p w14:paraId="4D8A2C3D" w14:textId="36CCB1F2" w:rsidR="00945257" w:rsidRPr="00111537" w:rsidRDefault="00945257" w:rsidP="00B66F3B">
      <w:pPr>
        <w:spacing w:line="360" w:lineRule="auto"/>
        <w:rPr>
          <w:rFonts w:ascii="Arial" w:hAnsi="Arial" w:cs="Arial"/>
          <w:sz w:val="24"/>
          <w:szCs w:val="24"/>
        </w:rPr>
      </w:pPr>
      <w:r>
        <w:rPr>
          <w:rFonts w:ascii="Arial" w:hAnsi="Arial" w:cs="Arial"/>
          <w:sz w:val="24"/>
          <w:szCs w:val="24"/>
        </w:rPr>
        <w:t xml:space="preserve">Gunderson, </w:t>
      </w:r>
      <w:r w:rsidR="006856B9">
        <w:rPr>
          <w:rFonts w:ascii="Arial" w:hAnsi="Arial" w:cs="Arial"/>
          <w:sz w:val="24"/>
          <w:szCs w:val="24"/>
        </w:rPr>
        <w:t xml:space="preserve">Lloyd L. (1982) </w:t>
      </w:r>
      <w:r w:rsidR="00111537">
        <w:rPr>
          <w:rFonts w:ascii="Arial" w:hAnsi="Arial" w:cs="Arial"/>
          <w:sz w:val="24"/>
          <w:szCs w:val="24"/>
        </w:rPr>
        <w:t xml:space="preserve">‘Quintus Curtius Rufus: On His Historical Methods in the </w:t>
      </w:r>
      <w:r w:rsidR="00111537" w:rsidRPr="00111537">
        <w:rPr>
          <w:rFonts w:ascii="Arial" w:hAnsi="Arial" w:cs="Arial"/>
          <w:i/>
          <w:iCs/>
          <w:sz w:val="24"/>
          <w:szCs w:val="24"/>
        </w:rPr>
        <w:t>Historiae</w:t>
      </w:r>
      <w:r w:rsidR="00111537">
        <w:rPr>
          <w:rFonts w:ascii="Arial" w:hAnsi="Arial" w:cs="Arial"/>
          <w:i/>
          <w:iCs/>
          <w:sz w:val="24"/>
          <w:szCs w:val="24"/>
        </w:rPr>
        <w:t xml:space="preserve"> Alexandri</w:t>
      </w:r>
      <w:r w:rsidR="00111537">
        <w:rPr>
          <w:rFonts w:ascii="Arial" w:hAnsi="Arial" w:cs="Arial"/>
          <w:sz w:val="24"/>
          <w:szCs w:val="24"/>
        </w:rPr>
        <w:t xml:space="preserve">’ in Lindsey Adams and Borza, Eugene N. </w:t>
      </w:r>
      <w:r w:rsidR="00111537">
        <w:rPr>
          <w:rFonts w:ascii="Arial" w:hAnsi="Arial" w:cs="Arial"/>
          <w:i/>
          <w:iCs/>
          <w:sz w:val="24"/>
          <w:szCs w:val="24"/>
        </w:rPr>
        <w:t>Phillip II, Alexander the Great and the Macedonian Heritage</w:t>
      </w:r>
      <w:r w:rsidR="00111537">
        <w:rPr>
          <w:rFonts w:ascii="Arial" w:hAnsi="Arial" w:cs="Arial"/>
          <w:sz w:val="24"/>
          <w:szCs w:val="24"/>
        </w:rPr>
        <w:t xml:space="preserve">. Washington: University Press of America. pp.177-196. </w:t>
      </w:r>
    </w:p>
    <w:p w14:paraId="48CFF042" w14:textId="1BD3B9FE" w:rsidR="00945257" w:rsidRPr="009E6376" w:rsidRDefault="00945257" w:rsidP="00B66F3B">
      <w:pPr>
        <w:spacing w:line="360" w:lineRule="auto"/>
        <w:rPr>
          <w:rFonts w:ascii="Arial" w:hAnsi="Arial" w:cs="Arial"/>
          <w:sz w:val="24"/>
          <w:szCs w:val="24"/>
        </w:rPr>
      </w:pPr>
      <w:r>
        <w:rPr>
          <w:rFonts w:ascii="Arial" w:hAnsi="Arial" w:cs="Arial"/>
          <w:sz w:val="24"/>
          <w:szCs w:val="24"/>
        </w:rPr>
        <w:t xml:space="preserve">Lafferty, Maura. (2011) ‘Walter of Châtillon’s </w:t>
      </w:r>
      <w:r>
        <w:rPr>
          <w:rFonts w:ascii="Arial" w:hAnsi="Arial" w:cs="Arial"/>
          <w:i/>
          <w:iCs/>
          <w:sz w:val="24"/>
          <w:szCs w:val="24"/>
        </w:rPr>
        <w:t>Alexandreis</w:t>
      </w:r>
      <w:r>
        <w:rPr>
          <w:rFonts w:ascii="Arial" w:hAnsi="Arial" w:cs="Arial"/>
          <w:sz w:val="24"/>
          <w:szCs w:val="24"/>
        </w:rPr>
        <w:t xml:space="preserve">’ in </w:t>
      </w:r>
      <w:proofErr w:type="spellStart"/>
      <w:r w:rsidR="009E6376">
        <w:rPr>
          <w:rFonts w:ascii="Arial" w:hAnsi="Arial" w:cs="Arial"/>
          <w:sz w:val="24"/>
          <w:szCs w:val="24"/>
        </w:rPr>
        <w:t>Zuwiyya</w:t>
      </w:r>
      <w:proofErr w:type="spellEnd"/>
      <w:r w:rsidR="009E6376">
        <w:rPr>
          <w:rFonts w:ascii="Arial" w:hAnsi="Arial" w:cs="Arial"/>
          <w:sz w:val="24"/>
          <w:szCs w:val="24"/>
        </w:rPr>
        <w:t xml:space="preserve">, David. (ed.) </w:t>
      </w:r>
      <w:r w:rsidR="009E6376">
        <w:rPr>
          <w:rFonts w:ascii="Arial" w:hAnsi="Arial" w:cs="Arial"/>
          <w:i/>
          <w:iCs/>
          <w:sz w:val="24"/>
          <w:szCs w:val="24"/>
        </w:rPr>
        <w:t>A Companion to Alexander Literature in the Middle Ages</w:t>
      </w:r>
      <w:r w:rsidR="009E6376">
        <w:rPr>
          <w:rFonts w:ascii="Arial" w:hAnsi="Arial" w:cs="Arial"/>
          <w:sz w:val="24"/>
          <w:szCs w:val="24"/>
        </w:rPr>
        <w:t xml:space="preserve">. Boston: Brill. </w:t>
      </w:r>
      <w:r w:rsidR="006856B9">
        <w:rPr>
          <w:rFonts w:ascii="Arial" w:hAnsi="Arial" w:cs="Arial"/>
          <w:sz w:val="24"/>
          <w:szCs w:val="24"/>
        </w:rPr>
        <w:t xml:space="preserve">Pp.177-99. </w:t>
      </w:r>
    </w:p>
    <w:p w14:paraId="6C40F47B" w14:textId="20E8FE5E" w:rsidR="00945257" w:rsidRPr="006856B9" w:rsidRDefault="00945257" w:rsidP="00B66F3B">
      <w:pPr>
        <w:spacing w:line="360" w:lineRule="auto"/>
        <w:rPr>
          <w:rFonts w:ascii="Arial" w:hAnsi="Arial" w:cs="Arial"/>
          <w:sz w:val="24"/>
          <w:szCs w:val="24"/>
        </w:rPr>
      </w:pPr>
      <w:r>
        <w:rPr>
          <w:rFonts w:ascii="Arial" w:hAnsi="Arial" w:cs="Arial"/>
          <w:sz w:val="24"/>
          <w:szCs w:val="24"/>
        </w:rPr>
        <w:t xml:space="preserve">Ogden, Daniel. </w:t>
      </w:r>
      <w:r w:rsidR="00E140DD">
        <w:rPr>
          <w:rFonts w:ascii="Arial" w:hAnsi="Arial" w:cs="Arial"/>
          <w:sz w:val="24"/>
          <w:szCs w:val="24"/>
        </w:rPr>
        <w:t>(</w:t>
      </w:r>
      <w:r w:rsidR="006856B9">
        <w:rPr>
          <w:rFonts w:ascii="Arial" w:hAnsi="Arial" w:cs="Arial"/>
          <w:sz w:val="24"/>
          <w:szCs w:val="24"/>
        </w:rPr>
        <w:t xml:space="preserve">2011) </w:t>
      </w:r>
      <w:r w:rsidR="006856B9">
        <w:rPr>
          <w:rFonts w:ascii="Arial" w:hAnsi="Arial" w:cs="Arial"/>
          <w:i/>
          <w:iCs/>
          <w:sz w:val="24"/>
          <w:szCs w:val="24"/>
        </w:rPr>
        <w:t>Alexander the Great: Myth, Genesis and Sexuality</w:t>
      </w:r>
      <w:r w:rsidR="006856B9">
        <w:rPr>
          <w:rFonts w:ascii="Arial" w:hAnsi="Arial" w:cs="Arial"/>
          <w:sz w:val="24"/>
          <w:szCs w:val="24"/>
        </w:rPr>
        <w:t xml:space="preserve">. </w:t>
      </w:r>
      <w:r w:rsidR="006856B9">
        <w:rPr>
          <w:rFonts w:ascii="Arial" w:hAnsi="Arial" w:cs="Arial"/>
          <w:sz w:val="24"/>
          <w:szCs w:val="24"/>
        </w:rPr>
        <w:t xml:space="preserve">Liverpool: Liverpool University Press. </w:t>
      </w:r>
      <w:r w:rsidR="006856B9">
        <w:rPr>
          <w:rFonts w:ascii="Arial" w:hAnsi="Arial" w:cs="Arial"/>
          <w:sz w:val="24"/>
          <w:szCs w:val="24"/>
        </w:rPr>
        <w:t xml:space="preserve">pp.146-150. </w:t>
      </w:r>
    </w:p>
    <w:p w14:paraId="12F01117" w14:textId="2E2C2087" w:rsidR="00945257" w:rsidRPr="00E140DD" w:rsidRDefault="00945257" w:rsidP="00B66F3B">
      <w:pPr>
        <w:spacing w:line="360" w:lineRule="auto"/>
        <w:rPr>
          <w:rFonts w:ascii="Arial" w:hAnsi="Arial" w:cs="Arial"/>
          <w:sz w:val="24"/>
          <w:szCs w:val="24"/>
        </w:rPr>
      </w:pPr>
      <w:r>
        <w:rPr>
          <w:rFonts w:ascii="Arial" w:hAnsi="Arial" w:cs="Arial"/>
          <w:sz w:val="24"/>
          <w:szCs w:val="24"/>
        </w:rPr>
        <w:t xml:space="preserve">Townsend, David. </w:t>
      </w:r>
      <w:r w:rsidR="00A109A4">
        <w:rPr>
          <w:rFonts w:ascii="Arial" w:hAnsi="Arial" w:cs="Arial"/>
          <w:sz w:val="24"/>
          <w:szCs w:val="24"/>
        </w:rPr>
        <w:t xml:space="preserve">(1995) ‘Sex and the Single Amazon in Twelfth-Century Latin Epic’ </w:t>
      </w:r>
      <w:r w:rsidR="00A109A4">
        <w:rPr>
          <w:rFonts w:ascii="Arial" w:hAnsi="Arial" w:cs="Arial"/>
          <w:i/>
          <w:iCs/>
          <w:sz w:val="24"/>
          <w:szCs w:val="24"/>
        </w:rPr>
        <w:t>University of Toronto Quarterly</w:t>
      </w:r>
      <w:r w:rsidR="00E140DD">
        <w:rPr>
          <w:rFonts w:ascii="Arial" w:hAnsi="Arial" w:cs="Arial"/>
          <w:sz w:val="24"/>
          <w:szCs w:val="24"/>
        </w:rPr>
        <w:t>, 64(2), pp.255-273.</w:t>
      </w:r>
      <w:r w:rsidR="006856B9">
        <w:rPr>
          <w:rFonts w:ascii="Arial" w:hAnsi="Arial" w:cs="Arial"/>
          <w:sz w:val="24"/>
          <w:szCs w:val="24"/>
        </w:rPr>
        <w:t xml:space="preserve"> </w:t>
      </w:r>
    </w:p>
    <w:sectPr w:rsidR="00945257" w:rsidRPr="00E140DD">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DB37DC" w14:textId="77777777" w:rsidR="00B65B10" w:rsidRDefault="00B65B10" w:rsidP="002253BB">
      <w:pPr>
        <w:spacing w:after="0" w:line="240" w:lineRule="auto"/>
      </w:pPr>
      <w:r>
        <w:separator/>
      </w:r>
    </w:p>
  </w:endnote>
  <w:endnote w:type="continuationSeparator" w:id="0">
    <w:p w14:paraId="1528DD00" w14:textId="77777777" w:rsidR="00B65B10" w:rsidRDefault="00B65B10" w:rsidP="002253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13E116" w14:textId="77777777" w:rsidR="00B65B10" w:rsidRDefault="00B65B10" w:rsidP="002253BB">
      <w:pPr>
        <w:spacing w:after="0" w:line="240" w:lineRule="auto"/>
      </w:pPr>
      <w:r>
        <w:separator/>
      </w:r>
    </w:p>
  </w:footnote>
  <w:footnote w:type="continuationSeparator" w:id="0">
    <w:p w14:paraId="437A28F4" w14:textId="77777777" w:rsidR="00B65B10" w:rsidRDefault="00B65B10" w:rsidP="002253BB">
      <w:pPr>
        <w:spacing w:after="0" w:line="240" w:lineRule="auto"/>
      </w:pPr>
      <w:r>
        <w:continuationSeparator/>
      </w:r>
    </w:p>
  </w:footnote>
  <w:footnote w:id="1">
    <w:p w14:paraId="118B53FA" w14:textId="748AE1BB" w:rsidR="00C176ED" w:rsidRPr="00945257" w:rsidRDefault="00C176ED">
      <w:pPr>
        <w:pStyle w:val="FootnoteText"/>
        <w:rPr>
          <w:rFonts w:ascii="Arial" w:hAnsi="Arial" w:cs="Arial"/>
          <w:lang w:val="en-US"/>
        </w:rPr>
      </w:pPr>
      <w:r w:rsidRPr="00945257">
        <w:rPr>
          <w:rStyle w:val="FootnoteReference"/>
          <w:rFonts w:ascii="Arial" w:hAnsi="Arial" w:cs="Arial"/>
        </w:rPr>
        <w:footnoteRef/>
      </w:r>
      <w:r w:rsidRPr="00945257">
        <w:rPr>
          <w:rFonts w:ascii="Arial" w:hAnsi="Arial" w:cs="Arial"/>
        </w:rPr>
        <w:t xml:space="preserve"> </w:t>
      </w:r>
      <w:r w:rsidRPr="00945257">
        <w:rPr>
          <w:rFonts w:ascii="Arial" w:hAnsi="Arial" w:cs="Arial"/>
          <w:lang w:val="en-US"/>
        </w:rPr>
        <w:t xml:space="preserve">Walter of Châtillon, </w:t>
      </w:r>
      <w:r w:rsidRPr="00945257">
        <w:rPr>
          <w:rFonts w:ascii="Arial" w:hAnsi="Arial" w:cs="Arial"/>
          <w:i/>
          <w:iCs/>
          <w:lang w:val="en-US"/>
        </w:rPr>
        <w:t>Alexandreis</w:t>
      </w:r>
      <w:r w:rsidRPr="00945257">
        <w:rPr>
          <w:rFonts w:ascii="Arial" w:hAnsi="Arial" w:cs="Arial"/>
          <w:lang w:val="en-US"/>
        </w:rPr>
        <w:t xml:space="preserve">. </w:t>
      </w:r>
      <w:r w:rsidR="00F4658D" w:rsidRPr="00945257">
        <w:rPr>
          <w:rFonts w:ascii="Arial" w:hAnsi="Arial" w:cs="Arial"/>
          <w:lang w:val="en-US"/>
        </w:rPr>
        <w:t>8.1-48.</w:t>
      </w:r>
    </w:p>
    <w:p w14:paraId="2E37852B" w14:textId="6E2080BD" w:rsidR="00C176ED" w:rsidRPr="00945257" w:rsidRDefault="00C176ED">
      <w:pPr>
        <w:pStyle w:val="FootnoteText"/>
        <w:rPr>
          <w:rFonts w:ascii="Arial" w:hAnsi="Arial" w:cs="Arial"/>
          <w:lang w:val="en-US"/>
        </w:rPr>
      </w:pPr>
      <w:r w:rsidRPr="00945257">
        <w:rPr>
          <w:rFonts w:ascii="Arial" w:hAnsi="Arial" w:cs="Arial"/>
          <w:lang w:val="en-US"/>
        </w:rPr>
        <w:t xml:space="preserve">Curt. </w:t>
      </w:r>
      <w:r w:rsidRPr="00945257">
        <w:rPr>
          <w:rFonts w:ascii="Arial" w:hAnsi="Arial" w:cs="Arial"/>
          <w:i/>
          <w:iCs/>
        </w:rPr>
        <w:t>Historiae Alexandri Magni</w:t>
      </w:r>
      <w:r w:rsidRPr="00945257">
        <w:rPr>
          <w:rFonts w:ascii="Arial" w:hAnsi="Arial" w:cs="Arial"/>
        </w:rPr>
        <w:t xml:space="preserve">. 6.5.24-32. </w:t>
      </w:r>
    </w:p>
    <w:p w14:paraId="5B1248AF" w14:textId="0D89B21B" w:rsidR="00C176ED" w:rsidRPr="00945257" w:rsidRDefault="00111537">
      <w:pPr>
        <w:pStyle w:val="FootnoteText"/>
        <w:rPr>
          <w:rFonts w:ascii="Arial" w:hAnsi="Arial" w:cs="Arial"/>
          <w:lang w:val="en-US"/>
        </w:rPr>
      </w:pPr>
      <w:r>
        <w:rPr>
          <w:rFonts w:ascii="Arial" w:hAnsi="Arial" w:cs="Arial"/>
          <w:lang w:val="en-US"/>
        </w:rPr>
        <w:t xml:space="preserve">Leo of Naples, </w:t>
      </w:r>
      <w:r w:rsidR="00C176ED" w:rsidRPr="00945257">
        <w:rPr>
          <w:rFonts w:ascii="Arial" w:hAnsi="Arial" w:cs="Arial"/>
          <w:lang w:val="en-US"/>
        </w:rPr>
        <w:t>Historia de Preliis</w:t>
      </w:r>
      <w:r>
        <w:rPr>
          <w:rFonts w:ascii="Arial" w:hAnsi="Arial" w:cs="Arial"/>
          <w:lang w:val="en-US"/>
        </w:rPr>
        <w:t>, pp.77-9.</w:t>
      </w:r>
      <w:r w:rsidR="00C176ED" w:rsidRPr="00945257">
        <w:rPr>
          <w:rFonts w:ascii="Arial" w:hAnsi="Arial" w:cs="Arial"/>
          <w:lang w:val="en-US"/>
        </w:rPr>
        <w:t xml:space="preserve"> </w:t>
      </w:r>
    </w:p>
  </w:footnote>
  <w:footnote w:id="2">
    <w:p w14:paraId="5FECADAE" w14:textId="5268B3B1" w:rsidR="00D96B63" w:rsidRPr="00945257" w:rsidRDefault="00D96B63">
      <w:pPr>
        <w:pStyle w:val="FootnoteText"/>
        <w:rPr>
          <w:rFonts w:ascii="Arial" w:hAnsi="Arial" w:cs="Arial"/>
          <w:lang w:val="en-US"/>
        </w:rPr>
      </w:pPr>
      <w:r w:rsidRPr="00945257">
        <w:rPr>
          <w:rStyle w:val="FootnoteReference"/>
          <w:rFonts w:ascii="Arial" w:hAnsi="Arial" w:cs="Arial"/>
        </w:rPr>
        <w:footnoteRef/>
      </w:r>
      <w:r w:rsidRPr="00945257">
        <w:rPr>
          <w:rFonts w:ascii="Arial" w:hAnsi="Arial" w:cs="Arial"/>
        </w:rPr>
        <w:t xml:space="preserve"> </w:t>
      </w:r>
      <w:r w:rsidRPr="00945257">
        <w:rPr>
          <w:rFonts w:ascii="Arial" w:hAnsi="Arial" w:cs="Arial"/>
          <w:lang w:val="en-US"/>
        </w:rPr>
        <w:t>Curt</w:t>
      </w:r>
      <w:r w:rsidR="00C176ED" w:rsidRPr="00945257">
        <w:rPr>
          <w:rFonts w:ascii="Arial" w:hAnsi="Arial" w:cs="Arial"/>
          <w:lang w:val="en-US"/>
        </w:rPr>
        <w:t>.</w:t>
      </w:r>
      <w:r w:rsidRPr="00945257">
        <w:rPr>
          <w:rFonts w:ascii="Arial" w:hAnsi="Arial" w:cs="Arial"/>
          <w:lang w:val="en-US"/>
        </w:rPr>
        <w:t xml:space="preserve"> </w:t>
      </w:r>
      <w:r w:rsidR="00C176ED" w:rsidRPr="00945257">
        <w:rPr>
          <w:rFonts w:ascii="Arial" w:hAnsi="Arial" w:cs="Arial"/>
          <w:i/>
          <w:iCs/>
        </w:rPr>
        <w:t>Historiae Alexandri Magni</w:t>
      </w:r>
      <w:r w:rsidR="00C176ED" w:rsidRPr="00945257">
        <w:rPr>
          <w:rFonts w:ascii="Arial" w:hAnsi="Arial" w:cs="Arial"/>
        </w:rPr>
        <w:t>.</w:t>
      </w:r>
      <w:r w:rsidR="00C176ED" w:rsidRPr="00945257">
        <w:rPr>
          <w:rFonts w:ascii="Arial" w:hAnsi="Arial" w:cs="Arial"/>
          <w:lang w:val="en-US"/>
        </w:rPr>
        <w:t xml:space="preserve"> 6.5.</w:t>
      </w:r>
      <w:r w:rsidRPr="00945257">
        <w:rPr>
          <w:rFonts w:ascii="Arial" w:hAnsi="Arial" w:cs="Arial"/>
          <w:lang w:val="en-US"/>
        </w:rPr>
        <w:t>26-8</w:t>
      </w:r>
      <w:r w:rsidR="00C176ED" w:rsidRPr="00945257">
        <w:rPr>
          <w:rFonts w:ascii="Arial" w:hAnsi="Arial" w:cs="Arial"/>
          <w:lang w:val="en-US"/>
        </w:rPr>
        <w:t>.</w:t>
      </w:r>
    </w:p>
  </w:footnote>
  <w:footnote w:id="3">
    <w:p w14:paraId="4492CFF1" w14:textId="72B38638" w:rsidR="00D64872" w:rsidRPr="00945257" w:rsidRDefault="00D64872" w:rsidP="00D64872">
      <w:pPr>
        <w:pStyle w:val="FootnoteText"/>
        <w:rPr>
          <w:rFonts w:ascii="Arial" w:hAnsi="Arial" w:cs="Arial"/>
        </w:rPr>
      </w:pPr>
      <w:r w:rsidRPr="00945257">
        <w:rPr>
          <w:rStyle w:val="FootnoteReference"/>
          <w:rFonts w:ascii="Arial" w:hAnsi="Arial" w:cs="Arial"/>
        </w:rPr>
        <w:footnoteRef/>
      </w:r>
      <w:r w:rsidRPr="00945257">
        <w:rPr>
          <w:rFonts w:ascii="Arial" w:hAnsi="Arial" w:cs="Arial"/>
        </w:rPr>
        <w:t xml:space="preserve"> Gunderson</w:t>
      </w:r>
      <w:r w:rsidR="004B6D06" w:rsidRPr="00945257">
        <w:rPr>
          <w:rFonts w:ascii="Arial" w:hAnsi="Arial" w:cs="Arial"/>
        </w:rPr>
        <w:t>, 1982,</w:t>
      </w:r>
      <w:r w:rsidRPr="00945257">
        <w:rPr>
          <w:rFonts w:ascii="Arial" w:hAnsi="Arial" w:cs="Arial"/>
        </w:rPr>
        <w:t xml:space="preserve"> p</w:t>
      </w:r>
      <w:r w:rsidR="004B6D06" w:rsidRPr="00945257">
        <w:rPr>
          <w:rFonts w:ascii="Arial" w:hAnsi="Arial" w:cs="Arial"/>
        </w:rPr>
        <w:t>.</w:t>
      </w:r>
      <w:r w:rsidRPr="00945257">
        <w:rPr>
          <w:rFonts w:ascii="Arial" w:hAnsi="Arial" w:cs="Arial"/>
        </w:rPr>
        <w:t>177</w:t>
      </w:r>
      <w:r w:rsidR="004B6D06" w:rsidRPr="00945257">
        <w:rPr>
          <w:rFonts w:ascii="Arial" w:hAnsi="Arial" w:cs="Arial"/>
        </w:rPr>
        <w:t>.</w:t>
      </w:r>
      <w:r w:rsidRPr="00945257">
        <w:rPr>
          <w:rFonts w:ascii="Arial" w:hAnsi="Arial" w:cs="Arial"/>
        </w:rPr>
        <w:t xml:space="preserve"> </w:t>
      </w:r>
    </w:p>
  </w:footnote>
  <w:footnote w:id="4">
    <w:p w14:paraId="54AE89E1" w14:textId="6BB6BBE2" w:rsidR="00D64872" w:rsidRPr="00CA2212" w:rsidRDefault="00D64872" w:rsidP="00D64872">
      <w:pPr>
        <w:pStyle w:val="FootnoteText"/>
        <w:rPr>
          <w:lang w:val="en-US"/>
        </w:rPr>
      </w:pPr>
      <w:r w:rsidRPr="00945257">
        <w:rPr>
          <w:rStyle w:val="FootnoteReference"/>
          <w:rFonts w:ascii="Arial" w:hAnsi="Arial" w:cs="Arial"/>
        </w:rPr>
        <w:footnoteRef/>
      </w:r>
      <w:r w:rsidRPr="00945257">
        <w:rPr>
          <w:rFonts w:ascii="Arial" w:hAnsi="Arial" w:cs="Arial"/>
        </w:rPr>
        <w:t xml:space="preserve"> </w:t>
      </w:r>
      <w:r w:rsidRPr="00945257">
        <w:rPr>
          <w:rFonts w:ascii="Arial" w:hAnsi="Arial" w:cs="Arial"/>
          <w:lang w:val="en-US"/>
        </w:rPr>
        <w:t>Lafferty</w:t>
      </w:r>
      <w:r w:rsidR="0080637C" w:rsidRPr="00945257">
        <w:rPr>
          <w:rFonts w:ascii="Arial" w:hAnsi="Arial" w:cs="Arial"/>
          <w:lang w:val="en-US"/>
        </w:rPr>
        <w:t>, 2011</w:t>
      </w:r>
      <w:r w:rsidR="004B6D06" w:rsidRPr="00945257">
        <w:rPr>
          <w:rFonts w:ascii="Arial" w:hAnsi="Arial" w:cs="Arial"/>
          <w:lang w:val="en-US"/>
        </w:rPr>
        <w:t>,</w:t>
      </w:r>
      <w:r w:rsidRPr="00945257">
        <w:rPr>
          <w:rFonts w:ascii="Arial" w:hAnsi="Arial" w:cs="Arial"/>
          <w:lang w:val="en-US"/>
        </w:rPr>
        <w:t xml:space="preserve"> p</w:t>
      </w:r>
      <w:r w:rsidR="004B6D06" w:rsidRPr="00945257">
        <w:rPr>
          <w:rFonts w:ascii="Arial" w:hAnsi="Arial" w:cs="Arial"/>
          <w:lang w:val="en-US"/>
        </w:rPr>
        <w:t>.</w:t>
      </w:r>
      <w:r w:rsidRPr="00945257">
        <w:rPr>
          <w:rFonts w:ascii="Arial" w:hAnsi="Arial" w:cs="Arial"/>
          <w:lang w:val="en-US"/>
        </w:rPr>
        <w:t>185</w:t>
      </w:r>
      <w:r w:rsidR="004B6D06" w:rsidRPr="00945257">
        <w:rPr>
          <w:rFonts w:ascii="Arial" w:hAnsi="Arial" w:cs="Arial"/>
          <w:lang w:val="en-US"/>
        </w:rPr>
        <w:t>.</w:t>
      </w:r>
      <w:r>
        <w:rPr>
          <w:lang w:val="en-US"/>
        </w:rPr>
        <w:t xml:space="preserve"> </w:t>
      </w:r>
    </w:p>
  </w:footnote>
  <w:footnote w:id="5">
    <w:p w14:paraId="0662126E" w14:textId="78CF246E" w:rsidR="00DD76DD" w:rsidRPr="00945257" w:rsidRDefault="00DD76DD" w:rsidP="00DD76DD">
      <w:pPr>
        <w:pStyle w:val="FootnoteText"/>
        <w:rPr>
          <w:rFonts w:ascii="Arial" w:hAnsi="Arial" w:cs="Arial"/>
          <w:lang w:val="en-US"/>
        </w:rPr>
      </w:pPr>
      <w:r w:rsidRPr="00945257">
        <w:rPr>
          <w:rStyle w:val="FootnoteReference"/>
          <w:rFonts w:ascii="Arial" w:hAnsi="Arial" w:cs="Arial"/>
        </w:rPr>
        <w:footnoteRef/>
      </w:r>
      <w:r w:rsidR="004B6D06" w:rsidRPr="00945257">
        <w:rPr>
          <w:rFonts w:ascii="Arial" w:hAnsi="Arial" w:cs="Arial"/>
        </w:rPr>
        <w:t xml:space="preserve"> </w:t>
      </w:r>
      <w:r w:rsidRPr="00945257">
        <w:rPr>
          <w:rFonts w:ascii="Arial" w:hAnsi="Arial" w:cs="Arial"/>
          <w:lang w:val="en-US"/>
        </w:rPr>
        <w:t>Lafferty</w:t>
      </w:r>
      <w:r w:rsidR="004B6D06" w:rsidRPr="00945257">
        <w:rPr>
          <w:rFonts w:ascii="Arial" w:hAnsi="Arial" w:cs="Arial"/>
          <w:lang w:val="en-US"/>
        </w:rPr>
        <w:t>, 2011,</w:t>
      </w:r>
      <w:r w:rsidRPr="00945257">
        <w:rPr>
          <w:rFonts w:ascii="Arial" w:hAnsi="Arial" w:cs="Arial"/>
          <w:lang w:val="en-US"/>
        </w:rPr>
        <w:t xml:space="preserve"> p</w:t>
      </w:r>
      <w:r w:rsidR="004B6D06" w:rsidRPr="00945257">
        <w:rPr>
          <w:rFonts w:ascii="Arial" w:hAnsi="Arial" w:cs="Arial"/>
          <w:lang w:val="en-US"/>
        </w:rPr>
        <w:t>.</w:t>
      </w:r>
      <w:r w:rsidRPr="00945257">
        <w:rPr>
          <w:rFonts w:ascii="Arial" w:hAnsi="Arial" w:cs="Arial"/>
          <w:lang w:val="en-US"/>
        </w:rPr>
        <w:t>178</w:t>
      </w:r>
      <w:r w:rsidR="004B6D06" w:rsidRPr="00945257">
        <w:rPr>
          <w:rFonts w:ascii="Arial" w:hAnsi="Arial" w:cs="Arial"/>
          <w:lang w:val="en-US"/>
        </w:rPr>
        <w:t>.</w:t>
      </w:r>
    </w:p>
  </w:footnote>
  <w:footnote w:id="6">
    <w:p w14:paraId="5C9747AF" w14:textId="20ED4A6F" w:rsidR="008F30FF" w:rsidRPr="00945257" w:rsidRDefault="008F30FF">
      <w:pPr>
        <w:pStyle w:val="FootnoteText"/>
        <w:rPr>
          <w:rFonts w:ascii="Arial" w:hAnsi="Arial" w:cs="Arial"/>
        </w:rPr>
      </w:pPr>
      <w:r w:rsidRPr="00945257">
        <w:rPr>
          <w:rStyle w:val="FootnoteReference"/>
          <w:rFonts w:ascii="Arial" w:hAnsi="Arial" w:cs="Arial"/>
        </w:rPr>
        <w:footnoteRef/>
      </w:r>
      <w:r w:rsidRPr="00945257">
        <w:rPr>
          <w:rFonts w:ascii="Arial" w:hAnsi="Arial" w:cs="Arial"/>
        </w:rPr>
        <w:t xml:space="preserve"> </w:t>
      </w:r>
      <w:r w:rsidR="00C176ED" w:rsidRPr="00945257">
        <w:rPr>
          <w:rFonts w:ascii="Arial" w:hAnsi="Arial" w:cs="Arial"/>
          <w:lang w:val="en-US"/>
        </w:rPr>
        <w:t xml:space="preserve">Curt. </w:t>
      </w:r>
      <w:r w:rsidR="00C176ED" w:rsidRPr="00945257">
        <w:rPr>
          <w:rFonts w:ascii="Arial" w:hAnsi="Arial" w:cs="Arial"/>
          <w:i/>
          <w:iCs/>
        </w:rPr>
        <w:t>Historiae Alexandri Magni</w:t>
      </w:r>
      <w:r w:rsidR="00C176ED" w:rsidRPr="00945257">
        <w:rPr>
          <w:rFonts w:ascii="Arial" w:hAnsi="Arial" w:cs="Arial"/>
        </w:rPr>
        <w:t>.</w:t>
      </w:r>
      <w:r w:rsidR="00C176ED" w:rsidRPr="00945257">
        <w:rPr>
          <w:rFonts w:ascii="Arial" w:hAnsi="Arial" w:cs="Arial"/>
          <w:lang w:val="en-US"/>
        </w:rPr>
        <w:t xml:space="preserve"> 6.5.</w:t>
      </w:r>
      <w:r w:rsidRPr="00945257">
        <w:rPr>
          <w:rFonts w:ascii="Arial" w:hAnsi="Arial" w:cs="Arial"/>
        </w:rPr>
        <w:t xml:space="preserve">25 </w:t>
      </w:r>
    </w:p>
  </w:footnote>
  <w:footnote w:id="7">
    <w:p w14:paraId="2A1BB51C" w14:textId="60BDC60F" w:rsidR="008F30FF" w:rsidRPr="00945257" w:rsidRDefault="008F30FF" w:rsidP="008F30FF">
      <w:pPr>
        <w:pStyle w:val="FootnoteText"/>
        <w:rPr>
          <w:rFonts w:ascii="Arial" w:hAnsi="Arial" w:cs="Arial"/>
          <w:lang w:val="en-US"/>
        </w:rPr>
      </w:pPr>
      <w:r w:rsidRPr="00945257">
        <w:rPr>
          <w:rStyle w:val="FootnoteReference"/>
          <w:rFonts w:ascii="Arial" w:hAnsi="Arial" w:cs="Arial"/>
        </w:rPr>
        <w:footnoteRef/>
      </w:r>
      <w:r w:rsidRPr="00945257">
        <w:rPr>
          <w:rFonts w:ascii="Arial" w:hAnsi="Arial" w:cs="Arial"/>
        </w:rPr>
        <w:t xml:space="preserve"> </w:t>
      </w:r>
      <w:r w:rsidRPr="00945257">
        <w:rPr>
          <w:rFonts w:ascii="Arial" w:hAnsi="Arial" w:cs="Arial"/>
          <w:lang w:val="en-US"/>
        </w:rPr>
        <w:t>Ogden</w:t>
      </w:r>
      <w:r w:rsidR="004B6D06" w:rsidRPr="00945257">
        <w:rPr>
          <w:rFonts w:ascii="Arial" w:hAnsi="Arial" w:cs="Arial"/>
          <w:lang w:val="en-US"/>
        </w:rPr>
        <w:t>, 2011,</w:t>
      </w:r>
      <w:r w:rsidRPr="00945257">
        <w:rPr>
          <w:rFonts w:ascii="Arial" w:hAnsi="Arial" w:cs="Arial"/>
          <w:lang w:val="en-US"/>
        </w:rPr>
        <w:t xml:space="preserve"> p</w:t>
      </w:r>
      <w:r w:rsidR="004B6D06" w:rsidRPr="00945257">
        <w:rPr>
          <w:rFonts w:ascii="Arial" w:hAnsi="Arial" w:cs="Arial"/>
          <w:lang w:val="en-US"/>
        </w:rPr>
        <w:t>.</w:t>
      </w:r>
      <w:r w:rsidRPr="00945257">
        <w:rPr>
          <w:rFonts w:ascii="Arial" w:hAnsi="Arial" w:cs="Arial"/>
          <w:lang w:val="en-US"/>
        </w:rPr>
        <w:t>147</w:t>
      </w:r>
      <w:r w:rsidR="004B6D06" w:rsidRPr="00945257">
        <w:rPr>
          <w:rFonts w:ascii="Arial" w:hAnsi="Arial" w:cs="Arial"/>
          <w:lang w:val="en-US"/>
        </w:rPr>
        <w:t>.</w:t>
      </w:r>
    </w:p>
  </w:footnote>
  <w:footnote w:id="8">
    <w:p w14:paraId="2BC3159C" w14:textId="28351F55" w:rsidR="008A2D19" w:rsidRPr="00945257" w:rsidRDefault="008A2D19" w:rsidP="008A2D19">
      <w:pPr>
        <w:pStyle w:val="FootnoteText"/>
        <w:rPr>
          <w:rFonts w:ascii="Arial" w:hAnsi="Arial" w:cs="Arial"/>
          <w:lang w:val="en-US"/>
        </w:rPr>
      </w:pPr>
      <w:r w:rsidRPr="00945257">
        <w:rPr>
          <w:rStyle w:val="FootnoteReference"/>
          <w:rFonts w:ascii="Arial" w:hAnsi="Arial" w:cs="Arial"/>
        </w:rPr>
        <w:footnoteRef/>
      </w:r>
      <w:r w:rsidR="004B6D06" w:rsidRPr="00945257">
        <w:rPr>
          <w:rFonts w:ascii="Arial" w:hAnsi="Arial" w:cs="Arial"/>
        </w:rPr>
        <w:t xml:space="preserve"> </w:t>
      </w:r>
      <w:r w:rsidRPr="00945257">
        <w:rPr>
          <w:rFonts w:ascii="Arial" w:hAnsi="Arial" w:cs="Arial"/>
          <w:lang w:val="en-US"/>
        </w:rPr>
        <w:t>Lafferty</w:t>
      </w:r>
      <w:r w:rsidR="004B6D06" w:rsidRPr="00945257">
        <w:rPr>
          <w:rFonts w:ascii="Arial" w:hAnsi="Arial" w:cs="Arial"/>
          <w:lang w:val="en-US"/>
        </w:rPr>
        <w:t>, 2011,</w:t>
      </w:r>
      <w:r w:rsidRPr="00945257">
        <w:rPr>
          <w:rFonts w:ascii="Arial" w:hAnsi="Arial" w:cs="Arial"/>
          <w:lang w:val="en-US"/>
        </w:rPr>
        <w:t xml:space="preserve"> p</w:t>
      </w:r>
      <w:r w:rsidR="004B6D06" w:rsidRPr="00945257">
        <w:rPr>
          <w:rFonts w:ascii="Arial" w:hAnsi="Arial" w:cs="Arial"/>
          <w:lang w:val="en-US"/>
        </w:rPr>
        <w:t>p.</w:t>
      </w:r>
      <w:r w:rsidRPr="00945257">
        <w:rPr>
          <w:rFonts w:ascii="Arial" w:hAnsi="Arial" w:cs="Arial"/>
          <w:lang w:val="en-US"/>
        </w:rPr>
        <w:t>185</w:t>
      </w:r>
      <w:r w:rsidR="004B6D06" w:rsidRPr="00945257">
        <w:rPr>
          <w:rFonts w:ascii="Arial" w:hAnsi="Arial" w:cs="Arial"/>
          <w:lang w:val="en-US"/>
        </w:rPr>
        <w:t>-</w:t>
      </w:r>
      <w:r w:rsidRPr="00945257">
        <w:rPr>
          <w:rFonts w:ascii="Arial" w:hAnsi="Arial" w:cs="Arial"/>
          <w:lang w:val="en-US"/>
        </w:rPr>
        <w:t>194</w:t>
      </w:r>
      <w:r w:rsidR="004B6D06" w:rsidRPr="00945257">
        <w:rPr>
          <w:rFonts w:ascii="Arial" w:hAnsi="Arial" w:cs="Arial"/>
          <w:lang w:val="en-US"/>
        </w:rPr>
        <w:t xml:space="preserve">. </w:t>
      </w:r>
    </w:p>
  </w:footnote>
  <w:footnote w:id="9">
    <w:p w14:paraId="6A7A9A5D" w14:textId="7C603620" w:rsidR="000A5D27" w:rsidRPr="00945257" w:rsidRDefault="000A5D27">
      <w:pPr>
        <w:pStyle w:val="FootnoteText"/>
        <w:rPr>
          <w:rFonts w:ascii="Arial" w:hAnsi="Arial" w:cs="Arial"/>
        </w:rPr>
      </w:pPr>
      <w:r w:rsidRPr="00945257">
        <w:rPr>
          <w:rStyle w:val="FootnoteReference"/>
          <w:rFonts w:ascii="Arial" w:hAnsi="Arial" w:cs="Arial"/>
        </w:rPr>
        <w:footnoteRef/>
      </w:r>
      <w:r w:rsidRPr="00945257">
        <w:rPr>
          <w:rFonts w:ascii="Arial" w:hAnsi="Arial" w:cs="Arial"/>
        </w:rPr>
        <w:t xml:space="preserve"> </w:t>
      </w:r>
      <w:r w:rsidR="00C176ED" w:rsidRPr="00945257">
        <w:rPr>
          <w:rFonts w:ascii="Arial" w:hAnsi="Arial" w:cs="Arial"/>
          <w:lang w:val="en-US"/>
        </w:rPr>
        <w:t xml:space="preserve">Walter of Châtillon, </w:t>
      </w:r>
      <w:r w:rsidR="00C176ED" w:rsidRPr="00945257">
        <w:rPr>
          <w:rFonts w:ascii="Arial" w:hAnsi="Arial" w:cs="Arial"/>
          <w:i/>
          <w:iCs/>
          <w:lang w:val="en-US"/>
        </w:rPr>
        <w:t>Alexandreis</w:t>
      </w:r>
      <w:r w:rsidR="00C176ED" w:rsidRPr="00945257">
        <w:rPr>
          <w:rFonts w:ascii="Arial" w:hAnsi="Arial" w:cs="Arial"/>
          <w:lang w:val="en-US"/>
        </w:rPr>
        <w:t>. 8.</w:t>
      </w:r>
      <w:r w:rsidR="00C176ED" w:rsidRPr="00945257">
        <w:rPr>
          <w:rFonts w:ascii="Arial" w:hAnsi="Arial" w:cs="Arial"/>
          <w:lang w:val="en-US"/>
        </w:rPr>
        <w:t>44.</w:t>
      </w:r>
    </w:p>
  </w:footnote>
  <w:footnote w:id="10">
    <w:p w14:paraId="7AD2D547" w14:textId="7B67C9D0" w:rsidR="00555334" w:rsidRPr="00555334" w:rsidRDefault="00555334">
      <w:pPr>
        <w:pStyle w:val="FootnoteText"/>
        <w:rPr>
          <w:lang w:val="en-US"/>
        </w:rPr>
      </w:pPr>
      <w:r w:rsidRPr="00945257">
        <w:rPr>
          <w:rStyle w:val="FootnoteReference"/>
          <w:rFonts w:ascii="Arial" w:hAnsi="Arial" w:cs="Arial"/>
        </w:rPr>
        <w:footnoteRef/>
      </w:r>
      <w:r w:rsidRPr="00945257">
        <w:rPr>
          <w:rFonts w:ascii="Arial" w:hAnsi="Arial" w:cs="Arial"/>
        </w:rPr>
        <w:t xml:space="preserve"> </w:t>
      </w:r>
      <w:r w:rsidR="00C176ED" w:rsidRPr="00945257">
        <w:rPr>
          <w:rFonts w:ascii="Arial" w:hAnsi="Arial" w:cs="Arial"/>
          <w:lang w:val="en-US"/>
        </w:rPr>
        <w:t xml:space="preserve">Curt. </w:t>
      </w:r>
      <w:r w:rsidR="00C176ED" w:rsidRPr="00945257">
        <w:rPr>
          <w:rFonts w:ascii="Arial" w:hAnsi="Arial" w:cs="Arial"/>
          <w:i/>
          <w:iCs/>
        </w:rPr>
        <w:t>Historiae Alexandri Magni</w:t>
      </w:r>
      <w:r w:rsidR="00C176ED" w:rsidRPr="00945257">
        <w:rPr>
          <w:rFonts w:ascii="Arial" w:hAnsi="Arial" w:cs="Arial"/>
        </w:rPr>
        <w:t>.</w:t>
      </w:r>
      <w:r w:rsidR="00C176ED" w:rsidRPr="00945257">
        <w:rPr>
          <w:rFonts w:ascii="Arial" w:hAnsi="Arial" w:cs="Arial"/>
          <w:lang w:val="en-US"/>
        </w:rPr>
        <w:t xml:space="preserve"> 6.5.</w:t>
      </w:r>
      <w:r w:rsidR="00C176ED" w:rsidRPr="00945257">
        <w:rPr>
          <w:rFonts w:ascii="Arial" w:hAnsi="Arial" w:cs="Arial"/>
          <w:lang w:val="en-US"/>
        </w:rPr>
        <w:t>29</w:t>
      </w:r>
    </w:p>
  </w:footnote>
  <w:footnote w:id="11">
    <w:p w14:paraId="1E68B499" w14:textId="1DB67AD5" w:rsidR="00555334" w:rsidRPr="00945257" w:rsidRDefault="00555334">
      <w:pPr>
        <w:pStyle w:val="FootnoteText"/>
        <w:rPr>
          <w:rFonts w:ascii="Arial" w:hAnsi="Arial" w:cs="Arial"/>
          <w:lang w:val="en-US"/>
        </w:rPr>
      </w:pPr>
      <w:r w:rsidRPr="00945257">
        <w:rPr>
          <w:rStyle w:val="FootnoteReference"/>
          <w:rFonts w:ascii="Arial" w:hAnsi="Arial" w:cs="Arial"/>
        </w:rPr>
        <w:footnoteRef/>
      </w:r>
      <w:r w:rsidRPr="00945257">
        <w:rPr>
          <w:rFonts w:ascii="Arial" w:hAnsi="Arial" w:cs="Arial"/>
        </w:rPr>
        <w:t xml:space="preserve"> </w:t>
      </w:r>
      <w:r w:rsidRPr="00945257">
        <w:rPr>
          <w:rFonts w:ascii="Arial" w:hAnsi="Arial" w:cs="Arial"/>
          <w:lang w:val="en-US"/>
        </w:rPr>
        <w:t>Walter of Ch</w:t>
      </w:r>
      <w:r w:rsidR="00C176ED" w:rsidRPr="00945257">
        <w:rPr>
          <w:rFonts w:ascii="Arial" w:hAnsi="Arial" w:cs="Arial"/>
          <w:lang w:val="en-US"/>
        </w:rPr>
        <w:t>â</w:t>
      </w:r>
      <w:r w:rsidRPr="00945257">
        <w:rPr>
          <w:rFonts w:ascii="Arial" w:hAnsi="Arial" w:cs="Arial"/>
          <w:lang w:val="en-US"/>
        </w:rPr>
        <w:t>tillon</w:t>
      </w:r>
      <w:r w:rsidR="00C176ED" w:rsidRPr="00945257">
        <w:rPr>
          <w:rFonts w:ascii="Arial" w:hAnsi="Arial" w:cs="Arial"/>
          <w:lang w:val="en-US"/>
        </w:rPr>
        <w:t xml:space="preserve">, </w:t>
      </w:r>
      <w:r w:rsidR="00C176ED" w:rsidRPr="00945257">
        <w:rPr>
          <w:rFonts w:ascii="Arial" w:hAnsi="Arial" w:cs="Arial"/>
          <w:i/>
          <w:iCs/>
          <w:lang w:val="en-US"/>
        </w:rPr>
        <w:t>Alexandreis</w:t>
      </w:r>
      <w:r w:rsidR="00C176ED" w:rsidRPr="00945257">
        <w:rPr>
          <w:rFonts w:ascii="Arial" w:hAnsi="Arial" w:cs="Arial"/>
          <w:lang w:val="en-US"/>
        </w:rPr>
        <w:t>. 8.29-32.</w:t>
      </w:r>
      <w:r w:rsidRPr="00945257">
        <w:rPr>
          <w:rFonts w:ascii="Arial" w:hAnsi="Arial" w:cs="Arial"/>
          <w:lang w:val="en-US"/>
        </w:rPr>
        <w:t xml:space="preserve"> </w:t>
      </w:r>
    </w:p>
  </w:footnote>
  <w:footnote w:id="12">
    <w:p w14:paraId="1EABAB37" w14:textId="0CA22494" w:rsidR="005E0153" w:rsidRPr="00945257" w:rsidRDefault="005E0153">
      <w:pPr>
        <w:pStyle w:val="FootnoteText"/>
        <w:rPr>
          <w:rFonts w:ascii="Arial" w:hAnsi="Arial" w:cs="Arial"/>
          <w:lang w:val="en-US"/>
        </w:rPr>
      </w:pPr>
      <w:r w:rsidRPr="00945257">
        <w:rPr>
          <w:rStyle w:val="FootnoteReference"/>
          <w:rFonts w:ascii="Arial" w:hAnsi="Arial" w:cs="Arial"/>
        </w:rPr>
        <w:footnoteRef/>
      </w:r>
      <w:r w:rsidRPr="00945257">
        <w:rPr>
          <w:rFonts w:ascii="Arial" w:hAnsi="Arial" w:cs="Arial"/>
        </w:rPr>
        <w:t xml:space="preserve"> </w:t>
      </w:r>
      <w:r w:rsidRPr="00945257">
        <w:rPr>
          <w:rFonts w:ascii="Arial" w:hAnsi="Arial" w:cs="Arial"/>
          <w:lang w:val="en-US"/>
        </w:rPr>
        <w:t>Lafferty</w:t>
      </w:r>
      <w:r w:rsidR="004B6D06" w:rsidRPr="00945257">
        <w:rPr>
          <w:rFonts w:ascii="Arial" w:hAnsi="Arial" w:cs="Arial"/>
          <w:lang w:val="en-US"/>
        </w:rPr>
        <w:t>, 2011,</w:t>
      </w:r>
      <w:r w:rsidRPr="00945257">
        <w:rPr>
          <w:rFonts w:ascii="Arial" w:hAnsi="Arial" w:cs="Arial"/>
          <w:lang w:val="en-US"/>
        </w:rPr>
        <w:t xml:space="preserve"> p</w:t>
      </w:r>
      <w:r w:rsidR="004B6D06" w:rsidRPr="00945257">
        <w:rPr>
          <w:rFonts w:ascii="Arial" w:hAnsi="Arial" w:cs="Arial"/>
          <w:lang w:val="en-US"/>
        </w:rPr>
        <w:t>.</w:t>
      </w:r>
      <w:r w:rsidRPr="00945257">
        <w:rPr>
          <w:rFonts w:ascii="Arial" w:hAnsi="Arial" w:cs="Arial"/>
          <w:lang w:val="en-US"/>
        </w:rPr>
        <w:t>197</w:t>
      </w:r>
      <w:r w:rsidR="004B6D06" w:rsidRPr="00945257">
        <w:rPr>
          <w:rFonts w:ascii="Arial" w:hAnsi="Arial" w:cs="Arial"/>
          <w:lang w:val="en-US"/>
        </w:rPr>
        <w:t>.</w:t>
      </w:r>
    </w:p>
  </w:footnote>
  <w:footnote w:id="13">
    <w:p w14:paraId="600DC160" w14:textId="69BBD054" w:rsidR="00006557" w:rsidRPr="00006557" w:rsidRDefault="00006557">
      <w:pPr>
        <w:pStyle w:val="FootnoteText"/>
        <w:rPr>
          <w:lang w:val="en-US"/>
        </w:rPr>
      </w:pPr>
      <w:r w:rsidRPr="00945257">
        <w:rPr>
          <w:rStyle w:val="FootnoteReference"/>
          <w:rFonts w:ascii="Arial" w:hAnsi="Arial" w:cs="Arial"/>
        </w:rPr>
        <w:footnoteRef/>
      </w:r>
      <w:r w:rsidRPr="00945257">
        <w:rPr>
          <w:rFonts w:ascii="Arial" w:hAnsi="Arial" w:cs="Arial"/>
        </w:rPr>
        <w:t xml:space="preserve"> </w:t>
      </w:r>
      <w:r w:rsidR="00111537">
        <w:rPr>
          <w:rFonts w:ascii="Arial" w:hAnsi="Arial" w:cs="Arial"/>
        </w:rPr>
        <w:t xml:space="preserve">Leo of Naples, </w:t>
      </w:r>
      <w:r w:rsidRPr="00111537">
        <w:rPr>
          <w:rFonts w:ascii="Arial" w:hAnsi="Arial" w:cs="Arial"/>
          <w:i/>
          <w:iCs/>
          <w:lang w:val="en-US"/>
        </w:rPr>
        <w:t>Historia de preliis</w:t>
      </w:r>
      <w:r w:rsidR="00111537">
        <w:rPr>
          <w:rFonts w:ascii="Arial" w:hAnsi="Arial" w:cs="Arial"/>
          <w:lang w:val="en-US"/>
        </w:rPr>
        <w:t>,</w:t>
      </w:r>
      <w:r w:rsidRPr="00945257">
        <w:rPr>
          <w:rFonts w:ascii="Arial" w:hAnsi="Arial" w:cs="Arial"/>
          <w:lang w:val="en-US"/>
        </w:rPr>
        <w:t xml:space="preserve"> p</w:t>
      </w:r>
      <w:r w:rsidR="00111537">
        <w:rPr>
          <w:rFonts w:ascii="Arial" w:hAnsi="Arial" w:cs="Arial"/>
          <w:lang w:val="en-US"/>
        </w:rPr>
        <w:t>.</w:t>
      </w:r>
      <w:r w:rsidR="008E5579" w:rsidRPr="00945257">
        <w:rPr>
          <w:rFonts w:ascii="Arial" w:hAnsi="Arial" w:cs="Arial"/>
          <w:lang w:val="en-US"/>
        </w:rPr>
        <w:t>77</w:t>
      </w:r>
      <w:r w:rsidR="00111537">
        <w:rPr>
          <w:rFonts w:ascii="Arial" w:hAnsi="Arial" w:cs="Arial"/>
          <w:lang w:val="en-US"/>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EA2C58" w14:textId="56B4122B" w:rsidR="00634817" w:rsidRPr="00634817" w:rsidRDefault="00634817" w:rsidP="00634817">
    <w:pPr>
      <w:spacing w:line="276" w:lineRule="auto"/>
      <w:jc w:val="both"/>
      <w:rPr>
        <w:rFonts w:ascii="Arial" w:hAnsi="Arial" w:cs="Arial"/>
        <w:b/>
        <w:bCs/>
        <w:sz w:val="20"/>
        <w:szCs w:val="20"/>
      </w:rPr>
    </w:pPr>
    <w:r w:rsidRPr="00634817">
      <w:rPr>
        <w:rFonts w:ascii="Arial" w:hAnsi="Arial" w:cs="Arial"/>
        <w:b/>
        <w:bCs/>
        <w:sz w:val="20"/>
        <w:szCs w:val="20"/>
      </w:rPr>
      <w:t xml:space="preserve">Give a detailed account of Alexander’s encounter with Talestris in the sources and include analysis of reasons for the differences. Focus upon Walter of Chatillon, </w:t>
    </w:r>
    <w:r w:rsidRPr="00634817">
      <w:rPr>
        <w:rFonts w:ascii="Arial" w:hAnsi="Arial" w:cs="Arial"/>
        <w:b/>
        <w:bCs/>
        <w:i/>
        <w:iCs/>
        <w:sz w:val="20"/>
        <w:szCs w:val="20"/>
      </w:rPr>
      <w:t xml:space="preserve">Alexandreis </w:t>
    </w:r>
    <w:r w:rsidRPr="00634817">
      <w:rPr>
        <w:rFonts w:ascii="Arial" w:hAnsi="Arial" w:cs="Arial"/>
        <w:b/>
        <w:bCs/>
        <w:sz w:val="20"/>
        <w:szCs w:val="20"/>
      </w:rPr>
      <w:t xml:space="preserve">8.1-48; Quintus Curtius Rufus 6.5.24-32; and </w:t>
    </w:r>
    <w:r w:rsidRPr="00634817">
      <w:rPr>
        <w:rFonts w:ascii="Arial" w:hAnsi="Arial" w:cs="Arial"/>
        <w:b/>
        <w:bCs/>
        <w:i/>
        <w:iCs/>
        <w:sz w:val="20"/>
        <w:szCs w:val="20"/>
      </w:rPr>
      <w:t xml:space="preserve">Historia de preliis </w:t>
    </w:r>
    <w:r w:rsidRPr="00634817">
      <w:rPr>
        <w:rFonts w:ascii="Arial" w:hAnsi="Arial" w:cs="Arial"/>
        <w:b/>
        <w:bCs/>
        <w:sz w:val="20"/>
        <w:szCs w:val="20"/>
      </w:rPr>
      <w:t>pp77-9.</w:t>
    </w:r>
  </w:p>
  <w:p w14:paraId="77AE9288" w14:textId="0A4E323E" w:rsidR="002253BB" w:rsidRPr="002253BB" w:rsidRDefault="002253BB" w:rsidP="00634817">
    <w:pPr>
      <w:pStyle w:val="Header"/>
      <w:jc w:val="center"/>
      <w:rPr>
        <w:rFonts w:ascii="Arial" w:hAnsi="Arial" w:cs="Arial"/>
        <w:lang w:val="en-US"/>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53BB"/>
    <w:rsid w:val="00006557"/>
    <w:rsid w:val="00036013"/>
    <w:rsid w:val="000977DD"/>
    <w:rsid w:val="000A5D27"/>
    <w:rsid w:val="00110F1D"/>
    <w:rsid w:val="00111537"/>
    <w:rsid w:val="00112973"/>
    <w:rsid w:val="001736E0"/>
    <w:rsid w:val="00182880"/>
    <w:rsid w:val="0019694D"/>
    <w:rsid w:val="001B5B0E"/>
    <w:rsid w:val="002253BB"/>
    <w:rsid w:val="00250E19"/>
    <w:rsid w:val="002B3F67"/>
    <w:rsid w:val="002C26B6"/>
    <w:rsid w:val="002E19DB"/>
    <w:rsid w:val="002E5450"/>
    <w:rsid w:val="0031006E"/>
    <w:rsid w:val="00310DF1"/>
    <w:rsid w:val="00342837"/>
    <w:rsid w:val="00344AC7"/>
    <w:rsid w:val="003559E2"/>
    <w:rsid w:val="00366525"/>
    <w:rsid w:val="0037723D"/>
    <w:rsid w:val="00382712"/>
    <w:rsid w:val="0039121D"/>
    <w:rsid w:val="003912CF"/>
    <w:rsid w:val="00394BB4"/>
    <w:rsid w:val="003B2AE9"/>
    <w:rsid w:val="004B6D06"/>
    <w:rsid w:val="004C102B"/>
    <w:rsid w:val="005047CA"/>
    <w:rsid w:val="00547DA5"/>
    <w:rsid w:val="00555334"/>
    <w:rsid w:val="005E0153"/>
    <w:rsid w:val="00634817"/>
    <w:rsid w:val="006357A3"/>
    <w:rsid w:val="006856B9"/>
    <w:rsid w:val="00691396"/>
    <w:rsid w:val="006B4494"/>
    <w:rsid w:val="006F1257"/>
    <w:rsid w:val="0075202E"/>
    <w:rsid w:val="0080637C"/>
    <w:rsid w:val="00872847"/>
    <w:rsid w:val="008A2D19"/>
    <w:rsid w:val="008E34E8"/>
    <w:rsid w:val="008E5579"/>
    <w:rsid w:val="008F28A3"/>
    <w:rsid w:val="008F30FF"/>
    <w:rsid w:val="00921124"/>
    <w:rsid w:val="00923129"/>
    <w:rsid w:val="00943008"/>
    <w:rsid w:val="00945257"/>
    <w:rsid w:val="00952E16"/>
    <w:rsid w:val="00990C7A"/>
    <w:rsid w:val="009E6376"/>
    <w:rsid w:val="00A109A4"/>
    <w:rsid w:val="00A81791"/>
    <w:rsid w:val="00A83ABE"/>
    <w:rsid w:val="00A93B98"/>
    <w:rsid w:val="00AF0751"/>
    <w:rsid w:val="00AF1F88"/>
    <w:rsid w:val="00B12D50"/>
    <w:rsid w:val="00B31CBC"/>
    <w:rsid w:val="00B41AA7"/>
    <w:rsid w:val="00B65B10"/>
    <w:rsid w:val="00B66F3B"/>
    <w:rsid w:val="00B75078"/>
    <w:rsid w:val="00BD36CD"/>
    <w:rsid w:val="00BD7947"/>
    <w:rsid w:val="00C176ED"/>
    <w:rsid w:val="00C471E2"/>
    <w:rsid w:val="00C77458"/>
    <w:rsid w:val="00CA2212"/>
    <w:rsid w:val="00CB7513"/>
    <w:rsid w:val="00D359F7"/>
    <w:rsid w:val="00D64872"/>
    <w:rsid w:val="00D96B63"/>
    <w:rsid w:val="00DD4B09"/>
    <w:rsid w:val="00DD76DD"/>
    <w:rsid w:val="00E140DD"/>
    <w:rsid w:val="00E15454"/>
    <w:rsid w:val="00E20448"/>
    <w:rsid w:val="00E4192B"/>
    <w:rsid w:val="00E61419"/>
    <w:rsid w:val="00F465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0E5DCE"/>
  <w15:chartTrackingRefBased/>
  <w15:docId w15:val="{A7E85F31-B34D-45B6-AA07-3D5DFE74C4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658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253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53BB"/>
  </w:style>
  <w:style w:type="paragraph" w:styleId="Footer">
    <w:name w:val="footer"/>
    <w:basedOn w:val="Normal"/>
    <w:link w:val="FooterChar"/>
    <w:uiPriority w:val="99"/>
    <w:unhideWhenUsed/>
    <w:rsid w:val="002253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53BB"/>
  </w:style>
  <w:style w:type="paragraph" w:styleId="FootnoteText">
    <w:name w:val="footnote text"/>
    <w:basedOn w:val="Normal"/>
    <w:link w:val="FootnoteTextChar"/>
    <w:uiPriority w:val="99"/>
    <w:semiHidden/>
    <w:unhideWhenUsed/>
    <w:rsid w:val="003B2AE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B2AE9"/>
    <w:rPr>
      <w:sz w:val="20"/>
      <w:szCs w:val="20"/>
    </w:rPr>
  </w:style>
  <w:style w:type="character" w:styleId="FootnoteReference">
    <w:name w:val="footnote reference"/>
    <w:basedOn w:val="DefaultParagraphFont"/>
    <w:uiPriority w:val="99"/>
    <w:semiHidden/>
    <w:unhideWhenUsed/>
    <w:rsid w:val="003B2AE9"/>
    <w:rPr>
      <w:vertAlign w:val="superscript"/>
    </w:rPr>
  </w:style>
  <w:style w:type="character" w:customStyle="1" w:styleId="Heading1Char">
    <w:name w:val="Heading 1 Char"/>
    <w:basedOn w:val="DefaultParagraphFont"/>
    <w:link w:val="Heading1"/>
    <w:uiPriority w:val="9"/>
    <w:rsid w:val="00F4658D"/>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8240134">
      <w:bodyDiv w:val="1"/>
      <w:marLeft w:val="0"/>
      <w:marRight w:val="0"/>
      <w:marTop w:val="0"/>
      <w:marBottom w:val="0"/>
      <w:divBdr>
        <w:top w:val="none" w:sz="0" w:space="0" w:color="auto"/>
        <w:left w:val="none" w:sz="0" w:space="0" w:color="auto"/>
        <w:bottom w:val="none" w:sz="0" w:space="0" w:color="auto"/>
        <w:right w:val="none" w:sz="0" w:space="0" w:color="auto"/>
      </w:divBdr>
    </w:div>
    <w:div w:id="19155835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0135E0-DD1E-430D-BB06-ADF4ABC14B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3039</TotalTime>
  <Pages>4</Pages>
  <Words>1211</Words>
  <Characters>6822</Characters>
  <Application>Microsoft Office Word</Application>
  <DocSecurity>0</DocSecurity>
  <Lines>108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Hardy</dc:creator>
  <cp:keywords/>
  <dc:description/>
  <cp:lastModifiedBy>Ruth Hardy</cp:lastModifiedBy>
  <cp:revision>19</cp:revision>
  <dcterms:created xsi:type="dcterms:W3CDTF">2020-01-08T16:02:00Z</dcterms:created>
  <dcterms:modified xsi:type="dcterms:W3CDTF">2020-01-13T15:40:00Z</dcterms:modified>
</cp:coreProperties>
</file>