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7296744" w14:textId="0F7F68FE" w:rsidR="00C81502" w:rsidRPr="00D62DFE" w:rsidRDefault="00D62DFE" w:rsidP="00BF27A8">
      <w:pPr>
        <w:spacing w:line="360" w:lineRule="auto"/>
        <w:jc w:val="both"/>
        <w:rPr>
          <w:rFonts w:ascii="Arial" w:hAnsi="Arial" w:cs="Arial"/>
          <w:color w:val="1A1A1A" w:themeColor="background1" w:themeShade="1A"/>
          <w:kern w:val="0"/>
          <w:sz w:val="20"/>
          <w:szCs w:val="20"/>
          <w:lang w:val="cy-GB" w:eastAsia="ja-JP"/>
          <w14:ligatures w14:val="none"/>
        </w:rPr>
      </w:pPr>
      <w:r>
        <w:rPr>
          <w:rFonts w:ascii="Arial" w:hAnsi="Arial" w:cs="Arial"/>
          <w:color w:val="1A1A1A" w:themeColor="background1" w:themeShade="1A"/>
          <w:kern w:val="0"/>
          <w:sz w:val="20"/>
          <w:szCs w:val="20"/>
          <w:lang w:val="cy-GB" w:eastAsia="ja-JP"/>
          <w14:ligatures w14:val="none"/>
        </w:rPr>
        <w:t xml:space="preserve">Dydw i ddim wedi defnyddio ai. </w:t>
      </w:r>
    </w:p>
    <w:p w14:paraId="3E1E24E7" w14:textId="03BEBB70" w:rsidR="00D86258" w:rsidRPr="00D86258" w:rsidRDefault="00D86258" w:rsidP="00BF27A8">
      <w:pPr>
        <w:spacing w:line="360" w:lineRule="auto"/>
        <w:jc w:val="both"/>
        <w:rPr>
          <w:rFonts w:ascii="Arial" w:hAnsi="Arial" w:cs="Arial"/>
          <w:b/>
          <w:bCs/>
          <w:color w:val="1A1A1A" w:themeColor="background1" w:themeShade="1A"/>
          <w:kern w:val="0"/>
          <w:sz w:val="20"/>
          <w:szCs w:val="20"/>
          <w:u w:val="single"/>
          <w:lang w:val="cy-GB" w:eastAsia="ja-JP"/>
          <w14:ligatures w14:val="none"/>
        </w:rPr>
      </w:pPr>
      <w:r w:rsidRPr="00D86258">
        <w:rPr>
          <w:rFonts w:ascii="Arial" w:hAnsi="Arial" w:cs="Arial"/>
          <w:b/>
          <w:bCs/>
          <w:color w:val="1A1A1A" w:themeColor="background1" w:themeShade="1A"/>
          <w:kern w:val="0"/>
          <w:sz w:val="20"/>
          <w:szCs w:val="20"/>
          <w:u w:val="single"/>
          <w:lang w:val="cy-GB" w:eastAsia="ja-JP"/>
          <w14:ligatures w14:val="none"/>
        </w:rPr>
        <w:t xml:space="preserve">Myfyrio Chloe Jones: </w:t>
      </w:r>
    </w:p>
    <w:p w14:paraId="257A7821" w14:textId="77777777" w:rsidR="00D86258" w:rsidRPr="00D86258" w:rsidRDefault="00D86258" w:rsidP="00BF27A8">
      <w:pPr>
        <w:spacing w:line="360" w:lineRule="auto"/>
        <w:jc w:val="both"/>
        <w:rPr>
          <w:rFonts w:ascii="Arial" w:hAnsi="Arial" w:cs="Arial"/>
          <w:color w:val="1A1A1A" w:themeColor="background1" w:themeShade="1A"/>
          <w:kern w:val="0"/>
          <w:sz w:val="20"/>
          <w:szCs w:val="20"/>
          <w:lang w:val="cy-GB" w:eastAsia="ja-JP"/>
          <w14:ligatures w14:val="none"/>
        </w:rPr>
      </w:pPr>
      <w:r w:rsidRPr="00D86258">
        <w:rPr>
          <w:rFonts w:ascii="Arial" w:hAnsi="Arial" w:cs="Arial"/>
          <w:color w:val="1A1A1A" w:themeColor="background1" w:themeShade="1A"/>
          <w:kern w:val="0"/>
          <w:sz w:val="20"/>
          <w:szCs w:val="20"/>
          <w:lang w:val="cy-GB" w:eastAsia="ja-JP"/>
          <w14:ligatures w14:val="none"/>
        </w:rPr>
        <w:t xml:space="preserve">Gan fyfyrio ar y gynhadledd amddiffyn plant gychwynnol, rhoddais fframwaith 5 R ar waith i sicrhau diogelwch cynhwysfawr. Roedd derbyn gwybodaeth yn mynnu dull sensitif, sy'n canolbwyntio ar y plentyn Munro, E. (2011), tra bod cofnodi yn gofyn am ddogfennaeth fanwl a gwrthrychol Daniel, B., &amp; Wassell, S. (2002). Roedd adrodd yn cynnwys cyfathrebu amlasiantaethol tryloyw Brandon, M., </w:t>
      </w:r>
      <w:r w:rsidRPr="00D86258">
        <w:rPr>
          <w:rFonts w:ascii="Arial" w:hAnsi="Arial" w:cs="Arial"/>
          <w:i/>
          <w:iCs/>
          <w:color w:val="1A1A1A" w:themeColor="background1" w:themeShade="1A"/>
          <w:kern w:val="0"/>
          <w:sz w:val="20"/>
          <w:szCs w:val="20"/>
          <w:lang w:val="cy-GB" w:eastAsia="ja-JP"/>
          <w14:ligatures w14:val="none"/>
        </w:rPr>
        <w:t>et al.</w:t>
      </w:r>
      <w:r w:rsidRPr="00D86258">
        <w:rPr>
          <w:rFonts w:ascii="Arial" w:hAnsi="Arial" w:cs="Arial"/>
          <w:color w:val="1A1A1A" w:themeColor="background1" w:themeShade="1A"/>
          <w:kern w:val="0"/>
          <w:sz w:val="20"/>
          <w:szCs w:val="20"/>
          <w:lang w:val="cy-GB" w:eastAsia="ja-JP"/>
          <w14:ligatures w14:val="none"/>
        </w:rPr>
        <w:t xml:space="preserve"> (2008), a chyfeirio ymyriadau strategol angenrheidiol sy'n cyd-fynd â chanllawiau diogelu HM Government. (2018)</w:t>
      </w:r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 Appleton, J.V., Harrison, J. and </w:t>
      </w:r>
      <w:proofErr w:type="spellStart"/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>Mumby-Croft</w:t>
      </w:r>
      <w:proofErr w:type="spellEnd"/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>, K., (2020)</w:t>
      </w:r>
      <w:r w:rsidRPr="00D86258">
        <w:rPr>
          <w:rFonts w:ascii="Arial" w:hAnsi="Arial" w:cs="Arial"/>
          <w:color w:val="1A1A1A" w:themeColor="background1" w:themeShade="1A"/>
          <w:kern w:val="0"/>
          <w:sz w:val="20"/>
          <w:szCs w:val="20"/>
          <w:lang w:val="cy-GB" w:eastAsia="ja-JP"/>
          <w14:ligatures w14:val="none"/>
        </w:rPr>
        <w:t xml:space="preserve"> . Adolygu sicrhau rheoli achos parhaus, addasol, gan gydnabod natur ddeinamig amddiffyn plant trwy drafodaethau amlasiantaethol parhaus Thompson, N. (2000). Roedd y broses hon yn bwynt ymyrraeth hanfodol wrth gefnogi lles y plentyn, gan flaenoriaethu cefnogaeth gyfannol, sy'n canolbwyntio ar y plentyn.</w:t>
      </w:r>
    </w:p>
    <w:p w14:paraId="2A4FE60B" w14:textId="56390E95" w:rsidR="001F5808" w:rsidRPr="00D86258" w:rsidRDefault="00D86258" w:rsidP="00BF27A8">
      <w:pPr>
        <w:spacing w:line="360" w:lineRule="auto"/>
        <w:jc w:val="both"/>
        <w:rPr>
          <w:rFonts w:ascii="Arial" w:hAnsi="Arial" w:cs="Arial"/>
          <w:color w:val="1A1A1A" w:themeColor="background1" w:themeShade="1A"/>
          <w:kern w:val="0"/>
          <w:sz w:val="20"/>
          <w:szCs w:val="20"/>
          <w:lang w:val="cy-GB" w:eastAsia="ja-JP"/>
          <w14:ligatures w14:val="none"/>
        </w:rPr>
      </w:pPr>
      <w:r w:rsidRPr="00D86258">
        <w:rPr>
          <w:rFonts w:ascii="Arial" w:hAnsi="Arial" w:cs="Arial"/>
          <w:color w:val="1A1A1A" w:themeColor="background1" w:themeShade="1A"/>
          <w:kern w:val="0"/>
          <w:sz w:val="20"/>
          <w:szCs w:val="20"/>
          <w:lang w:val="cy-GB" w:eastAsia="ja-JP"/>
          <w14:ligatures w14:val="none"/>
        </w:rPr>
        <w:t>Drwy’r aseiniad hwn, rwyf wedi cael mewnwelediadau dwfn i gymhlethdodau ymarfer amddiffyn plant. Roedd fframwaith y 5 R yn amlygu natur gymhleth a chyfannol gwaith diogelu, gan ddangos sut mae pob cam—derbyn, cofnodi, adrodd, cyfeirio, ac adolygu—rhyng-gysylltu i gefnogi plant bregus. Daeth pwysigrwydd beirniadol ymarfer proffesiynol, empathig i'r amlwg, gan dynnu sylw at yr angen am ddulliau systematig ond tosturiol sy'n blaenoriaethu lles plant. Roedd ymgysylltu â chyfeiriadau academaidd yn dyfnhau fy nealltwriaeth o sylfeini damcaniaethol sy'n sail i ymyriadau amddiffyn plant, gan atgyfnerthu arwyddocâd ymarfer sy'n seiliedig ar dystiolaeth a myfyrdod proffesiynol parhaus. Diolch</w:t>
      </w:r>
    </w:p>
    <w:p w14:paraId="6FE822D6" w14:textId="24570274" w:rsidR="00D86258" w:rsidRPr="00FB6A0B" w:rsidRDefault="001F5808" w:rsidP="00BF27A8">
      <w:pPr>
        <w:spacing w:line="360" w:lineRule="auto"/>
        <w:jc w:val="both"/>
        <w:rPr>
          <w:rFonts w:ascii="Arial" w:hAnsi="Arial" w:cs="Arial"/>
          <w:b/>
          <w:bCs/>
          <w:color w:val="1A1A1A" w:themeColor="background1" w:themeShade="1A"/>
          <w:kern w:val="0"/>
          <w:sz w:val="20"/>
          <w:szCs w:val="20"/>
          <w:lang w:val="cy-GB" w:eastAsia="ja-JP"/>
          <w14:ligatures w14:val="none"/>
        </w:rPr>
      </w:pPr>
      <w:r w:rsidRPr="00FB6A0B">
        <w:rPr>
          <w:rFonts w:ascii="Arial" w:hAnsi="Arial" w:cs="Arial"/>
          <w:b/>
          <w:bCs/>
          <w:color w:val="1A1A1A" w:themeColor="background1" w:themeShade="1A"/>
          <w:kern w:val="0"/>
          <w:sz w:val="20"/>
          <w:szCs w:val="20"/>
          <w:lang w:val="cy-GB" w:eastAsia="ja-JP"/>
          <w14:ligatures w14:val="none"/>
        </w:rPr>
        <w:t>References:</w:t>
      </w:r>
    </w:p>
    <w:p w14:paraId="378D7144" w14:textId="77777777" w:rsidR="00D86258" w:rsidRPr="00D86258" w:rsidRDefault="00D86258" w:rsidP="00BF27A8">
      <w:pPr>
        <w:spacing w:before="240" w:after="240" w:line="360" w:lineRule="auto"/>
        <w:jc w:val="both"/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</w:pPr>
      <w:r w:rsidRPr="00D86258">
        <w:rPr>
          <w:rFonts w:ascii="Arial" w:eastAsia="Aptos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Munro, E. (2011). The Munro Review of Child Protection: Final Report. </w:t>
      </w:r>
      <w:hyperlink r:id="rId6">
        <w:r w:rsidRPr="00D86258">
          <w:rPr>
            <w:rFonts w:ascii="Arial" w:eastAsia="Aptos" w:hAnsi="Arial" w:cs="Arial"/>
            <w:color w:val="1A1A1A" w:themeColor="background1" w:themeShade="1A"/>
            <w:kern w:val="0"/>
            <w:sz w:val="20"/>
            <w:szCs w:val="20"/>
            <w:u w:val="single"/>
            <w:lang w:val="en-GB" w:eastAsia="ja-JP"/>
            <w14:ligatures w14:val="none"/>
          </w:rPr>
          <w:t>https://www.gov.uk/government/publications/munro-review-of-child-protection-final-report-a-child-centred-system</w:t>
        </w:r>
      </w:hyperlink>
      <w:r w:rsidRPr="00D86258">
        <w:rPr>
          <w:rFonts w:ascii="Arial" w:eastAsia="Aptos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 </w:t>
      </w:r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>(Accessed:26 November 2024)</w:t>
      </w:r>
    </w:p>
    <w:p w14:paraId="483F0B67" w14:textId="77777777" w:rsidR="00D86258" w:rsidRPr="00D86258" w:rsidRDefault="00D86258" w:rsidP="00BF27A8">
      <w:pPr>
        <w:spacing w:before="240" w:after="240" w:line="360" w:lineRule="auto"/>
        <w:jc w:val="both"/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</w:pPr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Daniel, B., </w:t>
      </w:r>
      <w:proofErr w:type="spellStart"/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>Wassell</w:t>
      </w:r>
      <w:proofErr w:type="spellEnd"/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, S. and Campbell, I., (2002). </w:t>
      </w:r>
      <w:r w:rsidRPr="00D86258">
        <w:rPr>
          <w:rFonts w:ascii="Arial" w:eastAsia="Arial" w:hAnsi="Arial" w:cs="Arial"/>
          <w:i/>
          <w:iCs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>Assessing and promoting resilience in vulnerable children: The school years</w:t>
      </w:r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 (Vol. 2). Jessica Kingsley Publishers. </w:t>
      </w:r>
      <w:hyperlink r:id="rId7">
        <w:r w:rsidRPr="00D86258">
          <w:rPr>
            <w:rFonts w:ascii="Arial" w:eastAsia="Arial" w:hAnsi="Arial" w:cs="Arial"/>
            <w:color w:val="1A1A1A" w:themeColor="background1" w:themeShade="1A"/>
            <w:kern w:val="0"/>
            <w:sz w:val="20"/>
            <w:szCs w:val="20"/>
            <w:u w:val="single"/>
            <w:lang w:val="en-GB" w:eastAsia="ja-JP"/>
            <w14:ligatures w14:val="none"/>
          </w:rPr>
          <w:t>https://books.google.com/books?hl=en&amp;lr=&amp;id=JNEPBQAAQBAJ&amp;oi=fnd&amp;pg=PA5&amp;dq=Daniel,+B.,+%26+Wassell,+S.+(2002).+Assessing+and+Promoting+Resilience+in+Vulnerable+Children.&amp;ots=XvQhkYMzU1&amp;sig=XUhijZizUH3IfKhaUQymT1BUuWo</w:t>
        </w:r>
      </w:hyperlink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 (Accessed:26 November 024)</w:t>
      </w:r>
    </w:p>
    <w:p w14:paraId="35A5561F" w14:textId="562334D3" w:rsidR="00D86258" w:rsidRPr="00D86258" w:rsidRDefault="00D86258" w:rsidP="00BF27A8">
      <w:pPr>
        <w:spacing w:before="240" w:after="240" w:line="360" w:lineRule="auto"/>
        <w:jc w:val="both"/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</w:pPr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Brandon, M., </w:t>
      </w:r>
      <w:proofErr w:type="spellStart"/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>Belderson</w:t>
      </w:r>
      <w:proofErr w:type="spellEnd"/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, P., Warren, C., Howe, D., Gardner, R., Dodsworth, J. and Black, J., (2008). </w:t>
      </w:r>
      <w:r w:rsidRPr="00D86258">
        <w:rPr>
          <w:rFonts w:ascii="Arial" w:eastAsia="Arial" w:hAnsi="Arial" w:cs="Arial"/>
          <w:i/>
          <w:iCs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>Analysing child deaths and serious injury through abuse and neglect: what can we learn?</w:t>
      </w:r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 London: Department for Children, Schools and Families. </w:t>
      </w:r>
      <w:hyperlink r:id="rId8">
        <w:r w:rsidRPr="00D86258">
          <w:rPr>
            <w:rFonts w:ascii="Arial" w:eastAsia="Arial" w:hAnsi="Arial" w:cs="Arial"/>
            <w:color w:val="1A1A1A" w:themeColor="background1" w:themeShade="1A"/>
            <w:kern w:val="0"/>
            <w:sz w:val="20"/>
            <w:szCs w:val="20"/>
            <w:u w:val="single"/>
            <w:lang w:val="en-GB" w:eastAsia="ja-JP"/>
            <w14:ligatures w14:val="none"/>
          </w:rPr>
          <w:t>https://core.ac.uk/download/pdf/4156755.pdf</w:t>
        </w:r>
      </w:hyperlink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 (Accessed:26 November 2024)</w:t>
      </w:r>
    </w:p>
    <w:p w14:paraId="22E5A5BA" w14:textId="77777777" w:rsidR="00D86258" w:rsidRPr="00D86258" w:rsidRDefault="00D86258" w:rsidP="00BF27A8">
      <w:pPr>
        <w:spacing w:before="240" w:after="240" w:line="360" w:lineRule="auto"/>
        <w:jc w:val="both"/>
        <w:rPr>
          <w:rFonts w:ascii="Arial" w:eastAsia="Aptos" w:hAnsi="Arial" w:cs="Arial"/>
          <w:color w:val="1A1A1A" w:themeColor="background1" w:themeShade="1A"/>
          <w:kern w:val="0"/>
          <w:sz w:val="20"/>
          <w:szCs w:val="20"/>
          <w:lang w:eastAsia="ja-JP"/>
          <w14:ligatures w14:val="none"/>
        </w:rPr>
      </w:pPr>
      <w:r w:rsidRPr="00D86258">
        <w:rPr>
          <w:rFonts w:ascii="Arial" w:eastAsia="Aptos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lastRenderedPageBreak/>
        <w:t xml:space="preserve">HM Government. (2018). Working Together to Safeguard Children. </w:t>
      </w:r>
      <w:hyperlink r:id="rId9">
        <w:r w:rsidRPr="00D86258">
          <w:rPr>
            <w:rFonts w:ascii="Arial" w:eastAsia="Aptos" w:hAnsi="Arial" w:cs="Arial"/>
            <w:color w:val="1A1A1A" w:themeColor="background1" w:themeShade="1A"/>
            <w:kern w:val="0"/>
            <w:sz w:val="20"/>
            <w:szCs w:val="20"/>
            <w:u w:val="single"/>
            <w:lang w:val="en-GB" w:eastAsia="ja-JP"/>
            <w14:ligatures w14:val="none"/>
          </w:rPr>
          <w:t>https://www.gov.uk/government/publications/working-together-to-safeguard-children--2</w:t>
        </w:r>
      </w:hyperlink>
      <w:r w:rsidRPr="00D86258">
        <w:rPr>
          <w:rFonts w:ascii="Arial" w:eastAsia="Aptos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 (Accessed:26 November 2024) </w:t>
      </w:r>
    </w:p>
    <w:p w14:paraId="5F138877" w14:textId="77777777" w:rsidR="00D86258" w:rsidRPr="00D86258" w:rsidRDefault="00D86258" w:rsidP="00BF27A8">
      <w:pPr>
        <w:spacing w:before="240" w:after="240" w:line="360" w:lineRule="auto"/>
        <w:jc w:val="both"/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eastAsia="ja-JP"/>
          <w14:ligatures w14:val="none"/>
        </w:rPr>
      </w:pPr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Appleton, J.V., Harrison, J. and </w:t>
      </w:r>
      <w:proofErr w:type="spellStart"/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>Mumby-Croft</w:t>
      </w:r>
      <w:proofErr w:type="spellEnd"/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, K., (2020). Safeguarding children: a public health imperative. </w:t>
      </w:r>
      <w:r w:rsidRPr="00D86258">
        <w:rPr>
          <w:rFonts w:ascii="Arial" w:eastAsia="Arial" w:hAnsi="Arial" w:cs="Arial"/>
          <w:i/>
          <w:iCs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>Community Public Health in Policy and Practice E-Book: Community Public Health in Policy and Practice E-Book</w:t>
      </w:r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, p.263. </w:t>
      </w:r>
      <w:hyperlink r:id="rId10">
        <w:r w:rsidRPr="00D86258">
          <w:rPr>
            <w:rFonts w:ascii="Arial" w:eastAsia="Arial" w:hAnsi="Arial" w:cs="Arial"/>
            <w:color w:val="1A1A1A" w:themeColor="background1" w:themeShade="1A"/>
            <w:kern w:val="0"/>
            <w:sz w:val="20"/>
            <w:szCs w:val="20"/>
            <w:u w:val="single"/>
            <w:lang w:val="en-GB" w:eastAsia="ja-JP"/>
            <w14:ligatures w14:val="none"/>
          </w:rPr>
          <w:t>https://books.google.com/books?hl=en&amp;lr=&amp;id=OGjxDwAAQBAJ&amp;oi=fnd&amp;pg=PA263&amp;dq=HM+Government.+(2018).+Working+Together+to+Safeguard+Children.+&amp;ots=ejQmQtnmw3&amp;sig=-cOPAYveasWRbvt2VFHRPLdMWzs</w:t>
        </w:r>
      </w:hyperlink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 (Accessed:26 November 2024)</w:t>
      </w:r>
    </w:p>
    <w:p w14:paraId="0B672A68" w14:textId="77777777" w:rsidR="00D86258" w:rsidRPr="00D86258" w:rsidRDefault="00D86258" w:rsidP="00BF27A8">
      <w:pPr>
        <w:spacing w:line="360" w:lineRule="auto"/>
        <w:jc w:val="both"/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eastAsia="ja-JP"/>
          <w14:ligatures w14:val="none"/>
        </w:rPr>
      </w:pPr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Thompson, N., (2000). </w:t>
      </w:r>
      <w:r w:rsidRPr="00D86258">
        <w:rPr>
          <w:rFonts w:ascii="Arial" w:eastAsia="Arial" w:hAnsi="Arial" w:cs="Arial"/>
          <w:i/>
          <w:iCs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>EBOOK: Theory And Practice In Human Services</w:t>
      </w:r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. McGraw-Hill Education (UK). </w:t>
      </w:r>
      <w:hyperlink r:id="rId11">
        <w:r w:rsidRPr="00D86258">
          <w:rPr>
            <w:rFonts w:ascii="Arial" w:eastAsia="Arial" w:hAnsi="Arial" w:cs="Arial"/>
            <w:color w:val="1A1A1A" w:themeColor="background1" w:themeShade="1A"/>
            <w:kern w:val="0"/>
            <w:sz w:val="20"/>
            <w:szCs w:val="20"/>
            <w:u w:val="single"/>
            <w:lang w:val="en-GB" w:eastAsia="ja-JP"/>
            <w14:ligatures w14:val="none"/>
          </w:rPr>
          <w:t>https://books.google.com/books?hl=en&amp;lr=&amp;id=rrdEBgAAQBAJ&amp;oi=fnd&amp;pg=PP1&amp;dq=Thompson,+N.+(2000).+Theory+and+Practice+in+Human+Services.+&amp;ots=8wqx5sKFMm&amp;sig=o-j_NnwOIa7DqCXUAIH8fHpA__M</w:t>
        </w:r>
      </w:hyperlink>
      <w:r w:rsidRPr="00D86258">
        <w:rPr>
          <w:rFonts w:ascii="Arial" w:eastAsia="Arial" w:hAnsi="Arial" w:cs="Arial"/>
          <w:color w:val="1A1A1A" w:themeColor="background1" w:themeShade="1A"/>
          <w:kern w:val="0"/>
          <w:sz w:val="20"/>
          <w:szCs w:val="20"/>
          <w:lang w:val="en-GB" w:eastAsia="ja-JP"/>
          <w14:ligatures w14:val="none"/>
        </w:rPr>
        <w:t xml:space="preserve"> (Accessed:26 November 2024)</w:t>
      </w:r>
    </w:p>
    <w:p w14:paraId="10E40B2F" w14:textId="77777777" w:rsidR="00D86258" w:rsidRPr="001F5808" w:rsidRDefault="00D86258">
      <w:pPr>
        <w:rPr>
          <w:rFonts w:ascii="Arial" w:hAnsi="Arial" w:cs="Arial"/>
          <w:color w:val="1A1A1A" w:themeColor="background1" w:themeShade="1A"/>
          <w:sz w:val="20"/>
          <w:szCs w:val="20"/>
        </w:rPr>
      </w:pPr>
    </w:p>
    <w:sectPr w:rsidR="00D86258" w:rsidRPr="001F5808">
      <w:head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F21D828" w14:textId="77777777" w:rsidR="003C1651" w:rsidRDefault="003C1651" w:rsidP="003C1651">
      <w:pPr>
        <w:spacing w:after="0" w:line="240" w:lineRule="auto"/>
      </w:pPr>
      <w:r>
        <w:separator/>
      </w:r>
    </w:p>
  </w:endnote>
  <w:endnote w:type="continuationSeparator" w:id="0">
    <w:p w14:paraId="49E56F6C" w14:textId="77777777" w:rsidR="003C1651" w:rsidRDefault="003C1651" w:rsidP="003C16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A310142" w14:textId="77777777" w:rsidR="003C1651" w:rsidRDefault="003C1651" w:rsidP="003C1651">
      <w:pPr>
        <w:spacing w:after="0" w:line="240" w:lineRule="auto"/>
      </w:pPr>
      <w:r>
        <w:separator/>
      </w:r>
    </w:p>
  </w:footnote>
  <w:footnote w:type="continuationSeparator" w:id="0">
    <w:p w14:paraId="16B21358" w14:textId="77777777" w:rsidR="003C1651" w:rsidRDefault="003C1651" w:rsidP="003C16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6B860FC" w14:textId="24EBC3AE" w:rsidR="003C1651" w:rsidRPr="00C81502" w:rsidRDefault="00C81502">
    <w:pPr>
      <w:pStyle w:val="Header"/>
      <w:rPr>
        <w:lang w:val="en-GB"/>
      </w:rPr>
    </w:pPr>
    <w:r>
      <w:rPr>
        <w:lang w:val="en-GB"/>
      </w:rPr>
      <w:t>ECEY5011.                                                  203713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258"/>
    <w:rsid w:val="00183075"/>
    <w:rsid w:val="001F5808"/>
    <w:rsid w:val="003C1651"/>
    <w:rsid w:val="00BF27A8"/>
    <w:rsid w:val="00C81502"/>
    <w:rsid w:val="00D62DFE"/>
    <w:rsid w:val="00D86258"/>
    <w:rsid w:val="00FB6A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DCF296"/>
  <w15:chartTrackingRefBased/>
  <w15:docId w15:val="{C05B65A8-4708-6247-9804-0E59FD86F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62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62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62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62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62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62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62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62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62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62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62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62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62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62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62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62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62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62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62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62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62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62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62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62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62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62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62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62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625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86258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C165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1651"/>
  </w:style>
  <w:style w:type="paragraph" w:styleId="Footer">
    <w:name w:val="footer"/>
    <w:basedOn w:val="Normal"/>
    <w:link w:val="FooterChar"/>
    <w:uiPriority w:val="99"/>
    <w:unhideWhenUsed/>
    <w:rsid w:val="003C165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16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re.ac.uk/download/pdf/4156755.pdf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books.google.com/books?hl=en&amp;lr=&amp;id=JNEPBQAAQBAJ&amp;oi=fnd&amp;pg=PA5&amp;dq=Daniel,+B.,+%26+Wassell,+S.+(2002).+Assessing+and+Promoting+Resilience+in+Vulnerable+Children.&amp;ots=XvQhkYMzU1&amp;sig=XUhijZizUH3IfKhaUQymT1BUuWo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munro-review-of-child-protection-final-report-a-child-centred-system" TargetMode="External"/><Relationship Id="rId11" Type="http://schemas.openxmlformats.org/officeDocument/2006/relationships/hyperlink" Target="https://books.google.com/books?hl=en&amp;lr=&amp;id=rrdEBgAAQBAJ&amp;oi=fnd&amp;pg=PP1&amp;dq=Thompson,+N.+(2000).+Theory+and+Practice+in+Human+Services.+&amp;ots=8wqx5sKFMm&amp;sig=o-j_NnwOIa7DqCXUAIH8fHpA__M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books.google.com/books?hl=en&amp;lr=&amp;id=OGjxDwAAQBAJ&amp;oi=fnd&amp;pg=PA263&amp;dq=HM+Government.+(2018).+Working+Together+to+Safeguard+Children.+&amp;ots=ejQmQtnmw3&amp;sig=-cOPAYveasWRbvt2VFHRPLdMWz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v.uk/government/publications/working-together-to-safeguard-children--2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659</Words>
  <Characters>3757</Characters>
  <Application>Microsoft Office Word</Application>
  <DocSecurity>0</DocSecurity>
  <Lines>31</Lines>
  <Paragraphs>8</Paragraphs>
  <ScaleCrop>false</ScaleCrop>
  <Company/>
  <LinksUpToDate>false</LinksUpToDate>
  <CharactersWithSpaces>4408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Jones (2203713)</dc:creator>
  <cp:keywords/>
  <dc:description/>
  <cp:lastModifiedBy>Chloe Jones (2203713)</cp:lastModifiedBy>
  <cp:revision>2</cp:revision>
  <dcterms:created xsi:type="dcterms:W3CDTF">2024-11-29T14:36:00Z</dcterms:created>
  <dcterms:modified xsi:type="dcterms:W3CDTF">2024-11-29T14:36:00Z</dcterms:modified>
</cp:coreProperties>
</file>