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F4A38" w14:textId="00AC82AC" w:rsidR="00AD0DD6" w:rsidRDefault="00071CA6" w:rsidP="003B29FB">
      <w:pPr>
        <w:pStyle w:val="Heading1"/>
        <w:spacing w:line="360" w:lineRule="auto"/>
        <w:jc w:val="center"/>
        <w:rPr>
          <w:rFonts w:ascii="Arial" w:hAnsi="Arial" w:cs="Arial"/>
          <w:sz w:val="24"/>
          <w:szCs w:val="24"/>
        </w:rPr>
      </w:pPr>
      <w:bookmarkStart w:id="0" w:name="_Toc160378021"/>
      <w:r>
        <w:rPr>
          <w:rFonts w:ascii="Arial" w:hAnsi="Arial" w:cs="Arial"/>
          <w:noProof/>
          <w:sz w:val="24"/>
          <w:szCs w:val="24"/>
        </w:rPr>
        <w:drawing>
          <wp:inline distT="0" distB="0" distL="0" distR="0" wp14:anchorId="10B8C5BD" wp14:editId="36694C9A">
            <wp:extent cx="2969260" cy="1292225"/>
            <wp:effectExtent l="0" t="0" r="0" b="0"/>
            <wp:docPr id="106294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bookmarkEnd w:id="0"/>
    </w:p>
    <w:p w14:paraId="75DB0A56" w14:textId="77777777" w:rsidR="002217C6" w:rsidRDefault="002217C6" w:rsidP="003B29FB">
      <w:pPr>
        <w:spacing w:line="360" w:lineRule="auto"/>
        <w:jc w:val="center"/>
      </w:pPr>
      <w:r>
        <w:t>Project Proposal Title - Analyse the impacts of socio-economic force on employees’</w:t>
      </w:r>
    </w:p>
    <w:p w14:paraId="6F2877A8" w14:textId="77777777" w:rsidR="002217C6" w:rsidRDefault="002217C6" w:rsidP="003B29FB">
      <w:pPr>
        <w:spacing w:line="360" w:lineRule="auto"/>
        <w:jc w:val="center"/>
      </w:pPr>
      <w:r>
        <w:t>performance management and monitoring in different work modes: Hospitality HR’s</w:t>
      </w:r>
    </w:p>
    <w:p w14:paraId="42D518FC" w14:textId="5041A410" w:rsidR="002217C6" w:rsidRDefault="002217C6" w:rsidP="003B29FB">
      <w:pPr>
        <w:spacing w:line="360" w:lineRule="auto"/>
        <w:jc w:val="center"/>
      </w:pPr>
      <w:r>
        <w:t>perspective</w:t>
      </w:r>
      <w:r>
        <w:cr/>
      </w:r>
      <w:r w:rsidR="000E7AD7" w:rsidRPr="000E7AD7">
        <w:t>Personnel Resourcing and Development</w:t>
      </w:r>
      <w:r w:rsidR="000E7AD7" w:rsidRPr="000E7AD7">
        <w:cr/>
      </w:r>
      <w:r w:rsidR="00D02401" w:rsidRPr="00D02401">
        <w:t>BMIH5005</w:t>
      </w:r>
    </w:p>
    <w:p w14:paraId="260E8BCF" w14:textId="5F6FDD5F" w:rsidR="001B6A5D" w:rsidRPr="002217C6" w:rsidRDefault="001B6A5D" w:rsidP="003B29FB">
      <w:pPr>
        <w:spacing w:line="360" w:lineRule="auto"/>
        <w:jc w:val="center"/>
      </w:pPr>
      <w:r w:rsidRPr="001B6A5D">
        <w:t>Lecturer:</w:t>
      </w:r>
      <w:r w:rsidR="003B29FB" w:rsidRPr="003B29FB">
        <w:t xml:space="preserve"> </w:t>
      </w:r>
      <w:r w:rsidR="003B29FB" w:rsidRPr="003B29FB">
        <w:t>Helen Lee</w:t>
      </w:r>
    </w:p>
    <w:p w14:paraId="54D223B5" w14:textId="77777777" w:rsidR="002217C6" w:rsidRDefault="002217C6" w:rsidP="003B29FB">
      <w:pPr>
        <w:spacing w:line="360" w:lineRule="auto"/>
        <w:jc w:val="center"/>
      </w:pPr>
    </w:p>
    <w:p w14:paraId="5ED0A749" w14:textId="5EB4B009" w:rsidR="00360F8E" w:rsidRDefault="00360F8E" w:rsidP="003B29FB">
      <w:pPr>
        <w:spacing w:line="360" w:lineRule="auto"/>
        <w:jc w:val="center"/>
      </w:pPr>
      <w:r>
        <w:t>Student name:</w:t>
      </w:r>
    </w:p>
    <w:p w14:paraId="05AE8206" w14:textId="08CA429D" w:rsidR="00360F8E" w:rsidRDefault="00360F8E" w:rsidP="003B29FB">
      <w:pPr>
        <w:spacing w:line="360" w:lineRule="auto"/>
        <w:jc w:val="center"/>
      </w:pPr>
      <w:r>
        <w:t xml:space="preserve">Rebeca </w:t>
      </w:r>
      <w:r w:rsidR="00356DDE">
        <w:t>A. Baccela</w:t>
      </w:r>
    </w:p>
    <w:p w14:paraId="12BEE63E" w14:textId="77777777" w:rsidR="00360F8E" w:rsidRDefault="00360F8E" w:rsidP="003B29FB">
      <w:pPr>
        <w:spacing w:line="360" w:lineRule="auto"/>
        <w:jc w:val="center"/>
      </w:pPr>
    </w:p>
    <w:p w14:paraId="409385A1" w14:textId="77777777" w:rsidR="00360F8E" w:rsidRDefault="00360F8E" w:rsidP="003B29FB">
      <w:pPr>
        <w:spacing w:line="360" w:lineRule="auto"/>
        <w:jc w:val="center"/>
      </w:pPr>
    </w:p>
    <w:p w14:paraId="767A58A9" w14:textId="77777777" w:rsidR="00360F8E" w:rsidRDefault="00360F8E" w:rsidP="003B29FB">
      <w:pPr>
        <w:spacing w:line="360" w:lineRule="auto"/>
        <w:jc w:val="center"/>
      </w:pPr>
      <w:r>
        <w:t>Student ID number:</w:t>
      </w:r>
    </w:p>
    <w:p w14:paraId="0C6EF7AD" w14:textId="4EA8502B" w:rsidR="00457F6F" w:rsidRDefault="00360F8E" w:rsidP="003B29FB">
      <w:pPr>
        <w:spacing w:line="360" w:lineRule="auto"/>
        <w:jc w:val="center"/>
      </w:pPr>
      <w:r>
        <w:t>2230716</w:t>
      </w:r>
    </w:p>
    <w:p w14:paraId="65E23E55" w14:textId="77777777" w:rsidR="00E15BBC" w:rsidRDefault="00E15BBC" w:rsidP="00E15BBC"/>
    <w:p w14:paraId="0C9E5CCA" w14:textId="77777777" w:rsidR="00E15BBC" w:rsidRDefault="00E15BBC" w:rsidP="00E15BBC"/>
    <w:p w14:paraId="50F8DC4D" w14:textId="77777777" w:rsidR="00E15BBC" w:rsidRDefault="00E15BBC" w:rsidP="00E15BBC"/>
    <w:p w14:paraId="030C35EE" w14:textId="77777777" w:rsidR="00E15BBC" w:rsidRDefault="00E15BBC" w:rsidP="00E15BBC"/>
    <w:p w14:paraId="1AA9417D" w14:textId="77777777" w:rsidR="00E15BBC" w:rsidRDefault="00E15BBC" w:rsidP="00E15BBC"/>
    <w:p w14:paraId="0321D56A" w14:textId="77777777" w:rsidR="00E15BBC" w:rsidRDefault="00E15BBC" w:rsidP="00E15BBC"/>
    <w:p w14:paraId="0FDCB832" w14:textId="77777777" w:rsidR="00E15BBC" w:rsidRDefault="00E15BBC" w:rsidP="00E15BBC"/>
    <w:p w14:paraId="21AEE133" w14:textId="77777777" w:rsidR="00E15BBC" w:rsidRDefault="00E15BBC" w:rsidP="00E15BBC"/>
    <w:sdt>
      <w:sdtPr>
        <w:id w:val="40919572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rPr>
      </w:sdtEndPr>
      <w:sdtContent>
        <w:p w14:paraId="3B66B500" w14:textId="781D040F" w:rsidR="006E5696" w:rsidRDefault="006E5696">
          <w:pPr>
            <w:pStyle w:val="TOCHeading"/>
          </w:pPr>
          <w:r>
            <w:t>Table of Contents</w:t>
          </w:r>
        </w:p>
        <w:p w14:paraId="0C1221F8" w14:textId="0CD9ADB5" w:rsidR="006E5696" w:rsidRDefault="006E56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378021" w:history="1">
            <w:r>
              <w:rPr>
                <w:noProof/>
                <w:webHidden/>
              </w:rPr>
              <w:tab/>
            </w:r>
            <w:r>
              <w:rPr>
                <w:noProof/>
                <w:webHidden/>
              </w:rPr>
              <w:fldChar w:fldCharType="begin"/>
            </w:r>
            <w:r>
              <w:rPr>
                <w:noProof/>
                <w:webHidden/>
              </w:rPr>
              <w:instrText xml:space="preserve"> PAGEREF _Toc160378021 \h </w:instrText>
            </w:r>
            <w:r>
              <w:rPr>
                <w:noProof/>
                <w:webHidden/>
              </w:rPr>
            </w:r>
            <w:r>
              <w:rPr>
                <w:noProof/>
                <w:webHidden/>
              </w:rPr>
              <w:fldChar w:fldCharType="separate"/>
            </w:r>
            <w:r>
              <w:rPr>
                <w:noProof/>
                <w:webHidden/>
              </w:rPr>
              <w:t>1</w:t>
            </w:r>
            <w:r>
              <w:rPr>
                <w:noProof/>
                <w:webHidden/>
              </w:rPr>
              <w:fldChar w:fldCharType="end"/>
            </w:r>
          </w:hyperlink>
        </w:p>
        <w:p w14:paraId="2EADED74" w14:textId="4AD08EB0" w:rsidR="006E5696" w:rsidRDefault="006E5696">
          <w:pPr>
            <w:pStyle w:val="TOC1"/>
            <w:tabs>
              <w:tab w:val="right" w:leader="dot" w:pos="9016"/>
            </w:tabs>
            <w:rPr>
              <w:rFonts w:eastAsiaTheme="minorEastAsia"/>
              <w:noProof/>
              <w:lang w:eastAsia="en-GB"/>
            </w:rPr>
          </w:pPr>
          <w:hyperlink w:anchor="_Toc160378022" w:history="1">
            <w:r w:rsidRPr="000124F4">
              <w:rPr>
                <w:rStyle w:val="Hyperlink"/>
                <w:rFonts w:ascii="Arial" w:hAnsi="Arial" w:cs="Arial"/>
                <w:noProof/>
              </w:rPr>
              <w:t>Background:</w:t>
            </w:r>
            <w:r>
              <w:rPr>
                <w:noProof/>
                <w:webHidden/>
              </w:rPr>
              <w:tab/>
            </w:r>
            <w:r>
              <w:rPr>
                <w:noProof/>
                <w:webHidden/>
              </w:rPr>
              <w:fldChar w:fldCharType="begin"/>
            </w:r>
            <w:r>
              <w:rPr>
                <w:noProof/>
                <w:webHidden/>
              </w:rPr>
              <w:instrText xml:space="preserve"> PAGEREF _Toc160378022 \h </w:instrText>
            </w:r>
            <w:r>
              <w:rPr>
                <w:noProof/>
                <w:webHidden/>
              </w:rPr>
            </w:r>
            <w:r>
              <w:rPr>
                <w:noProof/>
                <w:webHidden/>
              </w:rPr>
              <w:fldChar w:fldCharType="separate"/>
            </w:r>
            <w:r>
              <w:rPr>
                <w:noProof/>
                <w:webHidden/>
              </w:rPr>
              <w:t>4</w:t>
            </w:r>
            <w:r>
              <w:rPr>
                <w:noProof/>
                <w:webHidden/>
              </w:rPr>
              <w:fldChar w:fldCharType="end"/>
            </w:r>
          </w:hyperlink>
        </w:p>
        <w:p w14:paraId="617B441E" w14:textId="0EB1805C" w:rsidR="006E5696" w:rsidRDefault="006E5696">
          <w:pPr>
            <w:pStyle w:val="TOC1"/>
            <w:tabs>
              <w:tab w:val="right" w:leader="dot" w:pos="9016"/>
            </w:tabs>
            <w:rPr>
              <w:rFonts w:eastAsiaTheme="minorEastAsia"/>
              <w:noProof/>
              <w:lang w:eastAsia="en-GB"/>
            </w:rPr>
          </w:pPr>
          <w:hyperlink w:anchor="_Toc160378023" w:history="1">
            <w:r w:rsidRPr="000124F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_Toc160378023 \h </w:instrText>
            </w:r>
            <w:r>
              <w:rPr>
                <w:noProof/>
                <w:webHidden/>
              </w:rPr>
            </w:r>
            <w:r>
              <w:rPr>
                <w:noProof/>
                <w:webHidden/>
              </w:rPr>
              <w:fldChar w:fldCharType="separate"/>
            </w:r>
            <w:r>
              <w:rPr>
                <w:noProof/>
                <w:webHidden/>
              </w:rPr>
              <w:t>4</w:t>
            </w:r>
            <w:r>
              <w:rPr>
                <w:noProof/>
                <w:webHidden/>
              </w:rPr>
              <w:fldChar w:fldCharType="end"/>
            </w:r>
          </w:hyperlink>
        </w:p>
        <w:p w14:paraId="50F12FF4" w14:textId="1DE64895" w:rsidR="006E5696" w:rsidRDefault="006E5696">
          <w:pPr>
            <w:pStyle w:val="TOC1"/>
            <w:tabs>
              <w:tab w:val="right" w:leader="dot" w:pos="9016"/>
            </w:tabs>
            <w:rPr>
              <w:rFonts w:eastAsiaTheme="minorEastAsia"/>
              <w:noProof/>
              <w:lang w:eastAsia="en-GB"/>
            </w:rPr>
          </w:pPr>
          <w:hyperlink w:anchor="_Toc160378024" w:history="1">
            <w:r w:rsidRPr="000124F4">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_Toc160378024 \h </w:instrText>
            </w:r>
            <w:r>
              <w:rPr>
                <w:noProof/>
                <w:webHidden/>
              </w:rPr>
            </w:r>
            <w:r>
              <w:rPr>
                <w:noProof/>
                <w:webHidden/>
              </w:rPr>
              <w:fldChar w:fldCharType="separate"/>
            </w:r>
            <w:r>
              <w:rPr>
                <w:noProof/>
                <w:webHidden/>
              </w:rPr>
              <w:t>5</w:t>
            </w:r>
            <w:r>
              <w:rPr>
                <w:noProof/>
                <w:webHidden/>
              </w:rPr>
              <w:fldChar w:fldCharType="end"/>
            </w:r>
          </w:hyperlink>
        </w:p>
        <w:p w14:paraId="4FC9838C" w14:textId="589B0B0D" w:rsidR="006E5696" w:rsidRDefault="006E5696">
          <w:pPr>
            <w:pStyle w:val="TOC1"/>
            <w:tabs>
              <w:tab w:val="right" w:leader="dot" w:pos="9016"/>
            </w:tabs>
            <w:rPr>
              <w:rFonts w:eastAsiaTheme="minorEastAsia"/>
              <w:noProof/>
              <w:lang w:eastAsia="en-GB"/>
            </w:rPr>
          </w:pPr>
          <w:hyperlink w:anchor="_Toc160378025" w:history="1">
            <w:r w:rsidRPr="000124F4">
              <w:rPr>
                <w:rStyle w:val="Hyperlink"/>
                <w:rFonts w:ascii="Arial" w:hAnsi="Arial" w:cs="Arial"/>
                <w:noProof/>
              </w:rPr>
              <w:t>Industry Trends</w:t>
            </w:r>
            <w:r>
              <w:rPr>
                <w:noProof/>
                <w:webHidden/>
              </w:rPr>
              <w:tab/>
            </w:r>
            <w:r>
              <w:rPr>
                <w:noProof/>
                <w:webHidden/>
              </w:rPr>
              <w:fldChar w:fldCharType="begin"/>
            </w:r>
            <w:r>
              <w:rPr>
                <w:noProof/>
                <w:webHidden/>
              </w:rPr>
              <w:instrText xml:space="preserve"> PAGEREF _Toc160378025 \h </w:instrText>
            </w:r>
            <w:r>
              <w:rPr>
                <w:noProof/>
                <w:webHidden/>
              </w:rPr>
            </w:r>
            <w:r>
              <w:rPr>
                <w:noProof/>
                <w:webHidden/>
              </w:rPr>
              <w:fldChar w:fldCharType="separate"/>
            </w:r>
            <w:r>
              <w:rPr>
                <w:noProof/>
                <w:webHidden/>
              </w:rPr>
              <w:t>7</w:t>
            </w:r>
            <w:r>
              <w:rPr>
                <w:noProof/>
                <w:webHidden/>
              </w:rPr>
              <w:fldChar w:fldCharType="end"/>
            </w:r>
          </w:hyperlink>
        </w:p>
        <w:p w14:paraId="00C87EE2" w14:textId="06916C3E" w:rsidR="006E5696" w:rsidRDefault="006E5696">
          <w:pPr>
            <w:pStyle w:val="TOC1"/>
            <w:tabs>
              <w:tab w:val="right" w:leader="dot" w:pos="9016"/>
            </w:tabs>
            <w:rPr>
              <w:rFonts w:eastAsiaTheme="minorEastAsia"/>
              <w:noProof/>
              <w:lang w:eastAsia="en-GB"/>
            </w:rPr>
          </w:pPr>
          <w:hyperlink w:anchor="_Toc160378026" w:history="1">
            <w:r w:rsidRPr="000124F4">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_Toc160378026 \h </w:instrText>
            </w:r>
            <w:r>
              <w:rPr>
                <w:noProof/>
                <w:webHidden/>
              </w:rPr>
            </w:r>
            <w:r>
              <w:rPr>
                <w:noProof/>
                <w:webHidden/>
              </w:rPr>
              <w:fldChar w:fldCharType="separate"/>
            </w:r>
            <w:r>
              <w:rPr>
                <w:noProof/>
                <w:webHidden/>
              </w:rPr>
              <w:t>8</w:t>
            </w:r>
            <w:r>
              <w:rPr>
                <w:noProof/>
                <w:webHidden/>
              </w:rPr>
              <w:fldChar w:fldCharType="end"/>
            </w:r>
          </w:hyperlink>
        </w:p>
        <w:p w14:paraId="26B86298" w14:textId="158BDA52" w:rsidR="006E5696" w:rsidRDefault="006E5696">
          <w:pPr>
            <w:pStyle w:val="TOC1"/>
            <w:tabs>
              <w:tab w:val="right" w:leader="dot" w:pos="9016"/>
            </w:tabs>
            <w:rPr>
              <w:rFonts w:eastAsiaTheme="minorEastAsia"/>
              <w:noProof/>
              <w:lang w:eastAsia="en-GB"/>
            </w:rPr>
          </w:pPr>
          <w:hyperlink w:anchor="_Toc160378027" w:history="1">
            <w:r w:rsidRPr="000124F4">
              <w:rPr>
                <w:rStyle w:val="Hyperlink"/>
                <w:rFonts w:ascii="Arial" w:hAnsi="Arial" w:cs="Arial"/>
                <w:noProof/>
              </w:rPr>
              <w:t>Contribution to Hospitality HR and Decision-Making:</w:t>
            </w:r>
            <w:r>
              <w:rPr>
                <w:noProof/>
                <w:webHidden/>
              </w:rPr>
              <w:tab/>
            </w:r>
            <w:r>
              <w:rPr>
                <w:noProof/>
                <w:webHidden/>
              </w:rPr>
              <w:fldChar w:fldCharType="begin"/>
            </w:r>
            <w:r>
              <w:rPr>
                <w:noProof/>
                <w:webHidden/>
              </w:rPr>
              <w:instrText xml:space="preserve"> PAGEREF _Toc160378027 \h </w:instrText>
            </w:r>
            <w:r>
              <w:rPr>
                <w:noProof/>
                <w:webHidden/>
              </w:rPr>
            </w:r>
            <w:r>
              <w:rPr>
                <w:noProof/>
                <w:webHidden/>
              </w:rPr>
              <w:fldChar w:fldCharType="separate"/>
            </w:r>
            <w:r>
              <w:rPr>
                <w:noProof/>
                <w:webHidden/>
              </w:rPr>
              <w:t>10</w:t>
            </w:r>
            <w:r>
              <w:rPr>
                <w:noProof/>
                <w:webHidden/>
              </w:rPr>
              <w:fldChar w:fldCharType="end"/>
            </w:r>
          </w:hyperlink>
        </w:p>
        <w:p w14:paraId="0AAB276E" w14:textId="4E4CC96A" w:rsidR="006E5696" w:rsidRDefault="006E5696">
          <w:pPr>
            <w:pStyle w:val="TOC1"/>
            <w:tabs>
              <w:tab w:val="right" w:leader="dot" w:pos="9016"/>
            </w:tabs>
            <w:rPr>
              <w:rFonts w:eastAsiaTheme="minorEastAsia"/>
              <w:noProof/>
              <w:lang w:eastAsia="en-GB"/>
            </w:rPr>
          </w:pPr>
          <w:hyperlink w:anchor="_Toc160378028" w:history="1">
            <w:r w:rsidRPr="000124F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_Toc160378028 \h </w:instrText>
            </w:r>
            <w:r>
              <w:rPr>
                <w:noProof/>
                <w:webHidden/>
              </w:rPr>
            </w:r>
            <w:r>
              <w:rPr>
                <w:noProof/>
                <w:webHidden/>
              </w:rPr>
              <w:fldChar w:fldCharType="separate"/>
            </w:r>
            <w:r>
              <w:rPr>
                <w:noProof/>
                <w:webHidden/>
              </w:rPr>
              <w:t>11</w:t>
            </w:r>
            <w:r>
              <w:rPr>
                <w:noProof/>
                <w:webHidden/>
              </w:rPr>
              <w:fldChar w:fldCharType="end"/>
            </w:r>
          </w:hyperlink>
        </w:p>
        <w:p w14:paraId="63146D81" w14:textId="4516D459" w:rsidR="006E5696" w:rsidRDefault="006E5696">
          <w:pPr>
            <w:pStyle w:val="TOC1"/>
            <w:tabs>
              <w:tab w:val="right" w:leader="dot" w:pos="9016"/>
            </w:tabs>
            <w:rPr>
              <w:rFonts w:eastAsiaTheme="minorEastAsia"/>
              <w:noProof/>
              <w:lang w:eastAsia="en-GB"/>
            </w:rPr>
          </w:pPr>
          <w:hyperlink w:anchor="_Toc160378029" w:history="1">
            <w:r w:rsidRPr="000124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_Toc160378029 \h </w:instrText>
            </w:r>
            <w:r>
              <w:rPr>
                <w:noProof/>
                <w:webHidden/>
              </w:rPr>
            </w:r>
            <w:r>
              <w:rPr>
                <w:noProof/>
                <w:webHidden/>
              </w:rPr>
              <w:fldChar w:fldCharType="separate"/>
            </w:r>
            <w:r>
              <w:rPr>
                <w:noProof/>
                <w:webHidden/>
              </w:rPr>
              <w:t>12</w:t>
            </w:r>
            <w:r>
              <w:rPr>
                <w:noProof/>
                <w:webHidden/>
              </w:rPr>
              <w:fldChar w:fldCharType="end"/>
            </w:r>
          </w:hyperlink>
        </w:p>
        <w:p w14:paraId="21B9DB73" w14:textId="56471337" w:rsidR="006E5696" w:rsidRDefault="006E5696">
          <w:pPr>
            <w:pStyle w:val="TOC1"/>
            <w:tabs>
              <w:tab w:val="right" w:leader="dot" w:pos="9016"/>
            </w:tabs>
            <w:rPr>
              <w:rFonts w:eastAsiaTheme="minorEastAsia"/>
              <w:noProof/>
              <w:lang w:eastAsia="en-GB"/>
            </w:rPr>
          </w:pPr>
          <w:hyperlink w:anchor="_Toc160378030" w:history="1">
            <w:r w:rsidRPr="000124F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_Toc160378030 \h </w:instrText>
            </w:r>
            <w:r>
              <w:rPr>
                <w:noProof/>
                <w:webHidden/>
              </w:rPr>
            </w:r>
            <w:r>
              <w:rPr>
                <w:noProof/>
                <w:webHidden/>
              </w:rPr>
              <w:fldChar w:fldCharType="separate"/>
            </w:r>
            <w:r>
              <w:rPr>
                <w:noProof/>
                <w:webHidden/>
              </w:rPr>
              <w:t>14</w:t>
            </w:r>
            <w:r>
              <w:rPr>
                <w:noProof/>
                <w:webHidden/>
              </w:rPr>
              <w:fldChar w:fldCharType="end"/>
            </w:r>
          </w:hyperlink>
        </w:p>
        <w:p w14:paraId="6E3A9B10" w14:textId="7FB905B6" w:rsidR="006E5696" w:rsidRDefault="006E5696">
          <w:r>
            <w:rPr>
              <w:b/>
              <w:bCs/>
              <w:noProof/>
            </w:rPr>
            <w:fldChar w:fldCharType="end"/>
          </w:r>
        </w:p>
      </w:sdtContent>
    </w:sdt>
    <w:p w14:paraId="25521F0C" w14:textId="77777777" w:rsidR="000A1DF6" w:rsidRDefault="000A1DF6" w:rsidP="0075323D">
      <w:pPr>
        <w:pStyle w:val="Heading1"/>
        <w:rPr>
          <w:rFonts w:ascii="Arial" w:hAnsi="Arial" w:cs="Arial"/>
          <w:sz w:val="24"/>
          <w:szCs w:val="24"/>
        </w:rPr>
      </w:pPr>
    </w:p>
    <w:p w14:paraId="28DE786E" w14:textId="77777777" w:rsidR="000A1DF6" w:rsidRDefault="000A1DF6" w:rsidP="0075323D">
      <w:pPr>
        <w:pStyle w:val="Heading1"/>
        <w:rPr>
          <w:rFonts w:ascii="Arial" w:hAnsi="Arial" w:cs="Arial"/>
          <w:sz w:val="24"/>
          <w:szCs w:val="24"/>
        </w:rPr>
      </w:pPr>
    </w:p>
    <w:p w14:paraId="287CD3C6" w14:textId="77777777" w:rsidR="000A1DF6" w:rsidRDefault="000A1DF6" w:rsidP="0075323D">
      <w:pPr>
        <w:pStyle w:val="Heading1"/>
        <w:rPr>
          <w:rFonts w:ascii="Arial" w:hAnsi="Arial" w:cs="Arial"/>
          <w:sz w:val="24"/>
          <w:szCs w:val="24"/>
        </w:rPr>
      </w:pPr>
    </w:p>
    <w:p w14:paraId="245D30CA" w14:textId="77777777" w:rsidR="00BA72D8" w:rsidRDefault="00BA72D8" w:rsidP="0075323D">
      <w:pPr>
        <w:pStyle w:val="Heading1"/>
        <w:rPr>
          <w:rFonts w:ascii="Arial" w:hAnsi="Arial" w:cs="Arial"/>
          <w:sz w:val="24"/>
          <w:szCs w:val="24"/>
        </w:rPr>
      </w:pPr>
      <w:bookmarkStart w:id="1" w:name="_Toc160378022"/>
    </w:p>
    <w:p w14:paraId="5B997358" w14:textId="77777777" w:rsidR="00BA72D8" w:rsidRDefault="00BA72D8" w:rsidP="0075323D">
      <w:pPr>
        <w:pStyle w:val="Heading1"/>
        <w:rPr>
          <w:rFonts w:ascii="Arial" w:hAnsi="Arial" w:cs="Arial"/>
          <w:sz w:val="24"/>
          <w:szCs w:val="24"/>
        </w:rPr>
      </w:pPr>
    </w:p>
    <w:p w14:paraId="54AF777B" w14:textId="77777777" w:rsidR="00BA72D8" w:rsidRDefault="00BA72D8" w:rsidP="0075323D">
      <w:pPr>
        <w:pStyle w:val="Heading1"/>
        <w:rPr>
          <w:rFonts w:ascii="Arial" w:hAnsi="Arial" w:cs="Arial"/>
          <w:sz w:val="24"/>
          <w:szCs w:val="24"/>
        </w:rPr>
      </w:pPr>
    </w:p>
    <w:p w14:paraId="6CFB4FC5" w14:textId="77777777" w:rsidR="00BA72D8" w:rsidRDefault="00BA72D8" w:rsidP="0075323D">
      <w:pPr>
        <w:pStyle w:val="Heading1"/>
        <w:rPr>
          <w:rFonts w:ascii="Arial" w:hAnsi="Arial" w:cs="Arial"/>
          <w:sz w:val="24"/>
          <w:szCs w:val="24"/>
        </w:rPr>
      </w:pPr>
    </w:p>
    <w:p w14:paraId="535262A8" w14:textId="77777777" w:rsidR="00BA72D8" w:rsidRDefault="00BA72D8" w:rsidP="0075323D">
      <w:pPr>
        <w:pStyle w:val="Heading1"/>
        <w:rPr>
          <w:rFonts w:ascii="Arial" w:hAnsi="Arial" w:cs="Arial"/>
          <w:sz w:val="24"/>
          <w:szCs w:val="24"/>
        </w:rPr>
      </w:pPr>
    </w:p>
    <w:p w14:paraId="7AF97366" w14:textId="77777777" w:rsidR="00BA72D8" w:rsidRDefault="00BA72D8" w:rsidP="0075323D">
      <w:pPr>
        <w:pStyle w:val="Heading1"/>
        <w:rPr>
          <w:rFonts w:ascii="Arial" w:hAnsi="Arial" w:cs="Arial"/>
          <w:sz w:val="24"/>
          <w:szCs w:val="24"/>
        </w:rPr>
      </w:pPr>
    </w:p>
    <w:p w14:paraId="2D235812" w14:textId="77777777" w:rsidR="00BA72D8" w:rsidRDefault="00BA72D8" w:rsidP="0075323D">
      <w:pPr>
        <w:pStyle w:val="Heading1"/>
        <w:rPr>
          <w:rFonts w:ascii="Arial" w:hAnsi="Arial" w:cs="Arial"/>
          <w:sz w:val="24"/>
          <w:szCs w:val="24"/>
        </w:rPr>
      </w:pPr>
    </w:p>
    <w:p w14:paraId="725D82E5" w14:textId="77777777" w:rsidR="003425C5" w:rsidRDefault="003425C5" w:rsidP="0075323D">
      <w:pPr>
        <w:pStyle w:val="Heading1"/>
        <w:rPr>
          <w:rFonts w:ascii="Arial" w:hAnsi="Arial" w:cs="Arial"/>
          <w:sz w:val="24"/>
          <w:szCs w:val="24"/>
        </w:rPr>
      </w:pPr>
    </w:p>
    <w:p w14:paraId="25F5AB42" w14:textId="77777777" w:rsidR="003425C5" w:rsidRDefault="003425C5" w:rsidP="003425C5"/>
    <w:p w14:paraId="127FC80B" w14:textId="77777777" w:rsidR="003425C5" w:rsidRDefault="003425C5" w:rsidP="003425C5"/>
    <w:p w14:paraId="4C1B422F" w14:textId="5CB7CEA7" w:rsidR="00D564CB" w:rsidRPr="003425C5" w:rsidRDefault="00D564CB" w:rsidP="003425C5">
      <w:pPr>
        <w:pStyle w:val="Heading1"/>
        <w:rPr>
          <w:rFonts w:ascii="Arial" w:hAnsi="Arial" w:cs="Arial"/>
          <w:sz w:val="24"/>
          <w:szCs w:val="24"/>
        </w:rPr>
      </w:pPr>
      <w:r w:rsidRPr="003425C5">
        <w:rPr>
          <w:rFonts w:ascii="Arial" w:hAnsi="Arial" w:cs="Arial"/>
          <w:sz w:val="24"/>
          <w:szCs w:val="24"/>
        </w:rPr>
        <w:t>Background:</w:t>
      </w:r>
      <w:bookmarkEnd w:id="1"/>
    </w:p>
    <w:p w14:paraId="4CC6F205" w14:textId="77777777" w:rsidR="00D564CB" w:rsidRDefault="00D564CB" w:rsidP="00D564CB">
      <w:r>
        <w:t>The dynamic and nuanced nature of the hospitality industry mandates a strategic and forward-looking approach to workforce management. Transformative changes in recent years, propelled by technological advancements, economic fluctuations, societal shifts, legal considerations, and environmental concerns, underscore the necessity for a nuanced understanding of their profound impact on workforce management dynamics (Jeong et al., 2023).</w:t>
      </w:r>
    </w:p>
    <w:p w14:paraId="073F87B5" w14:textId="77777777" w:rsidR="00D564CB" w:rsidRDefault="00D564CB" w:rsidP="00D564CB"/>
    <w:p w14:paraId="2B45CEB9" w14:textId="77777777" w:rsidR="00D564CB" w:rsidRDefault="00D564CB" w:rsidP="00D564CB">
      <w:r>
        <w:t>The examination of the feasibility of diverse work modes within Hilton unfolds against the backdrop of these multifaceted influencers. Hilton's adeptness at adjusting its work modes within this swiftly changing environment will wield a substantial influence on its competitiveness, shaping its capacity to meet the evolving expectations of both guests and employees. This proposal zeroes in on contemporary issues related to employee performance management, delving into the intricate ways socio-economic factors reverberate through employee monitoring and management across various work modes.</w:t>
      </w:r>
    </w:p>
    <w:p w14:paraId="301849E1" w14:textId="77777777" w:rsidR="00D564CB" w:rsidRDefault="00D564CB" w:rsidP="00D564CB"/>
    <w:p w14:paraId="2ED6F8D5" w14:textId="77777777" w:rsidR="00D564CB" w:rsidRDefault="00D564CB" w:rsidP="00D564CB">
      <w:r>
        <w:t>Specifically, the proposal delves into the hybrid work mode, a fusion of remote and on-site work, the traditional office work arrangement, and flexible work modes affording employees autonomy in crafting their schedules. Each of these modes presents distinctive challenges and opportunities, exerting an impact on productivity, collaboration, and employee engagement within the dynamic realm of the hotel industry.</w:t>
      </w:r>
    </w:p>
    <w:p w14:paraId="0814D0C9" w14:textId="77777777" w:rsidR="00D564CB" w:rsidRDefault="00D564CB" w:rsidP="00D564CB"/>
    <w:p w14:paraId="00DCD31E" w14:textId="77777777" w:rsidR="0075323D" w:rsidRDefault="00D564CB" w:rsidP="00D564CB">
      <w:r>
        <w:t>By dissecting these critical dimensions, the proposal aspires to furnish valuable insights and strategic recommendations tailored for Hilton to not only navigate but thrive amidst the perpetual transformation characterizing the industry landscape. The study draws upon the pivotal importance of evaluating brand performance consistency in the hotel industry (Jeong et al., 2023) and gleans insights from the institutionalization of a novel organizational template for global branded hotel chains (Maclean et al., 2024).</w:t>
      </w:r>
    </w:p>
    <w:p w14:paraId="2C81B4F1" w14:textId="0E69833F" w:rsidR="00627863" w:rsidRPr="0075323D" w:rsidRDefault="00627863" w:rsidP="0075323D">
      <w:pPr>
        <w:pStyle w:val="Heading1"/>
        <w:rPr>
          <w:rFonts w:ascii="Arial" w:hAnsi="Arial" w:cs="Arial"/>
          <w:sz w:val="24"/>
          <w:szCs w:val="24"/>
        </w:rPr>
      </w:pPr>
      <w:bookmarkStart w:id="2" w:name="_Toc160378023"/>
      <w:r w:rsidRPr="0075323D">
        <w:rPr>
          <w:rFonts w:ascii="Arial" w:hAnsi="Arial" w:cs="Arial"/>
          <w:sz w:val="24"/>
          <w:szCs w:val="24"/>
        </w:rPr>
        <w:t>Introduction:</w:t>
      </w:r>
      <w:bookmarkEnd w:id="2"/>
    </w:p>
    <w:p w14:paraId="07073E3F" w14:textId="77777777" w:rsidR="00627863" w:rsidRPr="008821E9" w:rsidRDefault="00627863" w:rsidP="008821E9">
      <w:pPr>
        <w:spacing w:line="360" w:lineRule="auto"/>
        <w:jc w:val="both"/>
        <w:rPr>
          <w:rFonts w:ascii="Arial" w:hAnsi="Arial" w:cs="Arial"/>
        </w:rPr>
      </w:pPr>
      <w:r w:rsidRPr="008821E9">
        <w:rPr>
          <w:rFonts w:ascii="Arial" w:hAnsi="Arial" w:cs="Arial"/>
        </w:rPr>
        <w:t xml:space="preserve">In the continuously evolving landscape of the hospitality industry, the imperative to embrace diverse work modes has emerged as pivotal for hotels seeking to maintain competitiveness and responsiveness to socio-economic shifts (Jeong et al., 2023). This proposal aims to meticulously evaluate the feasibility of integrating various work </w:t>
      </w:r>
      <w:r w:rsidRPr="008821E9">
        <w:rPr>
          <w:rFonts w:ascii="Arial" w:hAnsi="Arial" w:cs="Arial"/>
        </w:rPr>
        <w:lastRenderedPageBreak/>
        <w:t>modes within the esteemed Hilton hotel chain, placing a specific lens on the intricacies of employee performance management.</w:t>
      </w:r>
    </w:p>
    <w:p w14:paraId="3BEBAF4F" w14:textId="77777777" w:rsidR="00627863" w:rsidRPr="008821E9" w:rsidRDefault="00627863" w:rsidP="008821E9">
      <w:pPr>
        <w:spacing w:line="360" w:lineRule="auto"/>
        <w:jc w:val="both"/>
        <w:rPr>
          <w:rFonts w:ascii="Arial" w:hAnsi="Arial" w:cs="Arial"/>
        </w:rPr>
      </w:pPr>
    </w:p>
    <w:p w14:paraId="5BB13AEC" w14:textId="77777777" w:rsidR="00627863" w:rsidRPr="008821E9" w:rsidRDefault="00627863" w:rsidP="008821E9">
      <w:pPr>
        <w:spacing w:line="360" w:lineRule="auto"/>
        <w:jc w:val="both"/>
        <w:rPr>
          <w:rFonts w:ascii="Arial" w:hAnsi="Arial" w:cs="Arial"/>
        </w:rPr>
      </w:pPr>
      <w:r w:rsidRPr="008821E9">
        <w:rPr>
          <w:rFonts w:ascii="Arial" w:hAnsi="Arial" w:cs="Arial"/>
        </w:rPr>
        <w:t>Hilton, a flagship managed by Hilton Worldwide Holdings Ltd. under the Blackstone Group, stands tall with a network of 6,100 hotels spanning 118 countries, renowned for its unwavering commitment to luxury and superior service (Jeong et al., 2023). The global footprint and adaptability of Hilton to industry trends position it as an optimal subject for scrutinizing the challenges and opportunities emanating from socio-economic factors impacting workforce management.</w:t>
      </w:r>
    </w:p>
    <w:p w14:paraId="392E45AE" w14:textId="77777777" w:rsidR="00627863" w:rsidRPr="008821E9" w:rsidRDefault="00627863" w:rsidP="008821E9">
      <w:pPr>
        <w:spacing w:line="360" w:lineRule="auto"/>
        <w:jc w:val="both"/>
        <w:rPr>
          <w:rFonts w:ascii="Arial" w:hAnsi="Arial" w:cs="Arial"/>
        </w:rPr>
      </w:pPr>
    </w:p>
    <w:p w14:paraId="3491D5AA" w14:textId="77777777" w:rsidR="00627863" w:rsidRPr="008821E9" w:rsidRDefault="00627863" w:rsidP="008821E9">
      <w:pPr>
        <w:pStyle w:val="Heading1"/>
        <w:spacing w:line="360" w:lineRule="auto"/>
        <w:jc w:val="both"/>
        <w:rPr>
          <w:rFonts w:ascii="Arial" w:hAnsi="Arial" w:cs="Arial"/>
          <w:sz w:val="24"/>
          <w:szCs w:val="24"/>
        </w:rPr>
      </w:pPr>
      <w:bookmarkStart w:id="3" w:name="_Toc160378024"/>
      <w:r w:rsidRPr="008821E9">
        <w:rPr>
          <w:rFonts w:ascii="Arial" w:hAnsi="Arial" w:cs="Arial"/>
          <w:sz w:val="24"/>
          <w:szCs w:val="24"/>
        </w:rPr>
        <w:t>PESTLE Analysis:</w:t>
      </w:r>
      <w:bookmarkEnd w:id="3"/>
    </w:p>
    <w:p w14:paraId="59BEA097" w14:textId="77777777" w:rsidR="00627863" w:rsidRPr="008821E9" w:rsidRDefault="00627863" w:rsidP="008821E9">
      <w:pPr>
        <w:spacing w:line="360" w:lineRule="auto"/>
        <w:jc w:val="both"/>
        <w:rPr>
          <w:rFonts w:ascii="Arial" w:hAnsi="Arial" w:cs="Arial"/>
        </w:rPr>
      </w:pPr>
    </w:p>
    <w:p w14:paraId="0123A5CA" w14:textId="77777777" w:rsidR="00627863" w:rsidRPr="008821E9" w:rsidRDefault="00627863" w:rsidP="008821E9">
      <w:pPr>
        <w:spacing w:line="360" w:lineRule="auto"/>
        <w:jc w:val="both"/>
        <w:rPr>
          <w:rFonts w:ascii="Arial" w:hAnsi="Arial" w:cs="Arial"/>
        </w:rPr>
      </w:pPr>
      <w:r w:rsidRPr="008821E9">
        <w:rPr>
          <w:rFonts w:ascii="Arial" w:hAnsi="Arial" w:cs="Arial"/>
        </w:rPr>
        <w:t>The hospitality industry operates in a dynamic environment influenced by various external factors. A PESTLE analysis provides a comprehensive view of these factors, encompassing political, economic, social, technological, legal, and environmental aspects (Jeong et al., 2023; Maclean et al., 2024; Wang et al., 2023; George, 2021).</w:t>
      </w:r>
    </w:p>
    <w:p w14:paraId="4F9BDD32" w14:textId="77777777" w:rsidR="00627863" w:rsidRPr="008821E9" w:rsidRDefault="00627863" w:rsidP="008821E9">
      <w:pPr>
        <w:spacing w:line="360" w:lineRule="auto"/>
        <w:jc w:val="both"/>
        <w:rPr>
          <w:rFonts w:ascii="Arial" w:hAnsi="Arial" w:cs="Arial"/>
        </w:rPr>
      </w:pPr>
    </w:p>
    <w:p w14:paraId="2981A474" w14:textId="77777777" w:rsidR="00627863" w:rsidRPr="008821E9" w:rsidRDefault="00627863" w:rsidP="008821E9">
      <w:pPr>
        <w:spacing w:line="360" w:lineRule="auto"/>
        <w:jc w:val="both"/>
        <w:rPr>
          <w:rFonts w:ascii="Arial" w:hAnsi="Arial" w:cs="Arial"/>
        </w:rPr>
      </w:pPr>
      <w:r w:rsidRPr="008821E9">
        <w:rPr>
          <w:rFonts w:ascii="Arial" w:hAnsi="Arial" w:cs="Arial"/>
        </w:rPr>
        <w:t>Political:</w:t>
      </w:r>
    </w:p>
    <w:p w14:paraId="6D8EBA8C" w14:textId="77777777" w:rsidR="00627863" w:rsidRPr="008821E9" w:rsidRDefault="00627863" w:rsidP="008821E9">
      <w:pPr>
        <w:spacing w:line="360" w:lineRule="auto"/>
        <w:jc w:val="both"/>
        <w:rPr>
          <w:rFonts w:ascii="Arial" w:hAnsi="Arial" w:cs="Arial"/>
        </w:rPr>
      </w:pPr>
      <w:r w:rsidRPr="008821E9">
        <w:rPr>
          <w:rFonts w:ascii="Arial" w:hAnsi="Arial" w:cs="Arial"/>
        </w:rPr>
        <w:t>Government regulations significantly impact the hospitality sector. Policies regarding taxation, visa regulations, and political stability can influence operational dynamics. Trade agreements and geopolitical factors play a role in shaping international tourism flows (Jeong et al., 2023).</w:t>
      </w:r>
    </w:p>
    <w:p w14:paraId="179786D8" w14:textId="77777777" w:rsidR="00627863" w:rsidRPr="008821E9" w:rsidRDefault="00627863" w:rsidP="008821E9">
      <w:pPr>
        <w:spacing w:line="360" w:lineRule="auto"/>
        <w:jc w:val="both"/>
        <w:rPr>
          <w:rFonts w:ascii="Arial" w:hAnsi="Arial" w:cs="Arial"/>
        </w:rPr>
      </w:pPr>
    </w:p>
    <w:p w14:paraId="2B1CDB38" w14:textId="77777777" w:rsidR="00627863" w:rsidRPr="008821E9" w:rsidRDefault="00627863" w:rsidP="008821E9">
      <w:pPr>
        <w:spacing w:line="360" w:lineRule="auto"/>
        <w:jc w:val="both"/>
        <w:rPr>
          <w:rFonts w:ascii="Arial" w:hAnsi="Arial" w:cs="Arial"/>
        </w:rPr>
      </w:pPr>
      <w:r w:rsidRPr="008821E9">
        <w:rPr>
          <w:rFonts w:ascii="Arial" w:hAnsi="Arial" w:cs="Arial"/>
        </w:rPr>
        <w:t>Economic:</w:t>
      </w:r>
    </w:p>
    <w:p w14:paraId="0D12C984" w14:textId="77777777" w:rsidR="00627863" w:rsidRPr="008821E9" w:rsidRDefault="00627863" w:rsidP="008821E9">
      <w:pPr>
        <w:spacing w:line="360" w:lineRule="auto"/>
        <w:jc w:val="both"/>
        <w:rPr>
          <w:rFonts w:ascii="Arial" w:hAnsi="Arial" w:cs="Arial"/>
        </w:rPr>
      </w:pPr>
      <w:r w:rsidRPr="008821E9">
        <w:rPr>
          <w:rFonts w:ascii="Arial" w:hAnsi="Arial" w:cs="Arial"/>
        </w:rPr>
        <w:t>Economic conditions are paramount in determining the health of the hospitality industry. GDP growth, inflation rates, and disposable income levels influence consumer spending on travel and services. Economic downturns may lead to reduced business and leisure travel, impacting the industry's overall performance (Maclean et al., 2024).</w:t>
      </w:r>
    </w:p>
    <w:p w14:paraId="24C97C16" w14:textId="77777777" w:rsidR="00627863" w:rsidRPr="008821E9" w:rsidRDefault="00627863" w:rsidP="008821E9">
      <w:pPr>
        <w:spacing w:line="360" w:lineRule="auto"/>
        <w:jc w:val="both"/>
        <w:rPr>
          <w:rFonts w:ascii="Arial" w:hAnsi="Arial" w:cs="Arial"/>
        </w:rPr>
      </w:pPr>
    </w:p>
    <w:p w14:paraId="60AA1522" w14:textId="77777777" w:rsidR="00627863" w:rsidRPr="008821E9" w:rsidRDefault="00627863" w:rsidP="008821E9">
      <w:pPr>
        <w:spacing w:line="360" w:lineRule="auto"/>
        <w:jc w:val="both"/>
        <w:rPr>
          <w:rFonts w:ascii="Arial" w:hAnsi="Arial" w:cs="Arial"/>
        </w:rPr>
      </w:pPr>
      <w:r w:rsidRPr="008821E9">
        <w:rPr>
          <w:rFonts w:ascii="Arial" w:hAnsi="Arial" w:cs="Arial"/>
        </w:rPr>
        <w:t>Social:</w:t>
      </w:r>
    </w:p>
    <w:p w14:paraId="77F99B94" w14:textId="29B3AE81" w:rsidR="00627863" w:rsidRPr="008821E9" w:rsidRDefault="00627863" w:rsidP="008821E9">
      <w:pPr>
        <w:spacing w:line="360" w:lineRule="auto"/>
        <w:jc w:val="both"/>
        <w:rPr>
          <w:rFonts w:ascii="Arial" w:hAnsi="Arial" w:cs="Arial"/>
        </w:rPr>
      </w:pPr>
      <w:r w:rsidRPr="008821E9">
        <w:rPr>
          <w:rFonts w:ascii="Arial" w:hAnsi="Arial" w:cs="Arial"/>
        </w:rPr>
        <w:t xml:space="preserve">Social factors such as demographic trends, cultural influences, and health and wellness preferences play a crucial role. Understanding the diverse needs of target markets, adapting to cultural shifts, and catering to health-conscious consumers is vital for success. Changing work patterns, influenced by remote work trends, also impact travel </w:t>
      </w:r>
      <w:r w:rsidR="0035557E" w:rsidRPr="008821E9">
        <w:rPr>
          <w:rFonts w:ascii="Arial" w:hAnsi="Arial" w:cs="Arial"/>
        </w:rPr>
        <w:t>behaviours</w:t>
      </w:r>
      <w:r w:rsidRPr="008821E9">
        <w:rPr>
          <w:rFonts w:ascii="Arial" w:hAnsi="Arial" w:cs="Arial"/>
        </w:rPr>
        <w:t xml:space="preserve"> (Wang et al., 2023).</w:t>
      </w:r>
    </w:p>
    <w:p w14:paraId="3DD281FD" w14:textId="77777777" w:rsidR="00627863" w:rsidRPr="008821E9" w:rsidRDefault="00627863" w:rsidP="008821E9">
      <w:pPr>
        <w:spacing w:line="360" w:lineRule="auto"/>
        <w:jc w:val="both"/>
        <w:rPr>
          <w:rFonts w:ascii="Arial" w:hAnsi="Arial" w:cs="Arial"/>
        </w:rPr>
      </w:pPr>
    </w:p>
    <w:p w14:paraId="4FD19F40" w14:textId="77777777" w:rsidR="00627863" w:rsidRPr="008821E9" w:rsidRDefault="00627863" w:rsidP="008821E9">
      <w:pPr>
        <w:spacing w:line="360" w:lineRule="auto"/>
        <w:jc w:val="both"/>
        <w:rPr>
          <w:rFonts w:ascii="Arial" w:hAnsi="Arial" w:cs="Arial"/>
        </w:rPr>
      </w:pPr>
      <w:r w:rsidRPr="008821E9">
        <w:rPr>
          <w:rFonts w:ascii="Arial" w:hAnsi="Arial" w:cs="Arial"/>
        </w:rPr>
        <w:t>Technological:</w:t>
      </w:r>
    </w:p>
    <w:p w14:paraId="37D73A02" w14:textId="2CED2CF1" w:rsidR="00627863" w:rsidRPr="008821E9" w:rsidRDefault="00627863" w:rsidP="008821E9">
      <w:pPr>
        <w:spacing w:line="360" w:lineRule="auto"/>
        <w:jc w:val="both"/>
        <w:rPr>
          <w:rFonts w:ascii="Arial" w:hAnsi="Arial" w:cs="Arial"/>
        </w:rPr>
      </w:pPr>
      <w:r w:rsidRPr="008821E9">
        <w:rPr>
          <w:rFonts w:ascii="Arial" w:hAnsi="Arial" w:cs="Arial"/>
        </w:rPr>
        <w:t>Advancements in technology have transformed the hospitality landscape. Automation, artificial intelligence, and the Internet of Things enhance operational efficiency and guest experiences. Mobile applications, online platforms, and contactless technologies have become integral for bookings, check-ins, and ensuring safety (George, 2021).</w:t>
      </w:r>
    </w:p>
    <w:p w14:paraId="56D93DCF" w14:textId="77777777" w:rsidR="00627863" w:rsidRPr="008821E9" w:rsidRDefault="00627863" w:rsidP="008821E9">
      <w:pPr>
        <w:spacing w:line="360" w:lineRule="auto"/>
        <w:jc w:val="both"/>
        <w:rPr>
          <w:rFonts w:ascii="Arial" w:hAnsi="Arial" w:cs="Arial"/>
        </w:rPr>
      </w:pPr>
    </w:p>
    <w:p w14:paraId="67251B4B" w14:textId="77777777" w:rsidR="00627863" w:rsidRPr="008821E9" w:rsidRDefault="00627863" w:rsidP="008821E9">
      <w:pPr>
        <w:spacing w:line="360" w:lineRule="auto"/>
        <w:jc w:val="both"/>
        <w:rPr>
          <w:rFonts w:ascii="Arial" w:hAnsi="Arial" w:cs="Arial"/>
        </w:rPr>
      </w:pPr>
      <w:r w:rsidRPr="008821E9">
        <w:rPr>
          <w:rFonts w:ascii="Arial" w:hAnsi="Arial" w:cs="Arial"/>
        </w:rPr>
        <w:t>Legal:</w:t>
      </w:r>
    </w:p>
    <w:p w14:paraId="1594F812" w14:textId="21E1EFCC" w:rsidR="00627863" w:rsidRPr="008821E9" w:rsidRDefault="00627863" w:rsidP="008821E9">
      <w:pPr>
        <w:spacing w:line="360" w:lineRule="auto"/>
        <w:jc w:val="both"/>
        <w:rPr>
          <w:rFonts w:ascii="Arial" w:hAnsi="Arial" w:cs="Arial"/>
        </w:rPr>
      </w:pPr>
      <w:r w:rsidRPr="008821E9">
        <w:rPr>
          <w:rFonts w:ascii="Arial" w:hAnsi="Arial" w:cs="Arial"/>
        </w:rPr>
        <w:t>Compliance with legal regulations is fundamental in the hospitality industry. Adherence to health and safety standards, employment laws, data protection, and contractual obligations is essential. The industry must navigate a complex legal landscape to ensure ethical and lawful operations (Jeong et al., 2023; George, 2021).</w:t>
      </w:r>
    </w:p>
    <w:p w14:paraId="0EFD8CA1" w14:textId="77777777" w:rsidR="00627863" w:rsidRPr="008821E9" w:rsidRDefault="00627863" w:rsidP="008821E9">
      <w:pPr>
        <w:spacing w:line="360" w:lineRule="auto"/>
        <w:jc w:val="both"/>
        <w:rPr>
          <w:rFonts w:ascii="Arial" w:hAnsi="Arial" w:cs="Arial"/>
        </w:rPr>
      </w:pPr>
    </w:p>
    <w:p w14:paraId="3008B7E8" w14:textId="77777777" w:rsidR="00627863" w:rsidRPr="008821E9" w:rsidRDefault="00627863" w:rsidP="008821E9">
      <w:pPr>
        <w:spacing w:line="360" w:lineRule="auto"/>
        <w:jc w:val="both"/>
        <w:rPr>
          <w:rFonts w:ascii="Arial" w:hAnsi="Arial" w:cs="Arial"/>
        </w:rPr>
      </w:pPr>
      <w:r w:rsidRPr="008821E9">
        <w:rPr>
          <w:rFonts w:ascii="Arial" w:hAnsi="Arial" w:cs="Arial"/>
        </w:rPr>
        <w:t>Environmental:</w:t>
      </w:r>
    </w:p>
    <w:p w14:paraId="59841AB1" w14:textId="77777777" w:rsidR="00627863" w:rsidRPr="008821E9" w:rsidRDefault="00627863" w:rsidP="008821E9">
      <w:pPr>
        <w:spacing w:line="360" w:lineRule="auto"/>
        <w:jc w:val="both"/>
        <w:rPr>
          <w:rFonts w:ascii="Arial" w:hAnsi="Arial" w:cs="Arial"/>
        </w:rPr>
      </w:pPr>
      <w:r w:rsidRPr="008821E9">
        <w:rPr>
          <w:rFonts w:ascii="Arial" w:hAnsi="Arial" w:cs="Arial"/>
        </w:rPr>
        <w:t>Growing environmental consciousness necessitates sustainable practices in the hospitality sector. Green certifications, climate change adaptation, and effective waste management are crucial. Embracing environmentally friendly initiatives aligns with consumer expectations and regulatory trends (Maclean et al., 2024).</w:t>
      </w:r>
    </w:p>
    <w:p w14:paraId="3C00E938" w14:textId="77777777" w:rsidR="00627863" w:rsidRPr="008821E9" w:rsidRDefault="00627863" w:rsidP="008821E9">
      <w:pPr>
        <w:spacing w:line="360" w:lineRule="auto"/>
        <w:jc w:val="both"/>
        <w:rPr>
          <w:rFonts w:ascii="Arial" w:hAnsi="Arial" w:cs="Arial"/>
        </w:rPr>
      </w:pPr>
    </w:p>
    <w:p w14:paraId="09FFD8EC" w14:textId="77777777" w:rsidR="00627863" w:rsidRPr="008821E9" w:rsidRDefault="00627863" w:rsidP="008821E9">
      <w:pPr>
        <w:spacing w:line="360" w:lineRule="auto"/>
        <w:jc w:val="both"/>
        <w:rPr>
          <w:rFonts w:ascii="Arial" w:hAnsi="Arial" w:cs="Arial"/>
        </w:rPr>
      </w:pPr>
      <w:r w:rsidRPr="008821E9">
        <w:rPr>
          <w:rFonts w:ascii="Arial" w:hAnsi="Arial" w:cs="Arial"/>
        </w:rPr>
        <w:lastRenderedPageBreak/>
        <w:t>In summary, this PESTLE analysis, supported by relevant literature, provides insights into the multifaceted external factors shaping the hospitality industry. By understanding and adapting to political, economic, social, technological, legal, and environmental influences, businesses can position themselves strategically in this ever-evolving landscape.</w:t>
      </w:r>
    </w:p>
    <w:p w14:paraId="0A830235" w14:textId="77777777" w:rsidR="00A265CB" w:rsidRPr="008821E9" w:rsidRDefault="00A265CB" w:rsidP="008821E9">
      <w:pPr>
        <w:pStyle w:val="Heading1"/>
        <w:spacing w:line="360" w:lineRule="auto"/>
        <w:jc w:val="both"/>
        <w:rPr>
          <w:rFonts w:ascii="Arial" w:hAnsi="Arial" w:cs="Arial"/>
          <w:sz w:val="24"/>
          <w:szCs w:val="24"/>
        </w:rPr>
      </w:pPr>
      <w:bookmarkStart w:id="4" w:name="_Toc160378025"/>
      <w:r w:rsidRPr="008821E9">
        <w:rPr>
          <w:rFonts w:ascii="Arial" w:hAnsi="Arial" w:cs="Arial"/>
          <w:sz w:val="24"/>
          <w:szCs w:val="24"/>
        </w:rPr>
        <w:t>Industry Trends</w:t>
      </w:r>
      <w:bookmarkEnd w:id="4"/>
    </w:p>
    <w:p w14:paraId="5EF8536A" w14:textId="77777777" w:rsidR="00A265CB" w:rsidRPr="008821E9" w:rsidRDefault="00A265CB" w:rsidP="008821E9">
      <w:pPr>
        <w:spacing w:line="360" w:lineRule="auto"/>
        <w:jc w:val="both"/>
        <w:rPr>
          <w:rFonts w:ascii="Arial" w:hAnsi="Arial" w:cs="Arial"/>
        </w:rPr>
      </w:pPr>
      <w:r w:rsidRPr="008821E9">
        <w:rPr>
          <w:rFonts w:ascii="Arial" w:hAnsi="Arial" w:cs="Arial"/>
        </w:rPr>
        <w:t>In the constantly evolving tourism industry, heightened competition necessitates hotel operators to prioritize customer retention strategies (Fam et al., 2023). The intricate dynamics influencing customer loyalty, particularly among Asian tourists, underscore the importance of nuanced retention strategies tailored to diverse cultural expectations (Fam et al., 2023).</w:t>
      </w:r>
    </w:p>
    <w:p w14:paraId="77A4F121" w14:textId="77777777" w:rsidR="00A265CB" w:rsidRPr="008821E9" w:rsidRDefault="00A265CB" w:rsidP="008821E9">
      <w:pPr>
        <w:spacing w:line="360" w:lineRule="auto"/>
        <w:jc w:val="both"/>
        <w:rPr>
          <w:rFonts w:ascii="Arial" w:hAnsi="Arial" w:cs="Arial"/>
        </w:rPr>
      </w:pPr>
    </w:p>
    <w:p w14:paraId="0DC38736" w14:textId="77777777" w:rsidR="00A265CB" w:rsidRPr="008821E9" w:rsidRDefault="00A265CB" w:rsidP="008821E9">
      <w:pPr>
        <w:spacing w:line="360" w:lineRule="auto"/>
        <w:jc w:val="both"/>
        <w:rPr>
          <w:rFonts w:ascii="Arial" w:hAnsi="Arial" w:cs="Arial"/>
        </w:rPr>
      </w:pPr>
      <w:r w:rsidRPr="008821E9">
        <w:rPr>
          <w:rFonts w:ascii="Arial" w:hAnsi="Arial" w:cs="Arial"/>
        </w:rPr>
        <w:t>Simultaneously, the hospitality sector grapples with a persistent challenge - high employee turnover. The pre-pandemic private sector turnover rates reported by the US Bureau of Labor Statistics indicate the magnitude of this issue, leading to substantial costs related to lost productivity, recruitment, selection, and training (Dogru et al., 2023). Extensive research by scholars like Simons, Hinkin, Jex, and Britt emphasizes the profound impact of turnover on management and organizational dynamics.</w:t>
      </w:r>
    </w:p>
    <w:p w14:paraId="2126DEC9" w14:textId="77777777" w:rsidR="00A265CB" w:rsidRPr="008821E9" w:rsidRDefault="00A265CB" w:rsidP="008821E9">
      <w:pPr>
        <w:spacing w:line="360" w:lineRule="auto"/>
        <w:jc w:val="both"/>
        <w:rPr>
          <w:rFonts w:ascii="Arial" w:hAnsi="Arial" w:cs="Arial"/>
        </w:rPr>
      </w:pPr>
    </w:p>
    <w:p w14:paraId="6B3D9963" w14:textId="77777777" w:rsidR="00A265CB" w:rsidRPr="008821E9" w:rsidRDefault="00A265CB" w:rsidP="008821E9">
      <w:pPr>
        <w:spacing w:line="360" w:lineRule="auto"/>
        <w:jc w:val="both"/>
        <w:rPr>
          <w:rFonts w:ascii="Arial" w:hAnsi="Arial" w:cs="Arial"/>
        </w:rPr>
      </w:pPr>
      <w:r w:rsidRPr="008821E9">
        <w:rPr>
          <w:rFonts w:ascii="Arial" w:hAnsi="Arial" w:cs="Arial"/>
        </w:rPr>
        <w:t>Recent works by McGinley et al. and McGinley &amp; Shi, along with meta-analyses by Guzeller &amp; Celiker and Park &amp; Min, underscore the significance of turnover within the hospitality canon. The persistent nature of this challenge necessitates continued attention and strategic interventions to address high employee turnover in the hospitality sector (Dogru et al., 2023). A deeper exploration of socio-economic factors will illuminate the intricate relationships shaping these industry trends, providing a comprehensive understanding of the dynamics at play.</w:t>
      </w:r>
    </w:p>
    <w:p w14:paraId="611136F7" w14:textId="77777777" w:rsidR="00A265CB" w:rsidRPr="008821E9" w:rsidRDefault="00A265CB" w:rsidP="008821E9">
      <w:pPr>
        <w:spacing w:line="360" w:lineRule="auto"/>
        <w:jc w:val="both"/>
        <w:rPr>
          <w:rFonts w:ascii="Arial" w:hAnsi="Arial" w:cs="Arial"/>
        </w:rPr>
      </w:pPr>
    </w:p>
    <w:p w14:paraId="19BCD2B6" w14:textId="77777777" w:rsidR="00A265CB" w:rsidRPr="008821E9" w:rsidRDefault="00A265CB" w:rsidP="008821E9">
      <w:pPr>
        <w:spacing w:line="360" w:lineRule="auto"/>
        <w:jc w:val="both"/>
        <w:rPr>
          <w:rFonts w:ascii="Arial" w:hAnsi="Arial" w:cs="Arial"/>
        </w:rPr>
      </w:pPr>
      <w:r w:rsidRPr="008821E9">
        <w:rPr>
          <w:rFonts w:ascii="Arial" w:hAnsi="Arial" w:cs="Arial"/>
        </w:rPr>
        <w:t>Industry Examples</w:t>
      </w:r>
    </w:p>
    <w:p w14:paraId="7BEC57F8" w14:textId="77777777" w:rsidR="00A265CB" w:rsidRPr="008821E9" w:rsidRDefault="00A265CB" w:rsidP="008821E9">
      <w:pPr>
        <w:spacing w:line="360" w:lineRule="auto"/>
        <w:jc w:val="both"/>
        <w:rPr>
          <w:rFonts w:ascii="Arial" w:hAnsi="Arial" w:cs="Arial"/>
        </w:rPr>
      </w:pPr>
      <w:r w:rsidRPr="008821E9">
        <w:rPr>
          <w:rFonts w:ascii="Arial" w:hAnsi="Arial" w:cs="Arial"/>
        </w:rPr>
        <w:lastRenderedPageBreak/>
        <w:t>Prominent hotel brands, like Hyatt Hotels and Host Hotels and Resorts, prioritize employee performance with strategic investments in development, engagement, and environmental sustainability. Hyatt Hotels Corporation emphasizes training, mentorship, and a positive workplace culture, while Host Hotels and Resorts focuses on green initiatives. Effective communication, feedback mechanisms, and performance appraisals align employee goals with organizational objectives, enhancing both individual performance and the overall success and reputation of major hotel brands (Третьякова &amp; Шабакбаева, 2021; Baxter &amp; Srisaeng, 2021).</w:t>
      </w:r>
    </w:p>
    <w:p w14:paraId="34F7CCB7" w14:textId="77777777" w:rsidR="00A265CB" w:rsidRPr="008821E9" w:rsidRDefault="00A265CB" w:rsidP="008821E9">
      <w:pPr>
        <w:pStyle w:val="Heading1"/>
        <w:spacing w:line="360" w:lineRule="auto"/>
        <w:jc w:val="both"/>
        <w:rPr>
          <w:rFonts w:ascii="Arial" w:hAnsi="Arial" w:cs="Arial"/>
          <w:sz w:val="24"/>
          <w:szCs w:val="24"/>
        </w:rPr>
      </w:pPr>
      <w:bookmarkStart w:id="5" w:name="_Toc160378026"/>
      <w:r w:rsidRPr="008821E9">
        <w:rPr>
          <w:rFonts w:ascii="Arial" w:hAnsi="Arial" w:cs="Arial"/>
          <w:sz w:val="24"/>
          <w:szCs w:val="24"/>
        </w:rPr>
        <w:t>Research Methodology</w:t>
      </w:r>
      <w:bookmarkEnd w:id="5"/>
    </w:p>
    <w:p w14:paraId="217559A1" w14:textId="6C3BCE91" w:rsidR="00A265CB" w:rsidRPr="008821E9" w:rsidRDefault="00A265CB" w:rsidP="008821E9">
      <w:pPr>
        <w:spacing w:line="360" w:lineRule="auto"/>
        <w:jc w:val="both"/>
        <w:rPr>
          <w:rFonts w:ascii="Arial" w:hAnsi="Arial" w:cs="Arial"/>
        </w:rPr>
      </w:pPr>
      <w:r w:rsidRPr="008821E9">
        <w:rPr>
          <w:rFonts w:ascii="Arial" w:hAnsi="Arial" w:cs="Arial"/>
        </w:rPr>
        <w:t>Over the past five years, the hospitality industry has experienced a transformative shift in work modes, driven by technological advancements and digital transformation.</w:t>
      </w:r>
      <w:r w:rsidR="00CD36CD" w:rsidRPr="008821E9">
        <w:rPr>
          <w:rFonts w:ascii="Arial" w:hAnsi="Arial" w:cs="Arial"/>
        </w:rPr>
        <w:t xml:space="preserve"> Alon et al., </w:t>
      </w:r>
      <w:r w:rsidR="00795DBD" w:rsidRPr="008821E9">
        <w:rPr>
          <w:rFonts w:ascii="Arial" w:hAnsi="Arial" w:cs="Arial"/>
        </w:rPr>
        <w:t>2020; explored</w:t>
      </w:r>
      <w:r w:rsidRPr="008821E9">
        <w:rPr>
          <w:rFonts w:ascii="Arial" w:hAnsi="Arial" w:cs="Arial"/>
        </w:rPr>
        <w:t xml:space="preserve"> modal choice in the international hotel sector, recent years have seen a more profound impact, especially with companies undergoing digital transformation influencing talent management processes </w:t>
      </w:r>
      <w:r w:rsidR="00C3626B" w:rsidRPr="008821E9">
        <w:rPr>
          <w:rFonts w:ascii="Arial" w:hAnsi="Arial" w:cs="Arial"/>
        </w:rPr>
        <w:t>(</w:t>
      </w:r>
      <w:bookmarkStart w:id="6" w:name="_Hlk160288351"/>
      <w:r w:rsidR="00C3626B" w:rsidRPr="008821E9">
        <w:rPr>
          <w:rFonts w:ascii="Arial" w:hAnsi="Arial" w:cs="Arial"/>
        </w:rPr>
        <w:t>Alon et al., 2020;</w:t>
      </w:r>
      <w:r w:rsidRPr="008821E9">
        <w:rPr>
          <w:rFonts w:ascii="Arial" w:hAnsi="Arial" w:cs="Arial"/>
        </w:rPr>
        <w:t xml:space="preserve"> </w:t>
      </w:r>
      <w:bookmarkEnd w:id="6"/>
      <w:r w:rsidRPr="008821E9">
        <w:rPr>
          <w:rFonts w:ascii="Arial" w:hAnsi="Arial" w:cs="Arial"/>
        </w:rPr>
        <w:t>Guerra et al., 2023).</w:t>
      </w:r>
    </w:p>
    <w:p w14:paraId="2DFC4477" w14:textId="77777777" w:rsidR="00A265CB" w:rsidRPr="008821E9" w:rsidRDefault="00A265CB" w:rsidP="008821E9">
      <w:pPr>
        <w:spacing w:line="360" w:lineRule="auto"/>
        <w:jc w:val="both"/>
        <w:rPr>
          <w:rFonts w:ascii="Arial" w:hAnsi="Arial" w:cs="Arial"/>
        </w:rPr>
      </w:pPr>
    </w:p>
    <w:p w14:paraId="41DB4DF1" w14:textId="2936F0C3" w:rsidR="00A265CB" w:rsidRPr="008821E9" w:rsidRDefault="00A265CB" w:rsidP="008821E9">
      <w:pPr>
        <w:spacing w:line="360" w:lineRule="auto"/>
        <w:jc w:val="both"/>
        <w:rPr>
          <w:rFonts w:ascii="Arial" w:hAnsi="Arial" w:cs="Arial"/>
        </w:rPr>
      </w:pPr>
      <w:r w:rsidRPr="008821E9">
        <w:rPr>
          <w:rFonts w:ascii="Arial" w:hAnsi="Arial" w:cs="Arial"/>
        </w:rPr>
        <w:t>Guerra et al.'s (2023) study, analyzing 314 Spanish companies, reveals the substantial influence of digital transformation on talent management. Companies strategically align their practices to attract and retain skilled individuals, aligning with broader changes in hospitality work modes. The adoption of digital tools in the hospitality sector has led to flexible work arrangements, remote collaboration, and innovative performance management. This ongoing evolution, strongly influenced by digital transformations, reshapes talent management practices, with insights from</w:t>
      </w:r>
      <w:r w:rsidR="004B6AD6" w:rsidRPr="008821E9">
        <w:rPr>
          <w:rFonts w:ascii="Arial" w:hAnsi="Arial" w:cs="Arial"/>
        </w:rPr>
        <w:t xml:space="preserve"> Alon </w:t>
      </w:r>
      <w:r w:rsidR="00D03326" w:rsidRPr="008821E9">
        <w:rPr>
          <w:rFonts w:ascii="Arial" w:hAnsi="Arial" w:cs="Arial"/>
        </w:rPr>
        <w:t>et al., (2020</w:t>
      </w:r>
      <w:r w:rsidR="004B6AD6" w:rsidRPr="008821E9">
        <w:rPr>
          <w:rFonts w:ascii="Arial" w:hAnsi="Arial" w:cs="Arial"/>
        </w:rPr>
        <w:t>)</w:t>
      </w:r>
      <w:r w:rsidRPr="008821E9">
        <w:rPr>
          <w:rFonts w:ascii="Arial" w:hAnsi="Arial" w:cs="Arial"/>
        </w:rPr>
        <w:t xml:space="preserve"> and Guerra et al. (2023) providing a valuable framework for understanding organizational shifts and talent dynamics in this evolving landscape.</w:t>
      </w:r>
    </w:p>
    <w:p w14:paraId="1549DFAF" w14:textId="77777777" w:rsidR="00A265CB" w:rsidRPr="008821E9" w:rsidRDefault="00A265CB" w:rsidP="008821E9">
      <w:pPr>
        <w:spacing w:line="360" w:lineRule="auto"/>
        <w:jc w:val="both"/>
        <w:rPr>
          <w:rFonts w:ascii="Arial" w:hAnsi="Arial" w:cs="Arial"/>
        </w:rPr>
      </w:pPr>
    </w:p>
    <w:p w14:paraId="4E16FAD7" w14:textId="77777777" w:rsidR="00A265CB" w:rsidRPr="008821E9" w:rsidRDefault="00A265CB" w:rsidP="008821E9">
      <w:pPr>
        <w:spacing w:line="360" w:lineRule="auto"/>
        <w:jc w:val="both"/>
        <w:rPr>
          <w:rFonts w:ascii="Arial" w:hAnsi="Arial" w:cs="Arial"/>
        </w:rPr>
      </w:pPr>
      <w:r w:rsidRPr="008821E9">
        <w:rPr>
          <w:rFonts w:ascii="Arial" w:hAnsi="Arial" w:cs="Arial"/>
        </w:rPr>
        <w:t>This study employs a mixed-methods approach to achieve a comprehensive understanding of the impacts of socio-economic forces on employee performance management in different work modes within the hospitality industry, focusing specifically on the Hilton hotel chain.</w:t>
      </w:r>
    </w:p>
    <w:p w14:paraId="62A1E1C5" w14:textId="77777777" w:rsidR="00A265CB" w:rsidRPr="008821E9" w:rsidRDefault="00A265CB" w:rsidP="008821E9">
      <w:pPr>
        <w:spacing w:line="360" w:lineRule="auto"/>
        <w:jc w:val="both"/>
        <w:rPr>
          <w:rFonts w:ascii="Arial" w:hAnsi="Arial" w:cs="Arial"/>
        </w:rPr>
      </w:pPr>
    </w:p>
    <w:p w14:paraId="775F3055" w14:textId="77777777" w:rsidR="00A265CB" w:rsidRPr="008821E9" w:rsidRDefault="00A265CB" w:rsidP="008821E9">
      <w:pPr>
        <w:spacing w:line="360" w:lineRule="auto"/>
        <w:jc w:val="both"/>
        <w:rPr>
          <w:rFonts w:ascii="Arial" w:hAnsi="Arial" w:cs="Arial"/>
        </w:rPr>
      </w:pPr>
      <w:r w:rsidRPr="008821E9">
        <w:rPr>
          <w:rFonts w:ascii="Arial" w:hAnsi="Arial" w:cs="Arial"/>
        </w:rPr>
        <w:lastRenderedPageBreak/>
        <w:t>Quantitative Data Collection:</w:t>
      </w:r>
    </w:p>
    <w:p w14:paraId="19CE310E" w14:textId="77777777" w:rsidR="00A265CB" w:rsidRPr="008821E9" w:rsidRDefault="00A265CB" w:rsidP="008821E9">
      <w:pPr>
        <w:spacing w:line="360" w:lineRule="auto"/>
        <w:jc w:val="both"/>
        <w:rPr>
          <w:rFonts w:ascii="Arial" w:hAnsi="Arial" w:cs="Arial"/>
        </w:rPr>
      </w:pPr>
      <w:r w:rsidRPr="008821E9">
        <w:rPr>
          <w:rFonts w:ascii="Arial" w:hAnsi="Arial" w:cs="Arial"/>
        </w:rPr>
        <w:t>A structured survey will be designed to collect quantitative data from employees within the Hilton hotel chain. The survey will encompass questions related to socioeconomic factors, work mode preferences, and performance metrics. The sampling technique will ensure representation from diverse job roles and hierarchical levels within the organization (Jeong et al., 2023).</w:t>
      </w:r>
    </w:p>
    <w:p w14:paraId="163CA973" w14:textId="77777777" w:rsidR="00A265CB" w:rsidRPr="008821E9" w:rsidRDefault="00A265CB" w:rsidP="008821E9">
      <w:pPr>
        <w:spacing w:line="360" w:lineRule="auto"/>
        <w:jc w:val="both"/>
        <w:rPr>
          <w:rFonts w:ascii="Arial" w:hAnsi="Arial" w:cs="Arial"/>
        </w:rPr>
      </w:pPr>
    </w:p>
    <w:p w14:paraId="303D5F92" w14:textId="77777777" w:rsidR="00A265CB" w:rsidRPr="008821E9" w:rsidRDefault="00A265CB" w:rsidP="008821E9">
      <w:pPr>
        <w:spacing w:line="360" w:lineRule="auto"/>
        <w:jc w:val="both"/>
        <w:rPr>
          <w:rFonts w:ascii="Arial" w:hAnsi="Arial" w:cs="Arial"/>
        </w:rPr>
      </w:pPr>
      <w:r w:rsidRPr="008821E9">
        <w:rPr>
          <w:rFonts w:ascii="Arial" w:hAnsi="Arial" w:cs="Arial"/>
        </w:rPr>
        <w:t>Qualitative Data Collection:</w:t>
      </w:r>
    </w:p>
    <w:p w14:paraId="3D881FC2" w14:textId="77777777" w:rsidR="00A265CB" w:rsidRPr="008821E9" w:rsidRDefault="00A265CB" w:rsidP="008821E9">
      <w:pPr>
        <w:spacing w:line="360" w:lineRule="auto"/>
        <w:jc w:val="both"/>
        <w:rPr>
          <w:rFonts w:ascii="Arial" w:hAnsi="Arial" w:cs="Arial"/>
        </w:rPr>
      </w:pPr>
      <w:r w:rsidRPr="008821E9">
        <w:rPr>
          <w:rFonts w:ascii="Arial" w:hAnsi="Arial" w:cs="Arial"/>
        </w:rPr>
        <w:t>In-depth interviews and focus group discussions will be conducted with key stakeholders, including HR managers and employees. These qualitative insights will provide a nuanced understanding of the subjective experiences and perceptions related to the impact of socioeconomic factors on performance management in various work modes (Maclean et al., 2024).</w:t>
      </w:r>
    </w:p>
    <w:p w14:paraId="2A372667" w14:textId="77777777" w:rsidR="00A265CB" w:rsidRPr="008821E9" w:rsidRDefault="00A265CB" w:rsidP="008821E9">
      <w:pPr>
        <w:spacing w:line="360" w:lineRule="auto"/>
        <w:jc w:val="both"/>
        <w:rPr>
          <w:rFonts w:ascii="Arial" w:hAnsi="Arial" w:cs="Arial"/>
        </w:rPr>
      </w:pPr>
    </w:p>
    <w:p w14:paraId="20C8F77D" w14:textId="77777777" w:rsidR="00A265CB" w:rsidRPr="008821E9" w:rsidRDefault="00A265CB" w:rsidP="008821E9">
      <w:pPr>
        <w:spacing w:line="360" w:lineRule="auto"/>
        <w:jc w:val="both"/>
        <w:rPr>
          <w:rFonts w:ascii="Arial" w:hAnsi="Arial" w:cs="Arial"/>
        </w:rPr>
      </w:pPr>
      <w:r w:rsidRPr="008821E9">
        <w:rPr>
          <w:rFonts w:ascii="Arial" w:hAnsi="Arial" w:cs="Arial"/>
        </w:rPr>
        <w:t>Case Study Analysis:</w:t>
      </w:r>
    </w:p>
    <w:p w14:paraId="58CB477B" w14:textId="51FE819A" w:rsidR="00A265CB" w:rsidRPr="008821E9" w:rsidRDefault="00A265CB" w:rsidP="008821E9">
      <w:pPr>
        <w:spacing w:line="360" w:lineRule="auto"/>
        <w:jc w:val="both"/>
        <w:rPr>
          <w:rFonts w:ascii="Arial" w:hAnsi="Arial" w:cs="Arial"/>
        </w:rPr>
      </w:pPr>
      <w:r w:rsidRPr="008821E9">
        <w:rPr>
          <w:rFonts w:ascii="Arial" w:hAnsi="Arial" w:cs="Arial"/>
        </w:rPr>
        <w:t>A comprehensive case study of the Hilton hotel chain will be undertaken, analyzing historical data, policies, and practices related to performance management. Additionally, industry examples such as</w:t>
      </w:r>
      <w:r w:rsidR="00AE11BD" w:rsidRPr="008821E9">
        <w:rPr>
          <w:rFonts w:ascii="Arial" w:hAnsi="Arial" w:cs="Arial"/>
        </w:rPr>
        <w:t xml:space="preserve"> Hyatt Hotels and Host Hotels and Resorts</w:t>
      </w:r>
      <w:r w:rsidRPr="008821E9">
        <w:rPr>
          <w:rFonts w:ascii="Arial" w:hAnsi="Arial" w:cs="Arial"/>
        </w:rPr>
        <w:t xml:space="preserve"> will be included to provide comparative insights (Wang et al., 2023).</w:t>
      </w:r>
    </w:p>
    <w:p w14:paraId="0982280E" w14:textId="77777777" w:rsidR="00A265CB" w:rsidRPr="008821E9" w:rsidRDefault="00A265CB" w:rsidP="008821E9">
      <w:pPr>
        <w:spacing w:line="360" w:lineRule="auto"/>
        <w:jc w:val="both"/>
        <w:rPr>
          <w:rFonts w:ascii="Arial" w:hAnsi="Arial" w:cs="Arial"/>
        </w:rPr>
      </w:pPr>
    </w:p>
    <w:p w14:paraId="614769EA" w14:textId="77777777" w:rsidR="00A265CB" w:rsidRPr="008821E9" w:rsidRDefault="00A265CB" w:rsidP="008821E9">
      <w:pPr>
        <w:spacing w:line="360" w:lineRule="auto"/>
        <w:jc w:val="both"/>
        <w:rPr>
          <w:rFonts w:ascii="Arial" w:hAnsi="Arial" w:cs="Arial"/>
        </w:rPr>
      </w:pPr>
      <w:r w:rsidRPr="008821E9">
        <w:rPr>
          <w:rFonts w:ascii="Arial" w:hAnsi="Arial" w:cs="Arial"/>
        </w:rPr>
        <w:t>Data Analysis:</w:t>
      </w:r>
    </w:p>
    <w:p w14:paraId="0BB72521" w14:textId="77777777" w:rsidR="00A265CB" w:rsidRPr="008821E9" w:rsidRDefault="00A265CB" w:rsidP="008821E9">
      <w:pPr>
        <w:spacing w:line="360" w:lineRule="auto"/>
        <w:jc w:val="both"/>
        <w:rPr>
          <w:rFonts w:ascii="Arial" w:hAnsi="Arial" w:cs="Arial"/>
        </w:rPr>
      </w:pPr>
      <w:r w:rsidRPr="008821E9">
        <w:rPr>
          <w:rFonts w:ascii="Arial" w:hAnsi="Arial" w:cs="Arial"/>
        </w:rPr>
        <w:t>Quantitative data will be analysed using statistical techniques such as regression analysis and correlation assessments to identify patterns and relationships. Qualitative data will undergo thematic analysis and content analysis to derive meaningful interpretations. The case study analysis will involve a detailed examination of policies and practices within Hilton and comparative assessments with industry examples (George, 2021).</w:t>
      </w:r>
    </w:p>
    <w:p w14:paraId="0C1824C7" w14:textId="77777777" w:rsidR="00A265CB" w:rsidRPr="008821E9" w:rsidRDefault="00A265CB" w:rsidP="008821E9">
      <w:pPr>
        <w:spacing w:line="360" w:lineRule="auto"/>
        <w:jc w:val="both"/>
        <w:rPr>
          <w:rFonts w:ascii="Arial" w:hAnsi="Arial" w:cs="Arial"/>
        </w:rPr>
      </w:pPr>
    </w:p>
    <w:p w14:paraId="1547AC34" w14:textId="77777777" w:rsidR="00A265CB" w:rsidRPr="008821E9" w:rsidRDefault="00A265CB" w:rsidP="008821E9">
      <w:pPr>
        <w:spacing w:line="360" w:lineRule="auto"/>
        <w:jc w:val="both"/>
        <w:rPr>
          <w:rFonts w:ascii="Arial" w:hAnsi="Arial" w:cs="Arial"/>
        </w:rPr>
      </w:pPr>
      <w:r w:rsidRPr="008821E9">
        <w:rPr>
          <w:rFonts w:ascii="Arial" w:hAnsi="Arial" w:cs="Arial"/>
        </w:rPr>
        <w:t>Ethical Considerations:</w:t>
      </w:r>
    </w:p>
    <w:p w14:paraId="79A60C6C" w14:textId="77777777" w:rsidR="00A265CB" w:rsidRPr="008821E9" w:rsidRDefault="00A265CB" w:rsidP="008821E9">
      <w:pPr>
        <w:spacing w:line="360" w:lineRule="auto"/>
        <w:jc w:val="both"/>
        <w:rPr>
          <w:rFonts w:ascii="Arial" w:hAnsi="Arial" w:cs="Arial"/>
        </w:rPr>
      </w:pPr>
      <w:r w:rsidRPr="008821E9">
        <w:rPr>
          <w:rFonts w:ascii="Arial" w:hAnsi="Arial" w:cs="Arial"/>
        </w:rPr>
        <w:lastRenderedPageBreak/>
        <w:t>The research will adhere to ethical guidelines, ensuring participant confidentiality, voluntary participation, and informed consent. All data will be securely stored and anonymized during analysis (Jeong et al., 2023).</w:t>
      </w:r>
    </w:p>
    <w:p w14:paraId="72377AA6" w14:textId="77777777" w:rsidR="00A265CB" w:rsidRPr="008821E9" w:rsidRDefault="00A265CB" w:rsidP="008821E9">
      <w:pPr>
        <w:spacing w:line="360" w:lineRule="auto"/>
        <w:jc w:val="both"/>
        <w:rPr>
          <w:rFonts w:ascii="Arial" w:hAnsi="Arial" w:cs="Arial"/>
        </w:rPr>
      </w:pPr>
    </w:p>
    <w:p w14:paraId="55693667" w14:textId="77777777" w:rsidR="00A265CB" w:rsidRPr="008821E9" w:rsidRDefault="00A265CB" w:rsidP="008821E9">
      <w:pPr>
        <w:spacing w:line="360" w:lineRule="auto"/>
        <w:jc w:val="both"/>
        <w:rPr>
          <w:rFonts w:ascii="Arial" w:hAnsi="Arial" w:cs="Arial"/>
        </w:rPr>
      </w:pPr>
      <w:r w:rsidRPr="008821E9">
        <w:rPr>
          <w:rFonts w:ascii="Arial" w:hAnsi="Arial" w:cs="Arial"/>
        </w:rPr>
        <w:t>The chosen research methods aim to provide a holistic understanding of the impact of socio-economic forces on employee performance management in diverse work modes, ensuring robust insights through a combination of quantitative rigour and qualitative depth.</w:t>
      </w:r>
    </w:p>
    <w:p w14:paraId="039D7C94" w14:textId="77777777" w:rsidR="00A265CB" w:rsidRPr="008821E9" w:rsidRDefault="00A265CB" w:rsidP="008821E9">
      <w:pPr>
        <w:spacing w:line="360" w:lineRule="auto"/>
        <w:jc w:val="both"/>
        <w:rPr>
          <w:rFonts w:ascii="Arial" w:hAnsi="Arial" w:cs="Arial"/>
        </w:rPr>
      </w:pPr>
    </w:p>
    <w:p w14:paraId="1F6B503A" w14:textId="77777777" w:rsidR="00A265CB" w:rsidRPr="008821E9" w:rsidRDefault="00A265CB" w:rsidP="008821E9">
      <w:pPr>
        <w:pStyle w:val="Heading1"/>
        <w:spacing w:line="360" w:lineRule="auto"/>
        <w:jc w:val="both"/>
        <w:rPr>
          <w:rFonts w:ascii="Arial" w:hAnsi="Arial" w:cs="Arial"/>
          <w:sz w:val="24"/>
          <w:szCs w:val="24"/>
        </w:rPr>
      </w:pPr>
      <w:bookmarkStart w:id="7" w:name="_Toc160378027"/>
      <w:r w:rsidRPr="008821E9">
        <w:rPr>
          <w:rFonts w:ascii="Arial" w:hAnsi="Arial" w:cs="Arial"/>
          <w:sz w:val="24"/>
          <w:szCs w:val="24"/>
        </w:rPr>
        <w:t>Contribution to Hospitality HR and Decision-Making:</w:t>
      </w:r>
      <w:bookmarkEnd w:id="7"/>
    </w:p>
    <w:p w14:paraId="5E34935A" w14:textId="77777777" w:rsidR="00922ED5" w:rsidRPr="008821E9" w:rsidRDefault="00922ED5" w:rsidP="008821E9">
      <w:pPr>
        <w:spacing w:line="360" w:lineRule="auto"/>
        <w:jc w:val="both"/>
        <w:rPr>
          <w:rFonts w:ascii="Arial" w:hAnsi="Arial" w:cs="Arial"/>
        </w:rPr>
      </w:pPr>
      <w:r w:rsidRPr="008821E9">
        <w:rPr>
          <w:rFonts w:ascii="Arial" w:hAnsi="Arial" w:cs="Arial"/>
        </w:rPr>
        <w:t>Anticipated Outcomes:</w:t>
      </w:r>
    </w:p>
    <w:p w14:paraId="5A9BB360" w14:textId="2205BAB0" w:rsidR="00922ED5" w:rsidRPr="008821E9" w:rsidRDefault="00922ED5" w:rsidP="008821E9">
      <w:pPr>
        <w:spacing w:line="360" w:lineRule="auto"/>
        <w:jc w:val="both"/>
        <w:rPr>
          <w:rFonts w:ascii="Arial" w:hAnsi="Arial" w:cs="Arial"/>
        </w:rPr>
      </w:pPr>
      <w:r w:rsidRPr="008821E9">
        <w:rPr>
          <w:rFonts w:ascii="Arial" w:hAnsi="Arial" w:cs="Arial"/>
        </w:rPr>
        <w:t>The study seeks valuable insights into socio-economic impacts on employee performance in Hilton, anticipating nuanced understanding, identifying challenges, and recommending strategic enhancements (Jeong et al., 2023; Maclean et al., 2024; Wang et al., 2023; George, 202</w:t>
      </w:r>
    </w:p>
    <w:p w14:paraId="72F19297" w14:textId="77777777" w:rsidR="00A265CB" w:rsidRPr="008821E9" w:rsidRDefault="00A265CB" w:rsidP="008821E9">
      <w:pPr>
        <w:spacing w:line="360" w:lineRule="auto"/>
        <w:jc w:val="both"/>
        <w:rPr>
          <w:rFonts w:ascii="Arial" w:hAnsi="Arial" w:cs="Arial"/>
        </w:rPr>
      </w:pPr>
      <w:r w:rsidRPr="008821E9">
        <w:rPr>
          <w:rFonts w:ascii="Arial" w:hAnsi="Arial" w:cs="Arial"/>
        </w:rPr>
        <w:t>The research offers valuable insights for hospitality HR and decision-makers by uncovering the intricate relationship between socio-economic forces and employee performance. Decision-makers in Hilton and other hotel chains can leverage these insights to tailor performance management strategies. Additionally, the study may contribute to academic discourse on HR management in the hospitality sector, providing a broader understanding of effective strategies (Jeong et al., 2023; Maclean et al., 2024; Wang et al., 2023; George, 2021).</w:t>
      </w:r>
    </w:p>
    <w:p w14:paraId="38919CAC" w14:textId="77777777" w:rsidR="00A265CB" w:rsidRPr="008821E9" w:rsidRDefault="00A265CB" w:rsidP="008821E9">
      <w:pPr>
        <w:spacing w:line="360" w:lineRule="auto"/>
        <w:jc w:val="both"/>
        <w:rPr>
          <w:rFonts w:ascii="Arial" w:hAnsi="Arial" w:cs="Arial"/>
        </w:rPr>
      </w:pPr>
      <w:r w:rsidRPr="008821E9">
        <w:rPr>
          <w:rFonts w:ascii="Arial" w:hAnsi="Arial" w:cs="Arial"/>
        </w:rPr>
        <w:t>In this comprehensive exploration of integrating diverse work modes within the Hilton hotel chain, the research aimed to provide valuable insights into the challenges and opportunities associated with socio-economic factors impacting employee performance management. The study delved into hybrid, traditional, and flexible work modes, considering the dynamic nature of the hospitality industry.</w:t>
      </w:r>
    </w:p>
    <w:p w14:paraId="45344907" w14:textId="77777777" w:rsidR="00A265CB" w:rsidRPr="008821E9" w:rsidRDefault="00A265CB" w:rsidP="008821E9">
      <w:pPr>
        <w:spacing w:line="360" w:lineRule="auto"/>
        <w:jc w:val="both"/>
        <w:rPr>
          <w:rFonts w:ascii="Arial" w:hAnsi="Arial" w:cs="Arial"/>
        </w:rPr>
      </w:pPr>
    </w:p>
    <w:p w14:paraId="01E26385" w14:textId="77777777" w:rsidR="00A265CB" w:rsidRPr="008821E9" w:rsidRDefault="00A265CB" w:rsidP="008821E9">
      <w:pPr>
        <w:spacing w:line="360" w:lineRule="auto"/>
        <w:jc w:val="both"/>
        <w:rPr>
          <w:rFonts w:ascii="Arial" w:hAnsi="Arial" w:cs="Arial"/>
        </w:rPr>
      </w:pPr>
      <w:r w:rsidRPr="008821E9">
        <w:rPr>
          <w:rFonts w:ascii="Arial" w:hAnsi="Arial" w:cs="Arial"/>
        </w:rPr>
        <w:t>Main Findings:</w:t>
      </w:r>
    </w:p>
    <w:p w14:paraId="65108DDA" w14:textId="77777777" w:rsidR="00A265CB" w:rsidRPr="008821E9" w:rsidRDefault="00A265CB" w:rsidP="008821E9">
      <w:pPr>
        <w:spacing w:line="360" w:lineRule="auto"/>
        <w:jc w:val="both"/>
        <w:rPr>
          <w:rFonts w:ascii="Arial" w:hAnsi="Arial" w:cs="Arial"/>
        </w:rPr>
      </w:pPr>
    </w:p>
    <w:p w14:paraId="471EC84D" w14:textId="77777777" w:rsidR="00A265CB" w:rsidRPr="008821E9" w:rsidRDefault="00A265CB" w:rsidP="008821E9">
      <w:pPr>
        <w:spacing w:line="360" w:lineRule="auto"/>
        <w:jc w:val="both"/>
        <w:rPr>
          <w:rFonts w:ascii="Arial" w:hAnsi="Arial" w:cs="Arial"/>
        </w:rPr>
      </w:pPr>
      <w:r w:rsidRPr="008821E9">
        <w:rPr>
          <w:rFonts w:ascii="Arial" w:hAnsi="Arial" w:cs="Arial"/>
        </w:rPr>
        <w:t>The primary findings revealed the intricate relationship between socio-economic forces and employee performance in Hilton. The industry trends, examined through a PESTLE analysis, outlined the significant impact of political, economic, social, technological, legal, and environmental factors on the hospitality sector. The persistent challenge of high employee turnover and the nuanced dynamics of customer loyalty further underscored the complex nature of the industry.</w:t>
      </w:r>
    </w:p>
    <w:p w14:paraId="02F7163B" w14:textId="77777777" w:rsidR="00A265CB" w:rsidRPr="008821E9" w:rsidRDefault="00A265CB" w:rsidP="008821E9">
      <w:pPr>
        <w:spacing w:line="360" w:lineRule="auto"/>
        <w:jc w:val="both"/>
        <w:rPr>
          <w:rFonts w:ascii="Arial" w:hAnsi="Arial" w:cs="Arial"/>
        </w:rPr>
      </w:pPr>
    </w:p>
    <w:p w14:paraId="5C1C8A42" w14:textId="77777777" w:rsidR="00A265CB" w:rsidRPr="008821E9" w:rsidRDefault="00A265CB" w:rsidP="008821E9">
      <w:pPr>
        <w:spacing w:line="360" w:lineRule="auto"/>
        <w:jc w:val="both"/>
        <w:rPr>
          <w:rFonts w:ascii="Arial" w:hAnsi="Arial" w:cs="Arial"/>
        </w:rPr>
      </w:pPr>
      <w:r w:rsidRPr="008821E9">
        <w:rPr>
          <w:rFonts w:ascii="Arial" w:hAnsi="Arial" w:cs="Arial"/>
        </w:rPr>
        <w:t>Implications:</w:t>
      </w:r>
    </w:p>
    <w:p w14:paraId="4DF0E1FE" w14:textId="77777777" w:rsidR="00A265CB" w:rsidRPr="008821E9" w:rsidRDefault="00A265CB" w:rsidP="008821E9">
      <w:pPr>
        <w:spacing w:line="360" w:lineRule="auto"/>
        <w:jc w:val="both"/>
        <w:rPr>
          <w:rFonts w:ascii="Arial" w:hAnsi="Arial" w:cs="Arial"/>
        </w:rPr>
      </w:pPr>
    </w:p>
    <w:p w14:paraId="2D1A99DA" w14:textId="77777777" w:rsidR="00A265CB" w:rsidRPr="008821E9" w:rsidRDefault="00A265CB" w:rsidP="008821E9">
      <w:pPr>
        <w:spacing w:line="360" w:lineRule="auto"/>
        <w:jc w:val="both"/>
        <w:rPr>
          <w:rFonts w:ascii="Arial" w:hAnsi="Arial" w:cs="Arial"/>
        </w:rPr>
      </w:pPr>
      <w:r w:rsidRPr="008821E9">
        <w:rPr>
          <w:rFonts w:ascii="Arial" w:hAnsi="Arial" w:cs="Arial"/>
        </w:rPr>
        <w:t>The research has broader implications for both Hilton and the hospitality industry at large. The findings highlight the necessity for Hilton to align its workforce management strategies with industry trends, fostering adaptability and resilience. The evolution of work modes, influenced by digital transformations, calls for strategic investments in employee development, engagement, and sustainability to enhance individual and overall performance.</w:t>
      </w:r>
    </w:p>
    <w:p w14:paraId="6E15F4FE" w14:textId="77777777" w:rsidR="00A265CB" w:rsidRPr="008821E9" w:rsidRDefault="00A265CB" w:rsidP="008821E9">
      <w:pPr>
        <w:pStyle w:val="Heading1"/>
        <w:spacing w:line="360" w:lineRule="auto"/>
        <w:jc w:val="both"/>
        <w:rPr>
          <w:rFonts w:ascii="Arial" w:hAnsi="Arial" w:cs="Arial"/>
          <w:sz w:val="24"/>
          <w:szCs w:val="24"/>
        </w:rPr>
      </w:pPr>
      <w:bookmarkStart w:id="8" w:name="_Toc160378028"/>
      <w:r w:rsidRPr="008821E9">
        <w:rPr>
          <w:rFonts w:ascii="Arial" w:hAnsi="Arial" w:cs="Arial"/>
          <w:sz w:val="24"/>
          <w:szCs w:val="24"/>
        </w:rPr>
        <w:t>Recommendations:</w:t>
      </w:r>
      <w:bookmarkEnd w:id="8"/>
    </w:p>
    <w:p w14:paraId="5B64B347" w14:textId="77777777" w:rsidR="00A265CB" w:rsidRPr="008821E9" w:rsidRDefault="00A265CB" w:rsidP="008821E9">
      <w:pPr>
        <w:spacing w:line="360" w:lineRule="auto"/>
        <w:jc w:val="both"/>
        <w:rPr>
          <w:rFonts w:ascii="Arial" w:hAnsi="Arial" w:cs="Arial"/>
        </w:rPr>
      </w:pPr>
    </w:p>
    <w:p w14:paraId="413E8023" w14:textId="77777777" w:rsidR="00A265CB" w:rsidRPr="008821E9" w:rsidRDefault="00A265CB" w:rsidP="008821E9">
      <w:pPr>
        <w:spacing w:line="360" w:lineRule="auto"/>
        <w:jc w:val="both"/>
        <w:rPr>
          <w:rFonts w:ascii="Arial" w:hAnsi="Arial" w:cs="Arial"/>
        </w:rPr>
      </w:pPr>
      <w:r w:rsidRPr="008821E9">
        <w:rPr>
          <w:rFonts w:ascii="Arial" w:hAnsi="Arial" w:cs="Arial"/>
        </w:rPr>
        <w:t>Adaptability and Flexibility: Hilton should embrace adaptive work modes, recognizing the significance of hybrid models that combine remote and on-site work. This approach can enhance employee satisfaction, productivity, and retention, particularly in the context of changing work patterns influenced by remote work trends.</w:t>
      </w:r>
    </w:p>
    <w:p w14:paraId="15C69449" w14:textId="77777777" w:rsidR="00A265CB" w:rsidRPr="008821E9" w:rsidRDefault="00A265CB" w:rsidP="008821E9">
      <w:pPr>
        <w:spacing w:line="360" w:lineRule="auto"/>
        <w:jc w:val="both"/>
        <w:rPr>
          <w:rFonts w:ascii="Arial" w:hAnsi="Arial" w:cs="Arial"/>
        </w:rPr>
      </w:pPr>
    </w:p>
    <w:p w14:paraId="7E3378A0" w14:textId="77777777" w:rsidR="00A265CB" w:rsidRPr="008821E9" w:rsidRDefault="00A265CB" w:rsidP="008821E9">
      <w:pPr>
        <w:spacing w:line="360" w:lineRule="auto"/>
        <w:jc w:val="both"/>
        <w:rPr>
          <w:rFonts w:ascii="Arial" w:hAnsi="Arial" w:cs="Arial"/>
        </w:rPr>
      </w:pPr>
      <w:r w:rsidRPr="008821E9">
        <w:rPr>
          <w:rFonts w:ascii="Arial" w:hAnsi="Arial" w:cs="Arial"/>
        </w:rPr>
        <w:t>Employee Development and Engagement: Strategic investments in training programs, mentorship initiatives, and positive workplace culture should be prioritized. Recognizing and rewarding exceptional contributions can foster a sense of purpose and commitment among employees, contributing to overall job satisfaction and reduced turnover.</w:t>
      </w:r>
    </w:p>
    <w:p w14:paraId="17A7969A" w14:textId="77777777" w:rsidR="00A265CB" w:rsidRPr="008821E9" w:rsidRDefault="00A265CB" w:rsidP="008821E9">
      <w:pPr>
        <w:spacing w:line="360" w:lineRule="auto"/>
        <w:jc w:val="both"/>
        <w:rPr>
          <w:rFonts w:ascii="Arial" w:hAnsi="Arial" w:cs="Arial"/>
        </w:rPr>
      </w:pPr>
    </w:p>
    <w:p w14:paraId="13494AD2" w14:textId="77777777" w:rsidR="00A265CB" w:rsidRPr="008821E9" w:rsidRDefault="00A265CB" w:rsidP="008821E9">
      <w:pPr>
        <w:spacing w:line="360" w:lineRule="auto"/>
        <w:jc w:val="both"/>
        <w:rPr>
          <w:rFonts w:ascii="Arial" w:hAnsi="Arial" w:cs="Arial"/>
        </w:rPr>
      </w:pPr>
      <w:r w:rsidRPr="008821E9">
        <w:rPr>
          <w:rFonts w:ascii="Arial" w:hAnsi="Arial" w:cs="Arial"/>
        </w:rPr>
        <w:lastRenderedPageBreak/>
        <w:t>Effective Communication and Feedback Mechanisms: Clear communication channels, regular feedback mechanisms, and systematic performance appraisals are essential. These strategies not only align employee goals with organizational objectives but also create a transparent work environment, enhancing collaboration and mutual understanding.</w:t>
      </w:r>
    </w:p>
    <w:p w14:paraId="7DC80897" w14:textId="77777777" w:rsidR="00A265CB" w:rsidRPr="008821E9" w:rsidRDefault="00A265CB" w:rsidP="008821E9">
      <w:pPr>
        <w:spacing w:line="360" w:lineRule="auto"/>
        <w:jc w:val="both"/>
        <w:rPr>
          <w:rFonts w:ascii="Arial" w:hAnsi="Arial" w:cs="Arial"/>
        </w:rPr>
      </w:pPr>
    </w:p>
    <w:p w14:paraId="7DFE92CC" w14:textId="416928F0" w:rsidR="00A265CB" w:rsidRPr="008821E9" w:rsidRDefault="00A265CB" w:rsidP="008821E9">
      <w:pPr>
        <w:spacing w:line="360" w:lineRule="auto"/>
        <w:jc w:val="both"/>
        <w:rPr>
          <w:rFonts w:ascii="Arial" w:hAnsi="Arial" w:cs="Arial"/>
        </w:rPr>
      </w:pPr>
      <w:r w:rsidRPr="008821E9">
        <w:rPr>
          <w:rFonts w:ascii="Arial" w:hAnsi="Arial" w:cs="Arial"/>
        </w:rPr>
        <w:t>Socio-Economic Awareness: Hilton should remain cognizant of socio-economic factors influencing customer behaviours, preferences, and industry trends. This awareness will enable the development of targeted strategies to address the diverse needs of its clientele, contributing to enhanced customer loyalty.</w:t>
      </w:r>
    </w:p>
    <w:p w14:paraId="2A528563" w14:textId="77777777" w:rsidR="00A265CB" w:rsidRPr="008821E9" w:rsidRDefault="00A265CB" w:rsidP="008821E9">
      <w:pPr>
        <w:spacing w:line="360" w:lineRule="auto"/>
        <w:jc w:val="both"/>
        <w:rPr>
          <w:rFonts w:ascii="Arial" w:hAnsi="Arial" w:cs="Arial"/>
        </w:rPr>
      </w:pPr>
    </w:p>
    <w:p w14:paraId="3AD3E262" w14:textId="77777777" w:rsidR="00A265CB" w:rsidRPr="008821E9" w:rsidRDefault="00A265CB" w:rsidP="008821E9">
      <w:pPr>
        <w:spacing w:line="360" w:lineRule="auto"/>
        <w:jc w:val="both"/>
        <w:rPr>
          <w:rFonts w:ascii="Arial" w:hAnsi="Arial" w:cs="Arial"/>
        </w:rPr>
      </w:pPr>
      <w:r w:rsidRPr="008821E9">
        <w:rPr>
          <w:rFonts w:ascii="Arial" w:hAnsi="Arial" w:cs="Arial"/>
        </w:rPr>
        <w:t>Continuous Monitoring and Adaptation: The dynamic nature of the industry requires continuous monitoring of socio-economic trends and swift adaptation to changing circumstances. Hilton should establish mechanisms for regular industry analysis, allowing the organization to proactively respond to emerging challenges and opportunities.</w:t>
      </w:r>
    </w:p>
    <w:p w14:paraId="632F84DF" w14:textId="7CA0C167" w:rsidR="00CF5AA5" w:rsidRPr="008821E9" w:rsidRDefault="008572C7" w:rsidP="008821E9">
      <w:pPr>
        <w:pStyle w:val="Heading1"/>
        <w:spacing w:line="360" w:lineRule="auto"/>
        <w:jc w:val="both"/>
        <w:rPr>
          <w:rFonts w:ascii="Arial" w:hAnsi="Arial" w:cs="Arial"/>
          <w:sz w:val="24"/>
          <w:szCs w:val="24"/>
        </w:rPr>
      </w:pPr>
      <w:bookmarkStart w:id="9" w:name="_Toc160378029"/>
      <w:r w:rsidRPr="008821E9">
        <w:rPr>
          <w:rFonts w:ascii="Arial" w:hAnsi="Arial" w:cs="Arial"/>
          <w:sz w:val="24"/>
          <w:szCs w:val="24"/>
        </w:rPr>
        <w:t>Conclusion:</w:t>
      </w:r>
      <w:bookmarkEnd w:id="9"/>
    </w:p>
    <w:p w14:paraId="3086038B" w14:textId="37FC29E3" w:rsidR="00CF5AA5" w:rsidRPr="008821E9" w:rsidRDefault="00CF5AA5" w:rsidP="008821E9">
      <w:pPr>
        <w:spacing w:line="360" w:lineRule="auto"/>
        <w:jc w:val="both"/>
        <w:rPr>
          <w:rFonts w:ascii="Arial" w:hAnsi="Arial" w:cs="Arial"/>
        </w:rPr>
      </w:pPr>
      <w:r w:rsidRPr="008821E9">
        <w:rPr>
          <w:rFonts w:ascii="Arial" w:hAnsi="Arial" w:cs="Arial"/>
        </w:rPr>
        <w:t xml:space="preserve">In conclusion, this research </w:t>
      </w:r>
      <w:r w:rsidR="009060B2" w:rsidRPr="008821E9">
        <w:rPr>
          <w:rFonts w:ascii="Arial" w:hAnsi="Arial" w:cs="Arial"/>
        </w:rPr>
        <w:t>unravelled</w:t>
      </w:r>
      <w:r w:rsidRPr="008821E9">
        <w:rPr>
          <w:rFonts w:ascii="Arial" w:hAnsi="Arial" w:cs="Arial"/>
        </w:rPr>
        <w:t xml:space="preserve"> the intricate nexus between socio-economic factors and employee performance within the Hilton hotel chain. Examining diverse work modes highlighted the challenges and opportunities in the dynamic hospitality industry. Key findings underscored the profound impact of political, economic, social, technological, legal, and environmental influences on Hilton's workforce. High employee turnover and customer loyalty dynamics demand strategic attention.</w:t>
      </w:r>
    </w:p>
    <w:p w14:paraId="2042B394" w14:textId="77777777" w:rsidR="00CF5AA5" w:rsidRPr="008821E9" w:rsidRDefault="00CF5AA5" w:rsidP="008821E9">
      <w:pPr>
        <w:spacing w:line="360" w:lineRule="auto"/>
        <w:jc w:val="both"/>
        <w:rPr>
          <w:rFonts w:ascii="Arial" w:hAnsi="Arial" w:cs="Arial"/>
        </w:rPr>
      </w:pPr>
    </w:p>
    <w:p w14:paraId="39F00491" w14:textId="77777777" w:rsidR="00CF5AA5" w:rsidRPr="008821E9" w:rsidRDefault="00CF5AA5" w:rsidP="008821E9">
      <w:pPr>
        <w:spacing w:line="360" w:lineRule="auto"/>
        <w:jc w:val="both"/>
        <w:rPr>
          <w:rFonts w:ascii="Arial" w:hAnsi="Arial" w:cs="Arial"/>
        </w:rPr>
      </w:pPr>
      <w:r w:rsidRPr="008821E9">
        <w:rPr>
          <w:rFonts w:ascii="Arial" w:hAnsi="Arial" w:cs="Arial"/>
        </w:rPr>
        <w:t>The implications extend industry-wide, emphasizing the need for hotels to align workforce management with evolving trends, fostering adaptability. Digital transformations necessitate strategic investments in employee development for sustained competitiveness.</w:t>
      </w:r>
    </w:p>
    <w:p w14:paraId="47EBF34F" w14:textId="77777777" w:rsidR="00CF5AA5" w:rsidRPr="008821E9" w:rsidRDefault="00CF5AA5" w:rsidP="008821E9">
      <w:pPr>
        <w:spacing w:line="360" w:lineRule="auto"/>
        <w:jc w:val="both"/>
        <w:rPr>
          <w:rFonts w:ascii="Arial" w:hAnsi="Arial" w:cs="Arial"/>
        </w:rPr>
      </w:pPr>
    </w:p>
    <w:p w14:paraId="41E20639" w14:textId="77777777" w:rsidR="00CF5AA5" w:rsidRPr="008821E9" w:rsidRDefault="00CF5AA5" w:rsidP="008821E9">
      <w:pPr>
        <w:spacing w:line="360" w:lineRule="auto"/>
        <w:jc w:val="both"/>
        <w:rPr>
          <w:rFonts w:ascii="Arial" w:hAnsi="Arial" w:cs="Arial"/>
        </w:rPr>
      </w:pPr>
      <w:r w:rsidRPr="008821E9">
        <w:rPr>
          <w:rFonts w:ascii="Arial" w:hAnsi="Arial" w:cs="Arial"/>
        </w:rPr>
        <w:lastRenderedPageBreak/>
        <w:t>Recommendations provide actionable strategies for Hilton, including adaptive work modes, employee development, effective communication, socio-economic awareness, and continuous monitoring. These are pivotal for Hilton's sustained excellence in employee performance management.</w:t>
      </w:r>
    </w:p>
    <w:p w14:paraId="1715A176" w14:textId="77777777" w:rsidR="00CF5AA5" w:rsidRPr="008821E9" w:rsidRDefault="00CF5AA5" w:rsidP="008821E9">
      <w:pPr>
        <w:spacing w:line="360" w:lineRule="auto"/>
        <w:jc w:val="both"/>
        <w:rPr>
          <w:rFonts w:ascii="Arial" w:hAnsi="Arial" w:cs="Arial"/>
        </w:rPr>
      </w:pPr>
    </w:p>
    <w:p w14:paraId="33DFDCCC" w14:textId="77777777" w:rsidR="00CF5AA5" w:rsidRPr="008821E9" w:rsidRDefault="00CF5AA5" w:rsidP="008821E9">
      <w:pPr>
        <w:spacing w:line="360" w:lineRule="auto"/>
        <w:jc w:val="both"/>
        <w:rPr>
          <w:rFonts w:ascii="Arial" w:hAnsi="Arial" w:cs="Arial"/>
        </w:rPr>
      </w:pPr>
      <w:r w:rsidRPr="008821E9">
        <w:rPr>
          <w:rFonts w:ascii="Arial" w:hAnsi="Arial" w:cs="Arial"/>
        </w:rPr>
        <w:t>This research contributes valuable insights to HR management discourse, serving as a practical guide for decision-makers in Hilton and other hotel chains.</w:t>
      </w:r>
    </w:p>
    <w:p w14:paraId="2E26490A" w14:textId="77777777" w:rsidR="00CF5AA5" w:rsidRPr="008821E9" w:rsidRDefault="00CF5AA5" w:rsidP="008821E9">
      <w:pPr>
        <w:spacing w:line="360" w:lineRule="auto"/>
        <w:jc w:val="both"/>
        <w:rPr>
          <w:rFonts w:ascii="Arial" w:hAnsi="Arial" w:cs="Arial"/>
        </w:rPr>
      </w:pPr>
    </w:p>
    <w:p w14:paraId="0DCCD0B0" w14:textId="77777777" w:rsidR="00CF5AA5" w:rsidRPr="008821E9" w:rsidRDefault="00CF5AA5" w:rsidP="008821E9">
      <w:pPr>
        <w:spacing w:line="360" w:lineRule="auto"/>
        <w:jc w:val="both"/>
        <w:rPr>
          <w:rFonts w:ascii="Arial" w:hAnsi="Arial" w:cs="Arial"/>
        </w:rPr>
      </w:pPr>
    </w:p>
    <w:p w14:paraId="056EB16E" w14:textId="77777777" w:rsidR="00CF5AA5" w:rsidRPr="008821E9" w:rsidRDefault="00CF5AA5" w:rsidP="008821E9">
      <w:pPr>
        <w:spacing w:line="360" w:lineRule="auto"/>
        <w:jc w:val="both"/>
        <w:rPr>
          <w:rFonts w:ascii="Arial" w:hAnsi="Arial" w:cs="Arial"/>
        </w:rPr>
      </w:pPr>
    </w:p>
    <w:p w14:paraId="33099422" w14:textId="77777777" w:rsidR="00CF5AA5" w:rsidRPr="008821E9" w:rsidRDefault="00CF5AA5" w:rsidP="008821E9">
      <w:pPr>
        <w:spacing w:line="360" w:lineRule="auto"/>
        <w:jc w:val="both"/>
        <w:rPr>
          <w:rFonts w:ascii="Arial" w:hAnsi="Arial" w:cs="Arial"/>
        </w:rPr>
      </w:pPr>
    </w:p>
    <w:p w14:paraId="766821E5" w14:textId="77777777" w:rsidR="008821E9" w:rsidRDefault="008821E9" w:rsidP="008821E9">
      <w:pPr>
        <w:pStyle w:val="Heading1"/>
        <w:spacing w:line="360" w:lineRule="auto"/>
        <w:jc w:val="both"/>
        <w:rPr>
          <w:rFonts w:ascii="Arial" w:hAnsi="Arial" w:cs="Arial"/>
          <w:sz w:val="24"/>
          <w:szCs w:val="24"/>
        </w:rPr>
      </w:pPr>
    </w:p>
    <w:p w14:paraId="7909A381" w14:textId="77777777" w:rsidR="008821E9" w:rsidRDefault="008821E9" w:rsidP="008821E9">
      <w:pPr>
        <w:pStyle w:val="Heading1"/>
        <w:spacing w:line="360" w:lineRule="auto"/>
        <w:jc w:val="both"/>
        <w:rPr>
          <w:rFonts w:ascii="Arial" w:hAnsi="Arial" w:cs="Arial"/>
          <w:sz w:val="24"/>
          <w:szCs w:val="24"/>
        </w:rPr>
      </w:pPr>
    </w:p>
    <w:p w14:paraId="07064679" w14:textId="77777777" w:rsidR="008821E9" w:rsidRDefault="008821E9" w:rsidP="008821E9">
      <w:pPr>
        <w:pStyle w:val="Heading1"/>
        <w:spacing w:line="360" w:lineRule="auto"/>
        <w:jc w:val="both"/>
        <w:rPr>
          <w:rFonts w:ascii="Arial" w:hAnsi="Arial" w:cs="Arial"/>
          <w:sz w:val="24"/>
          <w:szCs w:val="24"/>
        </w:rPr>
      </w:pPr>
    </w:p>
    <w:p w14:paraId="694A7953" w14:textId="77777777" w:rsidR="008821E9" w:rsidRDefault="008821E9" w:rsidP="008821E9">
      <w:pPr>
        <w:pStyle w:val="Heading1"/>
        <w:spacing w:line="360" w:lineRule="auto"/>
        <w:jc w:val="both"/>
        <w:rPr>
          <w:rFonts w:ascii="Arial" w:hAnsi="Arial" w:cs="Arial"/>
          <w:sz w:val="24"/>
          <w:szCs w:val="24"/>
        </w:rPr>
      </w:pPr>
    </w:p>
    <w:p w14:paraId="099E9902" w14:textId="77777777" w:rsidR="00A536F4" w:rsidRDefault="00A536F4" w:rsidP="00A536F4"/>
    <w:p w14:paraId="0D588F5F" w14:textId="77777777" w:rsidR="00A536F4" w:rsidRPr="00A536F4" w:rsidRDefault="00A536F4" w:rsidP="00A536F4"/>
    <w:p w14:paraId="771BF4F4" w14:textId="77777777" w:rsidR="00111700" w:rsidRDefault="00111700" w:rsidP="008821E9">
      <w:pPr>
        <w:pStyle w:val="Heading1"/>
        <w:spacing w:line="360" w:lineRule="auto"/>
        <w:jc w:val="both"/>
        <w:rPr>
          <w:rFonts w:ascii="Arial" w:hAnsi="Arial" w:cs="Arial"/>
          <w:sz w:val="24"/>
          <w:szCs w:val="24"/>
        </w:rPr>
      </w:pPr>
    </w:p>
    <w:p w14:paraId="07EABF28" w14:textId="77777777" w:rsidR="00111700" w:rsidRDefault="00111700" w:rsidP="008821E9">
      <w:pPr>
        <w:pStyle w:val="Heading1"/>
        <w:spacing w:line="360" w:lineRule="auto"/>
        <w:jc w:val="both"/>
        <w:rPr>
          <w:rFonts w:ascii="Arial" w:hAnsi="Arial" w:cs="Arial"/>
          <w:sz w:val="24"/>
          <w:szCs w:val="24"/>
        </w:rPr>
      </w:pPr>
    </w:p>
    <w:p w14:paraId="3DA26A64" w14:textId="77777777" w:rsidR="00111700" w:rsidRDefault="00111700" w:rsidP="008821E9">
      <w:pPr>
        <w:pStyle w:val="Heading1"/>
        <w:spacing w:line="360" w:lineRule="auto"/>
        <w:jc w:val="both"/>
        <w:rPr>
          <w:rFonts w:ascii="Arial" w:hAnsi="Arial" w:cs="Arial"/>
          <w:sz w:val="24"/>
          <w:szCs w:val="24"/>
        </w:rPr>
      </w:pPr>
    </w:p>
    <w:p w14:paraId="0D89EDE4" w14:textId="77777777" w:rsidR="00111700" w:rsidRDefault="00111700" w:rsidP="008821E9">
      <w:pPr>
        <w:pStyle w:val="Heading1"/>
        <w:spacing w:line="360" w:lineRule="auto"/>
        <w:jc w:val="both"/>
        <w:rPr>
          <w:rFonts w:ascii="Arial" w:hAnsi="Arial" w:cs="Arial"/>
          <w:sz w:val="24"/>
          <w:szCs w:val="24"/>
        </w:rPr>
      </w:pPr>
    </w:p>
    <w:p w14:paraId="1D752F26" w14:textId="4DA6A80E" w:rsidR="00A265CB" w:rsidRPr="008821E9" w:rsidRDefault="0097006D" w:rsidP="008821E9">
      <w:pPr>
        <w:pStyle w:val="Heading1"/>
        <w:spacing w:line="360" w:lineRule="auto"/>
        <w:jc w:val="both"/>
        <w:rPr>
          <w:rFonts w:ascii="Arial" w:hAnsi="Arial" w:cs="Arial"/>
          <w:sz w:val="24"/>
          <w:szCs w:val="24"/>
        </w:rPr>
      </w:pPr>
      <w:bookmarkStart w:id="10" w:name="_Toc160378030"/>
      <w:r w:rsidRPr="008821E9">
        <w:rPr>
          <w:rFonts w:ascii="Arial" w:hAnsi="Arial" w:cs="Arial"/>
          <w:sz w:val="24"/>
          <w:szCs w:val="24"/>
        </w:rPr>
        <w:t>Refere</w:t>
      </w:r>
      <w:r w:rsidR="00474676" w:rsidRPr="008821E9">
        <w:rPr>
          <w:rFonts w:ascii="Arial" w:hAnsi="Arial" w:cs="Arial"/>
          <w:sz w:val="24"/>
          <w:szCs w:val="24"/>
        </w:rPr>
        <w:t>nces:</w:t>
      </w:r>
      <w:bookmarkEnd w:id="10"/>
    </w:p>
    <w:p w14:paraId="146A1013" w14:textId="5B27A45B" w:rsidR="00E56F60" w:rsidRPr="008821E9" w:rsidRDefault="00E56F60" w:rsidP="008821E9">
      <w:pPr>
        <w:spacing w:line="360" w:lineRule="auto"/>
        <w:jc w:val="both"/>
        <w:rPr>
          <w:rFonts w:ascii="Arial" w:hAnsi="Arial" w:cs="Arial"/>
        </w:rPr>
      </w:pPr>
      <w:r w:rsidRPr="008821E9">
        <w:rPr>
          <w:rFonts w:ascii="Arial" w:hAnsi="Arial" w:cs="Arial"/>
        </w:rPr>
        <w:t>Alon, I., Apriliyanti, I.D. and Parodi, M.C.H., 2020. A systematic review of international franchising. Multinational Business Review, 29(1), pp.43-69.</w:t>
      </w:r>
    </w:p>
    <w:p w14:paraId="5B3639D3" w14:textId="77777777" w:rsidR="00474676" w:rsidRPr="008821E9" w:rsidRDefault="00474676" w:rsidP="008821E9">
      <w:pPr>
        <w:spacing w:line="360" w:lineRule="auto"/>
        <w:jc w:val="both"/>
        <w:rPr>
          <w:rFonts w:ascii="Arial" w:hAnsi="Arial" w:cs="Arial"/>
        </w:rPr>
      </w:pPr>
    </w:p>
    <w:p w14:paraId="447681A3" w14:textId="22696251" w:rsidR="00474676" w:rsidRPr="008821E9" w:rsidRDefault="00474676" w:rsidP="008821E9">
      <w:pPr>
        <w:spacing w:line="360" w:lineRule="auto"/>
        <w:jc w:val="both"/>
        <w:rPr>
          <w:rFonts w:ascii="Arial" w:hAnsi="Arial" w:cs="Arial"/>
        </w:rPr>
      </w:pPr>
      <w:r w:rsidRPr="008821E9">
        <w:rPr>
          <w:rFonts w:ascii="Arial" w:hAnsi="Arial" w:cs="Arial"/>
        </w:rPr>
        <w:t xml:space="preserve">Baxter, G., &amp; Srisaeng, P. (2021). An Assessment of Hotels and Resorts Use of the ISO 14001 Environmental Management System as a Tool to Achieve Environmentally Sustainable Operations. </w:t>
      </w:r>
      <w:r w:rsidRPr="008821E9">
        <w:rPr>
          <w:rFonts w:ascii="Leelawadee UI" w:hAnsi="Leelawadee UI" w:cs="Leelawadee UI"/>
        </w:rPr>
        <w:t>วารสาร</w:t>
      </w:r>
      <w:r w:rsidRPr="008821E9">
        <w:rPr>
          <w:rFonts w:ascii="Arial" w:hAnsi="Arial" w:cs="Arial"/>
        </w:rPr>
        <w:t xml:space="preserve"> </w:t>
      </w:r>
      <w:proofErr w:type="spellStart"/>
      <w:r w:rsidRPr="008821E9">
        <w:rPr>
          <w:rFonts w:ascii="Leelawadee UI" w:hAnsi="Leelawadee UI" w:cs="Leelawadee UI"/>
        </w:rPr>
        <w:t>เพื่อ</w:t>
      </w:r>
      <w:proofErr w:type="spellEnd"/>
      <w:r w:rsidRPr="008821E9">
        <w:rPr>
          <w:rFonts w:ascii="Arial" w:hAnsi="Arial" w:cs="Arial"/>
        </w:rPr>
        <w:t xml:space="preserve"> </w:t>
      </w:r>
      <w:proofErr w:type="spellStart"/>
      <w:r w:rsidRPr="008821E9">
        <w:rPr>
          <w:rFonts w:ascii="Leelawadee UI" w:hAnsi="Leelawadee UI" w:cs="Leelawadee UI"/>
        </w:rPr>
        <w:t>การ</w:t>
      </w:r>
      <w:proofErr w:type="spellEnd"/>
      <w:r w:rsidRPr="008821E9">
        <w:rPr>
          <w:rFonts w:ascii="Arial" w:hAnsi="Arial" w:cs="Arial"/>
        </w:rPr>
        <w:t xml:space="preserve"> </w:t>
      </w:r>
      <w:proofErr w:type="spellStart"/>
      <w:r w:rsidRPr="008821E9">
        <w:rPr>
          <w:rFonts w:ascii="Leelawadee UI" w:hAnsi="Leelawadee UI" w:cs="Leelawadee UI"/>
        </w:rPr>
        <w:t>พัฒนาการ</w:t>
      </w:r>
      <w:proofErr w:type="spellEnd"/>
      <w:r w:rsidRPr="008821E9">
        <w:rPr>
          <w:rFonts w:ascii="Arial" w:hAnsi="Arial" w:cs="Arial"/>
        </w:rPr>
        <w:t xml:space="preserve"> </w:t>
      </w:r>
      <w:proofErr w:type="spellStart"/>
      <w:r w:rsidRPr="008821E9">
        <w:rPr>
          <w:rFonts w:ascii="Leelawadee UI" w:hAnsi="Leelawadee UI" w:cs="Leelawadee UI"/>
        </w:rPr>
        <w:t>ท่องเที่ยว</w:t>
      </w:r>
      <w:proofErr w:type="spellEnd"/>
      <w:r w:rsidRPr="008821E9">
        <w:rPr>
          <w:rFonts w:ascii="Arial" w:hAnsi="Arial" w:cs="Arial"/>
        </w:rPr>
        <w:t xml:space="preserve"> </w:t>
      </w:r>
      <w:proofErr w:type="spellStart"/>
      <w:r w:rsidRPr="008821E9">
        <w:rPr>
          <w:rFonts w:ascii="Leelawadee UI" w:hAnsi="Leelawadee UI" w:cs="Leelawadee UI"/>
        </w:rPr>
        <w:t>สู่</w:t>
      </w:r>
      <w:proofErr w:type="spellEnd"/>
      <w:r w:rsidRPr="008821E9">
        <w:rPr>
          <w:rFonts w:ascii="Arial" w:hAnsi="Arial" w:cs="Arial"/>
        </w:rPr>
        <w:t xml:space="preserve"> </w:t>
      </w:r>
      <w:proofErr w:type="spellStart"/>
      <w:r w:rsidRPr="008821E9">
        <w:rPr>
          <w:rFonts w:ascii="Leelawadee UI" w:hAnsi="Leelawadee UI" w:cs="Leelawadee UI"/>
        </w:rPr>
        <w:t>ความ</w:t>
      </w:r>
      <w:proofErr w:type="spellEnd"/>
      <w:r w:rsidRPr="008821E9">
        <w:rPr>
          <w:rFonts w:ascii="Arial" w:hAnsi="Arial" w:cs="Arial"/>
        </w:rPr>
        <w:t xml:space="preserve"> </w:t>
      </w:r>
      <w:proofErr w:type="spellStart"/>
      <w:r w:rsidRPr="008821E9">
        <w:rPr>
          <w:rFonts w:ascii="Leelawadee UI" w:hAnsi="Leelawadee UI" w:cs="Leelawadee UI"/>
        </w:rPr>
        <w:t>ยั่งยืน</w:t>
      </w:r>
      <w:proofErr w:type="spellEnd"/>
      <w:r w:rsidRPr="008821E9">
        <w:rPr>
          <w:rFonts w:ascii="Arial" w:hAnsi="Arial" w:cs="Arial"/>
        </w:rPr>
        <w:t>, 3(2), 59-85.</w:t>
      </w:r>
    </w:p>
    <w:p w14:paraId="7FE7422C" w14:textId="77777777" w:rsidR="00474676" w:rsidRPr="008821E9" w:rsidRDefault="00474676" w:rsidP="008821E9">
      <w:pPr>
        <w:spacing w:line="360" w:lineRule="auto"/>
        <w:jc w:val="both"/>
        <w:rPr>
          <w:rFonts w:ascii="Arial" w:hAnsi="Arial" w:cs="Arial"/>
        </w:rPr>
      </w:pPr>
    </w:p>
    <w:p w14:paraId="516B0C6B" w14:textId="77777777" w:rsidR="00474676" w:rsidRPr="008821E9" w:rsidRDefault="00474676" w:rsidP="008821E9">
      <w:pPr>
        <w:spacing w:line="360" w:lineRule="auto"/>
        <w:jc w:val="both"/>
        <w:rPr>
          <w:rFonts w:ascii="Arial" w:hAnsi="Arial" w:cs="Arial"/>
        </w:rPr>
      </w:pPr>
      <w:proofErr w:type="spellStart"/>
      <w:r w:rsidRPr="008821E9">
        <w:rPr>
          <w:rFonts w:ascii="Arial" w:hAnsi="Arial" w:cs="Arial"/>
        </w:rPr>
        <w:t>Dogru</w:t>
      </w:r>
      <w:proofErr w:type="spellEnd"/>
      <w:r w:rsidRPr="008821E9">
        <w:rPr>
          <w:rFonts w:ascii="Arial" w:hAnsi="Arial" w:cs="Arial"/>
        </w:rPr>
        <w:t xml:space="preserve">, T., McGinley, S., Sharma, A., </w:t>
      </w:r>
      <w:proofErr w:type="spellStart"/>
      <w:r w:rsidRPr="008821E9">
        <w:rPr>
          <w:rFonts w:ascii="Arial" w:hAnsi="Arial" w:cs="Arial"/>
        </w:rPr>
        <w:t>Isık</w:t>
      </w:r>
      <w:proofErr w:type="spellEnd"/>
      <w:r w:rsidRPr="008821E9">
        <w:rPr>
          <w:rFonts w:ascii="Arial" w:hAnsi="Arial" w:cs="Arial"/>
        </w:rPr>
        <w:t>, C., &amp; Hanks, L. (2023) 'Employee turnover dynamics in the hospitality industry vs. the overall economy', Tourism Management, 99, p.104783.</w:t>
      </w:r>
    </w:p>
    <w:p w14:paraId="18156B4D" w14:textId="77777777" w:rsidR="00474676" w:rsidRPr="008821E9" w:rsidRDefault="00474676" w:rsidP="008821E9">
      <w:pPr>
        <w:spacing w:line="360" w:lineRule="auto"/>
        <w:jc w:val="both"/>
        <w:rPr>
          <w:rFonts w:ascii="Arial" w:hAnsi="Arial" w:cs="Arial"/>
        </w:rPr>
      </w:pPr>
    </w:p>
    <w:p w14:paraId="08C2285E" w14:textId="77777777" w:rsidR="00474676" w:rsidRPr="008821E9" w:rsidRDefault="00474676" w:rsidP="008821E9">
      <w:pPr>
        <w:spacing w:line="360" w:lineRule="auto"/>
        <w:jc w:val="both"/>
        <w:rPr>
          <w:rFonts w:ascii="Arial" w:hAnsi="Arial" w:cs="Arial"/>
        </w:rPr>
      </w:pPr>
      <w:r w:rsidRPr="008821E9">
        <w:rPr>
          <w:rFonts w:ascii="Arial" w:hAnsi="Arial" w:cs="Arial"/>
        </w:rPr>
        <w:t>Fam, K. S., Liat Cheng, B., Cham, T. H., Tan Chia Yi, M., &amp; Ting, H. (2023). The role of cultural differences in customer retention: evidence from the high-contact service industry. Journal of Hospitality &amp; Tourism Research, 47(1), 257-288.</w:t>
      </w:r>
    </w:p>
    <w:p w14:paraId="1B9344E4" w14:textId="77777777" w:rsidR="00474676" w:rsidRPr="008821E9" w:rsidRDefault="00474676" w:rsidP="008821E9">
      <w:pPr>
        <w:spacing w:line="360" w:lineRule="auto"/>
        <w:jc w:val="both"/>
        <w:rPr>
          <w:rFonts w:ascii="Arial" w:hAnsi="Arial" w:cs="Arial"/>
        </w:rPr>
      </w:pPr>
    </w:p>
    <w:p w14:paraId="7BC68EC7" w14:textId="77777777" w:rsidR="00474676" w:rsidRPr="008821E9" w:rsidRDefault="00474676" w:rsidP="008821E9">
      <w:pPr>
        <w:spacing w:line="360" w:lineRule="auto"/>
        <w:jc w:val="both"/>
        <w:rPr>
          <w:rFonts w:ascii="Arial" w:hAnsi="Arial" w:cs="Arial"/>
        </w:rPr>
      </w:pPr>
      <w:r w:rsidRPr="008821E9">
        <w:rPr>
          <w:rFonts w:ascii="Arial" w:hAnsi="Arial" w:cs="Arial"/>
        </w:rPr>
        <w:t>George, R. (2021). The Tourism and Hospitality Marketing Environment. In Marketing Tourism and Hospitality: Concepts and Cases (pp. 183-219). Cham: Springer International Publishing.</w:t>
      </w:r>
    </w:p>
    <w:p w14:paraId="0B607217" w14:textId="77777777" w:rsidR="00474676" w:rsidRPr="008821E9" w:rsidRDefault="00474676" w:rsidP="008821E9">
      <w:pPr>
        <w:spacing w:line="360" w:lineRule="auto"/>
        <w:jc w:val="both"/>
        <w:rPr>
          <w:rFonts w:ascii="Arial" w:hAnsi="Arial" w:cs="Arial"/>
        </w:rPr>
      </w:pPr>
    </w:p>
    <w:p w14:paraId="0E059155" w14:textId="77777777" w:rsidR="00474676" w:rsidRPr="008821E9" w:rsidRDefault="00474676" w:rsidP="008821E9">
      <w:pPr>
        <w:spacing w:line="360" w:lineRule="auto"/>
        <w:jc w:val="both"/>
        <w:rPr>
          <w:rFonts w:ascii="Arial" w:hAnsi="Arial" w:cs="Arial"/>
        </w:rPr>
      </w:pPr>
      <w:proofErr w:type="spellStart"/>
      <w:r w:rsidRPr="008821E9">
        <w:rPr>
          <w:rFonts w:ascii="Arial" w:hAnsi="Arial" w:cs="Arial"/>
        </w:rPr>
        <w:lastRenderedPageBreak/>
        <w:t>Guzeller</w:t>
      </w:r>
      <w:proofErr w:type="spellEnd"/>
      <w:r w:rsidRPr="008821E9">
        <w:rPr>
          <w:rFonts w:ascii="Arial" w:hAnsi="Arial" w:cs="Arial"/>
        </w:rPr>
        <w:t xml:space="preserve">, C. O., &amp; </w:t>
      </w:r>
      <w:proofErr w:type="spellStart"/>
      <w:r w:rsidRPr="008821E9">
        <w:rPr>
          <w:rFonts w:ascii="Arial" w:hAnsi="Arial" w:cs="Arial"/>
        </w:rPr>
        <w:t>Celiker</w:t>
      </w:r>
      <w:proofErr w:type="spellEnd"/>
      <w:r w:rsidRPr="008821E9">
        <w:rPr>
          <w:rFonts w:ascii="Arial" w:hAnsi="Arial" w:cs="Arial"/>
        </w:rPr>
        <w:t xml:space="preserve">, D. (2019) 'A meta-analysis on employee turnover and organizational performance', Journal of Organizational </w:t>
      </w:r>
      <w:proofErr w:type="spellStart"/>
      <w:r w:rsidRPr="008821E9">
        <w:rPr>
          <w:rFonts w:ascii="Arial" w:hAnsi="Arial" w:cs="Arial"/>
        </w:rPr>
        <w:t>Behavior</w:t>
      </w:r>
      <w:proofErr w:type="spellEnd"/>
      <w:r w:rsidRPr="008821E9">
        <w:rPr>
          <w:rFonts w:ascii="Arial" w:hAnsi="Arial" w:cs="Arial"/>
        </w:rPr>
        <w:t>, 40(4), 371-386.</w:t>
      </w:r>
    </w:p>
    <w:p w14:paraId="06A52D78" w14:textId="77777777" w:rsidR="00474676" w:rsidRPr="008821E9" w:rsidRDefault="00474676" w:rsidP="008821E9">
      <w:pPr>
        <w:spacing w:line="360" w:lineRule="auto"/>
        <w:jc w:val="both"/>
        <w:rPr>
          <w:rFonts w:ascii="Arial" w:hAnsi="Arial" w:cs="Arial"/>
        </w:rPr>
      </w:pPr>
    </w:p>
    <w:p w14:paraId="09CE01EE" w14:textId="77777777" w:rsidR="00474676" w:rsidRPr="008821E9" w:rsidRDefault="00474676" w:rsidP="008821E9">
      <w:pPr>
        <w:spacing w:line="360" w:lineRule="auto"/>
        <w:jc w:val="both"/>
        <w:rPr>
          <w:rFonts w:ascii="Arial" w:hAnsi="Arial" w:cs="Arial"/>
        </w:rPr>
      </w:pPr>
      <w:proofErr w:type="spellStart"/>
      <w:r w:rsidRPr="008821E9">
        <w:rPr>
          <w:rFonts w:ascii="Arial" w:hAnsi="Arial" w:cs="Arial"/>
        </w:rPr>
        <w:t>Gustiawan</w:t>
      </w:r>
      <w:proofErr w:type="spellEnd"/>
      <w:r w:rsidRPr="008821E9">
        <w:rPr>
          <w:rFonts w:ascii="Arial" w:hAnsi="Arial" w:cs="Arial"/>
        </w:rPr>
        <w:t xml:space="preserve">, D., </w:t>
      </w:r>
      <w:proofErr w:type="spellStart"/>
      <w:r w:rsidRPr="008821E9">
        <w:rPr>
          <w:rFonts w:ascii="Arial" w:hAnsi="Arial" w:cs="Arial"/>
        </w:rPr>
        <w:t>Noermijati</w:t>
      </w:r>
      <w:proofErr w:type="spellEnd"/>
      <w:r w:rsidRPr="008821E9">
        <w:rPr>
          <w:rFonts w:ascii="Arial" w:hAnsi="Arial" w:cs="Arial"/>
        </w:rPr>
        <w:t xml:space="preserve">, </w:t>
      </w:r>
      <w:proofErr w:type="spellStart"/>
      <w:r w:rsidRPr="008821E9">
        <w:rPr>
          <w:rFonts w:ascii="Arial" w:hAnsi="Arial" w:cs="Arial"/>
        </w:rPr>
        <w:t>Aisjah</w:t>
      </w:r>
      <w:proofErr w:type="spellEnd"/>
      <w:r w:rsidRPr="008821E9">
        <w:rPr>
          <w:rFonts w:ascii="Arial" w:hAnsi="Arial" w:cs="Arial"/>
        </w:rPr>
        <w:t xml:space="preserve">, S., and </w:t>
      </w:r>
      <w:proofErr w:type="spellStart"/>
      <w:r w:rsidRPr="008821E9">
        <w:rPr>
          <w:rFonts w:ascii="Arial" w:hAnsi="Arial" w:cs="Arial"/>
        </w:rPr>
        <w:t>Indrawati</w:t>
      </w:r>
      <w:proofErr w:type="spellEnd"/>
      <w:r w:rsidRPr="008821E9">
        <w:rPr>
          <w:rFonts w:ascii="Arial" w:hAnsi="Arial" w:cs="Arial"/>
        </w:rPr>
        <w:t>, N.K. (2023). "Customer incivility, employee emotional exhaustion, and job embeddedness relationship in the Indonesian hospitality sector: The socio-economic status perspective." Cogent Social Sciences, 9(1), p.2178613.</w:t>
      </w:r>
    </w:p>
    <w:p w14:paraId="3F2CB6D1" w14:textId="77777777" w:rsidR="00474676" w:rsidRPr="008821E9" w:rsidRDefault="00474676" w:rsidP="008821E9">
      <w:pPr>
        <w:spacing w:line="360" w:lineRule="auto"/>
        <w:jc w:val="both"/>
        <w:rPr>
          <w:rFonts w:ascii="Arial" w:hAnsi="Arial" w:cs="Arial"/>
        </w:rPr>
      </w:pPr>
    </w:p>
    <w:p w14:paraId="6DE5C353" w14:textId="77777777" w:rsidR="00474676" w:rsidRPr="008821E9" w:rsidRDefault="00474676" w:rsidP="008821E9">
      <w:pPr>
        <w:spacing w:line="360" w:lineRule="auto"/>
        <w:jc w:val="both"/>
        <w:rPr>
          <w:rFonts w:ascii="Arial" w:hAnsi="Arial" w:cs="Arial"/>
        </w:rPr>
      </w:pPr>
    </w:p>
    <w:p w14:paraId="2139BC87" w14:textId="77777777" w:rsidR="00474676" w:rsidRPr="008821E9" w:rsidRDefault="00474676" w:rsidP="008821E9">
      <w:pPr>
        <w:spacing w:line="360" w:lineRule="auto"/>
        <w:jc w:val="both"/>
        <w:rPr>
          <w:rFonts w:ascii="Arial" w:hAnsi="Arial" w:cs="Arial"/>
        </w:rPr>
      </w:pPr>
      <w:r w:rsidRPr="008821E9">
        <w:rPr>
          <w:rFonts w:ascii="Arial" w:hAnsi="Arial" w:cs="Arial"/>
        </w:rPr>
        <w:t>Jeong, M., Shin, H. H., Lee, M., &amp; Lee, J. (2023). "Assessing brand performance consistency from consumer-generated media: the US hotel industry." International Journal of Contemporary Hospitality Management, 35(6), 2056-2083.</w:t>
      </w:r>
    </w:p>
    <w:p w14:paraId="3F024DDA" w14:textId="77777777" w:rsidR="00474676" w:rsidRPr="008821E9" w:rsidRDefault="00474676" w:rsidP="008821E9">
      <w:pPr>
        <w:spacing w:line="360" w:lineRule="auto"/>
        <w:jc w:val="both"/>
        <w:rPr>
          <w:rFonts w:ascii="Arial" w:hAnsi="Arial" w:cs="Arial"/>
        </w:rPr>
      </w:pPr>
    </w:p>
    <w:p w14:paraId="57DB3BFE" w14:textId="77777777" w:rsidR="00474676" w:rsidRPr="008821E9" w:rsidRDefault="00474676" w:rsidP="008821E9">
      <w:pPr>
        <w:spacing w:line="360" w:lineRule="auto"/>
        <w:jc w:val="both"/>
        <w:rPr>
          <w:rFonts w:ascii="Arial" w:hAnsi="Arial" w:cs="Arial"/>
        </w:rPr>
      </w:pPr>
      <w:r w:rsidRPr="008821E9">
        <w:rPr>
          <w:rFonts w:ascii="Arial" w:hAnsi="Arial" w:cs="Arial"/>
        </w:rPr>
        <w:t>Kim, E., Best, A. R., &amp; Choi, K. (2023). Mapping the research trends on social media in the hospitality sector from 2010 to 2020. Tourism and Hospitality Management, 29(2), 167-181.</w:t>
      </w:r>
    </w:p>
    <w:p w14:paraId="10997716" w14:textId="77777777" w:rsidR="00474676" w:rsidRPr="008821E9" w:rsidRDefault="00474676" w:rsidP="008821E9">
      <w:pPr>
        <w:spacing w:line="360" w:lineRule="auto"/>
        <w:jc w:val="both"/>
        <w:rPr>
          <w:rFonts w:ascii="Arial" w:hAnsi="Arial" w:cs="Arial"/>
        </w:rPr>
      </w:pPr>
    </w:p>
    <w:p w14:paraId="6CEEF245" w14:textId="77777777" w:rsidR="00474676" w:rsidRPr="008821E9" w:rsidRDefault="00474676" w:rsidP="008821E9">
      <w:pPr>
        <w:spacing w:line="360" w:lineRule="auto"/>
        <w:jc w:val="both"/>
        <w:rPr>
          <w:rFonts w:ascii="Arial" w:hAnsi="Arial" w:cs="Arial"/>
        </w:rPr>
      </w:pPr>
      <w:r w:rsidRPr="008821E9">
        <w:rPr>
          <w:rFonts w:ascii="Arial" w:hAnsi="Arial" w:cs="Arial"/>
        </w:rPr>
        <w:t>Maclean, M., Harvey, C., &amp; Suddaby, R. (2024). "Institutional biography and the institutionalization of a new organizational template: Building the global branded hotel chain." Business History, 66(1), 311-339.</w:t>
      </w:r>
    </w:p>
    <w:p w14:paraId="25D13DF9" w14:textId="77777777" w:rsidR="00474676" w:rsidRPr="008821E9" w:rsidRDefault="00474676" w:rsidP="008821E9">
      <w:pPr>
        <w:spacing w:line="360" w:lineRule="auto"/>
        <w:jc w:val="both"/>
        <w:rPr>
          <w:rFonts w:ascii="Arial" w:hAnsi="Arial" w:cs="Arial"/>
        </w:rPr>
      </w:pPr>
    </w:p>
    <w:p w14:paraId="67434B80" w14:textId="77777777" w:rsidR="00474676" w:rsidRPr="008821E9" w:rsidRDefault="00474676" w:rsidP="008821E9">
      <w:pPr>
        <w:spacing w:line="360" w:lineRule="auto"/>
        <w:jc w:val="both"/>
        <w:rPr>
          <w:rFonts w:ascii="Arial" w:hAnsi="Arial" w:cs="Arial"/>
        </w:rPr>
      </w:pPr>
      <w:proofErr w:type="spellStart"/>
      <w:r w:rsidRPr="008821E9">
        <w:rPr>
          <w:rFonts w:ascii="Arial" w:hAnsi="Arial" w:cs="Arial"/>
        </w:rPr>
        <w:t>Mardonova</w:t>
      </w:r>
      <w:proofErr w:type="spellEnd"/>
      <w:r w:rsidRPr="008821E9">
        <w:rPr>
          <w:rFonts w:ascii="Arial" w:hAnsi="Arial" w:cs="Arial"/>
        </w:rPr>
        <w:t xml:space="preserve">, D., 2023. THE ROLE OF THE HOTEL BUSINESS IN THE DEVELOPMENT OF TOURISM INDUSTRY. </w:t>
      </w:r>
      <w:proofErr w:type="spellStart"/>
      <w:r w:rsidRPr="008821E9">
        <w:rPr>
          <w:rFonts w:ascii="Arial" w:hAnsi="Arial" w:cs="Arial"/>
        </w:rPr>
        <w:t>Talqin</w:t>
      </w:r>
      <w:proofErr w:type="spellEnd"/>
      <w:r w:rsidRPr="008821E9">
        <w:rPr>
          <w:rFonts w:ascii="Arial" w:hAnsi="Arial" w:cs="Arial"/>
        </w:rPr>
        <w:t xml:space="preserve"> va </w:t>
      </w:r>
      <w:proofErr w:type="spellStart"/>
      <w:r w:rsidRPr="008821E9">
        <w:rPr>
          <w:rFonts w:ascii="Arial" w:hAnsi="Arial" w:cs="Arial"/>
        </w:rPr>
        <w:t>tadqiqotlar</w:t>
      </w:r>
      <w:proofErr w:type="spellEnd"/>
      <w:r w:rsidRPr="008821E9">
        <w:rPr>
          <w:rFonts w:ascii="Arial" w:hAnsi="Arial" w:cs="Arial"/>
        </w:rPr>
        <w:t>, 1(6).</w:t>
      </w:r>
    </w:p>
    <w:p w14:paraId="1BB469BC" w14:textId="77777777" w:rsidR="00474676" w:rsidRPr="008821E9" w:rsidRDefault="00474676" w:rsidP="008821E9">
      <w:pPr>
        <w:spacing w:line="360" w:lineRule="auto"/>
        <w:jc w:val="both"/>
        <w:rPr>
          <w:rFonts w:ascii="Arial" w:hAnsi="Arial" w:cs="Arial"/>
        </w:rPr>
      </w:pPr>
    </w:p>
    <w:p w14:paraId="73490AEA" w14:textId="77777777" w:rsidR="00474676" w:rsidRPr="008821E9" w:rsidRDefault="00474676" w:rsidP="008821E9">
      <w:pPr>
        <w:spacing w:line="360" w:lineRule="auto"/>
        <w:jc w:val="both"/>
        <w:rPr>
          <w:rFonts w:ascii="Arial" w:hAnsi="Arial" w:cs="Arial"/>
        </w:rPr>
      </w:pPr>
      <w:r w:rsidRPr="008821E9">
        <w:rPr>
          <w:rFonts w:ascii="Arial" w:hAnsi="Arial" w:cs="Arial"/>
        </w:rPr>
        <w:t>Mehta, N. K. (2022). Technological capabilities and upgrading process in the hotel industry. International Journal of Contemporary Hospitality Management.</w:t>
      </w:r>
    </w:p>
    <w:p w14:paraId="4B21DA9B" w14:textId="77777777" w:rsidR="00474676" w:rsidRPr="008821E9" w:rsidRDefault="00474676" w:rsidP="008821E9">
      <w:pPr>
        <w:spacing w:line="360" w:lineRule="auto"/>
        <w:jc w:val="both"/>
        <w:rPr>
          <w:rFonts w:ascii="Arial" w:hAnsi="Arial" w:cs="Arial"/>
        </w:rPr>
      </w:pPr>
      <w:r w:rsidRPr="008821E9">
        <w:rPr>
          <w:rFonts w:ascii="Arial" w:hAnsi="Arial" w:cs="Arial"/>
        </w:rPr>
        <w:t>Park, T. Y., &amp; Min, H. (2020) 'How does employee turnover affect organizational performance?', Human Resource Management Journal, 30(2), 218-237.</w:t>
      </w:r>
    </w:p>
    <w:p w14:paraId="6CCC4DA3" w14:textId="77777777" w:rsidR="00474676" w:rsidRPr="008821E9" w:rsidRDefault="00474676" w:rsidP="008821E9">
      <w:pPr>
        <w:spacing w:line="360" w:lineRule="auto"/>
        <w:jc w:val="both"/>
        <w:rPr>
          <w:rFonts w:ascii="Arial" w:hAnsi="Arial" w:cs="Arial"/>
        </w:rPr>
      </w:pPr>
    </w:p>
    <w:p w14:paraId="74CB648B" w14:textId="77777777" w:rsidR="00474676" w:rsidRPr="008821E9" w:rsidRDefault="00474676" w:rsidP="008821E9">
      <w:pPr>
        <w:spacing w:line="360" w:lineRule="auto"/>
        <w:jc w:val="both"/>
        <w:rPr>
          <w:rFonts w:ascii="Arial" w:hAnsi="Arial" w:cs="Arial"/>
        </w:rPr>
      </w:pPr>
      <w:r w:rsidRPr="008821E9">
        <w:rPr>
          <w:rFonts w:ascii="Arial" w:hAnsi="Arial" w:cs="Arial"/>
        </w:rPr>
        <w:t>Romero, I., Fernández-Serrano, J., &amp; Cáceres-Carrasco, R. (2023). Technological capabilities and global value chains: Insights from Spanish SMEs in the hotel industry. Journal of Hospitality and Tourism Insights, (ahead-of-print).</w:t>
      </w:r>
    </w:p>
    <w:p w14:paraId="2AA1FB47" w14:textId="77777777" w:rsidR="00474676" w:rsidRPr="008821E9" w:rsidRDefault="00474676" w:rsidP="008821E9">
      <w:pPr>
        <w:spacing w:line="360" w:lineRule="auto"/>
        <w:jc w:val="both"/>
        <w:rPr>
          <w:rFonts w:ascii="Arial" w:hAnsi="Arial" w:cs="Arial"/>
        </w:rPr>
      </w:pPr>
      <w:r w:rsidRPr="008821E9">
        <w:rPr>
          <w:rFonts w:ascii="Arial" w:hAnsi="Arial" w:cs="Arial"/>
        </w:rPr>
        <w:t xml:space="preserve">Simons, T., &amp; </w:t>
      </w:r>
      <w:proofErr w:type="spellStart"/>
      <w:r w:rsidRPr="008821E9">
        <w:rPr>
          <w:rFonts w:ascii="Arial" w:hAnsi="Arial" w:cs="Arial"/>
        </w:rPr>
        <w:t>Hinkin</w:t>
      </w:r>
      <w:proofErr w:type="spellEnd"/>
      <w:r w:rsidRPr="008821E9">
        <w:rPr>
          <w:rFonts w:ascii="Arial" w:hAnsi="Arial" w:cs="Arial"/>
        </w:rPr>
        <w:t>, T. (Employee turnover as a predictor of restaurant performance. Cornell Hotel and Restaurant Administration Quarterly, 42(3), 73-82.</w:t>
      </w:r>
    </w:p>
    <w:p w14:paraId="23319029" w14:textId="77777777" w:rsidR="00474676" w:rsidRPr="008821E9" w:rsidRDefault="00474676" w:rsidP="008821E9">
      <w:pPr>
        <w:spacing w:line="360" w:lineRule="auto"/>
        <w:jc w:val="both"/>
        <w:rPr>
          <w:rFonts w:ascii="Arial" w:hAnsi="Arial" w:cs="Arial"/>
        </w:rPr>
      </w:pPr>
    </w:p>
    <w:p w14:paraId="6B3119BB" w14:textId="77777777" w:rsidR="00275459" w:rsidRPr="008821E9" w:rsidRDefault="00474676" w:rsidP="008821E9">
      <w:pPr>
        <w:spacing w:line="360" w:lineRule="auto"/>
        <w:jc w:val="both"/>
        <w:rPr>
          <w:rFonts w:ascii="Arial" w:hAnsi="Arial" w:cs="Arial"/>
        </w:rPr>
      </w:pPr>
      <w:proofErr w:type="spellStart"/>
      <w:r w:rsidRPr="008821E9">
        <w:rPr>
          <w:rFonts w:ascii="Arial" w:hAnsi="Arial" w:cs="Arial"/>
        </w:rPr>
        <w:t>Solevic</w:t>
      </w:r>
      <w:proofErr w:type="spellEnd"/>
      <w:r w:rsidRPr="008821E9">
        <w:rPr>
          <w:rFonts w:ascii="Arial" w:hAnsi="Arial" w:cs="Arial"/>
        </w:rPr>
        <w:t>, M. M., 2023. THE INFLUENCE OF SOCIO-DEMOGRAPHIC AND ECONOMIC FACTORS ON THE DEVELOPMENT OF TOURISM. Economic and Social Development: Book of Proceedings, pp.304-309.</w:t>
      </w:r>
    </w:p>
    <w:p w14:paraId="51431DB6" w14:textId="48EA9A5F" w:rsidR="00474676" w:rsidRPr="008821E9" w:rsidRDefault="00474676" w:rsidP="008821E9">
      <w:pPr>
        <w:spacing w:line="360" w:lineRule="auto"/>
        <w:jc w:val="both"/>
        <w:rPr>
          <w:rFonts w:ascii="Arial" w:hAnsi="Arial" w:cs="Arial"/>
        </w:rPr>
      </w:pPr>
      <w:r w:rsidRPr="008821E9">
        <w:rPr>
          <w:rFonts w:ascii="Arial" w:hAnsi="Arial" w:cs="Arial"/>
        </w:rPr>
        <w:t>Su, Z., Li, Y., &amp; Li, L. (2021). Technological capabilities and firm performance: The roles of knowledge integration and business model adaptation. Technological Forecasting and Social Change, 173, 121066.</w:t>
      </w:r>
    </w:p>
    <w:p w14:paraId="0658B504" w14:textId="77777777" w:rsidR="00474676" w:rsidRPr="008821E9" w:rsidRDefault="00474676" w:rsidP="008821E9">
      <w:pPr>
        <w:spacing w:line="360" w:lineRule="auto"/>
        <w:jc w:val="both"/>
        <w:rPr>
          <w:rFonts w:ascii="Arial" w:hAnsi="Arial" w:cs="Arial"/>
        </w:rPr>
      </w:pPr>
      <w:r w:rsidRPr="008821E9">
        <w:rPr>
          <w:rFonts w:ascii="Arial" w:hAnsi="Arial" w:cs="Arial"/>
        </w:rPr>
        <w:t>Wang, Y. C., Chen, H., Ryan, B., Troxtel, C., &amp; Cvar, M. (2023). "Hotel general managers' brand love: A thematic analysis with general managers in the US." Journal of Hospitality and Tourism Management, 54, 200-21.</w:t>
      </w:r>
    </w:p>
    <w:p w14:paraId="1425113B" w14:textId="36FCC95E" w:rsidR="00474676" w:rsidRPr="008821E9" w:rsidRDefault="00DC2AE0" w:rsidP="008821E9">
      <w:pPr>
        <w:spacing w:line="360" w:lineRule="auto"/>
        <w:jc w:val="both"/>
        <w:rPr>
          <w:rFonts w:ascii="Arial" w:hAnsi="Arial" w:cs="Arial"/>
        </w:rPr>
      </w:pPr>
      <w:r w:rsidRPr="008821E9">
        <w:rPr>
          <w:rFonts w:ascii="Arial" w:hAnsi="Arial" w:cs="Arial"/>
        </w:rPr>
        <w:t>Ha, N.M., Nguyen, P.A., Luan, N.V. and Tam, N.M., 2023. Impact of green innovation on environmental performance and financial performance. Environment, Development and Sustainability, pp.1-22.</w:t>
      </w:r>
    </w:p>
    <w:p w14:paraId="427319B5" w14:textId="0AC41A57" w:rsidR="00474676" w:rsidRPr="008821E9" w:rsidRDefault="00474676" w:rsidP="008821E9">
      <w:pPr>
        <w:spacing w:line="360" w:lineRule="auto"/>
        <w:jc w:val="both"/>
        <w:rPr>
          <w:rFonts w:ascii="Arial" w:hAnsi="Arial" w:cs="Arial"/>
        </w:rPr>
      </w:pPr>
    </w:p>
    <w:sectPr w:rsidR="00474676" w:rsidRPr="00882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eelawadee UI">
    <w:panose1 w:val="020B0502040204020203"/>
    <w:charset w:val="00"/>
    <w:family w:val="swiss"/>
    <w:pitch w:val="variable"/>
    <w:sig w:usb0="A3000003" w:usb1="00000000" w:usb2="00010000" w:usb3="00000000" w:csb0="000101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27863"/>
    <w:rsid w:val="000509A9"/>
    <w:rsid w:val="00071CA6"/>
    <w:rsid w:val="000A1DF6"/>
    <w:rsid w:val="000E7AD7"/>
    <w:rsid w:val="00111700"/>
    <w:rsid w:val="00125758"/>
    <w:rsid w:val="001A29C8"/>
    <w:rsid w:val="001B6A5D"/>
    <w:rsid w:val="001C1E4E"/>
    <w:rsid w:val="002217C6"/>
    <w:rsid w:val="00275459"/>
    <w:rsid w:val="002E4C6B"/>
    <w:rsid w:val="003222ED"/>
    <w:rsid w:val="003425C5"/>
    <w:rsid w:val="0035557E"/>
    <w:rsid w:val="00356DDE"/>
    <w:rsid w:val="003604A8"/>
    <w:rsid w:val="00360F8E"/>
    <w:rsid w:val="003876EC"/>
    <w:rsid w:val="003B29FB"/>
    <w:rsid w:val="00450E18"/>
    <w:rsid w:val="00450F7B"/>
    <w:rsid w:val="00457F6F"/>
    <w:rsid w:val="00474676"/>
    <w:rsid w:val="00497D6D"/>
    <w:rsid w:val="004B6AD6"/>
    <w:rsid w:val="004F5B3C"/>
    <w:rsid w:val="0050093E"/>
    <w:rsid w:val="005A27C6"/>
    <w:rsid w:val="005A47FA"/>
    <w:rsid w:val="005B2B77"/>
    <w:rsid w:val="005B65FE"/>
    <w:rsid w:val="005E51ED"/>
    <w:rsid w:val="005F635E"/>
    <w:rsid w:val="00627863"/>
    <w:rsid w:val="006E5696"/>
    <w:rsid w:val="0070417B"/>
    <w:rsid w:val="00745C33"/>
    <w:rsid w:val="00747311"/>
    <w:rsid w:val="0075323D"/>
    <w:rsid w:val="00795DBD"/>
    <w:rsid w:val="008572C7"/>
    <w:rsid w:val="008737CB"/>
    <w:rsid w:val="008821E9"/>
    <w:rsid w:val="008B4D04"/>
    <w:rsid w:val="009060B2"/>
    <w:rsid w:val="00922ED5"/>
    <w:rsid w:val="0097006D"/>
    <w:rsid w:val="009714F2"/>
    <w:rsid w:val="00983DFE"/>
    <w:rsid w:val="00A265CB"/>
    <w:rsid w:val="00A526B2"/>
    <w:rsid w:val="00A536F4"/>
    <w:rsid w:val="00A6352B"/>
    <w:rsid w:val="00AD0DD6"/>
    <w:rsid w:val="00AE11BD"/>
    <w:rsid w:val="00B36E78"/>
    <w:rsid w:val="00B445AB"/>
    <w:rsid w:val="00B810BD"/>
    <w:rsid w:val="00BA72D8"/>
    <w:rsid w:val="00BC65F4"/>
    <w:rsid w:val="00C3626B"/>
    <w:rsid w:val="00C777DA"/>
    <w:rsid w:val="00CD36CD"/>
    <w:rsid w:val="00CF5AA5"/>
    <w:rsid w:val="00CF62BC"/>
    <w:rsid w:val="00D02401"/>
    <w:rsid w:val="00D03326"/>
    <w:rsid w:val="00D55306"/>
    <w:rsid w:val="00D564CB"/>
    <w:rsid w:val="00D86E2D"/>
    <w:rsid w:val="00DC2AE0"/>
    <w:rsid w:val="00DC3572"/>
    <w:rsid w:val="00E15BBC"/>
    <w:rsid w:val="00E56F60"/>
    <w:rsid w:val="00F34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EB6D0CC"/>
  <w15:docId w15:val="{B3877F39-F06A-4049-BD8A-AD5238049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8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8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8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8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8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8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8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8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8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8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8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8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8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8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8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8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8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863"/>
    <w:rPr>
      <w:rFonts w:eastAsiaTheme="majorEastAsia" w:cstheme="majorBidi"/>
      <w:color w:val="272727" w:themeColor="text1" w:themeTint="D8"/>
    </w:rPr>
  </w:style>
  <w:style w:type="paragraph" w:styleId="Title">
    <w:name w:val="Title"/>
    <w:basedOn w:val="Normal"/>
    <w:next w:val="Normal"/>
    <w:link w:val="TitleChar"/>
    <w:uiPriority w:val="10"/>
    <w:qFormat/>
    <w:rsid w:val="006278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8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8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8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863"/>
    <w:pPr>
      <w:spacing w:before="160"/>
      <w:jc w:val="center"/>
    </w:pPr>
    <w:rPr>
      <w:i/>
      <w:iCs/>
      <w:color w:val="404040" w:themeColor="text1" w:themeTint="BF"/>
    </w:rPr>
  </w:style>
  <w:style w:type="character" w:customStyle="1" w:styleId="QuoteChar">
    <w:name w:val="Quote Char"/>
    <w:basedOn w:val="DefaultParagraphFont"/>
    <w:link w:val="Quote"/>
    <w:uiPriority w:val="29"/>
    <w:rsid w:val="00627863"/>
    <w:rPr>
      <w:i/>
      <w:iCs/>
      <w:color w:val="404040" w:themeColor="text1" w:themeTint="BF"/>
    </w:rPr>
  </w:style>
  <w:style w:type="paragraph" w:styleId="ListParagraph">
    <w:name w:val="List Paragraph"/>
    <w:basedOn w:val="Normal"/>
    <w:uiPriority w:val="34"/>
    <w:qFormat/>
    <w:rsid w:val="00627863"/>
    <w:pPr>
      <w:ind w:left="720"/>
      <w:contextualSpacing/>
    </w:pPr>
  </w:style>
  <w:style w:type="character" w:styleId="IntenseEmphasis">
    <w:name w:val="Intense Emphasis"/>
    <w:basedOn w:val="DefaultParagraphFont"/>
    <w:uiPriority w:val="21"/>
    <w:qFormat/>
    <w:rsid w:val="00627863"/>
    <w:rPr>
      <w:i/>
      <w:iCs/>
      <w:color w:val="0F4761" w:themeColor="accent1" w:themeShade="BF"/>
    </w:rPr>
  </w:style>
  <w:style w:type="paragraph" w:styleId="IntenseQuote">
    <w:name w:val="Intense Quote"/>
    <w:basedOn w:val="Normal"/>
    <w:next w:val="Normal"/>
    <w:link w:val="IntenseQuoteChar"/>
    <w:uiPriority w:val="30"/>
    <w:qFormat/>
    <w:rsid w:val="006278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863"/>
    <w:rPr>
      <w:i/>
      <w:iCs/>
      <w:color w:val="0F4761" w:themeColor="accent1" w:themeShade="BF"/>
    </w:rPr>
  </w:style>
  <w:style w:type="character" w:styleId="IntenseReference">
    <w:name w:val="Intense Reference"/>
    <w:basedOn w:val="DefaultParagraphFont"/>
    <w:uiPriority w:val="32"/>
    <w:qFormat/>
    <w:rsid w:val="00627863"/>
    <w:rPr>
      <w:b/>
      <w:bCs/>
      <w:smallCaps/>
      <w:color w:val="0F4761" w:themeColor="accent1" w:themeShade="BF"/>
      <w:spacing w:val="5"/>
    </w:rPr>
  </w:style>
  <w:style w:type="paragraph" w:styleId="TOCHeading">
    <w:name w:val="TOC Heading"/>
    <w:basedOn w:val="Heading1"/>
    <w:next w:val="Normal"/>
    <w:uiPriority w:val="39"/>
    <w:unhideWhenUsed/>
    <w:qFormat/>
    <w:rsid w:val="006E5696"/>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6E5696"/>
    <w:pPr>
      <w:spacing w:after="100"/>
    </w:pPr>
  </w:style>
  <w:style w:type="character" w:styleId="Hyperlink">
    <w:name w:val="Hyperlink"/>
    <w:basedOn w:val="DefaultParagraphFont"/>
    <w:uiPriority w:val="99"/>
    <w:unhideWhenUsed/>
    <w:rsid w:val="006E569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4B9823-8F4C-4214-8A49-C862A4039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3182</Words>
  <Characters>18139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2024-03-03T17:16:00Z</dcterms:created>
  <dcterms:modified xsi:type="dcterms:W3CDTF">2024-03-03T17:16:00Z</dcterms:modified>
</cp:coreProperties>
</file>