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99629" w14:textId="77777777" w:rsidR="0038188E" w:rsidRDefault="0038188E" w:rsidP="0038188E">
      <w:pPr>
        <w:spacing w:line="360" w:lineRule="auto"/>
        <w:jc w:val="center"/>
        <w:rPr>
          <w:lang w:val="en-IN"/>
        </w:rPr>
      </w:pPr>
      <w:r w:rsidRPr="00B40D8F">
        <w:rPr>
          <w:lang w:val="en-IN"/>
        </w:rPr>
        <w:br/>
      </w:r>
      <w:r w:rsidRPr="00B40D8F">
        <w:rPr>
          <w:noProof/>
          <w:lang w:val="en-IN"/>
        </w:rPr>
        <w:drawing>
          <wp:inline distT="0" distB="0" distL="0" distR="0" wp14:anchorId="19CFECCF" wp14:editId="42E43AA5">
            <wp:extent cx="3230880" cy="1272540"/>
            <wp:effectExtent l="0" t="0" r="7620" b="0"/>
            <wp:docPr id="1131072554" name="Picture 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0880" cy="1272540"/>
                    </a:xfrm>
                    <a:prstGeom prst="rect">
                      <a:avLst/>
                    </a:prstGeom>
                    <a:noFill/>
                    <a:ln>
                      <a:noFill/>
                    </a:ln>
                  </pic:spPr>
                </pic:pic>
              </a:graphicData>
            </a:graphic>
          </wp:inline>
        </w:drawing>
      </w:r>
      <w:r w:rsidRPr="00B40D8F">
        <w:rPr>
          <w:lang w:val="en-IN"/>
        </w:rPr>
        <w:br/>
      </w:r>
    </w:p>
    <w:p w14:paraId="2CF36858" w14:textId="77777777" w:rsidR="0038188E" w:rsidRDefault="0038188E" w:rsidP="0038188E">
      <w:pPr>
        <w:spacing w:line="360" w:lineRule="auto"/>
        <w:jc w:val="center"/>
        <w:rPr>
          <w:lang w:val="en-IN"/>
        </w:rPr>
      </w:pPr>
    </w:p>
    <w:p w14:paraId="501EDC69" w14:textId="77777777" w:rsidR="00713B85" w:rsidRDefault="00713B85" w:rsidP="0038188E">
      <w:pPr>
        <w:spacing w:line="360" w:lineRule="auto"/>
        <w:jc w:val="center"/>
        <w:rPr>
          <w:lang w:val="en-IN"/>
        </w:rPr>
      </w:pPr>
    </w:p>
    <w:p w14:paraId="1F0666E5" w14:textId="77777777" w:rsidR="00DE010F" w:rsidRDefault="00DE010F" w:rsidP="0038188E">
      <w:pPr>
        <w:spacing w:line="360" w:lineRule="auto"/>
        <w:jc w:val="center"/>
        <w:rPr>
          <w:lang w:val="en-IN"/>
        </w:rPr>
      </w:pPr>
    </w:p>
    <w:p w14:paraId="06774AD9" w14:textId="77777777" w:rsidR="00D70C2C" w:rsidRPr="00DE010F" w:rsidRDefault="0038188E" w:rsidP="00D70C2C">
      <w:pPr>
        <w:spacing w:line="360" w:lineRule="auto"/>
        <w:jc w:val="center"/>
        <w:rPr>
          <w:sz w:val="36"/>
          <w:szCs w:val="36"/>
          <w:lang w:val="en-IN"/>
        </w:rPr>
      </w:pPr>
      <w:r w:rsidRPr="00B40D8F">
        <w:rPr>
          <w:lang w:val="en-IN"/>
        </w:rPr>
        <w:br/>
      </w:r>
      <w:r w:rsidR="00D70C2C" w:rsidRPr="00DE010F">
        <w:rPr>
          <w:b/>
          <w:bCs/>
          <w:sz w:val="36"/>
          <w:szCs w:val="36"/>
          <w:lang w:val="en-IN"/>
        </w:rPr>
        <w:t>Module name</w:t>
      </w:r>
      <w:r w:rsidR="00D70C2C" w:rsidRPr="00DE010F">
        <w:rPr>
          <w:sz w:val="36"/>
          <w:szCs w:val="36"/>
          <w:lang w:val="en-IN"/>
        </w:rPr>
        <w:t xml:space="preserve">: </w:t>
      </w:r>
      <w:r w:rsidR="00D70C2C" w:rsidRPr="00DE010F">
        <w:rPr>
          <w:b/>
          <w:sz w:val="36"/>
          <w:szCs w:val="36"/>
        </w:rPr>
        <w:t xml:space="preserve">Changemakers: Creativity and Value Creation  </w:t>
      </w:r>
    </w:p>
    <w:p w14:paraId="297F2A6B" w14:textId="77777777" w:rsidR="00D70C2C" w:rsidRPr="00DE010F" w:rsidRDefault="00D70C2C" w:rsidP="00D70C2C">
      <w:pPr>
        <w:spacing w:line="360" w:lineRule="auto"/>
        <w:jc w:val="center"/>
        <w:rPr>
          <w:sz w:val="36"/>
          <w:szCs w:val="36"/>
          <w:lang w:val="en-IN"/>
        </w:rPr>
      </w:pPr>
      <w:r w:rsidRPr="00DE010F">
        <w:rPr>
          <w:b/>
          <w:bCs/>
          <w:sz w:val="36"/>
          <w:szCs w:val="36"/>
          <w:lang w:val="en-IN"/>
        </w:rPr>
        <w:t>Module code</w:t>
      </w:r>
      <w:r w:rsidRPr="00DE010F">
        <w:rPr>
          <w:sz w:val="36"/>
          <w:szCs w:val="36"/>
          <w:lang w:val="en-IN"/>
        </w:rPr>
        <w:t>: BMHP5014</w:t>
      </w:r>
    </w:p>
    <w:p w14:paraId="168410B0" w14:textId="0E8B1E92" w:rsidR="0038188E" w:rsidRPr="00DE010F" w:rsidRDefault="0038188E" w:rsidP="0038188E">
      <w:pPr>
        <w:spacing w:line="360" w:lineRule="auto"/>
        <w:jc w:val="center"/>
        <w:rPr>
          <w:lang w:val="en-IN"/>
        </w:rPr>
      </w:pPr>
    </w:p>
    <w:p w14:paraId="6380F47F" w14:textId="77777777" w:rsidR="0038188E" w:rsidRPr="00DE010F" w:rsidRDefault="0038188E" w:rsidP="0038188E">
      <w:pPr>
        <w:spacing w:line="360" w:lineRule="auto"/>
        <w:jc w:val="center"/>
        <w:rPr>
          <w:sz w:val="36"/>
          <w:szCs w:val="36"/>
          <w:lang w:val="en-IN"/>
        </w:rPr>
      </w:pPr>
      <w:r w:rsidRPr="00DE010F">
        <w:rPr>
          <w:b/>
          <w:bCs/>
          <w:sz w:val="36"/>
          <w:szCs w:val="36"/>
          <w:lang w:val="en-IN"/>
        </w:rPr>
        <w:t>Student name</w:t>
      </w:r>
      <w:r w:rsidRPr="00DE010F">
        <w:rPr>
          <w:sz w:val="36"/>
          <w:szCs w:val="36"/>
          <w:lang w:val="en-IN"/>
        </w:rPr>
        <w:t xml:space="preserve">: Vitalina </w:t>
      </w:r>
      <w:proofErr w:type="spellStart"/>
      <w:r w:rsidRPr="00DE010F">
        <w:rPr>
          <w:sz w:val="36"/>
          <w:szCs w:val="36"/>
          <w:lang w:val="en-IN"/>
        </w:rPr>
        <w:t>Kraievska</w:t>
      </w:r>
      <w:proofErr w:type="spellEnd"/>
    </w:p>
    <w:p w14:paraId="65308DB1" w14:textId="77777777" w:rsidR="0038188E" w:rsidRPr="00DE010F" w:rsidRDefault="0038188E" w:rsidP="0038188E">
      <w:pPr>
        <w:spacing w:line="360" w:lineRule="auto"/>
        <w:jc w:val="center"/>
        <w:rPr>
          <w:sz w:val="36"/>
          <w:szCs w:val="36"/>
          <w:lang w:val="en-IN"/>
        </w:rPr>
      </w:pPr>
      <w:r w:rsidRPr="00DE010F">
        <w:rPr>
          <w:b/>
          <w:bCs/>
          <w:sz w:val="36"/>
          <w:szCs w:val="36"/>
          <w:lang w:val="en-IN"/>
        </w:rPr>
        <w:t>Student ID</w:t>
      </w:r>
      <w:r w:rsidRPr="00DE010F">
        <w:rPr>
          <w:sz w:val="36"/>
          <w:szCs w:val="36"/>
          <w:lang w:val="en-IN"/>
        </w:rPr>
        <w:t>: 2411153</w:t>
      </w:r>
    </w:p>
    <w:p w14:paraId="318D6E5E" w14:textId="4B476536" w:rsidR="0038188E" w:rsidRPr="00DE010F" w:rsidRDefault="0038188E" w:rsidP="0038188E">
      <w:pPr>
        <w:spacing w:line="360" w:lineRule="auto"/>
        <w:jc w:val="center"/>
        <w:rPr>
          <w:sz w:val="36"/>
          <w:szCs w:val="36"/>
          <w:lang w:val="uk-UA"/>
        </w:rPr>
      </w:pPr>
      <w:r w:rsidRPr="00DE010F">
        <w:rPr>
          <w:b/>
          <w:bCs/>
          <w:sz w:val="36"/>
          <w:szCs w:val="36"/>
          <w:lang w:val="en-IN"/>
        </w:rPr>
        <w:t>Lecturer name</w:t>
      </w:r>
      <w:r w:rsidRPr="00DE010F">
        <w:rPr>
          <w:sz w:val="36"/>
          <w:szCs w:val="36"/>
          <w:lang w:val="en-IN"/>
        </w:rPr>
        <w:t xml:space="preserve">: Laila </w:t>
      </w:r>
      <w:proofErr w:type="spellStart"/>
      <w:r w:rsidRPr="00DE010F">
        <w:rPr>
          <w:sz w:val="36"/>
          <w:szCs w:val="36"/>
          <w:lang w:val="en-IN"/>
        </w:rPr>
        <w:t>Surani</w:t>
      </w:r>
      <w:proofErr w:type="spellEnd"/>
    </w:p>
    <w:p w14:paraId="15231653" w14:textId="77777777" w:rsidR="00D33C2B" w:rsidRDefault="00D33C2B" w:rsidP="00D33C2B">
      <w:pPr>
        <w:spacing w:line="360" w:lineRule="auto"/>
        <w:jc w:val="center"/>
        <w:rPr>
          <w:rFonts w:ascii="Times New Roman" w:hAnsi="Times New Roman" w:cs="Times New Roman"/>
          <w:b/>
          <w:sz w:val="40"/>
          <w:szCs w:val="40"/>
        </w:rPr>
      </w:pPr>
    </w:p>
    <w:p w14:paraId="7E1C20BA" w14:textId="77777777" w:rsidR="00D33C2B" w:rsidRDefault="00D33C2B" w:rsidP="00D33C2B">
      <w:pPr>
        <w:spacing w:line="360" w:lineRule="auto"/>
        <w:jc w:val="center"/>
        <w:rPr>
          <w:rFonts w:ascii="Times New Roman" w:hAnsi="Times New Roman" w:cs="Times New Roman"/>
          <w:b/>
          <w:sz w:val="40"/>
          <w:szCs w:val="40"/>
        </w:rPr>
      </w:pPr>
    </w:p>
    <w:p w14:paraId="182070B7" w14:textId="77777777" w:rsidR="00D33C2B" w:rsidRDefault="00D33C2B" w:rsidP="00D33C2B">
      <w:pPr>
        <w:spacing w:line="360" w:lineRule="auto"/>
        <w:jc w:val="center"/>
        <w:rPr>
          <w:rFonts w:ascii="Times New Roman" w:hAnsi="Times New Roman" w:cs="Times New Roman"/>
          <w:b/>
          <w:sz w:val="40"/>
          <w:szCs w:val="40"/>
        </w:rPr>
      </w:pPr>
    </w:p>
    <w:p w14:paraId="6324A90D" w14:textId="77777777" w:rsidR="00D33C2B" w:rsidRDefault="00D33C2B" w:rsidP="00D33C2B">
      <w:pPr>
        <w:spacing w:line="360" w:lineRule="auto"/>
        <w:jc w:val="center"/>
        <w:rPr>
          <w:rFonts w:ascii="Times New Roman" w:hAnsi="Times New Roman" w:cs="Times New Roman"/>
          <w:b/>
          <w:sz w:val="40"/>
          <w:szCs w:val="40"/>
        </w:rPr>
      </w:pPr>
    </w:p>
    <w:p w14:paraId="2454D096" w14:textId="29E46BD4" w:rsidR="00D31037" w:rsidRPr="00D33C2B" w:rsidRDefault="00D33C2B" w:rsidP="00D33C2B">
      <w:pPr>
        <w:spacing w:line="360" w:lineRule="auto"/>
        <w:jc w:val="center"/>
        <w:rPr>
          <w:rFonts w:ascii="Times New Roman" w:hAnsi="Times New Roman" w:cs="Times New Roman"/>
          <w:b/>
          <w:sz w:val="40"/>
          <w:szCs w:val="40"/>
        </w:rPr>
      </w:pPr>
      <w:r>
        <w:rPr>
          <w:rFonts w:ascii="Times New Roman" w:hAnsi="Times New Roman" w:cs="Times New Roman"/>
          <w:b/>
          <w:sz w:val="32"/>
          <w:szCs w:val="40"/>
        </w:rPr>
        <w:br/>
      </w:r>
      <w:r w:rsidR="00D31037" w:rsidRPr="00D33C2B">
        <w:rPr>
          <w:rFonts w:ascii="Times New Roman" w:hAnsi="Times New Roman" w:cs="Times New Roman"/>
          <w:b/>
          <w:sz w:val="40"/>
          <w:szCs w:val="40"/>
        </w:rPr>
        <w:br w:type="page"/>
      </w:r>
    </w:p>
    <w:sdt>
      <w:sdtPr>
        <w:rPr>
          <w:rFonts w:ascii="Arial" w:eastAsia="Arial" w:hAnsi="Arial" w:cs="Arial"/>
          <w:color w:val="auto"/>
          <w:sz w:val="22"/>
          <w:szCs w:val="22"/>
          <w:lang w:val="en" w:eastAsia="en-GB"/>
        </w:rPr>
        <w:id w:val="458386822"/>
        <w:docPartObj>
          <w:docPartGallery w:val="Table of Contents"/>
          <w:docPartUnique/>
        </w:docPartObj>
      </w:sdtPr>
      <w:sdtEndPr>
        <w:rPr>
          <w:rFonts w:ascii="Times New Roman" w:hAnsi="Times New Roman" w:cs="Times New Roman"/>
          <w:b/>
          <w:bCs/>
          <w:noProof/>
          <w:sz w:val="24"/>
          <w:szCs w:val="24"/>
        </w:rPr>
      </w:sdtEndPr>
      <w:sdtContent>
        <w:p w14:paraId="64D2CDDA" w14:textId="77777777" w:rsidR="00D33C2B" w:rsidRPr="00D33C2B" w:rsidRDefault="00D33C2B" w:rsidP="00D33C2B">
          <w:pPr>
            <w:pStyle w:val="TOCHeading"/>
            <w:jc w:val="center"/>
            <w:rPr>
              <w:rFonts w:ascii="Times New Roman" w:hAnsi="Times New Roman" w:cs="Times New Roman"/>
              <w:b/>
            </w:rPr>
          </w:pPr>
          <w:r w:rsidRPr="00D33C2B">
            <w:rPr>
              <w:rFonts w:ascii="Times New Roman" w:hAnsi="Times New Roman" w:cs="Times New Roman"/>
              <w:b/>
            </w:rPr>
            <w:t>Table of Contents</w:t>
          </w:r>
        </w:p>
        <w:p w14:paraId="0630095A" w14:textId="77777777" w:rsidR="00D33C2B" w:rsidRPr="00D33C2B" w:rsidRDefault="00D33C2B">
          <w:pPr>
            <w:pStyle w:val="TOC1"/>
            <w:tabs>
              <w:tab w:val="right" w:leader="dot" w:pos="9350"/>
            </w:tabs>
            <w:rPr>
              <w:rFonts w:ascii="Times New Roman" w:hAnsi="Times New Roman" w:cs="Times New Roman"/>
              <w:noProof/>
              <w:sz w:val="24"/>
              <w:szCs w:val="24"/>
            </w:rPr>
          </w:pPr>
          <w:r w:rsidRPr="00D33C2B">
            <w:rPr>
              <w:rFonts w:ascii="Times New Roman" w:hAnsi="Times New Roman" w:cs="Times New Roman"/>
              <w:sz w:val="24"/>
              <w:szCs w:val="24"/>
            </w:rPr>
            <w:fldChar w:fldCharType="begin"/>
          </w:r>
          <w:r w:rsidRPr="00D33C2B">
            <w:rPr>
              <w:rFonts w:ascii="Times New Roman" w:hAnsi="Times New Roman" w:cs="Times New Roman"/>
              <w:sz w:val="24"/>
              <w:szCs w:val="24"/>
            </w:rPr>
            <w:instrText xml:space="preserve"> TOC \o "1-3" \h \z \u </w:instrText>
          </w:r>
          <w:r w:rsidRPr="00D33C2B">
            <w:rPr>
              <w:rFonts w:ascii="Times New Roman" w:hAnsi="Times New Roman" w:cs="Times New Roman"/>
              <w:sz w:val="24"/>
              <w:szCs w:val="24"/>
            </w:rPr>
            <w:fldChar w:fldCharType="separate"/>
          </w:r>
          <w:hyperlink w:anchor="_Toc228371090" w:history="1">
            <w:r w:rsidRPr="00D33C2B">
              <w:rPr>
                <w:rStyle w:val="Hyperlink"/>
                <w:rFonts w:ascii="Times New Roman" w:hAnsi="Times New Roman" w:cs="Times New Roman"/>
                <w:noProof/>
                <w:sz w:val="24"/>
                <w:szCs w:val="24"/>
              </w:rPr>
              <w:t>Poster</w:t>
            </w:r>
            <w:r w:rsidRPr="00D33C2B">
              <w:rPr>
                <w:rFonts w:ascii="Times New Roman" w:hAnsi="Times New Roman" w:cs="Times New Roman"/>
                <w:noProof/>
                <w:webHidden/>
                <w:sz w:val="24"/>
                <w:szCs w:val="24"/>
              </w:rPr>
              <w:tab/>
            </w:r>
            <w:r w:rsidRPr="00D33C2B">
              <w:rPr>
                <w:rFonts w:ascii="Times New Roman" w:hAnsi="Times New Roman" w:cs="Times New Roman"/>
                <w:noProof/>
                <w:webHidden/>
                <w:sz w:val="24"/>
                <w:szCs w:val="24"/>
              </w:rPr>
              <w:fldChar w:fldCharType="begin"/>
            </w:r>
            <w:r w:rsidRPr="00D33C2B">
              <w:rPr>
                <w:rFonts w:ascii="Times New Roman" w:hAnsi="Times New Roman" w:cs="Times New Roman"/>
                <w:noProof/>
                <w:webHidden/>
                <w:sz w:val="24"/>
                <w:szCs w:val="24"/>
              </w:rPr>
              <w:instrText xml:space="preserve"> PAGEREF _Toc228371090 \h </w:instrText>
            </w:r>
            <w:r w:rsidRPr="00D33C2B">
              <w:rPr>
                <w:rFonts w:ascii="Times New Roman" w:hAnsi="Times New Roman" w:cs="Times New Roman"/>
                <w:noProof/>
                <w:webHidden/>
                <w:sz w:val="24"/>
                <w:szCs w:val="24"/>
              </w:rPr>
            </w:r>
            <w:r w:rsidRPr="00D33C2B">
              <w:rPr>
                <w:rFonts w:ascii="Times New Roman" w:hAnsi="Times New Roman" w:cs="Times New Roman"/>
                <w:noProof/>
                <w:webHidden/>
                <w:sz w:val="24"/>
                <w:szCs w:val="24"/>
              </w:rPr>
              <w:fldChar w:fldCharType="separate"/>
            </w:r>
            <w:r w:rsidRPr="00D33C2B">
              <w:rPr>
                <w:rFonts w:ascii="Times New Roman" w:hAnsi="Times New Roman" w:cs="Times New Roman"/>
                <w:noProof/>
                <w:webHidden/>
                <w:sz w:val="24"/>
                <w:szCs w:val="24"/>
              </w:rPr>
              <w:t>3</w:t>
            </w:r>
            <w:r w:rsidRPr="00D33C2B">
              <w:rPr>
                <w:rFonts w:ascii="Times New Roman" w:hAnsi="Times New Roman" w:cs="Times New Roman"/>
                <w:noProof/>
                <w:webHidden/>
                <w:sz w:val="24"/>
                <w:szCs w:val="24"/>
              </w:rPr>
              <w:fldChar w:fldCharType="end"/>
            </w:r>
          </w:hyperlink>
        </w:p>
        <w:p w14:paraId="7BE37D69" w14:textId="77777777" w:rsidR="00D33C2B" w:rsidRPr="00D33C2B" w:rsidRDefault="00114095">
          <w:pPr>
            <w:pStyle w:val="TOC1"/>
            <w:tabs>
              <w:tab w:val="right" w:leader="dot" w:pos="9350"/>
            </w:tabs>
            <w:rPr>
              <w:rFonts w:ascii="Times New Roman" w:hAnsi="Times New Roman" w:cs="Times New Roman"/>
              <w:noProof/>
              <w:sz w:val="24"/>
              <w:szCs w:val="24"/>
            </w:rPr>
          </w:pPr>
          <w:hyperlink w:anchor="_Toc228371091" w:history="1">
            <w:r w:rsidR="00D33C2B" w:rsidRPr="00D33C2B">
              <w:rPr>
                <w:rStyle w:val="Hyperlink"/>
                <w:rFonts w:ascii="Times New Roman" w:hAnsi="Times New Roman" w:cs="Times New Roman"/>
                <w:noProof/>
                <w:sz w:val="24"/>
                <w:szCs w:val="24"/>
              </w:rPr>
              <w:t>Pitch</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_Toc228371091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4</w:t>
            </w:r>
            <w:r w:rsidR="00D33C2B" w:rsidRPr="00D33C2B">
              <w:rPr>
                <w:rFonts w:ascii="Times New Roman" w:hAnsi="Times New Roman" w:cs="Times New Roman"/>
                <w:noProof/>
                <w:webHidden/>
                <w:sz w:val="24"/>
                <w:szCs w:val="24"/>
              </w:rPr>
              <w:fldChar w:fldCharType="end"/>
            </w:r>
          </w:hyperlink>
        </w:p>
        <w:p w14:paraId="614F1C6E"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2" w:history="1">
            <w:r w:rsidR="00D33C2B" w:rsidRPr="00D33C2B">
              <w:rPr>
                <w:rStyle w:val="Hyperlink"/>
                <w:rFonts w:ascii="Times New Roman" w:hAnsi="Times New Roman" w:cs="Times New Roman"/>
                <w:noProof/>
                <w:sz w:val="24"/>
                <w:szCs w:val="24"/>
              </w:rPr>
              <w:t>Introduction</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_Toc228371092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4</w:t>
            </w:r>
            <w:r w:rsidR="00D33C2B" w:rsidRPr="00D33C2B">
              <w:rPr>
                <w:rFonts w:ascii="Times New Roman" w:hAnsi="Times New Roman" w:cs="Times New Roman"/>
                <w:noProof/>
                <w:webHidden/>
                <w:sz w:val="24"/>
                <w:szCs w:val="24"/>
              </w:rPr>
              <w:fldChar w:fldCharType="end"/>
            </w:r>
          </w:hyperlink>
        </w:p>
        <w:p w14:paraId="33028865"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3" w:history="1">
            <w:r w:rsidR="00D33C2B" w:rsidRPr="00D33C2B">
              <w:rPr>
                <w:rStyle w:val="Hyperlink"/>
                <w:rFonts w:ascii="Times New Roman" w:hAnsi="Times New Roman" w:cs="Times New Roman"/>
                <w:noProof/>
                <w:sz w:val="24"/>
                <w:szCs w:val="24"/>
              </w:rPr>
              <w:t>Background</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_Toc228371093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4</w:t>
            </w:r>
            <w:r w:rsidR="00D33C2B" w:rsidRPr="00D33C2B">
              <w:rPr>
                <w:rFonts w:ascii="Times New Roman" w:hAnsi="Times New Roman" w:cs="Times New Roman"/>
                <w:noProof/>
                <w:webHidden/>
                <w:sz w:val="24"/>
                <w:szCs w:val="24"/>
              </w:rPr>
              <w:fldChar w:fldCharType="end"/>
            </w:r>
          </w:hyperlink>
        </w:p>
        <w:p w14:paraId="03375BC5"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4" w:history="1">
            <w:r w:rsidR="00D33C2B" w:rsidRPr="00D33C2B">
              <w:rPr>
                <w:rStyle w:val="Hyperlink"/>
                <w:rFonts w:ascii="Times New Roman" w:hAnsi="Times New Roman" w:cs="Times New Roman"/>
                <w:noProof/>
                <w:sz w:val="24"/>
                <w:szCs w:val="24"/>
              </w:rPr>
              <w:t>Innovation Description</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_Toc228371094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5</w:t>
            </w:r>
            <w:r w:rsidR="00D33C2B" w:rsidRPr="00D33C2B">
              <w:rPr>
                <w:rFonts w:ascii="Times New Roman" w:hAnsi="Times New Roman" w:cs="Times New Roman"/>
                <w:noProof/>
                <w:webHidden/>
                <w:sz w:val="24"/>
                <w:szCs w:val="24"/>
              </w:rPr>
              <w:fldChar w:fldCharType="end"/>
            </w:r>
          </w:hyperlink>
        </w:p>
        <w:p w14:paraId="7DC83635"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5" w:history="1">
            <w:r w:rsidR="00D33C2B" w:rsidRPr="00D33C2B">
              <w:rPr>
                <w:rStyle w:val="Hyperlink"/>
                <w:rFonts w:ascii="Times New Roman" w:hAnsi="Times New Roman" w:cs="Times New Roman"/>
                <w:noProof/>
                <w:sz w:val="24"/>
                <w:szCs w:val="24"/>
              </w:rPr>
              <w:t>Impact on Health and Social Care</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_Toc228371095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5</w:t>
            </w:r>
            <w:r w:rsidR="00D33C2B" w:rsidRPr="00D33C2B">
              <w:rPr>
                <w:rFonts w:ascii="Times New Roman" w:hAnsi="Times New Roman" w:cs="Times New Roman"/>
                <w:noProof/>
                <w:webHidden/>
                <w:sz w:val="24"/>
                <w:szCs w:val="24"/>
              </w:rPr>
              <w:fldChar w:fldCharType="end"/>
            </w:r>
          </w:hyperlink>
        </w:p>
        <w:p w14:paraId="04D47E74"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6" w:history="1">
            <w:r w:rsidR="00D33C2B" w:rsidRPr="00D33C2B">
              <w:rPr>
                <w:rStyle w:val="Hyperlink"/>
                <w:rFonts w:ascii="Times New Roman" w:hAnsi="Times New Roman" w:cs="Times New Roman"/>
                <w:noProof/>
                <w:sz w:val="24"/>
                <w:szCs w:val="24"/>
              </w:rPr>
              <w:t>Public and Stakeholder Involvement</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_Toc228371096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6</w:t>
            </w:r>
            <w:r w:rsidR="00D33C2B" w:rsidRPr="00D33C2B">
              <w:rPr>
                <w:rFonts w:ascii="Times New Roman" w:hAnsi="Times New Roman" w:cs="Times New Roman"/>
                <w:noProof/>
                <w:webHidden/>
                <w:sz w:val="24"/>
                <w:szCs w:val="24"/>
              </w:rPr>
              <w:fldChar w:fldCharType="end"/>
            </w:r>
          </w:hyperlink>
        </w:p>
        <w:p w14:paraId="6703E19C"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7" w:history="1">
            <w:r w:rsidR="00D33C2B" w:rsidRPr="00D33C2B">
              <w:rPr>
                <w:rStyle w:val="Hyperlink"/>
                <w:rFonts w:ascii="Times New Roman" w:hAnsi="Times New Roman" w:cs="Times New Roman"/>
                <w:noProof/>
                <w:sz w:val="24"/>
                <w:szCs w:val="24"/>
              </w:rPr>
              <w:t>Policies, Services, and Professional Links</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_Toc228371097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6</w:t>
            </w:r>
            <w:r w:rsidR="00D33C2B" w:rsidRPr="00D33C2B">
              <w:rPr>
                <w:rFonts w:ascii="Times New Roman" w:hAnsi="Times New Roman" w:cs="Times New Roman"/>
                <w:noProof/>
                <w:webHidden/>
                <w:sz w:val="24"/>
                <w:szCs w:val="24"/>
              </w:rPr>
              <w:fldChar w:fldCharType="end"/>
            </w:r>
          </w:hyperlink>
        </w:p>
        <w:p w14:paraId="1AF303BA"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8" w:history="1">
            <w:r w:rsidR="00D33C2B" w:rsidRPr="00D33C2B">
              <w:rPr>
                <w:rStyle w:val="Hyperlink"/>
                <w:rFonts w:ascii="Times New Roman" w:hAnsi="Times New Roman" w:cs="Times New Roman"/>
                <w:noProof/>
                <w:sz w:val="24"/>
                <w:szCs w:val="24"/>
              </w:rPr>
              <w:t>Conclusion</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_Toc228371098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7</w:t>
            </w:r>
            <w:r w:rsidR="00D33C2B" w:rsidRPr="00D33C2B">
              <w:rPr>
                <w:rFonts w:ascii="Times New Roman" w:hAnsi="Times New Roman" w:cs="Times New Roman"/>
                <w:noProof/>
                <w:webHidden/>
                <w:sz w:val="24"/>
                <w:szCs w:val="24"/>
              </w:rPr>
              <w:fldChar w:fldCharType="end"/>
            </w:r>
          </w:hyperlink>
        </w:p>
        <w:p w14:paraId="77E2B92E" w14:textId="77777777" w:rsidR="00D33C2B" w:rsidRPr="00D33C2B" w:rsidRDefault="00114095">
          <w:pPr>
            <w:pStyle w:val="TOC2"/>
            <w:tabs>
              <w:tab w:val="right" w:leader="dot" w:pos="9350"/>
            </w:tabs>
            <w:rPr>
              <w:rFonts w:ascii="Times New Roman" w:hAnsi="Times New Roman" w:cs="Times New Roman"/>
              <w:noProof/>
              <w:sz w:val="24"/>
              <w:szCs w:val="24"/>
            </w:rPr>
          </w:pPr>
          <w:hyperlink w:anchor="_Toc228371099" w:history="1">
            <w:r w:rsidR="00D33C2B" w:rsidRPr="00D33C2B">
              <w:rPr>
                <w:rStyle w:val="Hyperlink"/>
                <w:rFonts w:ascii="Times New Roman" w:hAnsi="Times New Roman" w:cs="Times New Roman"/>
                <w:noProof/>
                <w:sz w:val="24"/>
                <w:szCs w:val="24"/>
              </w:rPr>
              <w:t>References:</w:t>
            </w:r>
            <w:r w:rsidR="00D33C2B" w:rsidRPr="00D33C2B">
              <w:rPr>
                <w:rFonts w:ascii="Times New Roman" w:hAnsi="Times New Roman" w:cs="Times New Roman"/>
                <w:noProof/>
                <w:webHidden/>
                <w:sz w:val="24"/>
                <w:szCs w:val="24"/>
              </w:rPr>
              <w:tab/>
            </w:r>
            <w:r w:rsidR="00D33C2B" w:rsidRPr="00D33C2B">
              <w:rPr>
                <w:rFonts w:ascii="Times New Roman" w:hAnsi="Times New Roman" w:cs="Times New Roman"/>
                <w:noProof/>
                <w:webHidden/>
                <w:sz w:val="24"/>
                <w:szCs w:val="24"/>
              </w:rPr>
              <w:fldChar w:fldCharType="begin"/>
            </w:r>
            <w:r w:rsidR="00D33C2B" w:rsidRPr="00D33C2B">
              <w:rPr>
                <w:rFonts w:ascii="Times New Roman" w:hAnsi="Times New Roman" w:cs="Times New Roman"/>
                <w:noProof/>
                <w:webHidden/>
                <w:sz w:val="24"/>
                <w:szCs w:val="24"/>
              </w:rPr>
              <w:instrText xml:space="preserve"> PAGEREF _Toc228371099 \h </w:instrText>
            </w:r>
            <w:r w:rsidR="00D33C2B" w:rsidRPr="00D33C2B">
              <w:rPr>
                <w:rFonts w:ascii="Times New Roman" w:hAnsi="Times New Roman" w:cs="Times New Roman"/>
                <w:noProof/>
                <w:webHidden/>
                <w:sz w:val="24"/>
                <w:szCs w:val="24"/>
              </w:rPr>
            </w:r>
            <w:r w:rsidR="00D33C2B" w:rsidRPr="00D33C2B">
              <w:rPr>
                <w:rFonts w:ascii="Times New Roman" w:hAnsi="Times New Roman" w:cs="Times New Roman"/>
                <w:noProof/>
                <w:webHidden/>
                <w:sz w:val="24"/>
                <w:szCs w:val="24"/>
              </w:rPr>
              <w:fldChar w:fldCharType="separate"/>
            </w:r>
            <w:r w:rsidR="00D33C2B" w:rsidRPr="00D33C2B">
              <w:rPr>
                <w:rFonts w:ascii="Times New Roman" w:hAnsi="Times New Roman" w:cs="Times New Roman"/>
                <w:noProof/>
                <w:webHidden/>
                <w:sz w:val="24"/>
                <w:szCs w:val="24"/>
              </w:rPr>
              <w:t>8</w:t>
            </w:r>
            <w:r w:rsidR="00D33C2B" w:rsidRPr="00D33C2B">
              <w:rPr>
                <w:rFonts w:ascii="Times New Roman" w:hAnsi="Times New Roman" w:cs="Times New Roman"/>
                <w:noProof/>
                <w:webHidden/>
                <w:sz w:val="24"/>
                <w:szCs w:val="24"/>
              </w:rPr>
              <w:fldChar w:fldCharType="end"/>
            </w:r>
          </w:hyperlink>
        </w:p>
        <w:p w14:paraId="4FE705E8" w14:textId="77777777" w:rsidR="00D33C2B" w:rsidRPr="00D33C2B" w:rsidRDefault="00D33C2B">
          <w:pPr>
            <w:rPr>
              <w:rFonts w:ascii="Times New Roman" w:hAnsi="Times New Roman" w:cs="Times New Roman"/>
              <w:sz w:val="24"/>
              <w:szCs w:val="24"/>
            </w:rPr>
          </w:pPr>
          <w:r w:rsidRPr="00D33C2B">
            <w:rPr>
              <w:rFonts w:ascii="Times New Roman" w:hAnsi="Times New Roman" w:cs="Times New Roman"/>
              <w:b/>
              <w:bCs/>
              <w:noProof/>
              <w:sz w:val="24"/>
              <w:szCs w:val="24"/>
            </w:rPr>
            <w:fldChar w:fldCharType="end"/>
          </w:r>
        </w:p>
      </w:sdtContent>
    </w:sdt>
    <w:p w14:paraId="6CDA7A35" w14:textId="77777777" w:rsidR="00D33C2B" w:rsidRDefault="00D33C2B">
      <w:pPr>
        <w:rPr>
          <w:rFonts w:ascii="Times New Roman" w:hAnsi="Times New Roman"/>
          <w:b/>
          <w:sz w:val="28"/>
          <w:szCs w:val="40"/>
        </w:rPr>
      </w:pPr>
      <w:r>
        <w:br w:type="page"/>
      </w:r>
    </w:p>
    <w:p w14:paraId="148F36CC" w14:textId="77777777" w:rsidR="00D31037" w:rsidRDefault="00D31037" w:rsidP="00D31037">
      <w:pPr>
        <w:pStyle w:val="Heading1"/>
      </w:pPr>
      <w:bookmarkStart w:id="0" w:name="_Toc228371090"/>
      <w:r>
        <w:lastRenderedPageBreak/>
        <w:t>Poster</w:t>
      </w:r>
      <w:bookmarkEnd w:id="0"/>
    </w:p>
    <w:p w14:paraId="5535E72E" w14:textId="77777777" w:rsidR="00D31037" w:rsidRDefault="00D31037">
      <w:pPr>
        <w:spacing w:line="360" w:lineRule="auto"/>
        <w:jc w:val="both"/>
        <w:rPr>
          <w:rFonts w:ascii="Times New Roman" w:eastAsia="Times New Roman" w:hAnsi="Times New Roman" w:cs="Times New Roman"/>
          <w:sz w:val="24"/>
          <w:szCs w:val="24"/>
        </w:rPr>
      </w:pPr>
    </w:p>
    <w:p w14:paraId="0FF2BCF6" w14:textId="77777777" w:rsidR="00050D66" w:rsidRDefault="00D31037">
      <w:pPr>
        <w:spacing w:line="360" w:lineRule="auto"/>
        <w:jc w:val="both"/>
        <w:rPr>
          <w:rFonts w:ascii="Times New Roman" w:eastAsia="Times New Roman" w:hAnsi="Times New Roman" w:cs="Times New Roman"/>
          <w:sz w:val="24"/>
          <w:szCs w:val="24"/>
        </w:rPr>
      </w:pPr>
      <w:r w:rsidRPr="00D31037">
        <w:rPr>
          <w:rFonts w:ascii="Times New Roman" w:eastAsia="Times New Roman" w:hAnsi="Times New Roman" w:cs="Times New Roman"/>
          <w:noProof/>
          <w:sz w:val="24"/>
          <w:szCs w:val="24"/>
          <w:lang w:val="en-GB"/>
        </w:rPr>
        <w:drawing>
          <wp:inline distT="0" distB="0" distL="0" distR="0" wp14:anchorId="0675D64D" wp14:editId="71AAFD65">
            <wp:extent cx="5943600" cy="3343275"/>
            <wp:effectExtent l="0" t="0" r="0" b="9525"/>
            <wp:docPr id="1" name="Picture 1" descr="C:\Users\Hp\Downloads\Fwd Assignment ID is GAEVIT280426A13 (BMHP5014 CW2 Report 2000 words)\Screenshot (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Fwd Assignment ID is GAEVIT280426A13 (BMHP5014 CW2 Report 2000 words)\Screenshot (20).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E47D666" w14:textId="77777777" w:rsidR="00050D66" w:rsidRDefault="00050D66">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54F8E743" w14:textId="77777777" w:rsidR="00D31037" w:rsidRDefault="00D31037" w:rsidP="00D31037">
      <w:pPr>
        <w:pStyle w:val="Heading1"/>
      </w:pPr>
      <w:bookmarkStart w:id="1" w:name="_Toc228371091"/>
      <w:r>
        <w:lastRenderedPageBreak/>
        <w:t>Pitch</w:t>
      </w:r>
      <w:bookmarkEnd w:id="1"/>
    </w:p>
    <w:p w14:paraId="6BCCD7DE" w14:textId="77777777" w:rsidR="00B536AD" w:rsidRPr="00D31037" w:rsidRDefault="001B58F5" w:rsidP="00D31037">
      <w:pPr>
        <w:pStyle w:val="Heading2"/>
      </w:pPr>
      <w:bookmarkStart w:id="2" w:name="_Toc228371092"/>
      <w:r w:rsidRPr="00D31037">
        <w:t>Introduction</w:t>
      </w:r>
      <w:bookmarkEnd w:id="2"/>
    </w:p>
    <w:p w14:paraId="2C825A6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Frontline Care Workers Training: Virtual Reality (VR).</w:t>
      </w:r>
    </w:p>
    <w:p w14:paraId="1FD22976"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Problem: Burnout and emotional exhaustion among frontline care workers grow rapidly in the UK, and the complaints are not treated with adequate mental health care. Problems like high stress levels in high-pressure environments of caregiving, leading to high turnover and low quality of care (NHS, 2023).</w:t>
      </w:r>
    </w:p>
    <w:p w14:paraId="5C8D4EC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Advantages: VR-based training program: VR-trained training program will prepare the care workers with VR-simulation exercises that will enable them to train emotional resilience and cultivate a mental health state. The positive patient outcomes are associated with improved mental health of sufferers, which, in turn, results in the improvement of the quality of care in medical institutions.</w:t>
      </w:r>
    </w:p>
    <w:p w14:paraId="34135FD7" w14:textId="77777777" w:rsidR="00B536AD" w:rsidRDefault="001B58F5" w:rsidP="00D31037">
      <w:pPr>
        <w:pStyle w:val="Heading2"/>
      </w:pPr>
      <w:bookmarkStart w:id="3" w:name="_Toc228371093"/>
      <w:r>
        <w:t>Background</w:t>
      </w:r>
      <w:bookmarkEnd w:id="3"/>
    </w:p>
    <w:p w14:paraId="66507C24"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frontline providers and, to a greater measure, medical personnel are highly stressed emotionally and mentally. It is said that 60 per cent of the healthcare employees report burnout as the outcome of work-related stress, which is exacerbated by the COVID-19 pandemic (NHS, 2023). Some of the scenarios that care workers encounter after several years of working without taking some time off are traumatic situations, long working hours and emotional strains when taking care of vulnerable patients, which cause chronic stress and burnout. The tension of the mind affects their working satisfaction and the care they provide.</w:t>
      </w:r>
    </w:p>
    <w:p w14:paraId="38B76465"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NHS Long Term Plan (2019)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need to enhance the wellbeing of the whole workforce in a mental way, yet there is no present, specific resource to remedy the issues. The Care Act 2014 also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importance of well-being and support amongst workers in the social care sector, but the programs to provide holistic emotional support or stress management tools are insufficient (GOV.UK 2025).</w:t>
      </w:r>
    </w:p>
    <w:p w14:paraId="6E933F1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support and training approaches are mostly reactive rather than proactive, with emphasis on training based on skills without looking at the emotional stability of the care workers. </w:t>
      </w:r>
      <w:r>
        <w:rPr>
          <w:rFonts w:ascii="Times New Roman" w:eastAsia="Times New Roman" w:hAnsi="Times New Roman" w:cs="Times New Roman"/>
          <w:sz w:val="24"/>
          <w:szCs w:val="24"/>
        </w:rPr>
        <w:lastRenderedPageBreak/>
        <w:t>There might be a need, therefore, to fill this gap with new solutions that offer an interactive paradigm of mental health assistance through Virtual Reality (VR) training.</w:t>
      </w:r>
    </w:p>
    <w:p w14:paraId="21E78137" w14:textId="77777777" w:rsidR="00B536AD" w:rsidRDefault="001B58F5" w:rsidP="00D31037">
      <w:pPr>
        <w:pStyle w:val="Heading2"/>
      </w:pPr>
      <w:bookmarkStart w:id="4" w:name="_Toc228371094"/>
      <w:r>
        <w:t>Innovation Description</w:t>
      </w:r>
      <w:bookmarkEnd w:id="4"/>
    </w:p>
    <w:p w14:paraId="4954CF35"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Reality (VR) Frontline Care Workers is a relatively new approach to managing emotional stress by having the participants exposed to an integrated virtual environment that simulates their interaction with real-life scenarios. The VR program will provide workers with on-the-job, in-the-field experiences, on which they will be able to train such critical skills as stress management, emotional resilience building, and empathy. With VR headsets, users get to experience virtual environments that re-create challenging scenarios in caregiving. Such settings can also assist them in navigating and exercising emotional regulation and decision-making and even simulate real-life scenarios by engaging with virtual patients or simulations that mimic real-life difficulties (Buchanan et al. 2022).</w:t>
      </w:r>
    </w:p>
    <w:p w14:paraId="559DEEE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innovation is unique in the fact that it can reproduce life stressors of emotion, under a risk free surround. Care workers get to learn how to cope with tough situations, such as loss of a patient, emergencies of high pressure and aggressive patients, and how to cope using coping methods to stay sane. This technique makes repetition practice possible by enhancing learning and confidence.</w:t>
      </w:r>
    </w:p>
    <w:p w14:paraId="26E22AA5"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VR enables experiential learning, which is more effective in </w:t>
      </w:r>
      <w:proofErr w:type="spellStart"/>
      <w:r>
        <w:rPr>
          <w:rFonts w:ascii="Times New Roman" w:eastAsia="Times New Roman" w:hAnsi="Times New Roman" w:cs="Times New Roman"/>
          <w:sz w:val="24"/>
          <w:szCs w:val="24"/>
        </w:rPr>
        <w:t>memorising</w:t>
      </w:r>
      <w:proofErr w:type="spellEnd"/>
      <w:r>
        <w:rPr>
          <w:rFonts w:ascii="Times New Roman" w:eastAsia="Times New Roman" w:hAnsi="Times New Roman" w:cs="Times New Roman"/>
          <w:sz w:val="24"/>
          <w:szCs w:val="24"/>
        </w:rPr>
        <w:t xml:space="preserve"> and altering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compared to conventional training methods. The abilities that the care workers learn as they approach the training are abilities that will enable them to cope with stress and burnout, and with time, will be better as a result of the training in terms of efficiency of administering compassionate care.</w:t>
      </w:r>
    </w:p>
    <w:p w14:paraId="4D8ACDEA" w14:textId="77777777" w:rsidR="00B536AD" w:rsidRDefault="001B58F5" w:rsidP="00D31037">
      <w:pPr>
        <w:pStyle w:val="Heading2"/>
      </w:pPr>
      <w:bookmarkStart w:id="5" w:name="_Toc228371095"/>
      <w:r>
        <w:t>Impact on Health and Social Care</w:t>
      </w:r>
      <w:bookmarkEnd w:id="5"/>
    </w:p>
    <w:p w14:paraId="610A58E8"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immediate beneficiaries of the VR training program will be the frontline care workers who will be more resilient toward these emotions and be more effective in dealing with stress. The study proves that immersive technologies, such as VR, can reduce the level of stress significantly as they assist in providing a safe environment in which employees can experience stress-increasing situations in a safe environment and be capable of coping with them (Jiang, 2023). It will lead to a reduced rate of burnout, increase job satisfaction and a reduction in absenteeism that will ultimately lead to a healthier workforce.</w:t>
      </w:r>
    </w:p>
    <w:p w14:paraId="6501A06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Besides, it will enhance the quality of care as the workers will be in a better emotional condition, which, in its turn, will have a positive impact on the patients. The researchers have demonstrated that the more emotional workers of the care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provide more empathetic and effective care as they can cope with the problematic situations (Care Quality Commission, 2024).</w:t>
      </w:r>
    </w:p>
    <w:p w14:paraId="0A72C338"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connection the program has with the common good is that the program aims to make a more supportive, sustainable health care environment. The solution increases fairness when the care workers, regardless of their backgrounds, receive the training so that the workers with other backgrounds would receive the same resources and assistance.</w:t>
      </w:r>
    </w:p>
    <w:p w14:paraId="6FB7F93B" w14:textId="77777777" w:rsidR="00B536AD" w:rsidRDefault="001B58F5" w:rsidP="00D31037">
      <w:pPr>
        <w:pStyle w:val="Heading2"/>
      </w:pPr>
      <w:bookmarkStart w:id="6" w:name="_Toc228371096"/>
      <w:r>
        <w:t>Public and Stakeholder Involvement</w:t>
      </w:r>
      <w:bookmarkEnd w:id="6"/>
    </w:p>
    <w:p w14:paraId="7FE14DFB"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be a new process, which will involve the key stakeholders: the healthcare professionals, administrators and the patients via the co-production process. The training scenarios will also be more realistic in involving the stakeholders in the developmental stage. The healthcare providers will also be critical in the implementation of the program in the NHS facilities, as well as in the privately operated homes (NHS Employers, 2023).</w:t>
      </w:r>
    </w:p>
    <w:p w14:paraId="017998A3"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increased engagement of the population will be decisive in the dissemination of the innovation. The advocacy work will be carried out with the help of webinars and stakeholder briefings in which the </w:t>
      </w:r>
      <w:proofErr w:type="spellStart"/>
      <w:r>
        <w:rPr>
          <w:rFonts w:ascii="Times New Roman" w:eastAsia="Times New Roman" w:hAnsi="Times New Roman" w:cs="Times New Roman"/>
          <w:sz w:val="24"/>
          <w:szCs w:val="24"/>
        </w:rPr>
        <w:t>OneCard</w:t>
      </w:r>
      <w:proofErr w:type="spellEnd"/>
      <w:r>
        <w:rPr>
          <w:rFonts w:ascii="Times New Roman" w:eastAsia="Times New Roman" w:hAnsi="Times New Roman" w:cs="Times New Roman"/>
          <w:sz w:val="24"/>
          <w:szCs w:val="24"/>
        </w:rPr>
        <w:t xml:space="preserve"> will convince healthcare experts, policy makers, and community leaders to accept VR training as a usual component of professional formation. The awareness will also be created with the help of social media campaigns.</w:t>
      </w:r>
    </w:p>
    <w:p w14:paraId="30E161D5" w14:textId="77777777" w:rsidR="00B536AD" w:rsidRDefault="001B58F5" w:rsidP="00D31037">
      <w:pPr>
        <w:pStyle w:val="Heading2"/>
      </w:pPr>
      <w:bookmarkStart w:id="7" w:name="_Toc228371097"/>
      <w:r>
        <w:t>Policies, Services, and Professional Links</w:t>
      </w:r>
      <w:bookmarkEnd w:id="7"/>
    </w:p>
    <w:p w14:paraId="5173003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VR training is aligned with several policies concerning care workers' welfare, that is, the Care Act 2014, that emphasizes the necessity to support and build the social care workforce. It is also aligned with the NHS Long Term Plan as it provides a proactive approach to addressing workforce challenges, particularly in the domain of mental illness (NICE, 2022).</w:t>
      </w:r>
    </w:p>
    <w:p w14:paraId="43DB5F02"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innovation integrates into the existing services, i.e. NHS professional development programs, social care teams and voluntary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It also adheres to professional regulations, such as the Nursing and Midwifery Council (NMC) and Health and Care Professions Council (HCPC), of encouraging the mental wellness and continuous professional development of care professionals.</w:t>
      </w:r>
    </w:p>
    <w:p w14:paraId="51D8B3FB" w14:textId="77777777" w:rsidR="00B536AD" w:rsidRDefault="001B58F5" w:rsidP="00D31037">
      <w:pPr>
        <w:pStyle w:val="Heading2"/>
      </w:pPr>
      <w:bookmarkStart w:id="8" w:name="_Toc228371098"/>
      <w:r>
        <w:lastRenderedPageBreak/>
        <w:t>Conclusion</w:t>
      </w:r>
      <w:bookmarkEnd w:id="8"/>
    </w:p>
    <w:p w14:paraId="017D7F60" w14:textId="77777777" w:rsidR="00B536AD" w:rsidRDefault="001B58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VR training program becomes a crucial advancement in the problem of mental health of frontline care workers. The program will further positively impact the quality of patient care by encouraging emotional resilience and stress management skills among the workers to enhance worker well-being. This ensures that there is a long-term positive impact since it is applied practically and scaled.</w:t>
      </w:r>
      <w:r>
        <w:br w:type="page"/>
      </w:r>
    </w:p>
    <w:p w14:paraId="468C3B86" w14:textId="77777777" w:rsidR="00B536AD" w:rsidRDefault="001B58F5" w:rsidP="00D31037">
      <w:pPr>
        <w:pStyle w:val="Heading2"/>
        <w:rPr>
          <w:sz w:val="24"/>
          <w:szCs w:val="24"/>
        </w:rPr>
      </w:pPr>
      <w:bookmarkStart w:id="9" w:name="_Toc228371099"/>
      <w:r>
        <w:lastRenderedPageBreak/>
        <w:t>References:</w:t>
      </w:r>
      <w:bookmarkEnd w:id="9"/>
    </w:p>
    <w:p w14:paraId="0CD45F9F"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Buchanan, A., Lee, S., &amp; Hall, T., (2022). The role of emotional resilience in frontline care work: implications for practice. </w:t>
      </w:r>
      <w:r w:rsidRPr="003420A0">
        <w:rPr>
          <w:rFonts w:ascii="Times New Roman" w:eastAsia="Times New Roman" w:hAnsi="Times New Roman" w:cs="Times New Roman"/>
          <w:i/>
          <w:iCs/>
          <w:sz w:val="24"/>
          <w:szCs w:val="24"/>
        </w:rPr>
        <w:t>Journal of Health Psychology</w:t>
      </w:r>
      <w:r w:rsidRPr="003420A0">
        <w:rPr>
          <w:rFonts w:ascii="Times New Roman" w:eastAsia="Times New Roman" w:hAnsi="Times New Roman" w:cs="Times New Roman"/>
          <w:sz w:val="24"/>
          <w:szCs w:val="24"/>
        </w:rPr>
        <w:t xml:space="preserve">, 27(4), 520-533. Available at: </w:t>
      </w:r>
      <w:hyperlink r:id="rId9">
        <w:r w:rsidRPr="003420A0">
          <w:rPr>
            <w:rFonts w:ascii="Times New Roman" w:eastAsia="Times New Roman" w:hAnsi="Times New Roman" w:cs="Times New Roman"/>
            <w:color w:val="1155CC"/>
            <w:sz w:val="24"/>
            <w:szCs w:val="24"/>
            <w:u w:val="single"/>
          </w:rPr>
          <w:t>https://journals.sagepub.com/doi/10.1177/02729879221101867</w:t>
        </w:r>
      </w:hyperlink>
      <w:r w:rsidRPr="003420A0">
        <w:rPr>
          <w:rFonts w:ascii="Times New Roman" w:eastAsia="Times New Roman" w:hAnsi="Times New Roman" w:cs="Times New Roman"/>
          <w:sz w:val="24"/>
          <w:szCs w:val="24"/>
        </w:rPr>
        <w:t xml:space="preserve">  [Accessed 29 April 2026].</w:t>
      </w:r>
    </w:p>
    <w:p w14:paraId="4A6510D5"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Care Quality Commission (CQC), (2024). </w:t>
      </w:r>
      <w:r w:rsidRPr="003420A0">
        <w:rPr>
          <w:rFonts w:ascii="Times New Roman" w:eastAsia="Times New Roman" w:hAnsi="Times New Roman" w:cs="Times New Roman"/>
          <w:i/>
          <w:iCs/>
          <w:sz w:val="24"/>
          <w:szCs w:val="24"/>
        </w:rPr>
        <w:t>Care Workforce Training and Standards</w:t>
      </w:r>
      <w:r w:rsidRPr="003420A0">
        <w:rPr>
          <w:rFonts w:ascii="Times New Roman" w:eastAsia="Times New Roman" w:hAnsi="Times New Roman" w:cs="Times New Roman"/>
          <w:sz w:val="24"/>
          <w:szCs w:val="24"/>
        </w:rPr>
        <w:t xml:space="preserve">. Available at: </w:t>
      </w:r>
      <w:hyperlink r:id="rId10">
        <w:r w:rsidRPr="003420A0">
          <w:rPr>
            <w:rFonts w:ascii="Times New Roman" w:eastAsia="Times New Roman" w:hAnsi="Times New Roman" w:cs="Times New Roman"/>
            <w:color w:val="1155CC"/>
            <w:sz w:val="24"/>
            <w:szCs w:val="24"/>
            <w:u w:val="single"/>
          </w:rPr>
          <w:t>https://www.cqc.org.uk/workforce-training</w:t>
        </w:r>
      </w:hyperlink>
      <w:r w:rsidRPr="003420A0">
        <w:rPr>
          <w:rFonts w:ascii="Times New Roman" w:eastAsia="Times New Roman" w:hAnsi="Times New Roman" w:cs="Times New Roman"/>
          <w:sz w:val="24"/>
          <w:szCs w:val="24"/>
        </w:rPr>
        <w:t xml:space="preserve">  [Accessed 29 April 2026].</w:t>
      </w:r>
    </w:p>
    <w:p w14:paraId="22438C74"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GOV.UK (2025) </w:t>
      </w:r>
      <w:r w:rsidRPr="003420A0">
        <w:rPr>
          <w:rFonts w:ascii="Times New Roman" w:eastAsia="Times New Roman" w:hAnsi="Times New Roman" w:cs="Times New Roman"/>
          <w:i/>
          <w:iCs/>
          <w:sz w:val="24"/>
          <w:szCs w:val="24"/>
        </w:rPr>
        <w:t>Care act factsheets</w:t>
      </w:r>
      <w:r w:rsidRPr="003420A0">
        <w:rPr>
          <w:rFonts w:ascii="Times New Roman" w:eastAsia="Times New Roman" w:hAnsi="Times New Roman" w:cs="Times New Roman"/>
          <w:sz w:val="24"/>
          <w:szCs w:val="24"/>
        </w:rPr>
        <w:t xml:space="preserve">, </w:t>
      </w:r>
      <w:r w:rsidRPr="003420A0">
        <w:rPr>
          <w:rFonts w:ascii="Times New Roman" w:eastAsia="Times New Roman" w:hAnsi="Times New Roman" w:cs="Times New Roman"/>
          <w:i/>
          <w:iCs/>
          <w:sz w:val="24"/>
          <w:szCs w:val="24"/>
        </w:rPr>
        <w:t>GOV.UK</w:t>
      </w:r>
      <w:r w:rsidRPr="003420A0">
        <w:rPr>
          <w:rFonts w:ascii="Times New Roman" w:eastAsia="Times New Roman" w:hAnsi="Times New Roman" w:cs="Times New Roman"/>
          <w:sz w:val="24"/>
          <w:szCs w:val="24"/>
        </w:rPr>
        <w:t xml:space="preserve">. Available at: </w:t>
      </w:r>
      <w:hyperlink r:id="rId11">
        <w:r w:rsidRPr="003420A0">
          <w:rPr>
            <w:rFonts w:ascii="Times New Roman" w:eastAsia="Times New Roman" w:hAnsi="Times New Roman" w:cs="Times New Roman"/>
            <w:color w:val="1155CC"/>
            <w:sz w:val="24"/>
            <w:szCs w:val="24"/>
            <w:u w:val="single"/>
          </w:rPr>
          <w:t>https://www.gov.uk/government/publications/care-act-2014-part-1-factsheets/care-act-factsheets</w:t>
        </w:r>
      </w:hyperlink>
      <w:r w:rsidRPr="003420A0">
        <w:rPr>
          <w:rFonts w:ascii="Times New Roman" w:eastAsia="Times New Roman" w:hAnsi="Times New Roman" w:cs="Times New Roman"/>
          <w:sz w:val="24"/>
          <w:szCs w:val="24"/>
        </w:rPr>
        <w:t xml:space="preserve">  (Accessed: 29 April 2026).</w:t>
      </w:r>
    </w:p>
    <w:p w14:paraId="14700626"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Jiang, W., (2023). Exploring the impact of VR-based stress reduction programs on healthcare workers. </w:t>
      </w:r>
      <w:r w:rsidRPr="003420A0">
        <w:rPr>
          <w:rFonts w:ascii="Times New Roman" w:eastAsia="Times New Roman" w:hAnsi="Times New Roman" w:cs="Times New Roman"/>
          <w:i/>
          <w:iCs/>
          <w:sz w:val="24"/>
          <w:szCs w:val="24"/>
        </w:rPr>
        <w:t>Healthcare Psychology Review</w:t>
      </w:r>
      <w:r w:rsidRPr="003420A0">
        <w:rPr>
          <w:rFonts w:ascii="Times New Roman" w:eastAsia="Times New Roman" w:hAnsi="Times New Roman" w:cs="Times New Roman"/>
          <w:sz w:val="24"/>
          <w:szCs w:val="24"/>
        </w:rPr>
        <w:t xml:space="preserve">, 21(1), 35-50. Available at: </w:t>
      </w:r>
      <w:hyperlink r:id="rId12">
        <w:r w:rsidRPr="003420A0">
          <w:rPr>
            <w:rFonts w:ascii="Times New Roman" w:eastAsia="Times New Roman" w:hAnsi="Times New Roman" w:cs="Times New Roman"/>
            <w:color w:val="1155CC"/>
            <w:sz w:val="24"/>
            <w:szCs w:val="24"/>
            <w:u w:val="single"/>
          </w:rPr>
          <w:t>https://www.healthcarepsychreview.com/vr-stress-reduction</w:t>
        </w:r>
      </w:hyperlink>
      <w:r w:rsidRPr="003420A0">
        <w:rPr>
          <w:rFonts w:ascii="Times New Roman" w:eastAsia="Times New Roman" w:hAnsi="Times New Roman" w:cs="Times New Roman"/>
          <w:sz w:val="24"/>
          <w:szCs w:val="24"/>
        </w:rPr>
        <w:t xml:space="preserve">  [Accessed 29 April 2026].</w:t>
      </w:r>
    </w:p>
    <w:p w14:paraId="28A8A8A3"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NHS Employers, (2023). </w:t>
      </w:r>
      <w:r w:rsidRPr="003420A0">
        <w:rPr>
          <w:rFonts w:ascii="Times New Roman" w:eastAsia="Times New Roman" w:hAnsi="Times New Roman" w:cs="Times New Roman"/>
          <w:i/>
          <w:iCs/>
          <w:sz w:val="24"/>
          <w:szCs w:val="24"/>
        </w:rPr>
        <w:t>Mental Health Support for NHS Staff: Current Challenges and Future Directions</w:t>
      </w:r>
      <w:r w:rsidRPr="003420A0">
        <w:rPr>
          <w:rFonts w:ascii="Times New Roman" w:eastAsia="Times New Roman" w:hAnsi="Times New Roman" w:cs="Times New Roman"/>
          <w:sz w:val="24"/>
          <w:szCs w:val="24"/>
        </w:rPr>
        <w:t xml:space="preserve">. Available at: </w:t>
      </w:r>
      <w:hyperlink r:id="rId13">
        <w:r w:rsidRPr="003420A0">
          <w:rPr>
            <w:rFonts w:ascii="Times New Roman" w:eastAsia="Times New Roman" w:hAnsi="Times New Roman" w:cs="Times New Roman"/>
            <w:color w:val="1155CC"/>
            <w:sz w:val="24"/>
            <w:szCs w:val="24"/>
            <w:u w:val="single"/>
          </w:rPr>
          <w:t>https://www.nhsemployers.org/mental-health-support</w:t>
        </w:r>
      </w:hyperlink>
      <w:r w:rsidRPr="003420A0">
        <w:rPr>
          <w:rFonts w:ascii="Times New Roman" w:eastAsia="Times New Roman" w:hAnsi="Times New Roman" w:cs="Times New Roman"/>
          <w:sz w:val="24"/>
          <w:szCs w:val="24"/>
        </w:rPr>
        <w:t xml:space="preserve">  [Accessed 29 April 2026].</w:t>
      </w:r>
    </w:p>
    <w:p w14:paraId="695A3DF8"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NHS, (2023). </w:t>
      </w:r>
      <w:r w:rsidRPr="003420A0">
        <w:rPr>
          <w:rFonts w:ascii="Times New Roman" w:eastAsia="Times New Roman" w:hAnsi="Times New Roman" w:cs="Times New Roman"/>
          <w:i/>
          <w:iCs/>
          <w:sz w:val="24"/>
          <w:szCs w:val="24"/>
        </w:rPr>
        <w:t>NHS Staff Mental Health and Wellbeing Report</w:t>
      </w:r>
      <w:r w:rsidRPr="003420A0">
        <w:rPr>
          <w:rFonts w:ascii="Times New Roman" w:eastAsia="Times New Roman" w:hAnsi="Times New Roman" w:cs="Times New Roman"/>
          <w:sz w:val="24"/>
          <w:szCs w:val="24"/>
        </w:rPr>
        <w:t xml:space="preserve">. Available at: </w:t>
      </w:r>
      <w:hyperlink r:id="rId14">
        <w:r w:rsidRPr="003420A0">
          <w:rPr>
            <w:rFonts w:ascii="Times New Roman" w:eastAsia="Times New Roman" w:hAnsi="Times New Roman" w:cs="Times New Roman"/>
            <w:color w:val="1155CC"/>
            <w:sz w:val="24"/>
            <w:szCs w:val="24"/>
            <w:u w:val="single"/>
          </w:rPr>
          <w:t>https://www.nhs.uk/staff-mental-health-report</w:t>
        </w:r>
      </w:hyperlink>
      <w:r w:rsidRPr="003420A0">
        <w:rPr>
          <w:rFonts w:ascii="Times New Roman" w:eastAsia="Times New Roman" w:hAnsi="Times New Roman" w:cs="Times New Roman"/>
          <w:sz w:val="24"/>
          <w:szCs w:val="24"/>
        </w:rPr>
        <w:t xml:space="preserve">  [Accessed 29 April 2026].</w:t>
      </w:r>
    </w:p>
    <w:p w14:paraId="46083B3E" w14:textId="77777777" w:rsidR="00D31037" w:rsidRPr="003420A0" w:rsidRDefault="00D31037">
      <w:pPr>
        <w:spacing w:line="360" w:lineRule="auto"/>
        <w:jc w:val="both"/>
        <w:rPr>
          <w:rFonts w:ascii="Times New Roman" w:eastAsia="Times New Roman" w:hAnsi="Times New Roman" w:cs="Times New Roman"/>
          <w:sz w:val="24"/>
          <w:szCs w:val="24"/>
        </w:rPr>
      </w:pPr>
      <w:r w:rsidRPr="003420A0">
        <w:rPr>
          <w:rFonts w:ascii="Times New Roman" w:eastAsia="Times New Roman" w:hAnsi="Times New Roman" w:cs="Times New Roman"/>
          <w:sz w:val="24"/>
          <w:szCs w:val="24"/>
        </w:rPr>
        <w:t xml:space="preserve">NICE, (2022). </w:t>
      </w:r>
      <w:r w:rsidRPr="003420A0">
        <w:rPr>
          <w:rFonts w:ascii="Times New Roman" w:eastAsia="Times New Roman" w:hAnsi="Times New Roman" w:cs="Times New Roman"/>
          <w:i/>
          <w:iCs/>
          <w:sz w:val="24"/>
          <w:szCs w:val="24"/>
        </w:rPr>
        <w:t>Workforce Wellbeing: Mental Health and Support in Care Settings</w:t>
      </w:r>
      <w:r w:rsidRPr="003420A0">
        <w:rPr>
          <w:rFonts w:ascii="Times New Roman" w:eastAsia="Times New Roman" w:hAnsi="Times New Roman" w:cs="Times New Roman"/>
          <w:sz w:val="24"/>
          <w:szCs w:val="24"/>
        </w:rPr>
        <w:t xml:space="preserve">. Available at: </w:t>
      </w:r>
      <w:hyperlink r:id="rId15">
        <w:r w:rsidRPr="003420A0">
          <w:rPr>
            <w:rFonts w:ascii="Times New Roman" w:eastAsia="Times New Roman" w:hAnsi="Times New Roman" w:cs="Times New Roman"/>
            <w:color w:val="1155CC"/>
            <w:sz w:val="24"/>
            <w:szCs w:val="24"/>
            <w:u w:val="single"/>
          </w:rPr>
          <w:t>https://www.nice.org.uk/guidance/mental-health-workforce</w:t>
        </w:r>
      </w:hyperlink>
      <w:r w:rsidRPr="003420A0">
        <w:rPr>
          <w:rFonts w:ascii="Times New Roman" w:eastAsia="Times New Roman" w:hAnsi="Times New Roman" w:cs="Times New Roman"/>
          <w:sz w:val="24"/>
          <w:szCs w:val="24"/>
        </w:rPr>
        <w:t xml:space="preserve">  [Accessed 29 April 2026].</w:t>
      </w:r>
    </w:p>
    <w:p w14:paraId="44D5A5CB" w14:textId="77777777" w:rsidR="00B536AD" w:rsidRDefault="00B536AD">
      <w:pPr>
        <w:spacing w:line="360" w:lineRule="auto"/>
        <w:jc w:val="both"/>
        <w:rPr>
          <w:rFonts w:ascii="Times New Roman" w:eastAsia="Times New Roman" w:hAnsi="Times New Roman" w:cs="Times New Roman"/>
          <w:sz w:val="24"/>
          <w:szCs w:val="24"/>
        </w:rPr>
      </w:pPr>
    </w:p>
    <w:p w14:paraId="534648A4" w14:textId="77777777" w:rsidR="00B536AD" w:rsidRDefault="00B536AD">
      <w:pPr>
        <w:spacing w:line="360" w:lineRule="auto"/>
        <w:jc w:val="both"/>
        <w:rPr>
          <w:rFonts w:ascii="Times New Roman" w:eastAsia="Times New Roman" w:hAnsi="Times New Roman" w:cs="Times New Roman"/>
          <w:sz w:val="24"/>
          <w:szCs w:val="24"/>
        </w:rPr>
      </w:pPr>
    </w:p>
    <w:p w14:paraId="4A5DAAFF" w14:textId="77777777" w:rsidR="00B536AD" w:rsidRDefault="00B536AD">
      <w:pPr>
        <w:spacing w:line="360" w:lineRule="auto"/>
        <w:jc w:val="both"/>
        <w:rPr>
          <w:rFonts w:ascii="Times New Roman" w:eastAsia="Times New Roman" w:hAnsi="Times New Roman" w:cs="Times New Roman"/>
          <w:sz w:val="24"/>
          <w:szCs w:val="24"/>
        </w:rPr>
      </w:pPr>
    </w:p>
    <w:sectPr w:rsidR="00B536AD" w:rsidSect="00D33C2B">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B4497" w14:textId="77777777" w:rsidR="00114095" w:rsidRDefault="00114095" w:rsidP="00D33C2B">
      <w:pPr>
        <w:spacing w:line="240" w:lineRule="auto"/>
      </w:pPr>
      <w:r>
        <w:separator/>
      </w:r>
    </w:p>
  </w:endnote>
  <w:endnote w:type="continuationSeparator" w:id="0">
    <w:p w14:paraId="1C7E28CA" w14:textId="77777777" w:rsidR="00114095" w:rsidRDefault="00114095" w:rsidP="00D33C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078ED5-D6E6-4E56-961E-E677861CBA96}"/>
  </w:font>
  <w:font w:name="Cambria">
    <w:panose1 w:val="02040503050406030204"/>
    <w:charset w:val="00"/>
    <w:family w:val="roman"/>
    <w:pitch w:val="variable"/>
    <w:sig w:usb0="E00006FF" w:usb1="420024FF" w:usb2="02000000" w:usb3="00000000" w:csb0="0000019F" w:csb1="00000000"/>
    <w:embedRegular r:id="rId2" w:fontKey="{AAE8DE14-2180-4B81-BADB-73B6BF2EC1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692394"/>
      <w:docPartObj>
        <w:docPartGallery w:val="Page Numbers (Bottom of Page)"/>
        <w:docPartUnique/>
      </w:docPartObj>
    </w:sdtPr>
    <w:sdtEndPr>
      <w:rPr>
        <w:noProof/>
      </w:rPr>
    </w:sdtEndPr>
    <w:sdtContent>
      <w:p w14:paraId="5770E7EE" w14:textId="77777777" w:rsidR="00D33C2B" w:rsidRDefault="00D33C2B">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217E73F3" w14:textId="77777777" w:rsidR="00D33C2B" w:rsidRDefault="00D33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12C6D" w14:textId="77777777" w:rsidR="00114095" w:rsidRDefault="00114095" w:rsidP="00D33C2B">
      <w:pPr>
        <w:spacing w:line="240" w:lineRule="auto"/>
      </w:pPr>
      <w:r>
        <w:separator/>
      </w:r>
    </w:p>
  </w:footnote>
  <w:footnote w:type="continuationSeparator" w:id="0">
    <w:p w14:paraId="4DC6597D" w14:textId="77777777" w:rsidR="00114095" w:rsidRDefault="00114095" w:rsidP="00D33C2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rQ0sjA0NjC1MDIzN7FQ0lEKTi0uzszPAykwqgUA5o1BsywAAAA="/>
  </w:docVars>
  <w:rsids>
    <w:rsidRoot w:val="00B536AD"/>
    <w:rsid w:val="00050D66"/>
    <w:rsid w:val="00114095"/>
    <w:rsid w:val="001B58F5"/>
    <w:rsid w:val="00266CDD"/>
    <w:rsid w:val="002872DC"/>
    <w:rsid w:val="003420A0"/>
    <w:rsid w:val="003523C2"/>
    <w:rsid w:val="0038188E"/>
    <w:rsid w:val="00713B85"/>
    <w:rsid w:val="00B43453"/>
    <w:rsid w:val="00B536AD"/>
    <w:rsid w:val="00D31037"/>
    <w:rsid w:val="00D33C2B"/>
    <w:rsid w:val="00D70C2C"/>
    <w:rsid w:val="00DE0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5775F"/>
  <w15:docId w15:val="{91A12B90-DADC-453D-BAE5-8853613CD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D3103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qFormat/>
    <w:rsid w:val="00D31037"/>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D33C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3C2B"/>
    <w:pPr>
      <w:spacing w:after="100"/>
    </w:pPr>
  </w:style>
  <w:style w:type="paragraph" w:styleId="TOC2">
    <w:name w:val="toc 2"/>
    <w:basedOn w:val="Normal"/>
    <w:next w:val="Normal"/>
    <w:autoRedefine/>
    <w:uiPriority w:val="39"/>
    <w:unhideWhenUsed/>
    <w:rsid w:val="00D33C2B"/>
    <w:pPr>
      <w:spacing w:after="100"/>
      <w:ind w:left="220"/>
    </w:pPr>
  </w:style>
  <w:style w:type="character" w:styleId="Hyperlink">
    <w:name w:val="Hyperlink"/>
    <w:basedOn w:val="DefaultParagraphFont"/>
    <w:uiPriority w:val="99"/>
    <w:unhideWhenUsed/>
    <w:rsid w:val="00D33C2B"/>
    <w:rPr>
      <w:color w:val="0000FF" w:themeColor="hyperlink"/>
      <w:u w:val="single"/>
    </w:rPr>
  </w:style>
  <w:style w:type="paragraph" w:styleId="Header">
    <w:name w:val="header"/>
    <w:basedOn w:val="Normal"/>
    <w:link w:val="HeaderChar"/>
    <w:uiPriority w:val="99"/>
    <w:unhideWhenUsed/>
    <w:rsid w:val="00D33C2B"/>
    <w:pPr>
      <w:tabs>
        <w:tab w:val="center" w:pos="4513"/>
        <w:tab w:val="right" w:pos="9026"/>
      </w:tabs>
      <w:spacing w:line="240" w:lineRule="auto"/>
    </w:pPr>
  </w:style>
  <w:style w:type="character" w:customStyle="1" w:styleId="HeaderChar">
    <w:name w:val="Header Char"/>
    <w:basedOn w:val="DefaultParagraphFont"/>
    <w:link w:val="Header"/>
    <w:uiPriority w:val="99"/>
    <w:rsid w:val="00D33C2B"/>
  </w:style>
  <w:style w:type="paragraph" w:styleId="Footer">
    <w:name w:val="footer"/>
    <w:basedOn w:val="Normal"/>
    <w:link w:val="FooterChar"/>
    <w:uiPriority w:val="99"/>
    <w:unhideWhenUsed/>
    <w:rsid w:val="00D33C2B"/>
    <w:pPr>
      <w:tabs>
        <w:tab w:val="center" w:pos="4513"/>
        <w:tab w:val="right" w:pos="9026"/>
      </w:tabs>
      <w:spacing w:line="240" w:lineRule="auto"/>
    </w:pPr>
  </w:style>
  <w:style w:type="character" w:customStyle="1" w:styleId="FooterChar">
    <w:name w:val="Footer Char"/>
    <w:basedOn w:val="DefaultParagraphFont"/>
    <w:link w:val="Footer"/>
    <w:uiPriority w:val="99"/>
    <w:rsid w:val="00D33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employers.org/mental-health-suppo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althcarepsychreview.com/vr-stress-reduc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care-act-2014-part-1-factsheets/care-act-factsheets" TargetMode="External"/><Relationship Id="rId5" Type="http://schemas.openxmlformats.org/officeDocument/2006/relationships/footnotes" Target="footnotes.xml"/><Relationship Id="rId15" Type="http://schemas.openxmlformats.org/officeDocument/2006/relationships/hyperlink" Target="https://www.nice.org.uk/guidance/mental-health-workforce" TargetMode="External"/><Relationship Id="rId10" Type="http://schemas.openxmlformats.org/officeDocument/2006/relationships/hyperlink" Target="https://www.cqc.org.uk/workforce-training" TargetMode="External"/><Relationship Id="rId4" Type="http://schemas.openxmlformats.org/officeDocument/2006/relationships/webSettings" Target="webSettings.xml"/><Relationship Id="rId9" Type="http://schemas.openxmlformats.org/officeDocument/2006/relationships/hyperlink" Target="https://journals.sagepub.com/doi/10.1177/02729879221101867" TargetMode="External"/><Relationship Id="rId14" Type="http://schemas.openxmlformats.org/officeDocument/2006/relationships/hyperlink" Target="https://www.nhs.uk/staff-mental-health-report"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942CE-72F0-4C6B-98A3-AA1149479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1540</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Vitalina Vasko</cp:lastModifiedBy>
  <cp:revision>5</cp:revision>
  <dcterms:created xsi:type="dcterms:W3CDTF">2026-04-30T18:50:00Z</dcterms:created>
  <dcterms:modified xsi:type="dcterms:W3CDTF">2026-04-30T18:57:00Z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54147b6a-01f7-4fcc-a4b8-061d3c9c6b2d</vt:lpwstr>
  </property>
</Properties>
</file>