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480" w:lineRule="auto"/>
        <w:jc w:val="center"/>
        <w:rPr>
          <w:rFonts w:ascii="Times New Roman" w:cs="Times New Roman" w:hAnsi="Times New Roman" w:eastAsia="Times New Roman"/>
          <w:sz w:val="24"/>
          <w:szCs w:val="24"/>
        </w:rPr>
      </w:pPr>
    </w:p>
    <w:tbl>
      <w:tblPr>
        <w:tblW w:w="5949"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22"/>
        <w:gridCol w:w="3827"/>
      </w:tblGrid>
      <w:tr>
        <w:tblPrEx>
          <w:shd w:val="clear" w:color="auto" w:fill="cdd4e9"/>
        </w:tblPrEx>
        <w:trPr>
          <w:trHeight w:val="2055"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after="160" w:line="259" w:lineRule="auto"/>
            </w:pPr>
            <w:r>
              <w:rPr>
                <w:rFonts w:ascii="Calibri" w:cs="Calibri" w:hAnsi="Calibri" w:eastAsia="Calibri"/>
                <w:sz w:val="24"/>
                <w:szCs w:val="24"/>
                <w:lang w:val="en-US"/>
              </w:rPr>
              <w:drawing>
                <wp:inline distT="0" distB="0" distL="0" distR="0">
                  <wp:extent cx="904875" cy="12192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904875" cy="1219200"/>
                          </a:xfrm>
                          <a:prstGeom prst="rect">
                            <a:avLst/>
                          </a:prstGeom>
                          <a:ln w="12700" cap="flat">
                            <a:noFill/>
                            <a:miter lim="400000"/>
                          </a:ln>
                          <a:effectLst/>
                        </pic:spPr>
                      </pic:pic>
                    </a:graphicData>
                  </a:graphic>
                </wp:inline>
              </w:drawing>
            </w:r>
          </w:p>
        </w:tc>
        <w:tc>
          <w:tcPr>
            <w:tcW w:type="dxa" w:w="38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jc w:val="center"/>
              <w:rPr>
                <w:rFonts w:ascii="Times New Roman" w:cs="Times New Roman" w:hAnsi="Times New Roman" w:eastAsia="Times New Roman"/>
                <w:b w:val="1"/>
                <w:bCs w:val="1"/>
                <w:sz w:val="40"/>
                <w:szCs w:val="40"/>
                <w:lang w:val="en-US"/>
              </w:rPr>
            </w:pPr>
          </w:p>
          <w:p>
            <w:pPr>
              <w:pStyle w:val="Default"/>
              <w:bidi w:val="0"/>
              <w:ind w:left="0" w:right="0" w:firstLine="0"/>
              <w:jc w:val="center"/>
              <w:rPr>
                <w:rFonts w:ascii="Times New Roman" w:cs="Times New Roman" w:hAnsi="Times New Roman" w:eastAsia="Times New Roman"/>
                <w:b w:val="1"/>
                <w:bCs w:val="1"/>
                <w:sz w:val="40"/>
                <w:szCs w:val="40"/>
                <w:rtl w:val="0"/>
              </w:rPr>
            </w:pPr>
            <w:r>
              <w:rPr>
                <w:rFonts w:ascii="Times New Roman" w:hAnsi="Times New Roman"/>
                <w:b w:val="1"/>
                <w:bCs w:val="1"/>
                <w:sz w:val="40"/>
                <w:szCs w:val="40"/>
                <w:rtl w:val="0"/>
                <w:lang w:val="en-US"/>
              </w:rPr>
              <w:t>University of Wales</w:t>
            </w:r>
          </w:p>
          <w:p>
            <w:pPr>
              <w:pStyle w:val="Default"/>
              <w:bidi w:val="0"/>
              <w:ind w:left="0" w:right="0" w:firstLine="0"/>
              <w:jc w:val="center"/>
              <w:rPr>
                <w:rtl w:val="0"/>
              </w:rPr>
            </w:pPr>
            <w:r>
              <w:rPr>
                <w:rFonts w:ascii="Times New Roman" w:hAnsi="Times New Roman"/>
                <w:b w:val="1"/>
                <w:bCs w:val="1"/>
                <w:sz w:val="40"/>
                <w:szCs w:val="40"/>
                <w:rtl w:val="0"/>
                <w:lang w:val="en-US"/>
              </w:rPr>
              <w:t>Trinity Saint David</w:t>
            </w:r>
          </w:p>
        </w:tc>
      </w:tr>
    </w:tbl>
    <w:p>
      <w:pPr>
        <w:pStyle w:val="Body A"/>
        <w:widowControl w:val="0"/>
        <w:spacing w:line="240" w:lineRule="auto"/>
        <w:ind w:left="108" w:hanging="108"/>
        <w:jc w:val="center"/>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p>
    <w:p>
      <w:pPr>
        <w:pStyle w:val="header"/>
        <w:tabs>
          <w:tab w:val="clear" w:pos="4680"/>
          <w:tab w:val="clear" w:pos="9360"/>
        </w:tabs>
        <w:spacing w:after="160"/>
        <w:jc w:val="center"/>
        <w:rPr>
          <w:rFonts w:ascii="Times New Roman" w:cs="Times New Roman" w:hAnsi="Times New Roman" w:eastAsia="Times New Roman"/>
        </w:rPr>
      </w:pPr>
    </w:p>
    <w:p>
      <w:pPr>
        <w:pStyle w:val="header"/>
        <w:tabs>
          <w:tab w:val="clear" w:pos="4680"/>
          <w:tab w:val="clear" w:pos="9360"/>
        </w:tabs>
        <w:spacing w:after="160"/>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BA Business Management</w:t>
      </w:r>
    </w:p>
    <w:p>
      <w:pPr>
        <w:pStyle w:val="header"/>
        <w:tabs>
          <w:tab w:val="clear" w:pos="4680"/>
          <w:tab w:val="clear" w:pos="9360"/>
        </w:tabs>
        <w:spacing w:after="160"/>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MC: LCBB6001</w:t>
      </w:r>
    </w:p>
    <w:p>
      <w:pPr>
        <w:pStyle w:val="header"/>
        <w:tabs>
          <w:tab w:val="clear" w:pos="4680"/>
          <w:tab w:val="clear" w:pos="9360"/>
        </w:tabs>
        <w:spacing w:after="160"/>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Lecturer: Ejiro Esohwode</w:t>
      </w:r>
    </w:p>
    <w:p>
      <w:pPr>
        <w:pStyle w:val="header"/>
        <w:tabs>
          <w:tab w:val="clear" w:pos="4680"/>
          <w:tab w:val="clear" w:pos="9360"/>
        </w:tabs>
        <w:spacing w:after="160"/>
        <w:jc w:val="center"/>
        <w:rPr>
          <w:rFonts w:ascii="Times New Roman" w:cs="Times New Roman" w:hAnsi="Times New Roman" w:eastAsia="Times New Roman"/>
          <w:b w:val="1"/>
          <w:bCs w:val="1"/>
          <w:sz w:val="30"/>
          <w:szCs w:val="30"/>
          <w14:textOutline w14:w="12700" w14:cap="flat">
            <w14:noFill/>
            <w14:miter w14:lim="400000"/>
          </w14:textOutline>
        </w:rPr>
      </w:pPr>
    </w:p>
    <w:p>
      <w:pPr>
        <w:pStyle w:val="header"/>
        <w:tabs>
          <w:tab w:val="clear" w:pos="4680"/>
          <w:tab w:val="clear" w:pos="9360"/>
        </w:tabs>
        <w:spacing w:after="160"/>
        <w:jc w:val="center"/>
        <w:rPr>
          <w:rFonts w:ascii="Calibri" w:cs="Calibri" w:hAnsi="Calibri" w:eastAsia="Calibri"/>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International Business Communication</w:t>
      </w:r>
    </w:p>
    <w:p>
      <w:pPr>
        <w:pStyle w:val="header"/>
        <w:tabs>
          <w:tab w:val="clear" w:pos="4680"/>
          <w:tab w:val="clear" w:pos="9360"/>
        </w:tabs>
        <w:spacing w:after="160"/>
        <w:jc w:val="center"/>
        <w:rPr>
          <w:rFonts w:ascii="Times New Roman" w:cs="Times New Roman" w:hAnsi="Times New Roman" w:eastAsia="Times New Roman"/>
          <w:b w:val="1"/>
          <w:bCs w:val="1"/>
          <w:sz w:val="30"/>
          <w:szCs w:val="30"/>
          <w14:textOutline w14:w="12700" w14:cap="flat">
            <w14:noFill/>
            <w14:miter w14:lim="400000"/>
          </w14:textOutline>
        </w:rPr>
      </w:pPr>
      <w:r>
        <w:rPr>
          <w:rFonts w:ascii="Times New Roman" w:hAnsi="Times New Roman"/>
          <w:b w:val="1"/>
          <w:bCs w:val="1"/>
          <w:sz w:val="30"/>
          <w:szCs w:val="30"/>
          <w:rtl w:val="0"/>
          <w:lang w:val="en-US"/>
          <w14:textOutline w14:w="12700" w14:cap="flat">
            <w14:noFill/>
            <w14:miter w14:lim="400000"/>
          </w14:textOutline>
        </w:rPr>
        <w:t>Assignment 1</w:t>
      </w:r>
    </w:p>
    <w:p>
      <w:pPr>
        <w:pStyle w:val="header"/>
        <w:tabs>
          <w:tab w:val="clear" w:pos="4680"/>
          <w:tab w:val="clear" w:pos="9360"/>
        </w:tabs>
        <w:spacing w:after="160"/>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A work of Petya Niklenova</w:t>
      </w:r>
    </w:p>
    <w:p>
      <w:pPr>
        <w:pStyle w:val="header"/>
        <w:tabs>
          <w:tab w:val="clear" w:pos="4680"/>
          <w:tab w:val="clear" w:pos="9360"/>
        </w:tabs>
        <w:spacing w:after="160"/>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ID:1916916</w:t>
      </w:r>
    </w:p>
    <w:p>
      <w:pPr>
        <w:pStyle w:val="header"/>
        <w:tabs>
          <w:tab w:val="clear" w:pos="4680"/>
          <w:tab w:val="clear" w:pos="9360"/>
        </w:tabs>
        <w:spacing w:after="160" w:line="480" w:lineRule="auto"/>
        <w:jc w:val="center"/>
        <w:rPr>
          <w:rFonts w:ascii="Times New Roman" w:cs="Times New Roman" w:hAnsi="Times New Roman" w:eastAsia="Times New Roman"/>
          <w:sz w:val="30"/>
          <w:szCs w:val="30"/>
          <w14:textOutline w14:w="12700" w14:cap="flat">
            <w14:noFill/>
            <w14:miter w14:lim="400000"/>
          </w14:textOutline>
        </w:rPr>
      </w:pPr>
    </w:p>
    <w:p>
      <w:pPr>
        <w:pStyle w:val="header"/>
        <w:tabs>
          <w:tab w:val="clear" w:pos="4680"/>
          <w:tab w:val="clear" w:pos="9360"/>
        </w:tabs>
        <w:spacing w:after="160" w:line="48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Date:06/05/2022</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p>
    <w:p>
      <w:pPr>
        <w:pStyle w:val="Body A"/>
        <w:spacing w:line="480" w:lineRule="auto"/>
      </w:pPr>
      <w:r>
        <w:rPr>
          <w:rFonts w:ascii="Arial Unicode MS" w:cs="Arial Unicode MS" w:hAnsi="Arial Unicode MS" w:eastAsia="Arial Unicode MS"/>
          <w:b w:val="0"/>
          <w:bCs w:val="0"/>
          <w:i w:val="0"/>
          <w:iCs w:val="0"/>
          <w:sz w:val="24"/>
          <w:szCs w:val="24"/>
        </w:rPr>
        <w:br w:type="page"/>
      </w:r>
    </w:p>
    <w:p>
      <w:pPr>
        <w:pStyle w:val="TOC Heading"/>
      </w:pPr>
      <w:r>
        <w:rPr>
          <w:rtl w:val="0"/>
          <w:lang w:val="en-US"/>
        </w:rPr>
        <w:t>Contents</w:t>
      </w:r>
    </w:p>
    <w:p>
      <w:pPr>
        <w:pStyle w:val="Body A"/>
      </w:pPr>
      <w:r>
        <w:rPr/>
        <w:fldChar w:fldCharType="begin" w:fldLock="0"/>
      </w:r>
      <w:r>
        <w:instrText xml:space="preserve"> TOC \o 1-1 </w:instrText>
      </w:r>
      <w:r>
        <w:rPr/>
        <w:fldChar w:fldCharType="separate" w:fldLock="0"/>
      </w:r>
    </w:p>
    <w:p>
      <w:pPr>
        <w:pStyle w:val="TOC 1"/>
      </w:pPr>
      <w:r>
        <w:rPr>
          <w:rtl w:val="0"/>
        </w:rPr>
        <w:t>Introduction</w:t>
        <w:tab/>
      </w:r>
      <w:r>
        <w:rPr/>
        <w:fldChar w:fldCharType="begin" w:fldLock="0"/>
      </w:r>
      <w:r>
        <w:instrText xml:space="preserve"> PAGEREF _Toc \h </w:instrText>
      </w:r>
      <w:r>
        <w:rPr/>
        <w:fldChar w:fldCharType="separate" w:fldLock="0"/>
      </w:r>
      <w:r>
        <w:rPr>
          <w:rtl w:val="0"/>
        </w:rPr>
        <w:t>3</w:t>
      </w:r>
      <w:r>
        <w:rPr/>
        <w:fldChar w:fldCharType="end" w:fldLock="0"/>
      </w:r>
    </w:p>
    <w:p>
      <w:pPr>
        <w:pStyle w:val="TOC 1"/>
      </w:pPr>
      <w:r>
        <w:rPr>
          <w:rtl w:val="0"/>
        </w:rPr>
        <w:t>Introduction to Indonesia</w:t>
        <w:tab/>
      </w:r>
      <w:r>
        <w:rPr/>
        <w:fldChar w:fldCharType="begin" w:fldLock="0"/>
      </w:r>
      <w:r>
        <w:instrText xml:space="preserve"> PAGEREF _Toc1 \h </w:instrText>
      </w:r>
      <w:r>
        <w:rPr/>
        <w:fldChar w:fldCharType="separate" w:fldLock="0"/>
      </w:r>
      <w:r>
        <w:rPr>
          <w:rtl w:val="0"/>
        </w:rPr>
        <w:t>4</w:t>
      </w:r>
      <w:r>
        <w:rPr/>
        <w:fldChar w:fldCharType="end" w:fldLock="0"/>
      </w:r>
    </w:p>
    <w:p>
      <w:pPr>
        <w:pStyle w:val="TOC 1"/>
      </w:pPr>
      <w:r>
        <w:rPr>
          <w:rtl w:val="0"/>
        </w:rPr>
        <w:t>Analysis of the Indonesian Culture</w:t>
        <w:tab/>
      </w:r>
      <w:r>
        <w:rPr/>
        <w:fldChar w:fldCharType="begin" w:fldLock="0"/>
      </w:r>
      <w:r>
        <w:instrText xml:space="preserve"> PAGEREF _Toc2 \h </w:instrText>
      </w:r>
      <w:r>
        <w:rPr/>
        <w:fldChar w:fldCharType="separate" w:fldLock="0"/>
      </w:r>
      <w:r>
        <w:rPr>
          <w:rtl w:val="0"/>
        </w:rPr>
        <w:t>5</w:t>
      </w:r>
      <w:r>
        <w:rPr/>
        <w:fldChar w:fldCharType="end" w:fldLock="0"/>
      </w:r>
    </w:p>
    <w:p>
      <w:pPr>
        <w:pStyle w:val="TOC 1"/>
      </w:pPr>
      <w:r>
        <w:rPr>
          <w:rtl w:val="0"/>
        </w:rPr>
        <w:t>Importance of cultural sensitivity</w:t>
        <w:tab/>
      </w:r>
      <w:r>
        <w:rPr/>
        <w:fldChar w:fldCharType="begin" w:fldLock="0"/>
      </w:r>
      <w:r>
        <w:instrText xml:space="preserve"> PAGEREF _Toc3 \h </w:instrText>
      </w:r>
      <w:r>
        <w:rPr/>
        <w:fldChar w:fldCharType="separate" w:fldLock="0"/>
      </w:r>
      <w:r>
        <w:rPr>
          <w:rtl w:val="0"/>
        </w:rPr>
        <w:t>9</w:t>
      </w:r>
      <w:r>
        <w:rPr/>
        <w:fldChar w:fldCharType="end" w:fldLock="0"/>
      </w:r>
    </w:p>
    <w:p>
      <w:pPr>
        <w:pStyle w:val="TOC 1"/>
      </w:pPr>
      <w:r>
        <w:rPr>
          <w:rtl w:val="0"/>
        </w:rPr>
        <w:t>Communication challenges for businesses in Indonesia</w:t>
        <w:tab/>
      </w:r>
      <w:r>
        <w:rPr/>
        <w:fldChar w:fldCharType="begin" w:fldLock="0"/>
      </w:r>
      <w:r>
        <w:instrText xml:space="preserve"> PAGEREF _Toc4 \h </w:instrText>
      </w:r>
      <w:r>
        <w:rPr/>
        <w:fldChar w:fldCharType="separate" w:fldLock="0"/>
      </w:r>
      <w:r>
        <w:rPr>
          <w:rtl w:val="0"/>
        </w:rPr>
        <w:t>10</w:t>
      </w:r>
      <w:r>
        <w:rPr/>
        <w:fldChar w:fldCharType="end" w:fldLock="0"/>
      </w:r>
    </w:p>
    <w:p>
      <w:pPr>
        <w:pStyle w:val="TOC 1"/>
      </w:pPr>
      <w:r>
        <w:rPr>
          <w:rtl w:val="0"/>
        </w:rPr>
        <w:t>Recommended communication strategies</w:t>
        <w:tab/>
      </w:r>
      <w:r>
        <w:rPr/>
        <w:fldChar w:fldCharType="begin" w:fldLock="0"/>
      </w:r>
      <w:r>
        <w:instrText xml:space="preserve"> PAGEREF _Toc5 \h </w:instrText>
      </w:r>
      <w:r>
        <w:rPr/>
        <w:fldChar w:fldCharType="separate" w:fldLock="0"/>
      </w:r>
      <w:r>
        <w:rPr>
          <w:rtl w:val="0"/>
        </w:rPr>
        <w:t>11</w:t>
      </w:r>
      <w:r>
        <w:rPr/>
        <w:fldChar w:fldCharType="end" w:fldLock="0"/>
      </w:r>
    </w:p>
    <w:p>
      <w:pPr>
        <w:pStyle w:val="TOC 1"/>
      </w:pPr>
      <w:r>
        <w:rPr>
          <w:rtl w:val="0"/>
        </w:rPr>
        <w:t>Conclusion</w:t>
        <w:tab/>
      </w:r>
      <w:r>
        <w:rPr/>
        <w:fldChar w:fldCharType="begin" w:fldLock="0"/>
      </w:r>
      <w:r>
        <w:instrText xml:space="preserve"> PAGEREF _Toc6 \h </w:instrText>
      </w:r>
      <w:r>
        <w:rPr/>
        <w:fldChar w:fldCharType="separate" w:fldLock="0"/>
      </w:r>
      <w:r>
        <w:rPr>
          <w:rtl w:val="0"/>
        </w:rPr>
        <w:t>11</w:t>
      </w:r>
      <w:r>
        <w:rPr/>
        <w:fldChar w:fldCharType="end" w:fldLock="0"/>
      </w:r>
    </w:p>
    <w:p>
      <w:pPr>
        <w:pStyle w:val="TOC 1"/>
      </w:pPr>
      <w:r>
        <w:rPr>
          <w:rtl w:val="0"/>
        </w:rPr>
        <w:t>References</w:t>
        <w:tab/>
      </w:r>
      <w:r>
        <w:rPr/>
        <w:fldChar w:fldCharType="begin" w:fldLock="0"/>
      </w:r>
      <w:r>
        <w:instrText xml:space="preserve"> PAGEREF _Toc7 \h </w:instrText>
      </w:r>
      <w:r>
        <w:rPr/>
        <w:fldChar w:fldCharType="separate" w:fldLock="0"/>
      </w:r>
      <w:r>
        <w:rPr>
          <w:rtl w:val="0"/>
        </w:rPr>
        <w:t>13</w:t>
      </w:r>
      <w:r>
        <w:rPr/>
        <w:fldChar w:fldCharType="end" w:fldLock="0"/>
      </w:r>
    </w:p>
    <w:p>
      <w:pPr>
        <w:pStyle w:val="Body A"/>
      </w:pPr>
      <w:r>
        <w:rPr/>
        <w:fldChar w:fldCharType="end" w:fldLock="0"/>
      </w:r>
    </w:p>
    <w:p>
      <w:pPr>
        <w:pStyle w:val="Body A"/>
        <w:spacing w:line="480" w:lineRule="auto"/>
        <w:rPr>
          <w:rFonts w:ascii="Times New Roman" w:cs="Times New Roman" w:hAnsi="Times New Roman" w:eastAsia="Times New Roman"/>
          <w:b w:val="1"/>
          <w:bCs w:val="1"/>
          <w:sz w:val="24"/>
          <w:szCs w:val="24"/>
        </w:rPr>
      </w:pPr>
    </w:p>
    <w:p>
      <w:pPr>
        <w:pStyle w:val="Heading"/>
        <w:rPr>
          <w:rFonts w:ascii="Helvetica" w:cs="Helvetica" w:hAnsi="Helvetica" w:eastAsia="Helvetica"/>
          <w:b w:val="1"/>
          <w:bCs w:val="1"/>
          <w:outline w:val="0"/>
          <w:color w:val="000000"/>
          <w:u w:color="000000"/>
          <w14:textFill>
            <w14:solidFill>
              <w14:srgbClr w14:val="000000"/>
            </w14:solidFill>
          </w14:textFill>
        </w:rPr>
      </w:pPr>
      <w:bookmarkStart w:name="_Toc" w:id="0"/>
      <w:r>
        <w:rPr>
          <w:rFonts w:ascii="Helvetica" w:hAnsi="Helvetica"/>
          <w:b w:val="1"/>
          <w:bCs w:val="1"/>
          <w:outline w:val="0"/>
          <w:color w:val="000000"/>
          <w:u w:color="000000"/>
          <w:rtl w:val="0"/>
          <w:lang w:val="fr-FR"/>
          <w14:textFill>
            <w14:solidFill>
              <w14:srgbClr w14:val="000000"/>
            </w14:solidFill>
          </w14:textFill>
        </w:rPr>
        <w:t>Introduction</w:t>
      </w:r>
      <w:bookmarkEnd w:id="0"/>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Communication challenges exist everywhere as countries and cultures within them have different approaches to sending and sharing information. In this essence, some forms of communication that may be appropriate in some cultures may be inappropriate in others. businesses operating on international levels commonly come across these communication challenges due to the extent of cultural diversity they experience while serving their customers. Having a good international business communication strategy is vital for such businesses in order for them to maintain the intricacies they face in their business dealings (Srivastava et al., 2020). With appropriate business communication strategies, businesses have an easier time associating with partners, suppliers, and customers in their international markets. Due to the increased diversity, companies may have specific communication strategies for each international market in an attempt to equitably meet the communication needs of each culture. However, companies that do not heed to this requirement have more challenge when relating to these stakeholders in new markets and many of them end up closing down in some markets (Srivastava et al., 2020). </w:t>
      </w:r>
    </w:p>
    <w:p>
      <w:pPr>
        <w:pStyle w:val="Heading"/>
        <w:rPr>
          <w:rFonts w:ascii="Helvetica" w:cs="Helvetica" w:hAnsi="Helvetica" w:eastAsia="Helvetica"/>
          <w:b w:val="1"/>
          <w:bCs w:val="1"/>
          <w:outline w:val="0"/>
          <w:color w:val="000000"/>
          <w:u w:color="000000"/>
          <w14:textFill>
            <w14:solidFill>
              <w14:srgbClr w14:val="000000"/>
            </w14:solidFill>
          </w14:textFill>
        </w:rPr>
      </w:pPr>
      <w:bookmarkStart w:name="_Toc1" w:id="1"/>
      <w:r>
        <w:rPr>
          <w:rFonts w:ascii="Helvetica" w:hAnsi="Helvetica"/>
          <w:b w:val="1"/>
          <w:bCs w:val="1"/>
          <w:outline w:val="0"/>
          <w:color w:val="000000"/>
          <w:u w:color="000000"/>
          <w:rtl w:val="0"/>
          <w:lang w:val="en-US"/>
          <w14:textFill>
            <w14:solidFill>
              <w14:srgbClr w14:val="000000"/>
            </w14:solidFill>
          </w14:textFill>
        </w:rPr>
        <w:t>Introduction to Indonesia</w:t>
      </w:r>
      <w:bookmarkEnd w:id="1"/>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Officially known as the Republic of Indonesia, the country is located in Southeast Asia and Oceania, between the Indian and Pacific oceans. The country is an archipelago lying across the equator and consisting of more than 17,000 islands that include Java, Sumatra, Borneo, Sulawesi, and New Guinea. Indonesia is a large country that spans more than 1.9 million square kilometers, which makes it the 14</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largest country on the planet by geographical area (Indonesia, 2019). The country is also the 4</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most populous nation in the world with a population of about 270 million people. Islam is the largest religion in the country but there are others including Christianity, Hinduism, Buddhism, Folk religions, and Confucianism. Politically, the country is a presidential republic with 34 provinces, five of which have a special status (Indonesia, 2019).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it-IT"/>
        </w:rPr>
        <w:t>Indonesia</w:t>
      </w:r>
      <w:r>
        <w:rPr>
          <w:rFonts w:ascii="Times New Roman" w:hAnsi="Times New Roman" w:hint="default"/>
          <w:sz w:val="24"/>
          <w:szCs w:val="24"/>
          <w:rtl w:val="0"/>
          <w:lang w:val="en-US"/>
        </w:rPr>
        <w:t>’</w:t>
      </w:r>
      <w:r>
        <w:rPr>
          <w:rFonts w:ascii="Times New Roman" w:hAnsi="Times New Roman"/>
          <w:sz w:val="24"/>
          <w:szCs w:val="24"/>
          <w:rtl w:val="0"/>
          <w:lang w:val="en-US"/>
        </w:rPr>
        <w:t>s capital, Jakarta, is the world</w:t>
      </w:r>
      <w:r>
        <w:rPr>
          <w:rFonts w:ascii="Times New Roman" w:hAnsi="Times New Roman" w:hint="default"/>
          <w:sz w:val="24"/>
          <w:szCs w:val="24"/>
          <w:rtl w:val="0"/>
          <w:lang w:val="en-US"/>
        </w:rPr>
        <w:t>’</w:t>
      </w:r>
      <w:r>
        <w:rPr>
          <w:rFonts w:ascii="Times New Roman" w:hAnsi="Times New Roman"/>
          <w:sz w:val="24"/>
          <w:szCs w:val="24"/>
          <w:rtl w:val="0"/>
          <w:lang w:val="en-US"/>
        </w:rPr>
        <w:t>s second most populous urban area and the island of java, with more than half of the country</w:t>
      </w:r>
      <w:r>
        <w:rPr>
          <w:rFonts w:ascii="Times New Roman" w:hAnsi="Times New Roman" w:hint="default"/>
          <w:sz w:val="24"/>
          <w:szCs w:val="24"/>
          <w:rtl w:val="0"/>
          <w:lang w:val="en-US"/>
        </w:rPr>
        <w:t>’</w:t>
      </w:r>
      <w:r>
        <w:rPr>
          <w:rFonts w:ascii="Times New Roman" w:hAnsi="Times New Roman"/>
          <w:sz w:val="24"/>
          <w:szCs w:val="24"/>
          <w:rtl w:val="0"/>
          <w:lang w:val="en-US"/>
        </w:rPr>
        <w:t>s population, is the world</w:t>
      </w:r>
      <w:r>
        <w:rPr>
          <w:rFonts w:ascii="Times New Roman" w:hAnsi="Times New Roman" w:hint="default"/>
          <w:sz w:val="24"/>
          <w:szCs w:val="24"/>
          <w:rtl w:val="0"/>
          <w:lang w:val="en-US"/>
        </w:rPr>
        <w:t>’</w:t>
      </w:r>
      <w:r>
        <w:rPr>
          <w:rFonts w:ascii="Times New Roman" w:hAnsi="Times New Roman"/>
          <w:sz w:val="24"/>
          <w:szCs w:val="24"/>
          <w:rtl w:val="0"/>
          <w:lang w:val="en-US"/>
        </w:rPr>
        <w:t>s most populous island. The archipelago has been a significant region for business and trade since the 7</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century and in recent decades, it has been among the economies that are touted to have a bright future and a significant part to play in global economy in the future (Falahat et al., 2020). While this has been the case with other Southeast Asian economies like Vietnam, Thailand, Malaysia, and Singapore, the massive size of Indonesia</w:t>
      </w:r>
      <w:r>
        <w:rPr>
          <w:rFonts w:ascii="Times New Roman" w:hAnsi="Times New Roman" w:hint="default"/>
          <w:sz w:val="24"/>
          <w:szCs w:val="24"/>
          <w:rtl w:val="0"/>
          <w:lang w:val="en-US"/>
        </w:rPr>
        <w:t>’</w:t>
      </w:r>
      <w:r>
        <w:rPr>
          <w:rFonts w:ascii="Times New Roman" w:hAnsi="Times New Roman"/>
          <w:sz w:val="24"/>
          <w:szCs w:val="24"/>
          <w:rtl w:val="0"/>
          <w:lang w:val="en-US"/>
        </w:rPr>
        <w:t>s population gives it a sizeable head start and potential to develop into the future. With a total GDP of $3.995 trillion and a per capita GDP of $14,535 ranking the economy as the 7</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and 96</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in the world respectively as per the 2022 estimates, the indication is that the country will remain an attractive destination for multinational corporations or businesses moving into the country to tap the potential of the country and have a portion of the benefits that come with stable economic development (Falahat et al., 2020).</w:t>
      </w:r>
    </w:p>
    <w:p>
      <w:pPr>
        <w:pStyle w:val="Heading"/>
        <w:rPr>
          <w:rFonts w:ascii="Helvetica" w:cs="Helvetica" w:hAnsi="Helvetica" w:eastAsia="Helvetica"/>
          <w:b w:val="1"/>
          <w:bCs w:val="1"/>
          <w:outline w:val="0"/>
          <w:color w:val="000000"/>
          <w:u w:color="000000"/>
          <w14:textFill>
            <w14:solidFill>
              <w14:srgbClr w14:val="000000"/>
            </w14:solidFill>
          </w14:textFill>
        </w:rPr>
      </w:pPr>
      <w:bookmarkStart w:name="_Toc2" w:id="2"/>
      <w:r>
        <w:rPr>
          <w:rFonts w:ascii="Helvetica" w:hAnsi="Helvetica"/>
          <w:b w:val="1"/>
          <w:bCs w:val="1"/>
          <w:outline w:val="0"/>
          <w:color w:val="000000"/>
          <w:u w:color="000000"/>
          <w:rtl w:val="0"/>
          <w:lang w:val="en-US"/>
          <w14:textFill>
            <w14:solidFill>
              <w14:srgbClr w14:val="000000"/>
            </w14:solidFill>
          </w14:textFill>
        </w:rPr>
        <w:t>Analysis of the Indonesian Culture</w:t>
      </w:r>
      <w:bookmarkEnd w:id="2"/>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Indonesia is a vastly diverse country with about 1,300 ethnic groups making up its population. The most dominant group consists of the Javanese, who make up about 40% of the country</w:t>
      </w:r>
      <w:r>
        <w:rPr>
          <w:rFonts w:ascii="Times New Roman" w:hAnsi="Times New Roman" w:hint="default"/>
          <w:sz w:val="24"/>
          <w:szCs w:val="24"/>
          <w:rtl w:val="0"/>
          <w:lang w:val="en-US"/>
        </w:rPr>
        <w:t>’</w:t>
      </w:r>
      <w:r>
        <w:rPr>
          <w:rFonts w:ascii="Times New Roman" w:hAnsi="Times New Roman"/>
          <w:sz w:val="24"/>
          <w:szCs w:val="24"/>
          <w:rtl w:val="0"/>
          <w:lang w:val="en-US"/>
        </w:rPr>
        <w:t>s population and, expectedly, they are also politically dominant. In spite of the vast diversity, there is a strong sense of nationhood in the country as most people regard themselves as Indonesians alongside their regional identities (Artina et al., 2020). Indeed, the country</w:t>
      </w:r>
      <w:r>
        <w:rPr>
          <w:rFonts w:ascii="Times New Roman" w:hAnsi="Times New Roman" w:hint="default"/>
          <w:sz w:val="24"/>
          <w:szCs w:val="24"/>
          <w:rtl w:val="0"/>
          <w:lang w:val="en-US"/>
        </w:rPr>
        <w:t>’</w:t>
      </w:r>
      <w:r>
        <w:rPr>
          <w:rFonts w:ascii="Times New Roman" w:hAnsi="Times New Roman"/>
          <w:sz w:val="24"/>
          <w:szCs w:val="24"/>
          <w:rtl w:val="0"/>
          <w:lang w:val="en-US"/>
        </w:rPr>
        <w:t>s national language is Indonesian, which is a variant of Malay dialect, which for centuries had been the region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lingua franca until the 1920s when it was promoted by nationalists to its official status as Bahasa Indonesia. Being a lingua franca meant that the language interacted and was heavily influenced by other languages including those from the region such as Sanskrit, Tamil, Chinese, Arabic, and Javanese, as well as European languages like Dutch and Portuguese (Artina et al., 2020).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While the diversity in the country</w:t>
      </w:r>
      <w:r>
        <w:rPr>
          <w:rFonts w:ascii="Times New Roman" w:hAnsi="Times New Roman" w:hint="default"/>
          <w:sz w:val="24"/>
          <w:szCs w:val="24"/>
          <w:rtl w:val="0"/>
          <w:lang w:val="en-US"/>
        </w:rPr>
        <w:t>’</w:t>
      </w:r>
      <w:r>
        <w:rPr>
          <w:rFonts w:ascii="Times New Roman" w:hAnsi="Times New Roman"/>
          <w:sz w:val="24"/>
          <w:szCs w:val="24"/>
          <w:rtl w:val="0"/>
          <w:lang w:val="en-US"/>
        </w:rPr>
        <w:t>s culture means that there is a large variety of cultural characteristics, cultural analysis is often carried out from the perspective that a majority of the population has a general characteristic that can be used to describe the national culture. This is the perspective from which Geert Hofstede developed the cultural dimensions model where he developed six dimensions that can be used to describe the culture of a nation</w:t>
      </w:r>
      <w:r>
        <w:rPr>
          <w:rFonts w:ascii="Times New Roman" w:hAnsi="Times New Roman" w:hint="default"/>
          <w:sz w:val="24"/>
          <w:szCs w:val="24"/>
          <w:rtl w:val="0"/>
          <w:lang w:val="en-US"/>
        </w:rPr>
        <w:t>’</w:t>
      </w:r>
      <w:r>
        <w:rPr>
          <w:rFonts w:ascii="Times New Roman" w:hAnsi="Times New Roman"/>
          <w:sz w:val="24"/>
          <w:szCs w:val="24"/>
          <w:rtl w:val="0"/>
          <w:lang w:val="en-US"/>
        </w:rPr>
        <w:t>s population. In this model, the six dimensions represent extremes to which a culture is described, including the power distance index (PDI), individualism vs collectivism, masculinity vs femininity, long vs short-term orientation, uncertainty avoidance, and indulgence vs restraint (Hofstede, 2009). This model has been used by international businesses to compare cultures of nations and, most significantly, to create a picture of what they need to plan for when starting ventures in select nations. The model involves assigning scores between 0 and 100% and low or high scores are taken as indicators of the culture leaning towards one extreme of each dimension</w:t>
      </w:r>
      <w:r>
        <w:rPr>
          <w:rFonts w:ascii="Times New Roman" w:hAnsi="Times New Roman" w:hint="default"/>
          <w:sz w:val="24"/>
          <w:szCs w:val="24"/>
          <w:rtl w:val="0"/>
          <w:lang w:val="en-US"/>
        </w:rPr>
        <w:t>’</w:t>
      </w:r>
      <w:r>
        <w:rPr>
          <w:rFonts w:ascii="Times New Roman" w:hAnsi="Times New Roman"/>
          <w:sz w:val="24"/>
          <w:szCs w:val="24"/>
          <w:rtl w:val="0"/>
          <w:lang w:val="nl-NL"/>
        </w:rPr>
        <w:t>s spectrum (Hofstede, 2009).</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power distance index represents the extent to which unequal distribution of power in a society is tolerated by the less powerful members of such institutions as the family. Countries that have high power distance indexes generally value hierarchies and the less powerful members of the community are expected to respect their place in the society (Hofstede, 2009). In low power distance index countries, differences in ranks and status are not observable and people do not significantly pay close attention to hierarchies on the basis of factors such as age, qualifications, and others when addressing other people. With a PDI score of 78, the Indonesian cultures is </w:t>
      </w:r>
      <w:r>
        <w:rPr>
          <w:rFonts w:ascii="Times New Roman" w:hAnsi="Times New Roman"/>
          <w:sz w:val="24"/>
          <w:szCs w:val="24"/>
          <w:rtl w:val="0"/>
          <w:lang w:val="en-US"/>
        </w:rPr>
        <w:t>centralised</w:t>
      </w:r>
      <w:r>
        <w:rPr>
          <w:rFonts w:ascii="Times New Roman" w:hAnsi="Times New Roman"/>
          <w:sz w:val="24"/>
          <w:szCs w:val="24"/>
          <w:rtl w:val="0"/>
          <w:lang w:val="en-US"/>
        </w:rPr>
        <w:t xml:space="preserve"> and the culture tolerates unequal distribution of power, resources, rights, such as employees expecting the directives from senior executives on what to do, how to go about it, and when they should do it (Irwin, 2020).</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Individualism versus collectivism is the dimension that describes the degree to which the cultures are inclined to personal interests or those of the community at large. Countries that score high in this dimension have cultures that generally show a preference for small groups or individual responsibilities instead of preferring the interests of larger groups such as ethnic groups or families (Hofstede, 2009). Cultures with low scores in this dimension often put the interests of the community before those of an individual. With a score of 14 in this dimension, the culture of Indonesia can be described as being highly collectivist </w:t>
      </w:r>
      <w:r>
        <w:rPr>
          <w:rFonts w:ascii="Times New Roman" w:hAnsi="Times New Roman"/>
          <w:outline w:val="0"/>
          <w:color w:val="000000"/>
          <w:sz w:val="24"/>
          <w:szCs w:val="24"/>
          <w:u w:color="000000"/>
          <w:rtl w:val="0"/>
          <w:lang w:val="nl-NL"/>
          <w14:textFill>
            <w14:solidFill>
              <w14:srgbClr w14:val="000000"/>
            </w14:solidFill>
          </w14:textFill>
        </w:rPr>
        <w:t>(Hofstede Insights, n.d.)</w:t>
      </w:r>
      <w:r>
        <w:rPr>
          <w:rFonts w:ascii="Times New Roman" w:hAnsi="Times New Roman"/>
          <w:sz w:val="24"/>
          <w:szCs w:val="24"/>
          <w:rtl w:val="0"/>
          <w:lang w:val="en-US"/>
        </w:rPr>
        <w:t xml:space="preserve">. In the country, therefore, people are more likely to put the interests of a community before their personal interests.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Masculinity versus femininity is the third dimension in Hofstede</w:t>
      </w:r>
      <w:r>
        <w:rPr>
          <w:rFonts w:ascii="Times New Roman" w:hAnsi="Times New Roman" w:hint="default"/>
          <w:sz w:val="24"/>
          <w:szCs w:val="24"/>
          <w:rtl w:val="0"/>
          <w:lang w:val="en-US"/>
        </w:rPr>
        <w:t>’</w:t>
      </w:r>
      <w:r>
        <w:rPr>
          <w:rFonts w:ascii="Times New Roman" w:hAnsi="Times New Roman"/>
          <w:sz w:val="24"/>
          <w:szCs w:val="24"/>
          <w:rtl w:val="0"/>
          <w:lang w:val="en-US"/>
        </w:rPr>
        <w:t xml:space="preserve">s model and this focuses on the degree to which the culture prizes traits that have been traditionally masculine, such as assertiveness and toughness in public life. High scoring cultures in this dimension reward individuals with material riches irrespective of the gender of the people being rewarded (Hofstede, 2009). These are societies where individuals grow up with the discipline of facing life as a competitive series of events and they need to do everything they can to win. Low scoring cultures </w:t>
      </w:r>
      <w:r>
        <w:rPr>
          <w:rFonts w:ascii="Times New Roman" w:hAnsi="Times New Roman"/>
          <w:sz w:val="24"/>
          <w:szCs w:val="24"/>
          <w:rtl w:val="0"/>
          <w:lang w:val="en-US"/>
        </w:rPr>
        <w:t>emphasise</w:t>
      </w:r>
      <w:r>
        <w:rPr>
          <w:rFonts w:ascii="Times New Roman" w:hAnsi="Times New Roman"/>
          <w:sz w:val="24"/>
          <w:szCs w:val="24"/>
          <w:rtl w:val="0"/>
          <w:lang w:val="en-US"/>
        </w:rPr>
        <w:t xml:space="preserve"> on traits such as modesty and empathy which are traditionally feminine, and individuals are raised to adopt collaboration instead of individual competition. Indonesia has a score of 46 in this dimension, which means that the culture is more feminine than it is masculine and communal achievements are preferred to individual material gains </w:t>
      </w:r>
      <w:r>
        <w:rPr>
          <w:rFonts w:ascii="Times New Roman" w:hAnsi="Times New Roman"/>
          <w:outline w:val="0"/>
          <w:color w:val="000000"/>
          <w:sz w:val="24"/>
          <w:szCs w:val="24"/>
          <w:u w:color="000000"/>
          <w:rtl w:val="0"/>
          <w:lang w:val="nl-NL"/>
          <w14:textFill>
            <w14:solidFill>
              <w14:srgbClr w14:val="000000"/>
            </w14:solidFill>
          </w14:textFill>
        </w:rPr>
        <w:t>(Hofstede Insights, n.d.)</w:t>
      </w:r>
      <w:r>
        <w:rPr>
          <w:rFonts w:ascii="Times New Roman" w:hAnsi="Times New Roman"/>
          <w:sz w:val="24"/>
          <w:szCs w:val="24"/>
          <w:rtl w:val="0"/>
        </w:rPr>
        <w: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uncertainty avoidance index is a measure of how far the society tolerates ambiguity and the unknown. It is a dimension that is focused on the effect that change and uncertainty have on members of the community, and how the people perceive these factors. Cultures with high uncertainty avoidance are </w:t>
      </w:r>
      <w:r>
        <w:rPr>
          <w:rFonts w:ascii="Times New Roman" w:hAnsi="Times New Roman"/>
          <w:sz w:val="24"/>
          <w:szCs w:val="24"/>
          <w:rtl w:val="0"/>
          <w:lang w:val="en-US"/>
        </w:rPr>
        <w:t>characterised</w:t>
      </w:r>
      <w:r>
        <w:rPr>
          <w:rFonts w:ascii="Times New Roman" w:hAnsi="Times New Roman"/>
          <w:sz w:val="24"/>
          <w:szCs w:val="24"/>
          <w:rtl w:val="0"/>
          <w:lang w:val="en-US"/>
        </w:rPr>
        <w:t xml:space="preserve"> with the preference of long-term social conventions and the people are not very comfortable with change and facing unknown situations (Hofstede, 2009). Societies with low uncertainty avoidance scores are </w:t>
      </w:r>
      <w:r>
        <w:rPr>
          <w:rFonts w:ascii="Times New Roman" w:hAnsi="Times New Roman"/>
          <w:sz w:val="24"/>
          <w:szCs w:val="24"/>
          <w:rtl w:val="0"/>
          <w:lang w:val="en-US"/>
        </w:rPr>
        <w:t>characterised</w:t>
      </w:r>
      <w:r>
        <w:rPr>
          <w:rFonts w:ascii="Times New Roman" w:hAnsi="Times New Roman"/>
          <w:sz w:val="24"/>
          <w:szCs w:val="24"/>
          <w:rtl w:val="0"/>
          <w:lang w:val="en-US"/>
        </w:rPr>
        <w:t xml:space="preserve"> by the preference of change and the people are not significantly affected by ambiguity and change. The Indonesian culture has a score of 48 which indicates that the people moderately tolerate change but mostly prefer stability and conventional ways of life that do not cause ambiguity </w:t>
      </w:r>
      <w:r>
        <w:rPr>
          <w:rFonts w:ascii="Times New Roman" w:hAnsi="Times New Roman"/>
          <w:outline w:val="0"/>
          <w:color w:val="000000"/>
          <w:sz w:val="24"/>
          <w:szCs w:val="24"/>
          <w:u w:color="000000"/>
          <w:rtl w:val="0"/>
          <w:lang w:val="nl-NL"/>
          <w14:textFill>
            <w14:solidFill>
              <w14:srgbClr w14:val="000000"/>
            </w14:solidFill>
          </w14:textFill>
        </w:rPr>
        <w:t>(Hofstede Insights, n.d.)</w:t>
      </w:r>
      <w:r>
        <w:rPr>
          <w:rFonts w:ascii="Times New Roman" w:hAnsi="Times New Roman"/>
          <w:sz w:val="24"/>
          <w:szCs w:val="24"/>
          <w:rtl w:val="0"/>
        </w:rPr>
        <w: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Long-term versus short-term orientation is the dimension that focuses on the degree to which the members of a society perceive the consistency in the past, present, and future. countries where the long-term orientation score is high typically have cultures that are act more pragmatically in the present as they prepare for the future (Hofstede, 2009). The cultures are prepared to delay pleasures and gratification in order to invest in long-term things like education. On the other hand, low scoring cultures in this dimension do not necessarily connect the past, present, and future and, instead, are more focused on instant gratification. Indonesia has a score of 62 in this dimension, indicating that the society places importance on the past and its impacts on the present and the future </w:t>
      </w:r>
      <w:r>
        <w:rPr>
          <w:rFonts w:ascii="Times New Roman" w:hAnsi="Times New Roman"/>
          <w:outline w:val="0"/>
          <w:color w:val="000000"/>
          <w:sz w:val="24"/>
          <w:szCs w:val="24"/>
          <w:u w:color="000000"/>
          <w:rtl w:val="0"/>
          <w:lang w:val="nl-NL"/>
          <w14:textFill>
            <w14:solidFill>
              <w14:srgbClr w14:val="000000"/>
            </w14:solidFill>
          </w14:textFill>
        </w:rPr>
        <w:t>(Hofstede Insights, n.d.)</w:t>
      </w:r>
      <w:r>
        <w:rPr>
          <w:rFonts w:ascii="Times New Roman" w:hAnsi="Times New Roman"/>
          <w:sz w:val="24"/>
          <w:szCs w:val="24"/>
          <w:rtl w:val="0"/>
          <w:lang w:val="en-US"/>
        </w:rPr>
        <w:t xml:space="preserve">. Hence, long-term planning and investments are </w:t>
      </w:r>
      <w:r>
        <w:rPr>
          <w:rFonts w:ascii="Times New Roman" w:hAnsi="Times New Roman"/>
          <w:sz w:val="24"/>
          <w:szCs w:val="24"/>
          <w:rtl w:val="0"/>
          <w:lang w:val="en-US"/>
        </w:rPr>
        <w:t>preferable</w:t>
      </w:r>
      <w:r>
        <w:rPr>
          <w:rFonts w:ascii="Times New Roman" w:hAnsi="Times New Roman"/>
          <w:sz w:val="24"/>
          <w:szCs w:val="24"/>
          <w:rtl w:val="0"/>
          <w:lang w:val="en-US"/>
        </w:rPr>
        <w:t xml:space="preserve"> in the Indonesian culture to short-term gratification.</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Indulgence versus restraint is the last dimension in Hofstede</w:t>
      </w:r>
      <w:r>
        <w:rPr>
          <w:rFonts w:ascii="Times New Roman" w:hAnsi="Times New Roman" w:hint="default"/>
          <w:sz w:val="24"/>
          <w:szCs w:val="24"/>
          <w:rtl w:val="0"/>
          <w:lang w:val="en-US"/>
        </w:rPr>
        <w:t>’</w:t>
      </w:r>
      <w:r>
        <w:rPr>
          <w:rFonts w:ascii="Times New Roman" w:hAnsi="Times New Roman"/>
          <w:sz w:val="24"/>
          <w:szCs w:val="24"/>
          <w:rtl w:val="0"/>
          <w:lang w:val="en-US"/>
        </w:rPr>
        <w:t xml:space="preserve">s model and this is focused on the cultural aspects of self-discipline and individual pleasures. Cultures with high scores in this dimension acknowledge human desire and people are encouraged to pursue pleasures and </w:t>
      </w:r>
      <w:r>
        <w:rPr>
          <w:rFonts w:ascii="Times New Roman" w:hAnsi="Times New Roman"/>
          <w:sz w:val="24"/>
          <w:szCs w:val="24"/>
          <w:rtl w:val="0"/>
          <w:lang w:val="en-US"/>
        </w:rPr>
        <w:t>self-fulfilment</w:t>
      </w:r>
      <w:r>
        <w:rPr>
          <w:rFonts w:ascii="Times New Roman" w:hAnsi="Times New Roman"/>
          <w:sz w:val="24"/>
          <w:szCs w:val="24"/>
          <w:rtl w:val="0"/>
          <w:lang w:val="en-US"/>
        </w:rPr>
        <w:t>. These are cultures where free speech and emotions are valued (Hofstede, 2009). On the other hand, cultures with low scores are more restrained and the society</w:t>
      </w:r>
      <w:r>
        <w:rPr>
          <w:rFonts w:ascii="Times New Roman" w:hAnsi="Times New Roman" w:hint="default"/>
          <w:sz w:val="24"/>
          <w:szCs w:val="24"/>
          <w:rtl w:val="0"/>
          <w:lang w:val="en-US"/>
        </w:rPr>
        <w:t>’</w:t>
      </w:r>
      <w:r>
        <w:rPr>
          <w:rFonts w:ascii="Times New Roman" w:hAnsi="Times New Roman"/>
          <w:sz w:val="24"/>
          <w:szCs w:val="24"/>
          <w:rtl w:val="0"/>
          <w:lang w:val="en-US"/>
        </w:rPr>
        <w:t xml:space="preserve">s cultural norms suppress the desire for people to pursue pleasure and </w:t>
      </w:r>
      <w:r>
        <w:rPr>
          <w:rFonts w:ascii="Times New Roman" w:hAnsi="Times New Roman"/>
          <w:sz w:val="24"/>
          <w:szCs w:val="24"/>
          <w:rtl w:val="0"/>
          <w:lang w:val="en-US"/>
        </w:rPr>
        <w:t>fulfilment</w:t>
      </w:r>
      <w:r>
        <w:rPr>
          <w:rFonts w:ascii="Times New Roman" w:hAnsi="Times New Roman"/>
          <w:sz w:val="24"/>
          <w:szCs w:val="24"/>
          <w:rtl w:val="0"/>
          <w:lang w:val="en-US"/>
        </w:rPr>
        <w:t xml:space="preserve"> and the people are not generally willing to offer opinion or show free emotions.  An indulgence score of 38 describes the Indonesian culture as a more restrained society and, therefore, the cultural norms are expected to suppress the need for personal gratification and other aspects like free speech and emotions </w:t>
      </w:r>
      <w:r>
        <w:rPr>
          <w:rFonts w:ascii="Times New Roman" w:hAnsi="Times New Roman"/>
          <w:outline w:val="0"/>
          <w:color w:val="000000"/>
          <w:sz w:val="24"/>
          <w:szCs w:val="24"/>
          <w:u w:color="000000"/>
          <w:rtl w:val="0"/>
          <w:lang w:val="nl-NL"/>
          <w14:textFill>
            <w14:solidFill>
              <w14:srgbClr w14:val="000000"/>
            </w14:solidFill>
          </w14:textFill>
        </w:rPr>
        <w:t>(Hofstede Insights, n.d.)</w:t>
      </w:r>
      <w:r>
        <w:rPr>
          <w:rFonts w:ascii="Times New Roman" w:hAnsi="Times New Roman"/>
          <w:sz w:val="24"/>
          <w:szCs w:val="24"/>
          <w:rtl w:val="0"/>
        </w:rPr>
        <w:t xml:space="preserve">. </w:t>
      </w:r>
    </w:p>
    <w:p>
      <w:pPr>
        <w:pStyle w:val="Heading"/>
        <w:rPr>
          <w:rFonts w:ascii="Helvetica" w:cs="Helvetica" w:hAnsi="Helvetica" w:eastAsia="Helvetica"/>
          <w:b w:val="1"/>
          <w:bCs w:val="1"/>
          <w:outline w:val="0"/>
          <w:color w:val="000000"/>
          <w:u w:color="000000"/>
          <w14:textFill>
            <w14:solidFill>
              <w14:srgbClr w14:val="000000"/>
            </w14:solidFill>
          </w14:textFill>
        </w:rPr>
      </w:pPr>
      <w:bookmarkStart w:name="_Toc3" w:id="3"/>
      <w:r>
        <w:rPr>
          <w:rFonts w:ascii="Helvetica" w:hAnsi="Helvetica"/>
          <w:b w:val="1"/>
          <w:bCs w:val="1"/>
          <w:outline w:val="0"/>
          <w:color w:val="000000"/>
          <w:u w:color="000000"/>
          <w:rtl w:val="0"/>
          <w:lang w:val="en-US"/>
          <w14:textFill>
            <w14:solidFill>
              <w14:srgbClr w14:val="000000"/>
            </w14:solidFill>
          </w14:textFill>
        </w:rPr>
        <w:t>Importance of cultural sensitivity</w:t>
      </w:r>
      <w:bookmarkEnd w:id="3"/>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Cultural sensitivity is generally defined as the willingness to accept that cultures are different without necessarily judging these differences and the similarities between different cultures according to values. In international business, cultural sensitivity is not only vital for the business to communicate with other businesses but also with different groups of consumers in the same market </w:t>
      </w:r>
      <w:r>
        <w:rPr>
          <w:rFonts w:ascii="Times New Roman" w:hAnsi="Times New Roman"/>
          <w:outline w:val="0"/>
          <w:color w:val="000000"/>
          <w:sz w:val="24"/>
          <w:szCs w:val="24"/>
          <w:u w:color="000000"/>
          <w:rtl w:val="0"/>
          <w:lang w:val="it-IT"/>
          <w14:textFill>
            <w14:solidFill>
              <w14:srgbClr w14:val="000000"/>
            </w14:solidFill>
          </w14:textFill>
        </w:rPr>
        <w:t>(Surianta, 2020)</w:t>
      </w:r>
      <w:r>
        <w:rPr>
          <w:rFonts w:ascii="Times New Roman" w:hAnsi="Times New Roman"/>
          <w:sz w:val="24"/>
          <w:szCs w:val="24"/>
          <w:rtl w:val="0"/>
          <w:lang w:val="en-US"/>
        </w:rPr>
        <w:t xml:space="preserve">. Businesses that are culturally aware operate with the understanding that customers, vendors, and employees may not share the same culture. Therefore, these </w:t>
      </w:r>
      <w:r>
        <w:rPr>
          <w:rFonts w:ascii="Times New Roman" w:hAnsi="Times New Roman"/>
          <w:sz w:val="24"/>
          <w:szCs w:val="24"/>
          <w:rtl w:val="0"/>
          <w:lang w:val="en-US"/>
        </w:rPr>
        <w:t>organisations</w:t>
      </w:r>
      <w:r>
        <w:rPr>
          <w:rFonts w:ascii="Times New Roman" w:hAnsi="Times New Roman"/>
          <w:sz w:val="24"/>
          <w:szCs w:val="24"/>
          <w:rtl w:val="0"/>
          <w:lang w:val="en-US"/>
        </w:rPr>
        <w:t xml:space="preserve"> seek to establish and maintain positive relationships with the employees, vendors, and customers by respecting all their cultures and not </w:t>
      </w:r>
      <w:r>
        <w:rPr>
          <w:rFonts w:ascii="Times New Roman" w:hAnsi="Times New Roman"/>
          <w:sz w:val="24"/>
          <w:szCs w:val="24"/>
          <w:rtl w:val="0"/>
          <w:lang w:val="en-US"/>
        </w:rPr>
        <w:t>victimising</w:t>
      </w:r>
      <w:r>
        <w:rPr>
          <w:rFonts w:ascii="Times New Roman" w:hAnsi="Times New Roman"/>
          <w:sz w:val="24"/>
          <w:szCs w:val="24"/>
          <w:rtl w:val="0"/>
          <w:lang w:val="en-US"/>
        </w:rPr>
        <w:t xml:space="preserve"> any of them according to cultural differences. When doing business in Indonesia, as in any other international market, it is critical to be aware of and to respect the cultural differences among the many groups of people in the country </w:t>
      </w:r>
      <w:r>
        <w:rPr>
          <w:rFonts w:ascii="Times New Roman" w:hAnsi="Times New Roman"/>
          <w:outline w:val="0"/>
          <w:color w:val="000000"/>
          <w:sz w:val="24"/>
          <w:szCs w:val="24"/>
          <w:u w:color="000000"/>
          <w:rtl w:val="0"/>
          <w:lang w:val="it-IT"/>
          <w14:textFill>
            <w14:solidFill>
              <w14:srgbClr w14:val="000000"/>
            </w14:solidFill>
          </w14:textFill>
        </w:rPr>
        <w:t>(Surianta, 2020)</w:t>
      </w:r>
      <w:r>
        <w:rPr>
          <w:rFonts w:ascii="Times New Roman" w:hAnsi="Times New Roman"/>
          <w:sz w:val="24"/>
          <w:szCs w:val="24"/>
          <w:rtl w:val="0"/>
        </w:rPr>
        <w:t xml:space="preserve">.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cultures of the country</w:t>
      </w:r>
      <w:r>
        <w:rPr>
          <w:rFonts w:ascii="Times New Roman" w:hAnsi="Times New Roman" w:hint="default"/>
          <w:sz w:val="24"/>
          <w:szCs w:val="24"/>
          <w:rtl w:val="0"/>
          <w:lang w:val="en-US"/>
        </w:rPr>
        <w:t>’</w:t>
      </w:r>
      <w:r>
        <w:rPr>
          <w:rFonts w:ascii="Times New Roman" w:hAnsi="Times New Roman"/>
          <w:sz w:val="24"/>
          <w:szCs w:val="24"/>
          <w:rtl w:val="0"/>
          <w:lang w:val="en-US"/>
        </w:rPr>
        <w:t>s inner islands are more homogeneous than it is in cosmopolitan areas, and the influence of such factors as religion, typically Islam, is more significant among the people living in those islands than it is among those who have interacted with more cultures and people of different religious backgrounds.it is important to understand that the variety of cultures in the country makes it nearly impossible for businesses there to have a one-size-fits-all cultural approach and, hence, it is vital that every business carries out an in-depth research on the specific region it is going to be based and start from that as a point to appeal to the rest of the population. It also requires companies to be aware and to respect the role of religion, given that Indonesia is the world</w:t>
      </w:r>
      <w:r>
        <w:rPr>
          <w:rFonts w:ascii="Times New Roman" w:hAnsi="Times New Roman" w:hint="default"/>
          <w:sz w:val="24"/>
          <w:szCs w:val="24"/>
          <w:rtl w:val="0"/>
          <w:lang w:val="en-US"/>
        </w:rPr>
        <w:t>’</w:t>
      </w:r>
      <w:r>
        <w:rPr>
          <w:rFonts w:ascii="Times New Roman" w:hAnsi="Times New Roman"/>
          <w:sz w:val="24"/>
          <w:szCs w:val="24"/>
          <w:rtl w:val="0"/>
          <w:lang w:val="en-US"/>
        </w:rPr>
        <w:t>s largest Muslim country by population, in the people</w:t>
      </w:r>
      <w:r>
        <w:rPr>
          <w:rFonts w:ascii="Times New Roman" w:hAnsi="Times New Roman" w:hint="default"/>
          <w:sz w:val="24"/>
          <w:szCs w:val="24"/>
          <w:rtl w:val="0"/>
          <w:lang w:val="en-US"/>
        </w:rPr>
        <w:t>’</w:t>
      </w:r>
      <w:r>
        <w:rPr>
          <w:rFonts w:ascii="Times New Roman" w:hAnsi="Times New Roman"/>
          <w:sz w:val="24"/>
          <w:szCs w:val="24"/>
          <w:rtl w:val="0"/>
          <w:lang w:val="en-US"/>
        </w:rPr>
        <w:t>s daily activities. Other religions also play a major part in the country</w:t>
      </w:r>
      <w:r>
        <w:rPr>
          <w:rFonts w:ascii="Times New Roman" w:hAnsi="Times New Roman" w:hint="default"/>
          <w:sz w:val="24"/>
          <w:szCs w:val="24"/>
          <w:rtl w:val="0"/>
          <w:lang w:val="en-US"/>
        </w:rPr>
        <w:t>’</w:t>
      </w:r>
      <w:r>
        <w:rPr>
          <w:rFonts w:ascii="Times New Roman" w:hAnsi="Times New Roman"/>
          <w:sz w:val="24"/>
          <w:szCs w:val="24"/>
          <w:rtl w:val="0"/>
          <w:lang w:val="en-US"/>
        </w:rPr>
        <w:t>s culture, and observing religion-related cultural aspects like holidays, praying times and spaces, communication, and dressing should be a priority for any foreign business in the country.</w:t>
      </w:r>
    </w:p>
    <w:p>
      <w:pPr>
        <w:pStyle w:val="Heading"/>
        <w:rPr>
          <w:rFonts w:ascii="Helvetica" w:cs="Helvetica" w:hAnsi="Helvetica" w:eastAsia="Helvetica"/>
          <w:b w:val="1"/>
          <w:bCs w:val="1"/>
          <w:outline w:val="0"/>
          <w:color w:val="000000"/>
          <w:u w:color="000000"/>
          <w14:textFill>
            <w14:solidFill>
              <w14:srgbClr w14:val="000000"/>
            </w14:solidFill>
          </w14:textFill>
        </w:rPr>
      </w:pPr>
      <w:bookmarkStart w:name="_Toc4" w:id="4"/>
      <w:r>
        <w:rPr>
          <w:rFonts w:ascii="Helvetica" w:hAnsi="Helvetica"/>
          <w:b w:val="1"/>
          <w:bCs w:val="1"/>
          <w:outline w:val="0"/>
          <w:color w:val="000000"/>
          <w:u w:color="000000"/>
          <w:rtl w:val="0"/>
          <w:lang w:val="en-US"/>
          <w14:textFill>
            <w14:solidFill>
              <w14:srgbClr w14:val="000000"/>
            </w14:solidFill>
          </w14:textFill>
        </w:rPr>
        <w:t>Communication challenges for businesses in Indonesia</w:t>
      </w:r>
      <w:bookmarkEnd w:id="4"/>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Indonesian economy is one of the fastest growing and stable ones in the world. As the largest economy in Southeast Asia, Indonesia has gradually opened up to the outside world in the last decades. However, the country remains a challenging place to do business for foreigners. The country is the region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most traditional culture and for this reason, it is easy for foreign companies to lose their focus on communication strategies, especially if they are based in the large cities which are more cosmopolitan than the rural areas </w:t>
      </w:r>
      <w:r>
        <w:rPr>
          <w:rFonts w:ascii="Times New Roman" w:hAnsi="Times New Roman"/>
          <w:outline w:val="0"/>
          <w:color w:val="000000"/>
          <w:sz w:val="24"/>
          <w:szCs w:val="24"/>
          <w:u w:color="000000"/>
          <w:rtl w:val="0"/>
          <w:lang w:val="en-US"/>
          <w14:textFill>
            <w14:solidFill>
              <w14:srgbClr w14:val="000000"/>
            </w14:solidFill>
          </w14:textFill>
        </w:rPr>
        <w:t>(Innovation Norway, 2017)</w:t>
      </w:r>
      <w:r>
        <w:rPr>
          <w:rFonts w:ascii="Times New Roman" w:hAnsi="Times New Roman"/>
          <w:sz w:val="24"/>
          <w:szCs w:val="24"/>
          <w:rtl w:val="0"/>
          <w:lang w:val="en-US"/>
        </w:rPr>
        <w:t>. While the population is generally known for its conservativeness, the rural population is more conservative than those in urban areas. Communication with foreigners can be a major challenge for Indonesians as the country</w:t>
      </w:r>
      <w:r>
        <w:rPr>
          <w:rFonts w:ascii="Times New Roman" w:hAnsi="Times New Roman" w:hint="default"/>
          <w:sz w:val="24"/>
          <w:szCs w:val="24"/>
          <w:rtl w:val="0"/>
          <w:lang w:val="en-US"/>
        </w:rPr>
        <w:t>’</w:t>
      </w:r>
      <w:r>
        <w:rPr>
          <w:rFonts w:ascii="Times New Roman" w:hAnsi="Times New Roman"/>
          <w:sz w:val="24"/>
          <w:szCs w:val="24"/>
          <w:rtl w:val="0"/>
          <w:lang w:val="en-US"/>
        </w:rPr>
        <w:t xml:space="preserve">s education system has lagged behind its neighbours for decades in spite of recent improvements. Compared to Western countries, the difference in the quality and amount of education with Indonesia is massive and can have significant impacts on how they interact with foreigners </w:t>
      </w:r>
      <w:r>
        <w:rPr>
          <w:rFonts w:ascii="Times New Roman" w:hAnsi="Times New Roman"/>
          <w:outline w:val="0"/>
          <w:color w:val="000000"/>
          <w:sz w:val="24"/>
          <w:szCs w:val="24"/>
          <w:u w:color="000000"/>
          <w:rtl w:val="0"/>
          <w:lang w:val="en-US"/>
          <w14:textFill>
            <w14:solidFill>
              <w14:srgbClr w14:val="000000"/>
            </w14:solidFill>
          </w14:textFill>
        </w:rPr>
        <w:t>(Innovation Norway, 2017)</w:t>
      </w:r>
      <w:r>
        <w:rPr>
          <w:rFonts w:ascii="Times New Roman" w:hAnsi="Times New Roman"/>
          <w:sz w:val="24"/>
          <w:szCs w:val="24"/>
          <w:rtl w:val="0"/>
        </w:rPr>
        <w:t xml:space="preserve">.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failures of the Indonesian education system have led to increasing proportions of school-aged children enrolling to Islamic schools. This means that the ways of life, including communication and beliefs when associating with foreigners are influenced by religion. Language barrier is also a significant challenge for businesses in the country </w:t>
      </w:r>
      <w:r>
        <w:rPr>
          <w:rFonts w:ascii="Times New Roman" w:hAnsi="Times New Roman"/>
          <w:outline w:val="0"/>
          <w:color w:val="000000"/>
          <w:sz w:val="24"/>
          <w:szCs w:val="24"/>
          <w:u w:color="000000"/>
          <w:rtl w:val="0"/>
          <w:lang w:val="en-US"/>
          <w14:textFill>
            <w14:solidFill>
              <w14:srgbClr w14:val="000000"/>
            </w14:solidFill>
          </w14:textFill>
        </w:rPr>
        <w:t>(Innovation Norway, 2017)</w:t>
      </w:r>
      <w:r>
        <w:rPr>
          <w:rFonts w:ascii="Times New Roman" w:hAnsi="Times New Roman"/>
          <w:sz w:val="24"/>
          <w:szCs w:val="24"/>
          <w:rtl w:val="0"/>
          <w:lang w:val="en-US"/>
        </w:rPr>
        <w:t>. Despite having Bahasa Indonesia as the country</w:t>
      </w:r>
      <w:r>
        <w:rPr>
          <w:rFonts w:ascii="Times New Roman" w:hAnsi="Times New Roman" w:hint="default"/>
          <w:sz w:val="24"/>
          <w:szCs w:val="24"/>
          <w:rtl w:val="0"/>
          <w:lang w:val="en-US"/>
        </w:rPr>
        <w:t>’</w:t>
      </w:r>
      <w:r>
        <w:rPr>
          <w:rFonts w:ascii="Times New Roman" w:hAnsi="Times New Roman"/>
          <w:sz w:val="24"/>
          <w:szCs w:val="24"/>
          <w:rtl w:val="0"/>
          <w:lang w:val="en-US"/>
        </w:rPr>
        <w:t>s official language, most people have their native languages and there are cases of these being preferred to the national language outside official contexts.</w:t>
      </w:r>
    </w:p>
    <w:p>
      <w:pPr>
        <w:pStyle w:val="Heading"/>
        <w:rPr>
          <w:rFonts w:ascii="Helvetica" w:cs="Helvetica" w:hAnsi="Helvetica" w:eastAsia="Helvetica"/>
          <w:b w:val="1"/>
          <w:bCs w:val="1"/>
          <w:outline w:val="0"/>
          <w:color w:val="000000"/>
          <w:u w:color="000000"/>
          <w14:textFill>
            <w14:solidFill>
              <w14:srgbClr w14:val="000000"/>
            </w14:solidFill>
          </w14:textFill>
        </w:rPr>
      </w:pPr>
      <w:bookmarkStart w:name="_Toc5" w:id="5"/>
      <w:r>
        <w:rPr>
          <w:rFonts w:ascii="Helvetica" w:hAnsi="Helvetica"/>
          <w:b w:val="1"/>
          <w:bCs w:val="1"/>
          <w:outline w:val="0"/>
          <w:color w:val="000000"/>
          <w:u w:color="000000"/>
          <w:rtl w:val="0"/>
          <w:lang w:val="en-US"/>
          <w14:textFill>
            <w14:solidFill>
              <w14:srgbClr w14:val="000000"/>
            </w14:solidFill>
          </w14:textFill>
        </w:rPr>
        <w:t xml:space="preserve">Recommended communication strategies </w:t>
      </w:r>
      <w:bookmarkEnd w:id="5"/>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starting point for most companies that want to succeed in the promising Indonesian market involves bridging the gap in communication and working skills in the Indonesian workforce. For the employees to attain international levels of communication where they can hold sustainable communication about the business with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hierarchy, the business should invest in staff training </w:t>
      </w:r>
      <w:r>
        <w:rPr>
          <w:rFonts w:ascii="Times New Roman" w:hAnsi="Times New Roman"/>
          <w:outline w:val="0"/>
          <w:color w:val="000000"/>
          <w:sz w:val="24"/>
          <w:szCs w:val="24"/>
          <w:u w:color="000000"/>
          <w:rtl w:val="0"/>
          <w:lang w:val="en-US"/>
          <w14:textFill>
            <w14:solidFill>
              <w14:srgbClr w14:val="000000"/>
            </w14:solidFill>
          </w14:textFill>
        </w:rPr>
        <w:t>(Innovation Norway, 2017)</w:t>
      </w:r>
      <w:r>
        <w:rPr>
          <w:rFonts w:ascii="Times New Roman" w:hAnsi="Times New Roman"/>
          <w:sz w:val="24"/>
          <w:szCs w:val="24"/>
          <w:rtl w:val="0"/>
          <w:lang w:val="en-US"/>
        </w:rPr>
        <w:t>. Hiring local employees in the country is not only beneficial for the company</w:t>
      </w:r>
      <w:r>
        <w:rPr>
          <w:rFonts w:ascii="Times New Roman" w:hAnsi="Times New Roman" w:hint="default"/>
          <w:sz w:val="24"/>
          <w:szCs w:val="24"/>
          <w:rtl w:val="0"/>
          <w:lang w:val="en-US"/>
        </w:rPr>
        <w:t>’</w:t>
      </w:r>
      <w:r>
        <w:rPr>
          <w:rFonts w:ascii="Times New Roman" w:hAnsi="Times New Roman"/>
          <w:sz w:val="24"/>
          <w:szCs w:val="24"/>
          <w:rtl w:val="0"/>
          <w:lang w:val="en-US"/>
        </w:rPr>
        <w:t>s communication with the local population but also for its image and reputation. However, the hired employees need to be given training to meet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western standards or what the company would expect to get from a western workforce. Written communication is often a challenge in Indonesia because they have had an education system that did not focus on the skills hence companies should offer training for their employees in this regard.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Additionally, the company could opt to </w:t>
      </w:r>
      <w:r>
        <w:rPr>
          <w:rFonts w:ascii="Times New Roman" w:hAnsi="Times New Roman"/>
          <w:sz w:val="24"/>
          <w:szCs w:val="24"/>
          <w:rtl w:val="0"/>
          <w:lang w:val="en-US"/>
        </w:rPr>
        <w:t>minimise</w:t>
      </w:r>
      <w:r>
        <w:rPr>
          <w:rFonts w:ascii="Times New Roman" w:hAnsi="Times New Roman"/>
          <w:sz w:val="24"/>
          <w:szCs w:val="24"/>
          <w:rtl w:val="0"/>
          <w:lang w:val="en-US"/>
        </w:rPr>
        <w:t xml:space="preserve"> the use of written communication to only the formal communications. In this regard, a section of the workforce working formally and who would be required to communicate in writing can be trained while the rest is of the employees are primarily addressed using verbal communication. Having a local workforce would also help reconcile the company</w:t>
      </w:r>
      <w:r>
        <w:rPr>
          <w:rFonts w:ascii="Times New Roman" w:hAnsi="Times New Roman" w:hint="default"/>
          <w:sz w:val="24"/>
          <w:szCs w:val="24"/>
          <w:rtl w:val="0"/>
          <w:lang w:val="en-US"/>
        </w:rPr>
        <w:t>’</w:t>
      </w:r>
      <w:r>
        <w:rPr>
          <w:rFonts w:ascii="Times New Roman" w:hAnsi="Times New Roman"/>
          <w:sz w:val="24"/>
          <w:szCs w:val="24"/>
          <w:rtl w:val="0"/>
          <w:lang w:val="en-US"/>
        </w:rPr>
        <w:t>s western nature with the diverse local communities as the employees would be better poised to approach the consumers in the most appropriate ways (Artina et al., 2020).</w:t>
      </w:r>
    </w:p>
    <w:p>
      <w:pPr>
        <w:pStyle w:val="Heading"/>
        <w:rPr>
          <w:rFonts w:ascii="Helvetica" w:cs="Helvetica" w:hAnsi="Helvetica" w:eastAsia="Helvetica"/>
          <w:b w:val="1"/>
          <w:bCs w:val="1"/>
          <w:outline w:val="0"/>
          <w:color w:val="000000"/>
          <w:u w:color="000000"/>
          <w14:textFill>
            <w14:solidFill>
              <w14:srgbClr w14:val="000000"/>
            </w14:solidFill>
          </w14:textFill>
        </w:rPr>
      </w:pPr>
      <w:bookmarkStart w:name="_Toc6" w:id="6"/>
      <w:r>
        <w:rPr>
          <w:rFonts w:ascii="Helvetica" w:hAnsi="Helvetica"/>
          <w:b w:val="1"/>
          <w:bCs w:val="1"/>
          <w:outline w:val="0"/>
          <w:color w:val="000000"/>
          <w:u w:color="000000"/>
          <w:rtl w:val="0"/>
          <w:lang w:val="fr-FR"/>
          <w14:textFill>
            <w14:solidFill>
              <w14:srgbClr w14:val="000000"/>
            </w14:solidFill>
          </w14:textFill>
        </w:rPr>
        <w:t xml:space="preserve">Conclusion </w:t>
      </w:r>
      <w:bookmarkEnd w:id="6"/>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Conclusion, Indonesia is an economy that is inviting for foreign companies to invest. The country is powered by its more than 270 million people and stable economic policies that have made it the leader in the region. However, there are various aspects of culture and communication that every foreign business should put into perspective. The first of these is aspects is that the country has a vast variety pf cultures and religions and all these have an impact on how people perceive business, working, communication, and overall presentation of the business. This report provides an overview of the Indonesian culture and the communication challenges that it poses to international businesses, and various recommendations of how to best approach the Indonesian market as a foreign firm.</w:t>
      </w:r>
    </w:p>
    <w:p>
      <w:pPr>
        <w:pStyle w:val="Body A"/>
        <w:spacing w:line="480" w:lineRule="auto"/>
        <w:rPr>
          <w:rFonts w:ascii="Times New Roman" w:cs="Times New Roman" w:hAnsi="Times New Roman" w:eastAsia="Times New Roman"/>
          <w:sz w:val="24"/>
          <w:szCs w:val="24"/>
        </w:rPr>
      </w:pPr>
    </w:p>
    <w:p>
      <w:pPr>
        <w:pStyle w:val="Body A"/>
        <w:spacing w:line="480" w:lineRule="auto"/>
      </w:pPr>
      <w:r>
        <w:rPr>
          <w:rFonts w:ascii="Arial Unicode MS" w:cs="Arial Unicode MS" w:hAnsi="Arial Unicode MS" w:eastAsia="Arial Unicode MS"/>
          <w:b w:val="0"/>
          <w:bCs w:val="0"/>
          <w:i w:val="0"/>
          <w:iCs w:val="0"/>
          <w:sz w:val="24"/>
          <w:szCs w:val="24"/>
        </w:rPr>
        <w:br w:type="page"/>
      </w:r>
    </w:p>
    <w:p>
      <w:pPr>
        <w:pStyle w:val="Heading"/>
        <w:rPr>
          <w:rFonts w:ascii="Helvetica" w:cs="Helvetica" w:hAnsi="Helvetica" w:eastAsia="Helvetica"/>
          <w:b w:val="1"/>
          <w:bCs w:val="1"/>
          <w:outline w:val="0"/>
          <w:color w:val="000000"/>
          <w:u w:color="000000"/>
          <w14:textFill>
            <w14:solidFill>
              <w14:srgbClr w14:val="000000"/>
            </w14:solidFill>
          </w14:textFill>
        </w:rPr>
      </w:pPr>
      <w:bookmarkStart w:name="_Toc7" w:id="7"/>
      <w:r>
        <w:rPr>
          <w:rFonts w:ascii="Helvetica" w:hAnsi="Helvetica"/>
          <w:b w:val="1"/>
          <w:bCs w:val="1"/>
          <w:outline w:val="0"/>
          <w:color w:val="000000"/>
          <w:u w:color="000000"/>
          <w:rtl w:val="0"/>
          <w:lang w:val="fr-FR"/>
          <w14:textFill>
            <w14:solidFill>
              <w14:srgbClr w14:val="000000"/>
            </w14:solidFill>
          </w14:textFill>
        </w:rPr>
        <w:t>References</w:t>
      </w:r>
      <w:bookmarkEnd w:id="7"/>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Artina, B. S., Desnasari, D., Fitriyah, F., &amp; Rizkita, R. G. (2020, May). The Workforce in Indonesian Organizations: An Analysis Based Upon the Cultural Dimensions of Hofstede</w:t>
      </w:r>
      <w:r>
        <w:rPr>
          <w:rFonts w:ascii="Times New Roman" w:hAnsi="Times New Roman" w:hint="default"/>
          <w:sz w:val="24"/>
          <w:szCs w:val="24"/>
          <w:rtl w:val="0"/>
          <w:lang w:val="en-US"/>
        </w:rPr>
        <w:t>’</w:t>
      </w:r>
      <w:r>
        <w:rPr>
          <w:rFonts w:ascii="Times New Roman" w:hAnsi="Times New Roman"/>
          <w:sz w:val="24"/>
          <w:szCs w:val="24"/>
          <w:rtl w:val="0"/>
          <w:lang w:val="it-IT"/>
        </w:rPr>
        <w:t xml:space="preserve">s Model. In </w:t>
      </w:r>
      <w:r>
        <w:rPr>
          <w:rFonts w:ascii="Times New Roman" w:hAnsi="Times New Roman"/>
          <w:i w:val="1"/>
          <w:iCs w:val="1"/>
          <w:sz w:val="24"/>
          <w:szCs w:val="24"/>
          <w:rtl w:val="0"/>
          <w:lang w:val="en-US"/>
        </w:rPr>
        <w:t>Journal of International Conference Proceedings (JICP)</w:t>
      </w:r>
      <w:r>
        <w:rPr>
          <w:rFonts w:ascii="Times New Roman" w:hAnsi="Times New Roman"/>
          <w:sz w:val="24"/>
          <w:szCs w:val="24"/>
          <w:rtl w:val="0"/>
        </w:rPr>
        <w:t xml:space="preserve"> (Vol. 3, No. 1, pp. 56-64).</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Baltes, B., Hernandez, D., &amp; Collins, C. (2015). Increasing Cultural Awareness through a Cultural Awareness Program. </w:t>
      </w:r>
      <w:r>
        <w:rPr>
          <w:rFonts w:ascii="Times New Roman" w:hAnsi="Times New Roman"/>
          <w:i w:val="1"/>
          <w:iCs w:val="1"/>
          <w:sz w:val="24"/>
          <w:szCs w:val="24"/>
          <w:rtl w:val="0"/>
          <w:lang w:val="en-US"/>
        </w:rPr>
        <w:t>Journal of Educational Research and Practice</w:t>
      </w:r>
      <w:r>
        <w:rPr>
          <w:rFonts w:ascii="Times New Roman" w:hAnsi="Times New Roman"/>
          <w:sz w:val="24"/>
          <w:szCs w:val="24"/>
          <w:rtl w:val="0"/>
        </w:rPr>
        <w:t xml:space="preserve">, </w:t>
      </w:r>
      <w:r>
        <w:rPr>
          <w:rFonts w:ascii="Times New Roman" w:hAnsi="Times New Roman"/>
          <w:i w:val="1"/>
          <w:iCs w:val="1"/>
          <w:sz w:val="24"/>
          <w:szCs w:val="24"/>
          <w:rtl w:val="0"/>
        </w:rPr>
        <w:t>5</w:t>
      </w:r>
      <w:r>
        <w:rPr>
          <w:rFonts w:ascii="Times New Roman" w:hAnsi="Times New Roman"/>
          <w:sz w:val="24"/>
          <w:szCs w:val="24"/>
          <w:rtl w:val="0"/>
        </w:rPr>
        <w:t>(1), 1-20.</w:t>
      </w:r>
    </w:p>
    <w:p>
      <w:pPr>
        <w:pStyle w:val="Body A"/>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Falahat, M., Ramayah, T., Soto-Acosta, P., &amp; Lee, Y. Y. (2020). SMEs internationalization: The role of product innovation, market intelligence, pricing and marketing communication capabilities as drivers of SMEs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international performance. </w:t>
      </w:r>
      <w:r>
        <w:rPr>
          <w:rFonts w:ascii="Times New Roman" w:hAnsi="Times New Roman"/>
          <w:i w:val="1"/>
          <w:iCs w:val="1"/>
          <w:sz w:val="24"/>
          <w:szCs w:val="24"/>
          <w:rtl w:val="0"/>
          <w:lang w:val="en-US"/>
        </w:rPr>
        <w:t>Technological Forecasting and Social Change</w:t>
      </w:r>
      <w:r>
        <w:rPr>
          <w:rFonts w:ascii="Times New Roman" w:hAnsi="Times New Roman"/>
          <w:sz w:val="24"/>
          <w:szCs w:val="24"/>
          <w:rtl w:val="0"/>
        </w:rPr>
        <w:t xml:space="preserve">, </w:t>
      </w:r>
      <w:r>
        <w:rPr>
          <w:rFonts w:ascii="Times New Roman" w:hAnsi="Times New Roman"/>
          <w:i w:val="1"/>
          <w:iCs w:val="1"/>
          <w:sz w:val="24"/>
          <w:szCs w:val="24"/>
          <w:rtl w:val="0"/>
        </w:rPr>
        <w:t>152</w:t>
      </w:r>
      <w:r>
        <w:rPr>
          <w:rFonts w:ascii="Times New Roman" w:hAnsi="Times New Roman"/>
          <w:sz w:val="24"/>
          <w:szCs w:val="24"/>
          <w:rtl w:val="0"/>
        </w:rPr>
        <w:t>, 119908.</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outline w:val="0"/>
          <w:color w:val="000000"/>
          <w:sz w:val="24"/>
          <w:szCs w:val="24"/>
          <w:u w:color="000000"/>
          <w:rtl w:val="0"/>
          <w14:textFill>
            <w14:solidFill>
              <w14:srgbClr w14:val="000000"/>
            </w14:solidFill>
          </w14:textFill>
        </w:rPr>
        <w:t xml:space="preserve">Hofstede Insights. </w:t>
      </w:r>
      <w:r>
        <w:rPr>
          <w:rFonts w:ascii="Times New Roman" w:hAnsi="Times New Roman"/>
          <w:i w:val="1"/>
          <w:iCs w:val="1"/>
          <w:outline w:val="0"/>
          <w:color w:val="000000"/>
          <w:sz w:val="24"/>
          <w:szCs w:val="24"/>
          <w:u w:color="000000"/>
          <w:rtl w:val="0"/>
          <w:lang w:val="en-US"/>
          <w14:textFill>
            <w14:solidFill>
              <w14:srgbClr w14:val="000000"/>
            </w14:solidFill>
          </w14:textFill>
        </w:rPr>
        <w:t>Country Comparison - Hofstede Insights</w:t>
      </w:r>
      <w:r>
        <w:rPr>
          <w:rFonts w:ascii="Times New Roman" w:hAnsi="Times New Roman"/>
          <w:outline w:val="0"/>
          <w:color w:val="000000"/>
          <w:sz w:val="24"/>
          <w:szCs w:val="24"/>
          <w:u w:color="000000"/>
          <w:rtl w:val="0"/>
          <w:lang w:val="en-US"/>
          <w14:textFill>
            <w14:solidFill>
              <w14:srgbClr w14:val="000000"/>
            </w14:solidFill>
          </w14:textFill>
        </w:rPr>
        <w:t>. Hofstede Insights. Retrieved 28 April 2022, from https://www.hofstede-insights.com/country-comparison/indonesia/.</w:t>
      </w:r>
      <w:r>
        <w:rPr>
          <w:rFonts w:ascii="Times New Roman" w:hAnsi="Times New Roman"/>
          <w:sz w:val="24"/>
          <w:szCs w:val="24"/>
          <w:rtl w:val="0"/>
        </w:rPr>
        <w:t xml:space="preserve"> </w:t>
      </w:r>
      <w:r>
        <w:rPr>
          <w:rFonts w:ascii="Arial Unicode MS" w:cs="Arial Unicode MS" w:hAnsi="Arial Unicode MS" w:eastAsia="Arial Unicode MS"/>
          <w:sz w:val="24"/>
          <w:szCs w:val="24"/>
        </w:rPr>
        <w:br w:type="textWrapping"/>
      </w:r>
      <w:r>
        <w:rPr>
          <w:rFonts w:ascii="Times New Roman" w:hAnsi="Times New Roman"/>
          <w:sz w:val="24"/>
          <w:szCs w:val="24"/>
          <w:rtl w:val="0"/>
          <w:lang w:val="it-IT"/>
        </w:rPr>
        <w:t xml:space="preserve">Indonesia, S. (2019). </w:t>
      </w:r>
      <w:r>
        <w:rPr>
          <w:rFonts w:ascii="Times New Roman" w:hAnsi="Times New Roman"/>
          <w:i w:val="1"/>
          <w:iCs w:val="1"/>
          <w:sz w:val="24"/>
          <w:szCs w:val="24"/>
          <w:rtl w:val="0"/>
          <w:lang w:val="en-US"/>
        </w:rPr>
        <w:t>Statistical yearbook of Indonesia 2009</w:t>
      </w:r>
      <w:r>
        <w:rPr>
          <w:rFonts w:ascii="Times New Roman" w:hAnsi="Times New Roman"/>
          <w:sz w:val="24"/>
          <w:szCs w:val="24"/>
          <w:rtl w:val="0"/>
          <w:lang w:val="en-US"/>
        </w:rPr>
        <w:t>. Statistics Indonesia.</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nl-NL"/>
        </w:rPr>
        <w:t>Hofstede, G. (2009). Geert Hofstede cultural dimensions.</w:t>
      </w:r>
    </w:p>
    <w:p>
      <w:pPr>
        <w:pStyle w:val="Normal (Web)"/>
        <w:spacing w:line="480" w:lineRule="auto"/>
        <w:ind w:left="720" w:hanging="720"/>
      </w:pPr>
      <w:r>
        <w:rPr>
          <w:outline w:val="0"/>
          <w:color w:val="000000"/>
          <w:u w:color="000000"/>
          <w:rtl w:val="0"/>
          <w:lang w:val="en-US"/>
          <w14:textFill>
            <w14:solidFill>
              <w14:srgbClr w14:val="000000"/>
            </w14:solidFill>
          </w14:textFill>
        </w:rPr>
        <w:t xml:space="preserve">Innovation Norway. (2017). </w:t>
      </w:r>
      <w:r>
        <w:rPr>
          <w:i w:val="1"/>
          <w:iCs w:val="1"/>
          <w:outline w:val="0"/>
          <w:color w:val="000000"/>
          <w:u w:color="000000"/>
          <w:rtl w:val="0"/>
          <w:lang w:val="en-US"/>
          <w14:textFill>
            <w14:solidFill>
              <w14:srgbClr w14:val="000000"/>
            </w14:solidFill>
          </w14:textFill>
        </w:rPr>
        <w:t>Challenges of Doing Business In Indonesia</w:t>
      </w:r>
      <w:r>
        <w:rPr>
          <w:outline w:val="0"/>
          <w:color w:val="000000"/>
          <w:u w:color="000000"/>
          <w:rtl w:val="0"/>
          <w:lang w:val="en-US"/>
          <w14:textFill>
            <w14:solidFill>
              <w14:srgbClr w14:val="000000"/>
            </w14:solidFill>
          </w14:textFill>
        </w:rPr>
        <w:t>. Innovasjonnorge.no. Retrieved 28 April 2022, from https://www.innovasjonnorge.no/contentassets/1467ee9b32034caa8a6052c47b1188bc/2017.10.25-final-report---challenges-of-doing-business-in-indonesia.pdf.</w:t>
      </w:r>
      <w:r>
        <w:rPr>
          <w:rtl w:val="0"/>
          <w:lang w:val="en-US"/>
        </w:rPr>
        <w:t xml:space="preserve"> </w:t>
      </w:r>
    </w:p>
    <w:p>
      <w:pPr>
        <w:pStyle w:val="Body A"/>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rPr>
        <w:t xml:space="preserve">Irwin, H. (2020). </w:t>
      </w:r>
      <w:r>
        <w:rPr>
          <w:rFonts w:ascii="Times New Roman" w:hAnsi="Times New Roman"/>
          <w:i w:val="1"/>
          <w:iCs w:val="1"/>
          <w:sz w:val="24"/>
          <w:szCs w:val="24"/>
          <w:rtl w:val="0"/>
          <w:lang w:val="en-US"/>
        </w:rPr>
        <w:t>Communicating with Asia: Understanding people and customs</w:t>
      </w:r>
      <w:r>
        <w:rPr>
          <w:rFonts w:ascii="Times New Roman" w:hAnsi="Times New Roman"/>
          <w:sz w:val="24"/>
          <w:szCs w:val="24"/>
          <w:rtl w:val="0"/>
          <w:lang w:val="en-US"/>
        </w:rPr>
        <w:t>. Routledge.</w:t>
      </w:r>
    </w:p>
    <w:p>
      <w:pPr>
        <w:pStyle w:val="Body A"/>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Srivastava, S., Singh, S., &amp; Dhir, S. (2020). Culture and International business research: A review and research agenda. </w:t>
      </w:r>
      <w:r>
        <w:rPr>
          <w:rFonts w:ascii="Times New Roman" w:hAnsi="Times New Roman"/>
          <w:i w:val="1"/>
          <w:iCs w:val="1"/>
          <w:sz w:val="24"/>
          <w:szCs w:val="24"/>
          <w:rtl w:val="0"/>
          <w:lang w:val="en-US"/>
        </w:rPr>
        <w:t>International Business Review</w:t>
      </w:r>
      <w:r>
        <w:rPr>
          <w:rFonts w:ascii="Times New Roman" w:hAnsi="Times New Roman"/>
          <w:sz w:val="24"/>
          <w:szCs w:val="24"/>
          <w:rtl w:val="0"/>
        </w:rPr>
        <w:t xml:space="preserve">, </w:t>
      </w:r>
      <w:r>
        <w:rPr>
          <w:rFonts w:ascii="Times New Roman" w:hAnsi="Times New Roman"/>
          <w:i w:val="1"/>
          <w:iCs w:val="1"/>
          <w:sz w:val="24"/>
          <w:szCs w:val="24"/>
          <w:rtl w:val="0"/>
        </w:rPr>
        <w:t>29</w:t>
      </w:r>
      <w:r>
        <w:rPr>
          <w:rFonts w:ascii="Times New Roman" w:hAnsi="Times New Roman"/>
          <w:sz w:val="24"/>
          <w:szCs w:val="24"/>
          <w:rtl w:val="0"/>
        </w:rPr>
        <w:t>(4), 101709.</w:t>
      </w:r>
    </w:p>
    <w:p>
      <w:pPr>
        <w:pStyle w:val="Normal (Web)"/>
        <w:spacing w:line="480" w:lineRule="auto"/>
        <w:ind w:left="720" w:hanging="720"/>
      </w:pPr>
      <w:r>
        <w:rPr>
          <w:outline w:val="0"/>
          <w:color w:val="000000"/>
          <w:u w:color="000000"/>
          <w:rtl w:val="0"/>
          <w:lang w:val="en-US"/>
          <w14:textFill>
            <w14:solidFill>
              <w14:srgbClr w14:val="000000"/>
            </w14:solidFill>
          </w14:textFill>
        </w:rPr>
        <w:t xml:space="preserve">Surianta, A. (2020). </w:t>
      </w:r>
      <w:r>
        <w:rPr>
          <w:i w:val="1"/>
          <w:iCs w:val="1"/>
          <w:outline w:val="0"/>
          <w:color w:val="000000"/>
          <w:u w:color="000000"/>
          <w:rtl w:val="0"/>
          <w:lang w:val="en-US"/>
          <w14:textFill>
            <w14:solidFill>
              <w14:srgbClr w14:val="000000"/>
            </w14:solidFill>
          </w14:textFill>
        </w:rPr>
        <w:t>Language barriers blocking business in Indonesia | East Asia Forum</w:t>
      </w:r>
      <w:r>
        <w:rPr>
          <w:outline w:val="0"/>
          <w:color w:val="000000"/>
          <w:u w:color="000000"/>
          <w:rtl w:val="0"/>
          <w:lang w:val="en-US"/>
          <w14:textFill>
            <w14:solidFill>
              <w14:srgbClr w14:val="000000"/>
            </w14:solidFill>
          </w14:textFill>
        </w:rPr>
        <w:t>. East Asia Forum. Retrieved 28 April 2022, from https://www.eastasiaforum.org/2020/08/22/language-barriers-blocking-business-in-indonesia/.</w:t>
      </w:r>
      <w:r>
        <w:rPr>
          <w:rtl w:val="0"/>
          <w:lang w:val="en-US"/>
        </w:rPr>
        <w:t xml:space="preserve"> </w:t>
      </w:r>
    </w:p>
    <w:p>
      <w:pPr>
        <w:pStyle w:val="Normal (Web)"/>
        <w:spacing w:line="480" w:lineRule="auto"/>
      </w:pPr>
    </w:p>
    <w:p>
      <w:pPr>
        <w:pStyle w:val="Normal (Web)"/>
        <w:spacing w:line="480" w:lineRule="auto"/>
      </w:pPr>
    </w:p>
    <w:p>
      <w:pPr>
        <w:pStyle w:val="Body A"/>
        <w:spacing w:after="0" w:line="480" w:lineRule="auto"/>
        <w:ind w:left="720" w:hanging="720"/>
      </w:pPr>
      <w:r>
        <w:rPr>
          <w:rFonts w:ascii="Times New Roman" w:cs="Times New Roman" w:hAnsi="Times New Roman" w:eastAsia="Times New Roman"/>
          <w:sz w:val="24"/>
          <w:szCs w:val="24"/>
        </w:rPr>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libri Light">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INTERNATIONAL BUSINESS COMMUNICATION</w:t>
      <w:tab/>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t>1</w:t>
    </w:r>
    <w:r>
      <w:rPr>
        <w:rFonts w:ascii="Times New Roman" w:cs="Times New Roman" w:hAnsi="Times New Roman" w:eastAsia="Times New Roman"/>
        <w:sz w:val="24"/>
        <w:szCs w:val="24"/>
        <w:rtl w:val="0"/>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14:textOutline w14:w="12700" w14:cap="flat">
        <w14:noFill/>
        <w14:miter w14:lim="400000"/>
      </w14:textOutline>
      <w14:textFill>
        <w14:solidFill>
          <w14:srgbClr w14:val="2F5496"/>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