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DEA6D4" w14:textId="50DCA347" w:rsidR="00A0614C" w:rsidRPr="00C87432" w:rsidRDefault="00A0614C" w:rsidP="00A0614C">
      <w:pPr>
        <w:contextualSpacing/>
        <w:rPr>
          <w:rFonts w:ascii="Times New Roman" w:hAnsi="Times New Roman" w:cs="Times New Roman"/>
          <w:u w:val="single"/>
        </w:rPr>
      </w:pPr>
      <w:r w:rsidRPr="00C87432">
        <w:rPr>
          <w:rFonts w:ascii="Times New Roman" w:hAnsi="Times New Roman" w:cs="Times New Roman"/>
          <w:u w:val="single"/>
        </w:rPr>
        <w:t>The life of a conscientious objector in Britain during the First World War was one dominated by institutional abuse and harsh treatment. Discuss.</w:t>
      </w:r>
    </w:p>
    <w:p w14:paraId="5C9D9945" w14:textId="62BA582C" w:rsidR="00A0614C" w:rsidRPr="00C87432" w:rsidRDefault="00A0614C" w:rsidP="001C319D">
      <w:pPr>
        <w:contextualSpacing/>
        <w:rPr>
          <w:rFonts w:ascii="Times New Roman" w:hAnsi="Times New Roman" w:cs="Times New Roman"/>
          <w:u w:val="single"/>
        </w:rPr>
      </w:pPr>
    </w:p>
    <w:p w14:paraId="4E31D84B" w14:textId="6369EE88" w:rsidR="00C20711" w:rsidRDefault="006A0F03" w:rsidP="001C319D">
      <w:pPr>
        <w:contextualSpacing/>
        <w:rPr>
          <w:rFonts w:ascii="Times New Roman" w:hAnsi="Times New Roman" w:cs="Times New Roman"/>
        </w:rPr>
      </w:pPr>
      <w:r w:rsidRPr="00C87432">
        <w:rPr>
          <w:rFonts w:ascii="Times New Roman" w:hAnsi="Times New Roman" w:cs="Times New Roman"/>
        </w:rPr>
        <w:t xml:space="preserve">Conscientious objectors, or ‘Conchies’, can be defined as a person who opposes the idea of baring arms or someone who objects to military training and service. </w:t>
      </w:r>
      <w:r w:rsidR="000D3D6D" w:rsidRPr="00C87432">
        <w:rPr>
          <w:rFonts w:ascii="Times New Roman" w:hAnsi="Times New Roman" w:cs="Times New Roman"/>
        </w:rPr>
        <w:t xml:space="preserve">Conscientious Objectors, which will be </w:t>
      </w:r>
      <w:r w:rsidR="00EE7B6A" w:rsidRPr="00C87432">
        <w:rPr>
          <w:rFonts w:ascii="Times New Roman" w:hAnsi="Times New Roman" w:cs="Times New Roman"/>
        </w:rPr>
        <w:t>referred</w:t>
      </w:r>
      <w:r w:rsidR="000D3D6D" w:rsidRPr="00C87432">
        <w:rPr>
          <w:rFonts w:ascii="Times New Roman" w:hAnsi="Times New Roman" w:cs="Times New Roman"/>
        </w:rPr>
        <w:t xml:space="preserve"> to as COs</w:t>
      </w:r>
      <w:r w:rsidR="00EE7B6A" w:rsidRPr="00C87432">
        <w:rPr>
          <w:rFonts w:ascii="Times New Roman" w:hAnsi="Times New Roman" w:cs="Times New Roman"/>
        </w:rPr>
        <w:t xml:space="preserve"> throughout this essay, were often seen as villains</w:t>
      </w:r>
      <w:r w:rsidR="004F3ADF" w:rsidRPr="00C87432">
        <w:rPr>
          <w:rFonts w:ascii="Times New Roman" w:hAnsi="Times New Roman" w:cs="Times New Roman"/>
        </w:rPr>
        <w:t xml:space="preserve"> and cowards</w:t>
      </w:r>
      <w:r w:rsidR="00EE7B6A" w:rsidRPr="00C87432">
        <w:rPr>
          <w:rFonts w:ascii="Times New Roman" w:hAnsi="Times New Roman" w:cs="Times New Roman"/>
        </w:rPr>
        <w:t xml:space="preserve"> throughout </w:t>
      </w:r>
      <w:r w:rsidR="00BA77B3" w:rsidRPr="00C87432">
        <w:rPr>
          <w:rFonts w:ascii="Times New Roman" w:hAnsi="Times New Roman" w:cs="Times New Roman"/>
        </w:rPr>
        <w:t>the</w:t>
      </w:r>
      <w:r w:rsidR="00A45290">
        <w:rPr>
          <w:rFonts w:ascii="Times New Roman" w:hAnsi="Times New Roman" w:cs="Times New Roman"/>
        </w:rPr>
        <w:t xml:space="preserve"> Great</w:t>
      </w:r>
      <w:r w:rsidR="00BA77B3" w:rsidRPr="00C87432">
        <w:rPr>
          <w:rFonts w:ascii="Times New Roman" w:hAnsi="Times New Roman" w:cs="Times New Roman"/>
        </w:rPr>
        <w:t xml:space="preserve"> War</w:t>
      </w:r>
      <w:r w:rsidR="004645A1" w:rsidRPr="00C87432">
        <w:rPr>
          <w:rFonts w:ascii="Times New Roman" w:hAnsi="Times New Roman" w:cs="Times New Roman"/>
        </w:rPr>
        <w:t xml:space="preserve"> by the public and some members of the government</w:t>
      </w:r>
      <w:r w:rsidR="00BA77B3" w:rsidRPr="00C87432">
        <w:rPr>
          <w:rFonts w:ascii="Times New Roman" w:hAnsi="Times New Roman" w:cs="Times New Roman"/>
        </w:rPr>
        <w:t>. Their treatment during the</w:t>
      </w:r>
      <w:r w:rsidR="00A45290">
        <w:rPr>
          <w:rFonts w:ascii="Times New Roman" w:hAnsi="Times New Roman" w:cs="Times New Roman"/>
        </w:rPr>
        <w:t xml:space="preserve"> </w:t>
      </w:r>
      <w:r w:rsidR="00AC674E" w:rsidRPr="00C87432">
        <w:rPr>
          <w:rFonts w:ascii="Times New Roman" w:hAnsi="Times New Roman" w:cs="Times New Roman"/>
        </w:rPr>
        <w:t xml:space="preserve">War was harsh and </w:t>
      </w:r>
      <w:r w:rsidR="00CF2A52" w:rsidRPr="00C87432">
        <w:rPr>
          <w:rFonts w:ascii="Times New Roman" w:hAnsi="Times New Roman" w:cs="Times New Roman"/>
        </w:rPr>
        <w:t xml:space="preserve">often prejudice towards them. </w:t>
      </w:r>
      <w:r w:rsidR="00CF3A74" w:rsidRPr="00C87432">
        <w:rPr>
          <w:rFonts w:ascii="Times New Roman" w:hAnsi="Times New Roman" w:cs="Times New Roman"/>
        </w:rPr>
        <w:t xml:space="preserve">Throughout this essay I will </w:t>
      </w:r>
      <w:r w:rsidR="00B47A15" w:rsidRPr="00C87432">
        <w:rPr>
          <w:rFonts w:ascii="Times New Roman" w:hAnsi="Times New Roman" w:cs="Times New Roman"/>
        </w:rPr>
        <w:t xml:space="preserve">be mainly using </w:t>
      </w:r>
      <w:r w:rsidR="0023189C" w:rsidRPr="00C87432">
        <w:rPr>
          <w:rFonts w:ascii="Times New Roman" w:hAnsi="Times New Roman" w:cs="Times New Roman"/>
        </w:rPr>
        <w:t>historian</w:t>
      </w:r>
      <w:r w:rsidR="00A04D3D" w:rsidRPr="00C87432">
        <w:rPr>
          <w:rFonts w:ascii="Times New Roman" w:hAnsi="Times New Roman" w:cs="Times New Roman"/>
        </w:rPr>
        <w:t xml:space="preserve"> </w:t>
      </w:r>
      <w:r w:rsidR="00B47A15" w:rsidRPr="00C87432">
        <w:rPr>
          <w:rFonts w:ascii="Times New Roman" w:hAnsi="Times New Roman" w:cs="Times New Roman"/>
        </w:rPr>
        <w:t>Ann Kramer</w:t>
      </w:r>
      <w:r w:rsidR="004007DF" w:rsidRPr="00C87432">
        <w:rPr>
          <w:rFonts w:ascii="Times New Roman" w:hAnsi="Times New Roman" w:cs="Times New Roman"/>
        </w:rPr>
        <w:t>’</w:t>
      </w:r>
      <w:r w:rsidR="00B47A15" w:rsidRPr="00C87432">
        <w:rPr>
          <w:rFonts w:ascii="Times New Roman" w:hAnsi="Times New Roman" w:cs="Times New Roman"/>
        </w:rPr>
        <w:t>s book ‘Conscientious Objectors of the First World War’</w:t>
      </w:r>
      <w:r w:rsidR="00CF3A74" w:rsidRPr="00C87432">
        <w:rPr>
          <w:rFonts w:ascii="Times New Roman" w:hAnsi="Times New Roman" w:cs="Times New Roman"/>
        </w:rPr>
        <w:t xml:space="preserve"> to </w:t>
      </w:r>
      <w:r w:rsidR="009432BE" w:rsidRPr="00C87432">
        <w:rPr>
          <w:rFonts w:ascii="Times New Roman" w:hAnsi="Times New Roman" w:cs="Times New Roman"/>
        </w:rPr>
        <w:t xml:space="preserve">show the </w:t>
      </w:r>
      <w:r w:rsidR="00A43BA3" w:rsidRPr="00C87432">
        <w:rPr>
          <w:rFonts w:ascii="Times New Roman" w:hAnsi="Times New Roman" w:cs="Times New Roman"/>
        </w:rPr>
        <w:t>prejudice aimed towards COs</w:t>
      </w:r>
      <w:r w:rsidR="00A04D3D" w:rsidRPr="00C87432">
        <w:rPr>
          <w:rFonts w:ascii="Times New Roman" w:hAnsi="Times New Roman" w:cs="Times New Roman"/>
        </w:rPr>
        <w:t xml:space="preserve"> </w:t>
      </w:r>
      <w:r w:rsidR="006B3A39" w:rsidRPr="00C87432">
        <w:rPr>
          <w:rFonts w:ascii="Times New Roman" w:hAnsi="Times New Roman" w:cs="Times New Roman"/>
        </w:rPr>
        <w:t>by</w:t>
      </w:r>
      <w:r w:rsidR="00A04D3D" w:rsidRPr="00C87432">
        <w:rPr>
          <w:rFonts w:ascii="Times New Roman" w:hAnsi="Times New Roman" w:cs="Times New Roman"/>
        </w:rPr>
        <w:t xml:space="preserve"> focusing on </w:t>
      </w:r>
      <w:r w:rsidR="000D5B86" w:rsidRPr="00C87432">
        <w:rPr>
          <w:rFonts w:ascii="Times New Roman" w:hAnsi="Times New Roman" w:cs="Times New Roman"/>
        </w:rPr>
        <w:t>the conditions of prisons</w:t>
      </w:r>
      <w:r w:rsidR="00367E55" w:rsidRPr="00C87432">
        <w:rPr>
          <w:rFonts w:ascii="Times New Roman" w:hAnsi="Times New Roman" w:cs="Times New Roman"/>
        </w:rPr>
        <w:t>, which were considered inadequate</w:t>
      </w:r>
      <w:r w:rsidR="0057380C" w:rsidRPr="00C87432">
        <w:rPr>
          <w:rFonts w:ascii="Times New Roman" w:hAnsi="Times New Roman" w:cs="Times New Roman"/>
        </w:rPr>
        <w:t xml:space="preserve"> for a </w:t>
      </w:r>
      <w:r w:rsidR="00996D84" w:rsidRPr="00C87432">
        <w:rPr>
          <w:rFonts w:ascii="Times New Roman" w:hAnsi="Times New Roman" w:cs="Times New Roman"/>
        </w:rPr>
        <w:t>prisoner’s</w:t>
      </w:r>
      <w:r w:rsidR="0057380C" w:rsidRPr="00C87432">
        <w:rPr>
          <w:rFonts w:ascii="Times New Roman" w:hAnsi="Times New Roman" w:cs="Times New Roman"/>
        </w:rPr>
        <w:t xml:space="preserve"> wellbeing</w:t>
      </w:r>
      <w:r w:rsidR="00343E7F" w:rsidRPr="00C87432">
        <w:rPr>
          <w:rFonts w:ascii="Times New Roman" w:hAnsi="Times New Roman" w:cs="Times New Roman"/>
        </w:rPr>
        <w:t>,</w:t>
      </w:r>
      <w:r w:rsidR="000D5B86" w:rsidRPr="00C87432">
        <w:rPr>
          <w:rFonts w:ascii="Times New Roman" w:hAnsi="Times New Roman" w:cs="Times New Roman"/>
        </w:rPr>
        <w:t xml:space="preserve"> and the </w:t>
      </w:r>
      <w:r w:rsidR="005219C4" w:rsidRPr="00C87432">
        <w:rPr>
          <w:rFonts w:ascii="Times New Roman" w:hAnsi="Times New Roman" w:cs="Times New Roman"/>
        </w:rPr>
        <w:t xml:space="preserve">biasness shown during the Tribunals that were used to determine a COs </w:t>
      </w:r>
      <w:r w:rsidR="007D3A51" w:rsidRPr="00C87432">
        <w:rPr>
          <w:rFonts w:ascii="Times New Roman" w:hAnsi="Times New Roman" w:cs="Times New Roman"/>
        </w:rPr>
        <w:t>future during the war</w:t>
      </w:r>
      <w:r w:rsidR="00343E7F" w:rsidRPr="00C87432">
        <w:rPr>
          <w:rFonts w:ascii="Times New Roman" w:hAnsi="Times New Roman" w:cs="Times New Roman"/>
        </w:rPr>
        <w:t>, for example the questions that were presented to the COs during their Tribunals and how absurd they were</w:t>
      </w:r>
      <w:r w:rsidR="007D3A51" w:rsidRPr="00C87432">
        <w:rPr>
          <w:rFonts w:ascii="Times New Roman" w:hAnsi="Times New Roman" w:cs="Times New Roman"/>
        </w:rPr>
        <w:t xml:space="preserve">. </w:t>
      </w:r>
      <w:r w:rsidR="00517CDF">
        <w:rPr>
          <w:rFonts w:ascii="Times New Roman" w:hAnsi="Times New Roman" w:cs="Times New Roman"/>
        </w:rPr>
        <w:t xml:space="preserve">I will also </w:t>
      </w:r>
      <w:r w:rsidR="000435FB">
        <w:rPr>
          <w:rFonts w:ascii="Times New Roman" w:hAnsi="Times New Roman" w:cs="Times New Roman"/>
        </w:rPr>
        <w:t>refer</w:t>
      </w:r>
      <w:r w:rsidR="00517CDF">
        <w:rPr>
          <w:rFonts w:ascii="Times New Roman" w:hAnsi="Times New Roman" w:cs="Times New Roman"/>
        </w:rPr>
        <w:t xml:space="preserve"> to other ways COs were </w:t>
      </w:r>
      <w:r w:rsidR="00556581">
        <w:rPr>
          <w:rFonts w:ascii="Times New Roman" w:hAnsi="Times New Roman" w:cs="Times New Roman"/>
        </w:rPr>
        <w:t>presented by the media and their</w:t>
      </w:r>
      <w:r w:rsidR="000435FB">
        <w:rPr>
          <w:rFonts w:ascii="Times New Roman" w:hAnsi="Times New Roman" w:cs="Times New Roman"/>
        </w:rPr>
        <w:t xml:space="preserve"> acceptance after the war. </w:t>
      </w:r>
      <w:r w:rsidR="00996D84" w:rsidRPr="00C87432">
        <w:rPr>
          <w:rFonts w:ascii="Times New Roman" w:hAnsi="Times New Roman" w:cs="Times New Roman"/>
        </w:rPr>
        <w:t>To begin this essay, I will start</w:t>
      </w:r>
      <w:r w:rsidR="00844CEE" w:rsidRPr="00C87432">
        <w:rPr>
          <w:rFonts w:ascii="Times New Roman" w:hAnsi="Times New Roman" w:cs="Times New Roman"/>
        </w:rPr>
        <w:t xml:space="preserve"> by </w:t>
      </w:r>
      <w:r w:rsidR="00C908BD" w:rsidRPr="00C87432">
        <w:rPr>
          <w:rFonts w:ascii="Times New Roman" w:hAnsi="Times New Roman" w:cs="Times New Roman"/>
        </w:rPr>
        <w:t>present</w:t>
      </w:r>
      <w:r w:rsidR="00844CEE" w:rsidRPr="00C87432">
        <w:rPr>
          <w:rFonts w:ascii="Times New Roman" w:hAnsi="Times New Roman" w:cs="Times New Roman"/>
        </w:rPr>
        <w:t>ing</w:t>
      </w:r>
      <w:r w:rsidR="00C908BD" w:rsidRPr="00C87432">
        <w:rPr>
          <w:rFonts w:ascii="Times New Roman" w:hAnsi="Times New Roman" w:cs="Times New Roman"/>
        </w:rPr>
        <w:t xml:space="preserve"> the views of COs</w:t>
      </w:r>
      <w:r w:rsidR="00B265EB" w:rsidRPr="00C87432">
        <w:rPr>
          <w:rFonts w:ascii="Times New Roman" w:hAnsi="Times New Roman" w:cs="Times New Roman"/>
        </w:rPr>
        <w:t xml:space="preserve"> in their own words and their reasons for </w:t>
      </w:r>
      <w:r w:rsidR="008C27D4" w:rsidRPr="00C87432">
        <w:rPr>
          <w:rFonts w:ascii="Times New Roman" w:hAnsi="Times New Roman" w:cs="Times New Roman"/>
        </w:rPr>
        <w:t>refusing to serve</w:t>
      </w:r>
      <w:r w:rsidR="00425D82">
        <w:rPr>
          <w:rFonts w:ascii="Times New Roman" w:hAnsi="Times New Roman" w:cs="Times New Roman"/>
        </w:rPr>
        <w:t>.</w:t>
      </w:r>
    </w:p>
    <w:p w14:paraId="3E7E1980" w14:textId="77777777" w:rsidR="00425D82" w:rsidRPr="00425D82" w:rsidRDefault="00425D82" w:rsidP="001C319D">
      <w:pPr>
        <w:contextualSpacing/>
        <w:rPr>
          <w:rFonts w:ascii="Times New Roman" w:hAnsi="Times New Roman" w:cs="Times New Roman"/>
        </w:rPr>
      </w:pPr>
    </w:p>
    <w:p w14:paraId="14F7B765" w14:textId="70850988" w:rsidR="00284D54" w:rsidRPr="00C87432" w:rsidRDefault="00ED383E" w:rsidP="00284D54">
      <w:pPr>
        <w:rPr>
          <w:rFonts w:ascii="Times New Roman" w:hAnsi="Times New Roman" w:cs="Times New Roman"/>
          <w:lang w:eastAsia="en-GB"/>
        </w:rPr>
      </w:pPr>
      <w:r w:rsidRPr="00C87432">
        <w:rPr>
          <w:rFonts w:ascii="Times New Roman" w:hAnsi="Times New Roman" w:cs="Times New Roman"/>
        </w:rPr>
        <w:t>There were many reasons for men to be exempt to serve during the War under the Military Service Act</w:t>
      </w:r>
      <w:r w:rsidR="005A2A1E">
        <w:rPr>
          <w:rFonts w:ascii="Times New Roman" w:hAnsi="Times New Roman" w:cs="Times New Roman"/>
        </w:rPr>
        <w:t xml:space="preserve"> (1916)</w:t>
      </w:r>
      <w:r w:rsidRPr="00C87432">
        <w:rPr>
          <w:rFonts w:ascii="Times New Roman" w:hAnsi="Times New Roman" w:cs="Times New Roman"/>
        </w:rPr>
        <w:t xml:space="preserve">. This </w:t>
      </w:r>
      <w:r w:rsidR="002375D5">
        <w:rPr>
          <w:rFonts w:ascii="Times New Roman" w:hAnsi="Times New Roman" w:cs="Times New Roman"/>
        </w:rPr>
        <w:t xml:space="preserve">act </w:t>
      </w:r>
      <w:r w:rsidRPr="00C87432">
        <w:rPr>
          <w:rFonts w:ascii="Times New Roman" w:hAnsi="Times New Roman" w:cs="Times New Roman"/>
        </w:rPr>
        <w:t xml:space="preserve">made conscription legal for all healthy single men between the ages 19 and 41. On May 1916 the government adjusted this to include married men and lowered the age limit to 18 for conscription. Even with the Military Service Act there was still the </w:t>
      </w:r>
      <w:r w:rsidR="002375D5">
        <w:rPr>
          <w:rFonts w:ascii="Times New Roman" w:hAnsi="Times New Roman" w:cs="Times New Roman"/>
        </w:rPr>
        <w:t xml:space="preserve">issue </w:t>
      </w:r>
      <w:r w:rsidRPr="00C87432">
        <w:rPr>
          <w:rFonts w:ascii="Times New Roman" w:hAnsi="Times New Roman" w:cs="Times New Roman"/>
        </w:rPr>
        <w:t>of COs to deal with, with m</w:t>
      </w:r>
      <w:r w:rsidR="0052472C">
        <w:rPr>
          <w:rFonts w:ascii="Times New Roman" w:hAnsi="Times New Roman" w:cs="Times New Roman"/>
        </w:rPr>
        <w:t>ultiple</w:t>
      </w:r>
      <w:r w:rsidRPr="00C87432">
        <w:rPr>
          <w:rFonts w:ascii="Times New Roman" w:hAnsi="Times New Roman" w:cs="Times New Roman"/>
        </w:rPr>
        <w:t xml:space="preserve"> reason</w:t>
      </w:r>
      <w:r w:rsidR="002375D5">
        <w:rPr>
          <w:rFonts w:ascii="Times New Roman" w:hAnsi="Times New Roman" w:cs="Times New Roman"/>
        </w:rPr>
        <w:t>ings</w:t>
      </w:r>
      <w:r w:rsidRPr="00C87432">
        <w:rPr>
          <w:rFonts w:ascii="Times New Roman" w:hAnsi="Times New Roman" w:cs="Times New Roman"/>
        </w:rPr>
        <w:t xml:space="preserve"> a factor in refusing to serve. The most common reason to refuse service was on religious grounds. The Quakers had a long-held belief of pacifism, although there are records of some men who were apart of the Quakers choosing to serve. There were</w:t>
      </w:r>
      <w:r w:rsidR="003651FC">
        <w:rPr>
          <w:rFonts w:ascii="Times New Roman" w:hAnsi="Times New Roman" w:cs="Times New Roman"/>
        </w:rPr>
        <w:t xml:space="preserve"> also references to God’s C</w:t>
      </w:r>
      <w:r w:rsidR="002C25C0">
        <w:rPr>
          <w:rFonts w:ascii="Times New Roman" w:hAnsi="Times New Roman" w:cs="Times New Roman"/>
        </w:rPr>
        <w:t>ommandment ‘Thou shalt not kill’</w:t>
      </w:r>
      <w:r w:rsidRPr="00C87432">
        <w:rPr>
          <w:rFonts w:ascii="Times New Roman" w:hAnsi="Times New Roman" w:cs="Times New Roman"/>
        </w:rPr>
        <w:t xml:space="preserve"> during Tribunals. </w:t>
      </w:r>
      <w:r w:rsidR="002C25C0">
        <w:rPr>
          <w:rFonts w:ascii="Times New Roman" w:hAnsi="Times New Roman" w:cs="Times New Roman"/>
        </w:rPr>
        <w:t xml:space="preserve">Religion </w:t>
      </w:r>
      <w:r w:rsidRPr="00C87432">
        <w:rPr>
          <w:rFonts w:ascii="Times New Roman" w:hAnsi="Times New Roman" w:cs="Times New Roman"/>
        </w:rPr>
        <w:t xml:space="preserve">was often the most accepted reason within the public eye for refusal to fight during the war as religion was still a prominent figure in Britain. It was used to bring many soldiers together during wartime but likewise was used to justify exemption from military service. </w:t>
      </w:r>
      <w:r w:rsidR="00503307">
        <w:rPr>
          <w:rFonts w:ascii="Times New Roman" w:hAnsi="Times New Roman" w:cs="Times New Roman"/>
        </w:rPr>
        <w:t>A</w:t>
      </w:r>
      <w:r w:rsidRPr="00C87432">
        <w:rPr>
          <w:rFonts w:ascii="Times New Roman" w:hAnsi="Times New Roman" w:cs="Times New Roman"/>
        </w:rPr>
        <w:t>nother large section of objectors who refused were left wing political activists who argued that the ‘imperialist’ war was started by the ruling classes for the working class to then go and fight and give their lives for. This sentiment is still felt to this day. In 2014</w:t>
      </w:r>
      <w:r w:rsidR="00296CCD">
        <w:rPr>
          <w:rFonts w:ascii="Times New Roman" w:hAnsi="Times New Roman" w:cs="Times New Roman"/>
        </w:rPr>
        <w:t>,</w:t>
      </w:r>
      <w:r w:rsidRPr="00C87432">
        <w:rPr>
          <w:rFonts w:ascii="Times New Roman" w:hAnsi="Times New Roman" w:cs="Times New Roman"/>
        </w:rPr>
        <w:t xml:space="preserve"> Conservative politician Michael Gove dismissing ‘left-wing historians’ as creating a myth from shows such as Blackadder that the First World War was essentially a fruitless waste of life. His comments were </w:t>
      </w:r>
      <w:r w:rsidR="00296CCD">
        <w:rPr>
          <w:rFonts w:ascii="Times New Roman" w:hAnsi="Times New Roman" w:cs="Times New Roman"/>
        </w:rPr>
        <w:t>aimed</w:t>
      </w:r>
      <w:r w:rsidRPr="00C87432">
        <w:rPr>
          <w:rFonts w:ascii="Times New Roman" w:hAnsi="Times New Roman" w:cs="Times New Roman"/>
        </w:rPr>
        <w:t xml:space="preserve"> </w:t>
      </w:r>
      <w:r w:rsidR="00296CCD">
        <w:rPr>
          <w:rFonts w:ascii="Times New Roman" w:hAnsi="Times New Roman" w:cs="Times New Roman"/>
        </w:rPr>
        <w:t>at</w:t>
      </w:r>
      <w:r w:rsidRPr="00C87432">
        <w:rPr>
          <w:rFonts w:ascii="Times New Roman" w:hAnsi="Times New Roman" w:cs="Times New Roman"/>
        </w:rPr>
        <w:t xml:space="preserve"> professor of history at Cambridge University Richard Evans who spoke of how men who enlisted were misled by believing they were fighting to defend freedom. There were also ‘humanists’ who feel it is wrong to kill others but not on religious grounds. For example, there was a Naval Rating who was a butcher during the war who became a conscientious objector, his reason being that “</w:t>
      </w:r>
      <w:r w:rsidRPr="00C87432">
        <w:rPr>
          <w:rFonts w:ascii="Times New Roman" w:hAnsi="Times New Roman" w:cs="Times New Roman"/>
          <w:lang w:eastAsia="en-GB"/>
        </w:rPr>
        <w:t xml:space="preserve">l </w:t>
      </w:r>
      <w:proofErr w:type="gramStart"/>
      <w:r w:rsidRPr="00C87432">
        <w:rPr>
          <w:rFonts w:ascii="Times New Roman" w:hAnsi="Times New Roman" w:cs="Times New Roman"/>
          <w:lang w:eastAsia="en-GB"/>
        </w:rPr>
        <w:t>know</w:t>
      </w:r>
      <w:proofErr w:type="gramEnd"/>
      <w:r w:rsidRPr="00C87432">
        <w:rPr>
          <w:rFonts w:ascii="Times New Roman" w:hAnsi="Times New Roman" w:cs="Times New Roman"/>
          <w:lang w:eastAsia="en-GB"/>
        </w:rPr>
        <w:t xml:space="preserve"> what it is to kill a pig – I won't kill a man”</w:t>
      </w:r>
      <w:r w:rsidRPr="00C87432">
        <w:rPr>
          <w:rStyle w:val="FootnoteReference"/>
          <w:rFonts w:ascii="Times New Roman" w:hAnsi="Times New Roman" w:cs="Times New Roman"/>
          <w:lang w:eastAsia="en-GB"/>
        </w:rPr>
        <w:footnoteReference w:id="1"/>
      </w:r>
      <w:r w:rsidRPr="00C87432">
        <w:rPr>
          <w:rFonts w:ascii="Times New Roman" w:hAnsi="Times New Roman" w:cs="Times New Roman"/>
          <w:lang w:eastAsia="en-GB"/>
        </w:rPr>
        <w:t xml:space="preserve">. </w:t>
      </w:r>
      <w:r w:rsidR="006B5272">
        <w:rPr>
          <w:rFonts w:ascii="Times New Roman" w:hAnsi="Times New Roman" w:cs="Times New Roman"/>
          <w:lang w:eastAsia="en-GB"/>
        </w:rPr>
        <w:t>Finally,</w:t>
      </w:r>
      <w:r w:rsidRPr="00C87432">
        <w:rPr>
          <w:rFonts w:ascii="Times New Roman" w:hAnsi="Times New Roman" w:cs="Times New Roman"/>
          <w:lang w:eastAsia="en-GB"/>
        </w:rPr>
        <w:t xml:space="preserve"> the issue of forcing people to fight essentially against their will </w:t>
      </w:r>
      <w:r w:rsidR="006B5272">
        <w:rPr>
          <w:rFonts w:ascii="Times New Roman" w:hAnsi="Times New Roman" w:cs="Times New Roman"/>
          <w:lang w:eastAsia="en-GB"/>
        </w:rPr>
        <w:t>was a major factor as</w:t>
      </w:r>
      <w:r w:rsidRPr="00C87432">
        <w:rPr>
          <w:rFonts w:ascii="Times New Roman" w:hAnsi="Times New Roman" w:cs="Times New Roman"/>
          <w:lang w:eastAsia="en-GB"/>
        </w:rPr>
        <w:t xml:space="preserve"> to many COs </w:t>
      </w:r>
      <w:r w:rsidR="006B5272">
        <w:rPr>
          <w:rFonts w:ascii="Times New Roman" w:hAnsi="Times New Roman" w:cs="Times New Roman"/>
          <w:lang w:eastAsia="en-GB"/>
        </w:rPr>
        <w:t>it</w:t>
      </w:r>
      <w:r w:rsidRPr="00C87432">
        <w:rPr>
          <w:rFonts w:ascii="Times New Roman" w:hAnsi="Times New Roman" w:cs="Times New Roman"/>
          <w:lang w:eastAsia="en-GB"/>
        </w:rPr>
        <w:t xml:space="preserve"> </w:t>
      </w:r>
      <w:r w:rsidR="006B5272">
        <w:rPr>
          <w:rFonts w:ascii="Times New Roman" w:hAnsi="Times New Roman" w:cs="Times New Roman"/>
          <w:lang w:eastAsia="en-GB"/>
        </w:rPr>
        <w:t>was</w:t>
      </w:r>
      <w:r w:rsidRPr="00C87432">
        <w:rPr>
          <w:rFonts w:ascii="Times New Roman" w:hAnsi="Times New Roman" w:cs="Times New Roman"/>
          <w:lang w:eastAsia="en-GB"/>
        </w:rPr>
        <w:t xml:space="preserve"> an evil intention. A key primary source for this was an interview given by World War One Conscientious Objector Walter Griffin who refused to fight, his simple reasoning being that “You cannot overcome evil with more evil”</w:t>
      </w:r>
      <w:r w:rsidRPr="00C87432">
        <w:rPr>
          <w:rStyle w:val="FootnoteReference"/>
          <w:rFonts w:ascii="Times New Roman" w:hAnsi="Times New Roman" w:cs="Times New Roman"/>
          <w:lang w:eastAsia="en-GB"/>
        </w:rPr>
        <w:footnoteReference w:id="2"/>
      </w:r>
      <w:r w:rsidRPr="00C87432">
        <w:rPr>
          <w:rFonts w:ascii="Times New Roman" w:hAnsi="Times New Roman" w:cs="Times New Roman"/>
          <w:lang w:eastAsia="en-GB"/>
        </w:rPr>
        <w:t>.</w:t>
      </w:r>
    </w:p>
    <w:p w14:paraId="135A1A0D" w14:textId="77777777" w:rsidR="00071D85" w:rsidRDefault="00071D85" w:rsidP="00F40816">
      <w:pPr>
        <w:pStyle w:val="NormalWeb"/>
        <w:spacing w:before="0" w:beforeAutospacing="0" w:after="0" w:afterAutospacing="0"/>
        <w:rPr>
          <w:color w:val="0E101A"/>
        </w:rPr>
      </w:pPr>
    </w:p>
    <w:p w14:paraId="75857E6B" w14:textId="1AB23E14" w:rsidR="00F40816" w:rsidRPr="00C87432" w:rsidRDefault="00F40816" w:rsidP="00F40816">
      <w:pPr>
        <w:pStyle w:val="NormalWeb"/>
        <w:spacing w:before="0" w:beforeAutospacing="0" w:after="0" w:afterAutospacing="0"/>
        <w:rPr>
          <w:color w:val="0E101A"/>
        </w:rPr>
      </w:pPr>
      <w:r w:rsidRPr="00C87432">
        <w:rPr>
          <w:color w:val="0E101A"/>
        </w:rPr>
        <w:lastRenderedPageBreak/>
        <w:t xml:space="preserve">The Military Service Act </w:t>
      </w:r>
      <w:r w:rsidR="0088193E">
        <w:rPr>
          <w:color w:val="0E101A"/>
        </w:rPr>
        <w:t>(</w:t>
      </w:r>
      <w:r w:rsidRPr="00C87432">
        <w:rPr>
          <w:color w:val="0E101A"/>
        </w:rPr>
        <w:t>1916</w:t>
      </w:r>
      <w:r w:rsidR="0088193E">
        <w:rPr>
          <w:color w:val="0E101A"/>
        </w:rPr>
        <w:t>)</w:t>
      </w:r>
      <w:r w:rsidRPr="00C87432">
        <w:rPr>
          <w:color w:val="0E101A"/>
        </w:rPr>
        <w:t xml:space="preserve"> impose</w:t>
      </w:r>
      <w:r w:rsidR="0088193E">
        <w:rPr>
          <w:color w:val="0E101A"/>
        </w:rPr>
        <w:t>d</w:t>
      </w:r>
      <w:r w:rsidRPr="00C87432">
        <w:rPr>
          <w:color w:val="0E101A"/>
        </w:rPr>
        <w:t xml:space="preserve"> conscription onto Britain. During the discussion inside parliament the term 'conscience clause' was </w:t>
      </w:r>
      <w:r w:rsidR="001D6414">
        <w:rPr>
          <w:color w:val="0E101A"/>
        </w:rPr>
        <w:t>mentioned</w:t>
      </w:r>
      <w:r w:rsidRPr="00C87432">
        <w:rPr>
          <w:color w:val="0E101A"/>
        </w:rPr>
        <w:t>. Parliament agreed that exemption from military service would be allowed. However, you must apply for it and prove to a Tribunal that your reason for exemption is valid, whether as a conscientious objector or a</w:t>
      </w:r>
      <w:r w:rsidR="00EC423D">
        <w:rPr>
          <w:color w:val="0E101A"/>
        </w:rPr>
        <w:t>ny</w:t>
      </w:r>
      <w:r w:rsidRPr="00C87432">
        <w:rPr>
          <w:color w:val="0E101A"/>
        </w:rPr>
        <w:t xml:space="preserve"> </w:t>
      </w:r>
      <w:r w:rsidR="00EC423D">
        <w:rPr>
          <w:color w:val="0E101A"/>
        </w:rPr>
        <w:t xml:space="preserve">other </w:t>
      </w:r>
      <w:r w:rsidRPr="00C87432">
        <w:rPr>
          <w:color w:val="0E101A"/>
        </w:rPr>
        <w:t xml:space="preserve">reason </w:t>
      </w:r>
      <w:r w:rsidR="00EC423D">
        <w:rPr>
          <w:color w:val="0E101A"/>
        </w:rPr>
        <w:t>an</w:t>
      </w:r>
      <w:r w:rsidRPr="00C87432">
        <w:rPr>
          <w:color w:val="0E101A"/>
        </w:rPr>
        <w:t xml:space="preserve"> </w:t>
      </w:r>
      <w:r w:rsidR="00EC423D">
        <w:rPr>
          <w:color w:val="0E101A"/>
        </w:rPr>
        <w:t>inability</w:t>
      </w:r>
      <w:r w:rsidRPr="00C87432">
        <w:rPr>
          <w:color w:val="0E101A"/>
        </w:rPr>
        <w:t xml:space="preserve"> to fight. According to Ann Kamer, by March 1916, there were around 2,086 tribunals in Britain. It is most likely cases involving COs were the most troublesome due to a lack of experience by the tribunals when addressing matters of conscience. It is important to note that the public during wartime saw COs as cowards and traitors to their country; therefore, was it a fair tribunal for COs? These were concerns expressed by members of parliament who </w:t>
      </w:r>
      <w:r w:rsidR="000E71A8">
        <w:rPr>
          <w:color w:val="0E101A"/>
        </w:rPr>
        <w:t>noted</w:t>
      </w:r>
      <w:r w:rsidRPr="00C87432">
        <w:rPr>
          <w:color w:val="0E101A"/>
        </w:rPr>
        <w:t xml:space="preserve"> that the rising number of casualties during wartime would likely lead to the jury's unable to remain unprejudiced. </w:t>
      </w:r>
      <w:r w:rsidR="000F59F4" w:rsidRPr="00C87432">
        <w:rPr>
          <w:color w:val="0E101A"/>
        </w:rPr>
        <w:t>Amongst</w:t>
      </w:r>
      <w:r w:rsidRPr="00C87432">
        <w:rPr>
          <w:color w:val="0E101A"/>
        </w:rPr>
        <w:t xml:space="preserve"> the government, there were politicians who were understanding of COs and wanted to see them treated fairly for their beliefs. According to Kramer, COs during Tribunals were prone to bullying, prejudice, and intolerance. To give an idea of such prejudice, Councillor Hopwood told the CO on trial during a Tribunal in Lancashire that "A man who would not defend his country or womankind is a coward and a cad. You are nothing but a shivering mass of unwholesome fat!"</w:t>
      </w:r>
      <w:r w:rsidRPr="00C87432">
        <w:rPr>
          <w:rStyle w:val="FootnoteReference"/>
          <w:color w:val="0E101A"/>
        </w:rPr>
        <w:footnoteReference w:id="3"/>
      </w:r>
      <w:r w:rsidRPr="00C87432">
        <w:rPr>
          <w:color w:val="0E101A"/>
        </w:rPr>
        <w:t xml:space="preserve"> This was the public feeling of COs and, as such, their peers were treated with harshness and unfair judgment. </w:t>
      </w:r>
      <w:r w:rsidR="008127D9">
        <w:rPr>
          <w:color w:val="0E101A"/>
        </w:rPr>
        <w:t>An</w:t>
      </w:r>
      <w:r w:rsidRPr="00C87432">
        <w:rPr>
          <w:color w:val="0E101A"/>
        </w:rPr>
        <w:t xml:space="preserve"> important note is the man on trial was a research scientist and member of the British Association's Research Committee. However, during wartime, the only thing that mattered was that he refused to fight, and therefore all previous accolades were worthless. British Politician Fenner Brockway explained, "They were not very sympathetic and were often rather crude in their attitude towards us, a thing one could understand when a nation was at war…"</w:t>
      </w:r>
      <w:r w:rsidRPr="00C87432">
        <w:rPr>
          <w:rStyle w:val="FootnoteReference"/>
          <w:color w:val="0E101A"/>
        </w:rPr>
        <w:footnoteReference w:id="4"/>
      </w:r>
      <w:r w:rsidRPr="00C87432">
        <w:rPr>
          <w:color w:val="0E101A"/>
        </w:rPr>
        <w:t> One example of this is a statement given by the Duke of Bedford during a parliamentary debate by starting his motion as follows: "To call the attention of His Majesty's Government to the unsatisfactory position whereby, through the failure of many tribunals to discharge their duties in a just and reasonable manner"</w:t>
      </w:r>
      <w:r w:rsidRPr="00C87432">
        <w:rPr>
          <w:rStyle w:val="FootnoteReference"/>
          <w:color w:val="0E101A"/>
        </w:rPr>
        <w:footnoteReference w:id="5"/>
      </w:r>
      <w:r w:rsidRPr="00C87432">
        <w:rPr>
          <w:color w:val="0E101A"/>
        </w:rPr>
        <w:t>. He would explain how the selection of the Tribunal must contain members who sympathise with COs. The duke would state, "</w:t>
      </w:r>
      <w:r w:rsidR="00C2683B">
        <w:rPr>
          <w:color w:val="0E101A"/>
        </w:rPr>
        <w:t>…</w:t>
      </w:r>
      <w:r w:rsidRPr="00C87432">
        <w:rPr>
          <w:color w:val="0E101A"/>
        </w:rPr>
        <w:t xml:space="preserve"> that appellate tribunals should contain a majority of persons who, while fully prepared to recognize and reject the appeals of persons who are not genuine, have sympathy for the position of the sincere objector, whatever the grounds for his objection"</w:t>
      </w:r>
      <w:r w:rsidRPr="00C87432">
        <w:rPr>
          <w:rStyle w:val="FootnoteReference"/>
          <w:color w:val="0E101A"/>
        </w:rPr>
        <w:footnoteReference w:id="6"/>
      </w:r>
      <w:r w:rsidRPr="00C87432">
        <w:rPr>
          <w:color w:val="0E101A"/>
        </w:rPr>
        <w:t xml:space="preserve">. The President of the Local Governing Board, Walter Long, would also advise all local governments during tribunals </w:t>
      </w:r>
      <w:r w:rsidR="0049027A">
        <w:rPr>
          <w:color w:val="0E101A"/>
        </w:rPr>
        <w:t xml:space="preserve">judging COs </w:t>
      </w:r>
      <w:r w:rsidR="0049027A" w:rsidRPr="00C87432">
        <w:rPr>
          <w:color w:val="0E101A"/>
        </w:rPr>
        <w:t>that “</w:t>
      </w:r>
      <w:r w:rsidRPr="00C87432">
        <w:rPr>
          <w:color w:val="0E101A"/>
        </w:rPr>
        <w:t>Men who apply on this ground should be able to feel that they are being judged by a Tribunal that will deal fairly with their cases"</w:t>
      </w:r>
      <w:r w:rsidRPr="00C87432">
        <w:rPr>
          <w:rStyle w:val="FootnoteReference"/>
          <w:color w:val="0E101A"/>
        </w:rPr>
        <w:footnoteReference w:id="7"/>
      </w:r>
      <w:r w:rsidRPr="00C87432">
        <w:rPr>
          <w:color w:val="0E101A"/>
        </w:rPr>
        <w:t> therefore, it is clear that the government were attempting to create a fair tribunal for COs, remembering that at this point it was still a Liberal Government. However, the likelihood was that the public opinion would lead to prejudice against COs. The outcome of these Tribunals is not surprising. John Graham used records from the Conscientious Objectors Information Bureau that stated out of approximately 16,000 Tribunals, around 200-</w:t>
      </w:r>
      <w:r w:rsidRPr="00C87432">
        <w:rPr>
          <w:color w:val="0E101A"/>
        </w:rPr>
        <w:lastRenderedPageBreak/>
        <w:t>400 COs were given complete exemption from military service. The rest consisted of 6,500 COs given exemption with the condition of alternative service, 5,500 were sent into the NCC (Non-Combatant-Corps) formed in 1916, 2,500 COs had their applications dismissed and were sent forcibly to combat training whilst the rest of the COs refused the judgement of the Tribunals</w:t>
      </w:r>
      <w:r w:rsidR="0074587E">
        <w:rPr>
          <w:color w:val="0E101A"/>
        </w:rPr>
        <w:t>.</w:t>
      </w:r>
    </w:p>
    <w:p w14:paraId="7817EA72" w14:textId="77777777" w:rsidR="00A0040E" w:rsidRPr="00C87432" w:rsidRDefault="00A0040E" w:rsidP="00A0040E">
      <w:pPr>
        <w:pStyle w:val="NormalWeb"/>
        <w:spacing w:before="0" w:beforeAutospacing="0" w:after="0" w:afterAutospacing="0"/>
        <w:rPr>
          <w:b/>
          <w:bCs/>
          <w:u w:val="single"/>
        </w:rPr>
      </w:pPr>
    </w:p>
    <w:p w14:paraId="1E61CEE0" w14:textId="211687CE" w:rsidR="00A0040E" w:rsidRPr="00C87432" w:rsidRDefault="00A0040E" w:rsidP="00A0040E">
      <w:pPr>
        <w:pStyle w:val="NormalWeb"/>
        <w:spacing w:before="0" w:beforeAutospacing="0" w:after="0" w:afterAutospacing="0"/>
        <w:rPr>
          <w:color w:val="0E101A"/>
        </w:rPr>
      </w:pPr>
      <w:r w:rsidRPr="00C87432">
        <w:rPr>
          <w:color w:val="0E101A"/>
        </w:rPr>
        <w:t xml:space="preserve">If the Tribunals found you guilty, which was often the case for most COs, the punishment was often imprisonment. Over six thousand COs were arrested for failing to serve and instead pursuing civilian roles </w:t>
      </w:r>
      <w:r w:rsidR="008F1A52">
        <w:rPr>
          <w:color w:val="0E101A"/>
        </w:rPr>
        <w:t>with</w:t>
      </w:r>
      <w:r w:rsidRPr="00C87432">
        <w:rPr>
          <w:color w:val="0E101A"/>
        </w:rPr>
        <w:t>in society. According to Kramer, around 5,970 COs were court-martialled and sent to prison for their refusal. Before 1916 they would be held in military detention, but the government decided to send them to a public prison; some historians believe that this was to prevent COs from spreading their liberal view</w:t>
      </w:r>
      <w:r w:rsidR="00513DE0">
        <w:rPr>
          <w:color w:val="0E101A"/>
        </w:rPr>
        <w:t>s</w:t>
      </w:r>
      <w:r w:rsidRPr="00C87432">
        <w:rPr>
          <w:color w:val="0E101A"/>
        </w:rPr>
        <w:t xml:space="preserve"> to</w:t>
      </w:r>
      <w:r w:rsidR="00513DE0">
        <w:rPr>
          <w:color w:val="0E101A"/>
        </w:rPr>
        <w:t xml:space="preserve"> British</w:t>
      </w:r>
      <w:r w:rsidRPr="00C87432">
        <w:rPr>
          <w:color w:val="0E101A"/>
        </w:rPr>
        <w:t xml:space="preserve"> soldiers. Kramer would describe the conditions in those prisons for COs as “harsh and intimidating; archaic rules, poor food, meaningless tasks and long stretches of silence, isolation and boredom caused physical and mental damage”</w:t>
      </w:r>
      <w:r w:rsidR="002A4114" w:rsidRPr="00C87432">
        <w:rPr>
          <w:rStyle w:val="FootnoteReference"/>
          <w:color w:val="0E101A"/>
        </w:rPr>
        <w:footnoteReference w:id="8"/>
      </w:r>
      <w:r w:rsidRPr="00C87432">
        <w:rPr>
          <w:color w:val="0E101A"/>
        </w:rPr>
        <w:t>. From this, we can reasonably say that the attitude towards COs was one of disdain</w:t>
      </w:r>
      <w:r w:rsidR="00BE467D">
        <w:rPr>
          <w:color w:val="0E101A"/>
        </w:rPr>
        <w:t>.</w:t>
      </w:r>
      <w:r w:rsidRPr="00C87432">
        <w:rPr>
          <w:color w:val="0E101A"/>
        </w:rPr>
        <w:t xml:space="preserve"> The sentences they were given themselves were harsh, with COs customarily given up to two years of hard labour as punishment. Kramer goes on to say that “…in the eyes of the courts martial, conscientious objectors were cowards and shirkers”</w:t>
      </w:r>
      <w:r w:rsidR="00820917" w:rsidRPr="00C87432">
        <w:rPr>
          <w:rStyle w:val="FootnoteReference"/>
          <w:color w:val="0E101A"/>
        </w:rPr>
        <w:footnoteReference w:id="9"/>
      </w:r>
      <w:r w:rsidRPr="00C87432">
        <w:rPr>
          <w:color w:val="0E101A"/>
        </w:rPr>
        <w:t>, and this coincided with the view of David Lloyd George. The latter would say in June 1916 as Secretary of State for War that “I personally</w:t>
      </w:r>
      <w:r w:rsidR="00B7495D" w:rsidRPr="00C87432">
        <w:rPr>
          <w:color w:val="0E101A"/>
        </w:rPr>
        <w:t xml:space="preserve"> </w:t>
      </w:r>
      <w:r w:rsidRPr="00C87432">
        <w:rPr>
          <w:color w:val="0E101A"/>
        </w:rPr>
        <w:t>have no sympathy for whatsoever…I shall only consider the best means of making the path of that class as hard as possible”</w:t>
      </w:r>
      <w:r w:rsidR="00820917" w:rsidRPr="00C87432">
        <w:rPr>
          <w:rStyle w:val="FootnoteReference"/>
          <w:color w:val="0E101A"/>
        </w:rPr>
        <w:footnoteReference w:id="10"/>
      </w:r>
      <w:r w:rsidRPr="00C87432">
        <w:rPr>
          <w:color w:val="0E101A"/>
        </w:rPr>
        <w:t xml:space="preserve"> offering an insight to some government feelings on COs even in the Liberal Party where we would assume that there may have been more sympathy for COs. Louis Bibbings, a law student, wrote in his published journal </w:t>
      </w:r>
      <w:r w:rsidR="0032148E">
        <w:rPr>
          <w:color w:val="0E101A"/>
        </w:rPr>
        <w:t xml:space="preserve">article </w:t>
      </w:r>
      <w:r w:rsidRPr="00C87432">
        <w:rPr>
          <w:color w:val="0E101A"/>
        </w:rPr>
        <w:t>on the matter of COs in public opinion and the law</w:t>
      </w:r>
      <w:r w:rsidR="00331082">
        <w:rPr>
          <w:color w:val="0E101A"/>
        </w:rPr>
        <w:t>, stating</w:t>
      </w:r>
      <w:r w:rsidRPr="00C87432">
        <w:rPr>
          <w:color w:val="0E101A"/>
        </w:rPr>
        <w:t xml:space="preserve"> that “Regardless of his exemption status, his disobedience was committed against the interlinked laws of duty, patriotism and manliness and his crime was the refusal to join in</w:t>
      </w:r>
      <w:r w:rsidR="00C02D8C">
        <w:rPr>
          <w:color w:val="0E101A"/>
        </w:rPr>
        <w:t>”</w:t>
      </w:r>
      <w:r w:rsidR="005B5FC6">
        <w:rPr>
          <w:rStyle w:val="FootnoteReference"/>
          <w:color w:val="0E101A"/>
        </w:rPr>
        <w:footnoteReference w:id="11"/>
      </w:r>
      <w:r w:rsidR="00C02D8C">
        <w:rPr>
          <w:color w:val="0E101A"/>
        </w:rPr>
        <w:t xml:space="preserve"> and went on to state</w:t>
      </w:r>
      <w:r w:rsidRPr="00C87432">
        <w:rPr>
          <w:color w:val="0E101A"/>
        </w:rPr>
        <w:t xml:space="preserve"> </w:t>
      </w:r>
      <w:r w:rsidR="005B5FC6">
        <w:rPr>
          <w:color w:val="0E101A"/>
        </w:rPr>
        <w:t>“</w:t>
      </w:r>
      <w:r w:rsidRPr="00C87432">
        <w:rPr>
          <w:color w:val="0E101A"/>
        </w:rPr>
        <w:t>the law to exempt him has resulted in his being punished more severely than other criminals</w:t>
      </w:r>
      <w:r w:rsidR="00573FA2">
        <w:rPr>
          <w:color w:val="0E101A"/>
        </w:rPr>
        <w:t>”</w:t>
      </w:r>
      <w:r w:rsidR="00F05D77" w:rsidRPr="00C87432">
        <w:rPr>
          <w:rStyle w:val="FootnoteReference"/>
          <w:color w:val="0E101A"/>
        </w:rPr>
        <w:footnoteReference w:id="12"/>
      </w:r>
      <w:r w:rsidRPr="00C87432">
        <w:rPr>
          <w:color w:val="0E101A"/>
        </w:rPr>
        <w:t>. The fact of the matter is that no matter the results of the Tribunals, the very stance COs have taken is enough to see you as one of the biggest criminals in society and, as such, deserve to be punished severely and sent to prisons.</w:t>
      </w:r>
    </w:p>
    <w:p w14:paraId="294A202C" w14:textId="77777777" w:rsidR="00A0040E" w:rsidRPr="00C87432" w:rsidRDefault="00A0040E" w:rsidP="00A0040E">
      <w:pPr>
        <w:pStyle w:val="NormalWeb"/>
        <w:spacing w:before="0" w:beforeAutospacing="0" w:after="0" w:afterAutospacing="0"/>
        <w:rPr>
          <w:color w:val="0E101A"/>
        </w:rPr>
      </w:pPr>
    </w:p>
    <w:p w14:paraId="1BC105B0" w14:textId="69004E6F" w:rsidR="00A0040E" w:rsidRPr="00C87432" w:rsidRDefault="00A0040E" w:rsidP="00A0040E">
      <w:pPr>
        <w:pStyle w:val="NormalWeb"/>
        <w:spacing w:before="0" w:beforeAutospacing="0" w:after="0" w:afterAutospacing="0"/>
        <w:rPr>
          <w:color w:val="0E101A"/>
        </w:rPr>
      </w:pPr>
      <w:r w:rsidRPr="00C87432">
        <w:rPr>
          <w:color w:val="0E101A"/>
        </w:rPr>
        <w:t xml:space="preserve">The prison cells themselves were seemingly worse for COs than </w:t>
      </w:r>
      <w:r w:rsidR="006B6195">
        <w:rPr>
          <w:color w:val="0E101A"/>
        </w:rPr>
        <w:t>an</w:t>
      </w:r>
      <w:r w:rsidRPr="00C87432">
        <w:rPr>
          <w:color w:val="0E101A"/>
        </w:rPr>
        <w:t xml:space="preserve"> average prisoner. Cells would have little to no heating during</w:t>
      </w:r>
      <w:r w:rsidR="006B6195">
        <w:rPr>
          <w:color w:val="0E101A"/>
        </w:rPr>
        <w:t xml:space="preserve"> winter</w:t>
      </w:r>
      <w:r w:rsidRPr="00C87432">
        <w:rPr>
          <w:color w:val="0E101A"/>
        </w:rPr>
        <w:t xml:space="preserve">. The cold itself would leave prisoners at the mercy of diseases like influenza, tuberculosis and bronchitis. When the cells were too warm, prisoners were then prone to fainting. One </w:t>
      </w:r>
      <w:r w:rsidR="00BA2BC0">
        <w:rPr>
          <w:color w:val="0E101A"/>
        </w:rPr>
        <w:t>prisoner</w:t>
      </w:r>
      <w:r w:rsidRPr="00C87432">
        <w:rPr>
          <w:color w:val="0E101A"/>
        </w:rPr>
        <w:t xml:space="preserve"> wrote, “I have seen a man go raving mad in prison after being shut up in a warm cell from 4 o’clock in the afternoon until 6 o’clock the next morning”</w:t>
      </w:r>
      <w:r w:rsidR="00082AFF" w:rsidRPr="00C87432">
        <w:rPr>
          <w:rStyle w:val="FootnoteReference"/>
          <w:color w:val="0E101A"/>
        </w:rPr>
        <w:footnoteReference w:id="13"/>
      </w:r>
      <w:r w:rsidRPr="00C87432">
        <w:rPr>
          <w:color w:val="0E101A"/>
        </w:rPr>
        <w:t xml:space="preserve">. As we can tell from this primary source, no consideration was given to the wellbeing of conscientious objectors, most likely due to the feeling of cowardice amongst the government and civil service. COs were confined to their cells for at least 23 hours a day, </w:t>
      </w:r>
      <w:r w:rsidRPr="00C87432">
        <w:rPr>
          <w:color w:val="0E101A"/>
        </w:rPr>
        <w:lastRenderedPageBreak/>
        <w:t>allowing time for exercise, but there was generally no communication with the outside world for the duration of their sentence. </w:t>
      </w:r>
    </w:p>
    <w:p w14:paraId="5703F246" w14:textId="77777777" w:rsidR="00A0040E" w:rsidRPr="00C87432" w:rsidRDefault="00A0040E" w:rsidP="00A0040E">
      <w:pPr>
        <w:pStyle w:val="NormalWeb"/>
        <w:spacing w:before="0" w:beforeAutospacing="0" w:after="0" w:afterAutospacing="0"/>
        <w:rPr>
          <w:color w:val="0E101A"/>
        </w:rPr>
      </w:pPr>
    </w:p>
    <w:p w14:paraId="29A1F8BE" w14:textId="64F7D93C" w:rsidR="002723D3" w:rsidRDefault="00A0040E" w:rsidP="00862021">
      <w:pPr>
        <w:pStyle w:val="NormalWeb"/>
        <w:spacing w:before="0" w:beforeAutospacing="0" w:after="0" w:afterAutospacing="0"/>
        <w:rPr>
          <w:color w:val="0E101A"/>
        </w:rPr>
      </w:pPr>
      <w:r w:rsidRPr="00C87432">
        <w:rPr>
          <w:color w:val="0E101A"/>
        </w:rPr>
        <w:t>COs also increased by 1916, and the prison population was increasing with a need for alternative methods of punishment for COs. Often referred to as ‘Alternative Service’, ‘The Scotsman’ Newspaper wrote an article about the 250 COs sent to break granite in a local quarry in Aberdeen. Alison Campsie wrote how “The camp at Dyce Quarries was set up in August 1916 as the Home Office faced a rising prison population, which was partly driven by those who refused to embark on military service following conscription”</w:t>
      </w:r>
      <w:r w:rsidR="008817E9" w:rsidRPr="00C87432">
        <w:rPr>
          <w:rStyle w:val="FootnoteReference"/>
          <w:color w:val="0E101A"/>
        </w:rPr>
        <w:footnoteReference w:id="14"/>
      </w:r>
      <w:r w:rsidRPr="00C87432">
        <w:rPr>
          <w:color w:val="0E101A"/>
        </w:rPr>
        <w:t xml:space="preserve">. </w:t>
      </w:r>
      <w:r w:rsidR="00077CFC">
        <w:rPr>
          <w:color w:val="0E101A"/>
        </w:rPr>
        <w:t>C</w:t>
      </w:r>
      <w:r w:rsidRPr="00C87432">
        <w:rPr>
          <w:color w:val="0E101A"/>
        </w:rPr>
        <w:t xml:space="preserve">onditions here were sub-par, with prisoners reportedly sleeping in tents used during the Boer War, with every prisoner given a straw bed and few blankets. These conditions also led to medical issues stemming from weather and poor health. </w:t>
      </w:r>
      <w:r w:rsidR="00982AEC">
        <w:rPr>
          <w:color w:val="0E101A"/>
        </w:rPr>
        <w:t>C</w:t>
      </w:r>
      <w:r w:rsidRPr="00C87432">
        <w:rPr>
          <w:color w:val="0E101A"/>
        </w:rPr>
        <w:t>onditions soon became public knowledge in Aberdeen</w:t>
      </w:r>
      <w:r w:rsidR="00982AEC">
        <w:rPr>
          <w:color w:val="0E101A"/>
        </w:rPr>
        <w:t xml:space="preserve"> with</w:t>
      </w:r>
      <w:r w:rsidRPr="00C87432">
        <w:rPr>
          <w:color w:val="0E101A"/>
        </w:rPr>
        <w:t xml:space="preserve"> </w:t>
      </w:r>
      <w:r w:rsidR="00982AEC">
        <w:rPr>
          <w:color w:val="0E101A"/>
        </w:rPr>
        <w:t>t</w:t>
      </w:r>
      <w:r w:rsidRPr="00C87432">
        <w:rPr>
          <w:color w:val="0E101A"/>
        </w:rPr>
        <w:t>he public reaction hostile with reports saying “…the camp became common knowledge in Aberdeen and fired up an increasingly hostile exchange of letters in the local press.”</w:t>
      </w:r>
      <w:r w:rsidR="008817E9" w:rsidRPr="00C87432">
        <w:rPr>
          <w:rStyle w:val="FootnoteReference"/>
          <w:color w:val="0E101A"/>
        </w:rPr>
        <w:footnoteReference w:id="15"/>
      </w:r>
      <w:r w:rsidRPr="00C87432">
        <w:rPr>
          <w:color w:val="0E101A"/>
        </w:rPr>
        <w:t xml:space="preserve"> Alison Campsie </w:t>
      </w:r>
      <w:r w:rsidR="007D2E41">
        <w:rPr>
          <w:color w:val="0E101A"/>
        </w:rPr>
        <w:t xml:space="preserve">also </w:t>
      </w:r>
      <w:r w:rsidR="00D22AFD">
        <w:rPr>
          <w:color w:val="0E101A"/>
        </w:rPr>
        <w:t>noted</w:t>
      </w:r>
      <w:r w:rsidRPr="00C87432">
        <w:rPr>
          <w:color w:val="0E101A"/>
        </w:rPr>
        <w:t xml:space="preserve"> “When the men at the Dyce camp started to complain about their living conditions following the death of a comrade, WJ Roberts, of Stockport, from pneumonia, the contempt towards the camp could not be contained”</w:t>
      </w:r>
      <w:r w:rsidR="008817E9" w:rsidRPr="00C87432">
        <w:rPr>
          <w:rStyle w:val="FootnoteReference"/>
          <w:color w:val="0E101A"/>
        </w:rPr>
        <w:footnoteReference w:id="16"/>
      </w:r>
      <w:r w:rsidRPr="00C87432">
        <w:rPr>
          <w:color w:val="0E101A"/>
        </w:rPr>
        <w:t> with the COs being considered ‘degenerates’ and ‘cowards’ with one letter suggesting th</w:t>
      </w:r>
      <w:r w:rsidR="007D2E41">
        <w:rPr>
          <w:color w:val="0E101A"/>
        </w:rPr>
        <w:t>em as</w:t>
      </w:r>
      <w:r w:rsidRPr="00C87432">
        <w:rPr>
          <w:color w:val="0E101A"/>
        </w:rPr>
        <w:t xml:space="preserve"> ‘social lepers’ </w:t>
      </w:r>
      <w:r w:rsidR="007D2E41">
        <w:rPr>
          <w:color w:val="0E101A"/>
        </w:rPr>
        <w:t>with</w:t>
      </w:r>
      <w:r w:rsidRPr="00C87432">
        <w:rPr>
          <w:color w:val="0E101A"/>
        </w:rPr>
        <w:t xml:space="preserve"> no right to vote during peace since they refused to serve the country during wartime. There is also correspondence from a mother of a soldier in 1916 who </w:t>
      </w:r>
      <w:r w:rsidR="00C6682C">
        <w:rPr>
          <w:color w:val="0E101A"/>
        </w:rPr>
        <w:t>explained</w:t>
      </w:r>
      <w:r w:rsidRPr="00C87432">
        <w:rPr>
          <w:color w:val="0E101A"/>
        </w:rPr>
        <w:t xml:space="preserve"> “We think of our brave sons up to the waist in mud and water and suffering untold hardships to enable these comrades to have a soft job, even if it is at Dyce Quarries."</w:t>
      </w:r>
      <w:r w:rsidR="00862021" w:rsidRPr="00C87432">
        <w:rPr>
          <w:rStyle w:val="FootnoteReference"/>
          <w:color w:val="0E101A"/>
        </w:rPr>
        <w:footnoteReference w:id="17"/>
      </w:r>
      <w:r w:rsidRPr="00C87432">
        <w:rPr>
          <w:color w:val="0E101A"/>
        </w:rPr>
        <w:t> From all these comments it appears to be that the public reception to COs was contempt towards them and that they were ‘alien’ to their own country. </w:t>
      </w:r>
      <w:r w:rsidR="0000143D">
        <w:rPr>
          <w:color w:val="0E101A"/>
        </w:rPr>
        <w:t xml:space="preserve">Interestingly though, </w:t>
      </w:r>
      <w:r w:rsidRPr="00C87432">
        <w:rPr>
          <w:color w:val="0E101A"/>
        </w:rPr>
        <w:t xml:space="preserve">Guy </w:t>
      </w:r>
      <w:proofErr w:type="spellStart"/>
      <w:r w:rsidRPr="00C87432">
        <w:rPr>
          <w:color w:val="0E101A"/>
        </w:rPr>
        <w:t>Aldred</w:t>
      </w:r>
      <w:proofErr w:type="spellEnd"/>
      <w:r w:rsidRPr="00C87432">
        <w:rPr>
          <w:color w:val="0E101A"/>
        </w:rPr>
        <w:t xml:space="preserve">, who was imprisoned for nine months for disobeying orders, was initially sent to Winchester Prison but later was moved to the </w:t>
      </w:r>
      <w:r w:rsidR="00E52471">
        <w:rPr>
          <w:color w:val="0E101A"/>
        </w:rPr>
        <w:t xml:space="preserve">Dyce </w:t>
      </w:r>
      <w:r w:rsidRPr="00C87432">
        <w:rPr>
          <w:color w:val="0E101A"/>
        </w:rPr>
        <w:t xml:space="preserve">quarry. </w:t>
      </w:r>
      <w:proofErr w:type="spellStart"/>
      <w:r w:rsidRPr="00C87432">
        <w:rPr>
          <w:color w:val="0E101A"/>
        </w:rPr>
        <w:t>Aldred’s</w:t>
      </w:r>
      <w:proofErr w:type="spellEnd"/>
      <w:r w:rsidRPr="00C87432">
        <w:rPr>
          <w:color w:val="0E101A"/>
        </w:rPr>
        <w:t xml:space="preserve"> view on his imprisonment was, to him at least, not a punishment but a contribution to the nation during</w:t>
      </w:r>
      <w:r w:rsidR="0070221D">
        <w:rPr>
          <w:color w:val="0E101A"/>
        </w:rPr>
        <w:t xml:space="preserve"> wartime</w:t>
      </w:r>
      <w:r w:rsidRPr="00C87432">
        <w:rPr>
          <w:color w:val="0E101A"/>
        </w:rPr>
        <w:t>. He wrote “If manual labour is useful, I will perform it. I view it as no penalty. But I will not be conscripted into slavery all the time."</w:t>
      </w:r>
      <w:r w:rsidR="00862021" w:rsidRPr="00C87432">
        <w:rPr>
          <w:rStyle w:val="FootnoteReference"/>
          <w:color w:val="0E101A"/>
        </w:rPr>
        <w:footnoteReference w:id="18"/>
      </w:r>
      <w:r w:rsidRPr="00C87432">
        <w:rPr>
          <w:color w:val="0E101A"/>
        </w:rPr>
        <w:t>. With all the abuse and feelings put towards COs, it never broke them, and they always believed they were doing the right thing personally whilst also supporting the war effort in their own way by ‘alternative service’. The government eventually closed the quarry, with some men being sent to other work camps whilst others chose to go back to prison.</w:t>
      </w:r>
    </w:p>
    <w:p w14:paraId="152BEACA" w14:textId="77777777" w:rsidR="00391F4E" w:rsidRDefault="00391F4E" w:rsidP="00862021">
      <w:pPr>
        <w:pStyle w:val="NormalWeb"/>
        <w:spacing w:before="0" w:beforeAutospacing="0" w:after="0" w:afterAutospacing="0"/>
        <w:rPr>
          <w:color w:val="0E101A"/>
        </w:rPr>
      </w:pPr>
    </w:p>
    <w:p w14:paraId="576370C0" w14:textId="4051FDF3" w:rsidR="00391F4E" w:rsidRPr="00C87432" w:rsidRDefault="00391F4E" w:rsidP="00391F4E">
      <w:pPr>
        <w:rPr>
          <w:rFonts w:ascii="Times New Roman" w:hAnsi="Times New Roman" w:cs="Times New Roman"/>
        </w:rPr>
      </w:pPr>
      <w:r w:rsidRPr="00C87432">
        <w:rPr>
          <w:rFonts w:ascii="Times New Roman" w:hAnsi="Times New Roman" w:cs="Times New Roman"/>
        </w:rPr>
        <w:t>COs were</w:t>
      </w:r>
      <w:r>
        <w:rPr>
          <w:rFonts w:ascii="Times New Roman" w:hAnsi="Times New Roman" w:cs="Times New Roman"/>
        </w:rPr>
        <w:t xml:space="preserve"> </w:t>
      </w:r>
      <w:r w:rsidRPr="00C87432">
        <w:rPr>
          <w:rFonts w:ascii="Times New Roman" w:hAnsi="Times New Roman" w:cs="Times New Roman"/>
        </w:rPr>
        <w:t xml:space="preserve">victims of changing gender norms within society from the public perspective, for example men being referred to as ‘sissies’. </w:t>
      </w:r>
      <w:r>
        <w:rPr>
          <w:rFonts w:ascii="Times New Roman" w:hAnsi="Times New Roman" w:cs="Times New Roman"/>
        </w:rPr>
        <w:t>A</w:t>
      </w:r>
      <w:r w:rsidRPr="00C87432">
        <w:rPr>
          <w:rFonts w:ascii="Times New Roman" w:hAnsi="Times New Roman" w:cs="Times New Roman"/>
        </w:rPr>
        <w:t>lso, the use of propaganda in Britain</w:t>
      </w:r>
      <w:r>
        <w:rPr>
          <w:rFonts w:ascii="Times New Roman" w:hAnsi="Times New Roman" w:cs="Times New Roman"/>
        </w:rPr>
        <w:t xml:space="preserve"> was used</w:t>
      </w:r>
      <w:r w:rsidRPr="00C87432">
        <w:rPr>
          <w:rFonts w:ascii="Times New Roman" w:hAnsi="Times New Roman" w:cs="Times New Roman"/>
        </w:rPr>
        <w:t xml:space="preserve"> to present COs as cowards and containing female characteristics relevant to the period. An example of this propaganda would be the posters spread across Britain showcasing the cowardice of COs</w:t>
      </w:r>
      <w:r w:rsidRPr="00C87432">
        <w:rPr>
          <w:rStyle w:val="FootnoteReference"/>
          <w:rFonts w:ascii="Times New Roman" w:hAnsi="Times New Roman" w:cs="Times New Roman"/>
        </w:rPr>
        <w:footnoteReference w:id="19"/>
      </w:r>
      <w:r w:rsidRPr="00C87432">
        <w:rPr>
          <w:rFonts w:ascii="Times New Roman" w:hAnsi="Times New Roman" w:cs="Times New Roman"/>
        </w:rPr>
        <w:t xml:space="preserve">. Because of </w:t>
      </w:r>
      <w:r>
        <w:rPr>
          <w:rFonts w:ascii="Times New Roman" w:hAnsi="Times New Roman" w:cs="Times New Roman"/>
        </w:rPr>
        <w:t>the propaganda used against COs</w:t>
      </w:r>
      <w:r w:rsidRPr="00C87432">
        <w:rPr>
          <w:rFonts w:ascii="Times New Roman" w:hAnsi="Times New Roman" w:cs="Times New Roman"/>
        </w:rPr>
        <w:t xml:space="preserve">, it </w:t>
      </w:r>
      <w:r>
        <w:rPr>
          <w:rFonts w:ascii="Times New Roman" w:hAnsi="Times New Roman" w:cs="Times New Roman"/>
        </w:rPr>
        <w:t xml:space="preserve">put them </w:t>
      </w:r>
      <w:r w:rsidRPr="00C87432">
        <w:rPr>
          <w:rFonts w:ascii="Times New Roman" w:hAnsi="Times New Roman" w:cs="Times New Roman"/>
        </w:rPr>
        <w:t xml:space="preserve">in the spotlight for being homosexual, which was still illegal at the time. These points of views by society led to humiliation and further ridicule throughout literature and even song where musician Alfred </w:t>
      </w:r>
      <w:r w:rsidRPr="00C87432">
        <w:rPr>
          <w:rFonts w:ascii="Times New Roman" w:hAnsi="Times New Roman" w:cs="Times New Roman"/>
        </w:rPr>
        <w:lastRenderedPageBreak/>
        <w:t>Lester’s famous ballad ‘The Conscientious Objector’s Lament’</w:t>
      </w:r>
      <w:r w:rsidRPr="00C87432">
        <w:rPr>
          <w:rStyle w:val="FootnoteReference"/>
          <w:rFonts w:ascii="Times New Roman" w:hAnsi="Times New Roman" w:cs="Times New Roman"/>
        </w:rPr>
        <w:footnoteReference w:id="20"/>
      </w:r>
      <w:r w:rsidRPr="00C87432">
        <w:rPr>
          <w:rFonts w:ascii="Times New Roman" w:hAnsi="Times New Roman" w:cs="Times New Roman"/>
        </w:rPr>
        <w:t xml:space="preserve"> where he depicts COs as a coward and scared of being called up to service during the war.</w:t>
      </w:r>
    </w:p>
    <w:p w14:paraId="7CBF711D" w14:textId="77777777" w:rsidR="00391F4E" w:rsidRPr="00C87432" w:rsidRDefault="00391F4E" w:rsidP="00862021">
      <w:pPr>
        <w:pStyle w:val="NormalWeb"/>
        <w:spacing w:before="0" w:beforeAutospacing="0" w:after="0" w:afterAutospacing="0"/>
        <w:rPr>
          <w:color w:val="0E101A"/>
        </w:rPr>
      </w:pPr>
    </w:p>
    <w:p w14:paraId="61A5168F" w14:textId="77777777" w:rsidR="00862021" w:rsidRDefault="00862021" w:rsidP="00862021">
      <w:pPr>
        <w:pStyle w:val="NormalWeb"/>
        <w:spacing w:before="0" w:beforeAutospacing="0" w:after="0" w:afterAutospacing="0"/>
        <w:rPr>
          <w:color w:val="0E101A"/>
        </w:rPr>
      </w:pPr>
    </w:p>
    <w:p w14:paraId="18A407AE" w14:textId="1DC3CFC5" w:rsidR="00A325BA" w:rsidRDefault="00DD1C76">
      <w:pPr>
        <w:rPr>
          <w:rFonts w:ascii="Times New Roman" w:hAnsi="Times New Roman" w:cs="Times New Roman"/>
        </w:rPr>
      </w:pPr>
      <w:r>
        <w:rPr>
          <w:rFonts w:ascii="Times New Roman" w:hAnsi="Times New Roman" w:cs="Times New Roman"/>
        </w:rPr>
        <w:t>In conclusion it’s</w:t>
      </w:r>
      <w:r w:rsidR="000F4EE8" w:rsidRPr="00C87432">
        <w:rPr>
          <w:rFonts w:ascii="Times New Roman" w:hAnsi="Times New Roman" w:cs="Times New Roman"/>
        </w:rPr>
        <w:t xml:space="preserve"> obvious that COs were often subjected to harsh treatment and abuse amongst society in Britain. Whilst exemption was given to several people this was mainly due to long held religious beliefs</w:t>
      </w:r>
      <w:r w:rsidR="001D6B4B">
        <w:rPr>
          <w:rFonts w:ascii="Times New Roman" w:hAnsi="Times New Roman" w:cs="Times New Roman"/>
        </w:rPr>
        <w:t xml:space="preserve"> </w:t>
      </w:r>
      <w:r w:rsidR="000F4EE8" w:rsidRPr="00C87432">
        <w:rPr>
          <w:rFonts w:ascii="Times New Roman" w:hAnsi="Times New Roman" w:cs="Times New Roman"/>
        </w:rPr>
        <w:t xml:space="preserve">but most of the time COs were imprisoned or given alternative service such </w:t>
      </w:r>
      <w:r w:rsidR="0090334D" w:rsidRPr="00C87432">
        <w:rPr>
          <w:rFonts w:ascii="Times New Roman" w:hAnsi="Times New Roman" w:cs="Times New Roman"/>
        </w:rPr>
        <w:t>as</w:t>
      </w:r>
      <w:r w:rsidR="0090334D">
        <w:rPr>
          <w:rFonts w:ascii="Times New Roman" w:hAnsi="Times New Roman" w:cs="Times New Roman"/>
        </w:rPr>
        <w:t xml:space="preserve"> manual labour</w:t>
      </w:r>
      <w:r w:rsidR="000F4EE8" w:rsidRPr="00C87432">
        <w:rPr>
          <w:rFonts w:ascii="Times New Roman" w:hAnsi="Times New Roman" w:cs="Times New Roman"/>
        </w:rPr>
        <w:t>. There was an apparent biasness from the Tribunals with questions bordering absurdity and judgements often decided before the Tribunals even started despite government advice asking for understanding of other viewpoints. COs were branded as cowards and shirkers by the public and were ridiculed for refusing to fight alongside their countrymen who were dying by the dozen every day on the Western Front, whilst also becoming somewhat of a joke in social circles and within the military.</w:t>
      </w:r>
      <w:r w:rsidR="00EC6B57">
        <w:rPr>
          <w:rFonts w:ascii="Times New Roman" w:hAnsi="Times New Roman" w:cs="Times New Roman"/>
        </w:rPr>
        <w:t xml:space="preserve"> </w:t>
      </w:r>
      <w:r>
        <w:rPr>
          <w:rFonts w:ascii="Times New Roman" w:hAnsi="Times New Roman" w:cs="Times New Roman"/>
        </w:rPr>
        <w:t>T</w:t>
      </w:r>
      <w:r w:rsidR="002723D3" w:rsidRPr="00C87432">
        <w:rPr>
          <w:rFonts w:ascii="Times New Roman" w:hAnsi="Times New Roman" w:cs="Times New Roman"/>
        </w:rPr>
        <w:t xml:space="preserve">he perception of COs after the war did although change over time, whilst by 1939 and the Second World War the idea of Conscientious Objection was more acceptable within society. During the Second World War more than 4 times of the previous number of COs applied for exemption from military service, whilst also being under less scrutiny by the media. This is not to say that COs were now treated fairly because they were still under some form of scrutiny. Around three thousand COs were sent to prison during the Second World War under the impression that they were once again cowards, shirkers but now this also included the suspicions of being Nazis within Britain. </w:t>
      </w:r>
      <w:r w:rsidR="0003161B" w:rsidRPr="00C87432">
        <w:rPr>
          <w:rFonts w:ascii="Times New Roman" w:hAnsi="Times New Roman" w:cs="Times New Roman"/>
        </w:rPr>
        <w:t>Overall,</w:t>
      </w:r>
      <w:r w:rsidR="002723D3" w:rsidRPr="00C87432">
        <w:rPr>
          <w:rFonts w:ascii="Times New Roman" w:hAnsi="Times New Roman" w:cs="Times New Roman"/>
        </w:rPr>
        <w:t xml:space="preserve"> during the 20</w:t>
      </w:r>
      <w:r w:rsidR="002723D3" w:rsidRPr="00C87432">
        <w:rPr>
          <w:rFonts w:ascii="Times New Roman" w:hAnsi="Times New Roman" w:cs="Times New Roman"/>
          <w:vertAlign w:val="superscript"/>
        </w:rPr>
        <w:t>th</w:t>
      </w:r>
      <w:r w:rsidR="002723D3" w:rsidRPr="00C87432">
        <w:rPr>
          <w:rFonts w:ascii="Times New Roman" w:hAnsi="Times New Roman" w:cs="Times New Roman"/>
        </w:rPr>
        <w:t xml:space="preserve"> Century objectors to war was becoming a more common or at least understood stance within society.</w:t>
      </w:r>
      <w:r w:rsidR="00EC6B57">
        <w:rPr>
          <w:rFonts w:ascii="Times New Roman" w:hAnsi="Times New Roman" w:cs="Times New Roman"/>
        </w:rPr>
        <w:t xml:space="preserve"> </w:t>
      </w:r>
    </w:p>
    <w:p w14:paraId="3DB4BBDD" w14:textId="77777777" w:rsidR="00B45F75" w:rsidRDefault="00B45F75">
      <w:pPr>
        <w:rPr>
          <w:rFonts w:ascii="Times New Roman" w:hAnsi="Times New Roman" w:cs="Times New Roman"/>
        </w:rPr>
      </w:pPr>
    </w:p>
    <w:sdt>
      <w:sdtPr>
        <w:id w:val="-1970654715"/>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2297AF6F" w14:textId="7233B8CD" w:rsidR="003C0023" w:rsidRDefault="003C0023">
          <w:pPr>
            <w:pStyle w:val="Heading1"/>
          </w:pPr>
          <w:r>
            <w:t>Bibliography</w:t>
          </w:r>
        </w:p>
        <w:p w14:paraId="55DF2941" w14:textId="77777777" w:rsidR="003C0023" w:rsidRDefault="003C0023" w:rsidP="003C0023">
          <w:pPr>
            <w:rPr>
              <w:lang w:val="en-US" w:bidi="en-US"/>
            </w:rPr>
          </w:pPr>
        </w:p>
        <w:p w14:paraId="4BBD00F9" w14:textId="77777777" w:rsidR="003C0023" w:rsidRDefault="003C0023" w:rsidP="003C0023">
          <w:pPr>
            <w:pStyle w:val="FootnoteText"/>
          </w:pPr>
          <w:r>
            <w:rPr>
              <w:rStyle w:val="FootnoteReference"/>
            </w:rPr>
            <w:footnoteRef/>
          </w:r>
          <w:r>
            <w:t xml:space="preserve"> IWM, ‘Conscientious Objectors in their own words’, &lt; </w:t>
          </w:r>
          <w:hyperlink r:id="rId8" w:history="1">
            <w:r w:rsidRPr="00FF225C">
              <w:rPr>
                <w:rStyle w:val="Hyperlink"/>
              </w:rPr>
              <w:t>https://www.iwm.org.uk/history/conscientious-objectors-in-their-own-words</w:t>
            </w:r>
          </w:hyperlink>
          <w:r>
            <w:t xml:space="preserve"> &gt;, [Accessed 28/1/2022]</w:t>
          </w:r>
        </w:p>
        <w:p w14:paraId="3C34B194" w14:textId="77777777" w:rsidR="00F6571D" w:rsidRDefault="00F6571D" w:rsidP="003C0023">
          <w:pPr>
            <w:pStyle w:val="FootnoteText"/>
          </w:pPr>
        </w:p>
        <w:p w14:paraId="2CDB3623" w14:textId="1C5162E4" w:rsidR="003C0023" w:rsidRDefault="003C0023" w:rsidP="003C0023">
          <w:pPr>
            <w:pStyle w:val="FootnoteText"/>
          </w:pPr>
          <w:r>
            <w:rPr>
              <w:vertAlign w:val="superscript"/>
            </w:rPr>
            <w:t xml:space="preserve">2 </w:t>
          </w:r>
          <w:r>
            <w:t xml:space="preserve">Walter Griffin, Conscientious Objectors in their own words, IWM Interview, &lt; </w:t>
          </w:r>
          <w:hyperlink r:id="rId9" w:history="1">
            <w:r w:rsidRPr="00FF225C">
              <w:rPr>
                <w:rStyle w:val="Hyperlink"/>
              </w:rPr>
              <w:t>https://www.iwm.org.uk/history/conscientious-objectors-in-their-own-words</w:t>
            </w:r>
          </w:hyperlink>
          <w:r>
            <w:t xml:space="preserve"> &gt;, [Accessed 28/1/2022]</w:t>
          </w:r>
        </w:p>
        <w:p w14:paraId="65582B74" w14:textId="77777777" w:rsidR="00F6571D" w:rsidRDefault="00F6571D" w:rsidP="003C0023">
          <w:pPr>
            <w:pStyle w:val="FootnoteText"/>
          </w:pPr>
        </w:p>
        <w:p w14:paraId="70B8A2D8" w14:textId="63D0E647" w:rsidR="003C0023" w:rsidRDefault="003C0023" w:rsidP="003C0023">
          <w:pPr>
            <w:pStyle w:val="FootnoteText"/>
          </w:pPr>
          <w:r>
            <w:rPr>
              <w:rStyle w:val="FootnoteReference"/>
            </w:rPr>
            <w:t>3</w:t>
          </w:r>
          <w:r>
            <w:t xml:space="preserve"> Conscientious Objectors and The Great War, &lt; </w:t>
          </w:r>
          <w:hyperlink r:id="rId10" w:history="1">
            <w:r w:rsidRPr="00FF225C">
              <w:rPr>
                <w:rStyle w:val="Hyperlink"/>
              </w:rPr>
              <w:t>https://cosandgreatwar.swarthmore.edu/exhibits/show/learning-more/british-cos</w:t>
            </w:r>
          </w:hyperlink>
          <w:r>
            <w:t xml:space="preserve"> &gt;, [Accessed 4/2/2022]</w:t>
          </w:r>
        </w:p>
        <w:p w14:paraId="764C3944" w14:textId="77777777" w:rsidR="003C0023" w:rsidRDefault="003C0023" w:rsidP="003C0023">
          <w:pPr>
            <w:pStyle w:val="FootnoteText"/>
          </w:pPr>
        </w:p>
        <w:p w14:paraId="3238F1BA" w14:textId="77777777" w:rsidR="00F6571D" w:rsidRDefault="00F6571D" w:rsidP="003C0023">
          <w:pPr>
            <w:pStyle w:val="FootnoteText"/>
          </w:pPr>
        </w:p>
        <w:p w14:paraId="653DEF32" w14:textId="3071CCEC" w:rsidR="003C0023" w:rsidRDefault="003C0023" w:rsidP="003C0023">
          <w:pPr>
            <w:pStyle w:val="FootnoteText"/>
          </w:pPr>
          <w:r>
            <w:rPr>
              <w:rStyle w:val="FootnoteReference"/>
            </w:rPr>
            <w:t>4</w:t>
          </w:r>
          <w:r>
            <w:t xml:space="preserve"> Monologues, &lt; </w:t>
          </w:r>
          <w:hyperlink r:id="rId11" w:history="1">
            <w:r w:rsidRPr="00FF225C">
              <w:rPr>
                <w:rStyle w:val="Hyperlink"/>
              </w:rPr>
              <w:t>https://monologues.co.uk/musichall/Songs-C/Conscientious-Objectors-Lament.htm</w:t>
            </w:r>
          </w:hyperlink>
          <w:r>
            <w:t xml:space="preserve"> &gt;, [Accessed 4/2/2022]</w:t>
          </w:r>
        </w:p>
        <w:p w14:paraId="48AA593B" w14:textId="77777777" w:rsidR="00F6571D" w:rsidRDefault="00F6571D" w:rsidP="003C0023">
          <w:pPr>
            <w:pStyle w:val="FootnoteText"/>
          </w:pPr>
        </w:p>
        <w:p w14:paraId="140E36FF" w14:textId="5C251462" w:rsidR="003C0023" w:rsidRDefault="003C0023" w:rsidP="003C0023">
          <w:pPr>
            <w:rPr>
              <w:rFonts w:cstheme="minorHAnsi"/>
              <w:sz w:val="22"/>
              <w:szCs w:val="22"/>
            </w:rPr>
          </w:pPr>
          <w:r>
            <w:rPr>
              <w:rStyle w:val="FootnoteReference"/>
            </w:rPr>
            <w:t>5</w:t>
          </w:r>
          <w:r>
            <w:t xml:space="preserve"> </w:t>
          </w:r>
          <w:r w:rsidRPr="00921076">
            <w:rPr>
              <w:rFonts w:eastAsia="Times New Roman" w:cstheme="minorHAnsi"/>
              <w:sz w:val="22"/>
              <w:szCs w:val="22"/>
              <w:lang w:eastAsia="en-GB"/>
            </w:rPr>
            <w:t>Ann Kramer, '</w:t>
          </w:r>
          <w:r w:rsidRPr="00921076">
            <w:rPr>
              <w:rFonts w:eastAsia="Times New Roman" w:cstheme="minorHAnsi"/>
              <w:i/>
              <w:iCs/>
              <w:color w:val="0E101A"/>
              <w:sz w:val="22"/>
              <w:szCs w:val="22"/>
              <w:lang w:eastAsia="en-GB"/>
            </w:rPr>
            <w:t>Conscientious Objectors of the First World War'</w:t>
          </w:r>
          <w:r w:rsidRPr="00921076">
            <w:rPr>
              <w:rFonts w:eastAsia="Times New Roman" w:cstheme="minorHAnsi"/>
              <w:sz w:val="22"/>
              <w:szCs w:val="22"/>
              <w:lang w:eastAsia="en-GB"/>
            </w:rPr>
            <w:t>, (Barnsley: Pen &amp; Sword Books Ltd, 2013)</w:t>
          </w:r>
          <w:r w:rsidRPr="00921076">
            <w:rPr>
              <w:rFonts w:cstheme="minorHAnsi"/>
              <w:sz w:val="22"/>
              <w:szCs w:val="22"/>
            </w:rPr>
            <w:t>, p109</w:t>
          </w:r>
        </w:p>
        <w:p w14:paraId="60B993DC" w14:textId="77777777" w:rsidR="00F6571D" w:rsidRPr="00921076" w:rsidRDefault="00F6571D" w:rsidP="003C0023">
          <w:pPr>
            <w:rPr>
              <w:rFonts w:eastAsia="Times New Roman" w:cstheme="minorHAnsi"/>
              <w:sz w:val="22"/>
              <w:szCs w:val="22"/>
              <w:lang w:eastAsia="en-GB"/>
            </w:rPr>
          </w:pPr>
        </w:p>
        <w:p w14:paraId="00608259" w14:textId="610E8AE1" w:rsidR="003C0023" w:rsidRDefault="003C0023" w:rsidP="003C0023">
          <w:pPr>
            <w:pStyle w:val="FootnoteText"/>
            <w:rPr>
              <w:sz w:val="22"/>
              <w:szCs w:val="22"/>
            </w:rPr>
          </w:pPr>
          <w:r>
            <w:rPr>
              <w:rStyle w:val="FootnoteReference"/>
              <w:sz w:val="22"/>
              <w:szCs w:val="22"/>
            </w:rPr>
            <w:t>6</w:t>
          </w:r>
          <w:r w:rsidRPr="00921076">
            <w:rPr>
              <w:sz w:val="22"/>
              <w:szCs w:val="22"/>
            </w:rPr>
            <w:t xml:space="preserve"> Kramer, p110</w:t>
          </w:r>
        </w:p>
        <w:p w14:paraId="6D34E747" w14:textId="77777777" w:rsidR="00F6571D" w:rsidRPr="00921076" w:rsidRDefault="00F6571D" w:rsidP="003C0023">
          <w:pPr>
            <w:pStyle w:val="FootnoteText"/>
            <w:rPr>
              <w:sz w:val="22"/>
              <w:szCs w:val="22"/>
            </w:rPr>
          </w:pPr>
        </w:p>
        <w:p w14:paraId="11753C2B" w14:textId="4E02025B" w:rsidR="003C0023" w:rsidRPr="00921076" w:rsidRDefault="003C0023" w:rsidP="003C0023">
          <w:pPr>
            <w:rPr>
              <w:sz w:val="22"/>
              <w:szCs w:val="22"/>
            </w:rPr>
          </w:pPr>
          <w:r>
            <w:rPr>
              <w:rStyle w:val="FootnoteReference"/>
              <w:sz w:val="22"/>
              <w:szCs w:val="22"/>
            </w:rPr>
            <w:t>7</w:t>
          </w:r>
          <w:r w:rsidRPr="00921076">
            <w:rPr>
              <w:sz w:val="22"/>
              <w:szCs w:val="22"/>
            </w:rPr>
            <w:t xml:space="preserve"> Hansard, ‘The Conscientious Objector’, &lt; </w:t>
          </w:r>
          <w:hyperlink r:id="rId12" w:tgtFrame="_blank" w:history="1">
            <w:r w:rsidRPr="00921076">
              <w:rPr>
                <w:rStyle w:val="Hyperlink"/>
                <w:color w:val="4A6EE0"/>
                <w:sz w:val="22"/>
                <w:szCs w:val="22"/>
              </w:rPr>
              <w:t>https://api.parliament.uk/historic-hansard/lords/1943/mar/02/the-conscientious-objector</w:t>
            </w:r>
          </w:hyperlink>
          <w:r w:rsidRPr="00921076">
            <w:rPr>
              <w:sz w:val="22"/>
              <w:szCs w:val="22"/>
            </w:rPr>
            <w:t> &gt;, [Accessed 3/2/2022]</w:t>
          </w:r>
        </w:p>
        <w:p w14:paraId="5991FB10" w14:textId="77777777" w:rsidR="003C0023" w:rsidRPr="00921076" w:rsidRDefault="003C0023" w:rsidP="003C0023">
          <w:pPr>
            <w:pStyle w:val="FootnoteText"/>
            <w:rPr>
              <w:sz w:val="22"/>
              <w:szCs w:val="22"/>
            </w:rPr>
          </w:pPr>
        </w:p>
        <w:p w14:paraId="50597AEC" w14:textId="1B5DC611" w:rsidR="003C0023" w:rsidRPr="00921076" w:rsidRDefault="003C0023" w:rsidP="003C0023">
          <w:pPr>
            <w:rPr>
              <w:sz w:val="22"/>
              <w:szCs w:val="22"/>
            </w:rPr>
          </w:pPr>
          <w:r>
            <w:rPr>
              <w:rStyle w:val="FootnoteReference"/>
            </w:rPr>
            <w:lastRenderedPageBreak/>
            <w:t>8</w:t>
          </w:r>
          <w:r>
            <w:t xml:space="preserve"> </w:t>
          </w:r>
          <w:r w:rsidRPr="00921076">
            <w:rPr>
              <w:sz w:val="22"/>
              <w:szCs w:val="22"/>
            </w:rPr>
            <w:t>Hansard, ‘The Conscientious Objector’, &lt; </w:t>
          </w:r>
          <w:hyperlink r:id="rId13" w:tgtFrame="_blank" w:history="1">
            <w:r w:rsidRPr="00921076">
              <w:rPr>
                <w:rStyle w:val="Hyperlink"/>
                <w:color w:val="4A6EE0"/>
                <w:sz w:val="22"/>
                <w:szCs w:val="22"/>
              </w:rPr>
              <w:t>https://api.parliament.uk/historic-hansard/lords/1943/mar/02/the-conscientious-objector</w:t>
            </w:r>
          </w:hyperlink>
          <w:r w:rsidRPr="00921076">
            <w:rPr>
              <w:sz w:val="22"/>
              <w:szCs w:val="22"/>
            </w:rPr>
            <w:t> &gt;, [Accessed 3/2/2022]</w:t>
          </w:r>
        </w:p>
        <w:p w14:paraId="13CD812F" w14:textId="77777777" w:rsidR="003C0023" w:rsidRDefault="003C0023" w:rsidP="003C0023">
          <w:pPr>
            <w:pStyle w:val="FootnoteText"/>
          </w:pPr>
        </w:p>
        <w:p w14:paraId="4DE1AC8F" w14:textId="24F7CFEB" w:rsidR="003C0023" w:rsidRPr="00F41A2A" w:rsidRDefault="003C0023" w:rsidP="003C0023">
          <w:pPr>
            <w:rPr>
              <w:sz w:val="22"/>
              <w:szCs w:val="22"/>
            </w:rPr>
          </w:pPr>
          <w:r w:rsidRPr="00F6571D">
            <w:rPr>
              <w:rStyle w:val="FootnoteReference"/>
            </w:rPr>
            <w:t>9</w:t>
          </w:r>
          <w:r w:rsidRPr="00F6571D">
            <w:t xml:space="preserve"> </w:t>
          </w:r>
          <w:r w:rsidRPr="00F41A2A">
            <w:rPr>
              <w:rFonts w:ascii="Times New Roman" w:eastAsia="Times New Roman" w:hAnsi="Times New Roman" w:cs="Times New Roman"/>
              <w:sz w:val="22"/>
              <w:szCs w:val="22"/>
              <w:lang w:eastAsia="en-GB"/>
            </w:rPr>
            <w:t>Kramer p108</w:t>
          </w:r>
        </w:p>
        <w:p w14:paraId="65A5C489" w14:textId="77777777" w:rsidR="003C0023" w:rsidRPr="00F41A2A" w:rsidRDefault="003C0023" w:rsidP="003C0023">
          <w:pPr>
            <w:pStyle w:val="FootnoteText"/>
            <w:rPr>
              <w:sz w:val="22"/>
              <w:szCs w:val="22"/>
            </w:rPr>
          </w:pPr>
        </w:p>
        <w:p w14:paraId="2371ACC3" w14:textId="591B469F" w:rsidR="003C0023" w:rsidRPr="00F41A2A" w:rsidRDefault="003C0023" w:rsidP="003C0023">
          <w:pPr>
            <w:rPr>
              <w:rFonts w:ascii="Times New Roman" w:eastAsia="Times New Roman" w:hAnsi="Times New Roman" w:cs="Times New Roman"/>
              <w:sz w:val="22"/>
              <w:szCs w:val="22"/>
              <w:lang w:eastAsia="en-GB"/>
            </w:rPr>
          </w:pPr>
          <w:r w:rsidRPr="00F41A2A">
            <w:rPr>
              <w:rStyle w:val="FootnoteReference"/>
              <w:sz w:val="22"/>
              <w:szCs w:val="22"/>
            </w:rPr>
            <w:t>1</w:t>
          </w:r>
          <w:r w:rsidRPr="00F41A2A">
            <w:rPr>
              <w:sz w:val="22"/>
              <w:szCs w:val="22"/>
              <w:vertAlign w:val="superscript"/>
            </w:rPr>
            <w:t>0</w:t>
          </w:r>
          <w:r w:rsidRPr="00F41A2A">
            <w:rPr>
              <w:sz w:val="22"/>
              <w:szCs w:val="22"/>
            </w:rPr>
            <w:t xml:space="preserve"> Kramer, p108</w:t>
          </w:r>
        </w:p>
        <w:p w14:paraId="5AFD8B61" w14:textId="77777777" w:rsidR="003C0023" w:rsidRPr="00F41A2A" w:rsidRDefault="003C0023" w:rsidP="003C0023">
          <w:pPr>
            <w:pStyle w:val="FootnoteText"/>
            <w:rPr>
              <w:sz w:val="22"/>
              <w:szCs w:val="22"/>
            </w:rPr>
          </w:pPr>
        </w:p>
        <w:p w14:paraId="4BD90093" w14:textId="3B9D6C74" w:rsidR="003C0023" w:rsidRPr="00F41A2A" w:rsidRDefault="003C0023" w:rsidP="003C0023">
          <w:pPr>
            <w:pStyle w:val="FootnoteText"/>
            <w:rPr>
              <w:sz w:val="22"/>
              <w:szCs w:val="22"/>
            </w:rPr>
          </w:pPr>
          <w:r w:rsidRPr="00F41A2A">
            <w:rPr>
              <w:rStyle w:val="FootnoteReference"/>
              <w:sz w:val="22"/>
              <w:szCs w:val="22"/>
            </w:rPr>
            <w:t>1</w:t>
          </w:r>
          <w:r w:rsidRPr="00F41A2A">
            <w:rPr>
              <w:sz w:val="22"/>
              <w:szCs w:val="22"/>
              <w:vertAlign w:val="superscript"/>
            </w:rPr>
            <w:t>1</w:t>
          </w:r>
          <w:r w:rsidRPr="00F41A2A">
            <w:rPr>
              <w:sz w:val="22"/>
              <w:szCs w:val="22"/>
            </w:rPr>
            <w:t xml:space="preserve"> Kramer, p257</w:t>
          </w:r>
        </w:p>
        <w:p w14:paraId="19D92C5A" w14:textId="77777777" w:rsidR="00F6571D" w:rsidRPr="00F41A2A" w:rsidRDefault="00F6571D" w:rsidP="003C0023">
          <w:pPr>
            <w:pStyle w:val="FootnoteText"/>
            <w:rPr>
              <w:sz w:val="22"/>
              <w:szCs w:val="22"/>
            </w:rPr>
          </w:pPr>
        </w:p>
        <w:p w14:paraId="5EF7D64D" w14:textId="1ACF4DFB" w:rsidR="003C0023" w:rsidRPr="00F41A2A" w:rsidRDefault="003C0023" w:rsidP="003C0023">
          <w:pPr>
            <w:pStyle w:val="FootnoteText"/>
            <w:rPr>
              <w:sz w:val="22"/>
              <w:szCs w:val="22"/>
            </w:rPr>
          </w:pPr>
          <w:r w:rsidRPr="00F41A2A">
            <w:rPr>
              <w:rStyle w:val="FootnoteReference"/>
              <w:sz w:val="22"/>
              <w:szCs w:val="22"/>
            </w:rPr>
            <w:footnoteRef/>
          </w:r>
          <w:r w:rsidR="00F6571D" w:rsidRPr="00F41A2A">
            <w:rPr>
              <w:sz w:val="22"/>
              <w:szCs w:val="22"/>
              <w:vertAlign w:val="superscript"/>
            </w:rPr>
            <w:t>1</w:t>
          </w:r>
          <w:r w:rsidRPr="00F41A2A">
            <w:rPr>
              <w:sz w:val="22"/>
              <w:szCs w:val="22"/>
            </w:rPr>
            <w:t xml:space="preserve"> Kramer, p259</w:t>
          </w:r>
        </w:p>
        <w:p w14:paraId="5025D292" w14:textId="77777777" w:rsidR="00F6571D" w:rsidRPr="00F41A2A" w:rsidRDefault="00F6571D" w:rsidP="003C0023">
          <w:pPr>
            <w:pStyle w:val="FootnoteText"/>
            <w:rPr>
              <w:sz w:val="22"/>
              <w:szCs w:val="22"/>
            </w:rPr>
          </w:pPr>
        </w:p>
        <w:p w14:paraId="64E52C13" w14:textId="1DEF5AE5" w:rsidR="003C0023" w:rsidRPr="00F41A2A" w:rsidRDefault="003C0023" w:rsidP="003C0023">
          <w:pPr>
            <w:pStyle w:val="FootnoteText"/>
            <w:rPr>
              <w:sz w:val="22"/>
              <w:szCs w:val="22"/>
            </w:rPr>
          </w:pPr>
          <w:r w:rsidRPr="00F41A2A">
            <w:rPr>
              <w:rStyle w:val="FootnoteReference"/>
              <w:sz w:val="22"/>
              <w:szCs w:val="22"/>
            </w:rPr>
            <w:footnoteRef/>
          </w:r>
          <w:r w:rsidR="00F6571D" w:rsidRPr="00F41A2A">
            <w:rPr>
              <w:sz w:val="22"/>
              <w:szCs w:val="22"/>
              <w:vertAlign w:val="superscript"/>
            </w:rPr>
            <w:t>2</w:t>
          </w:r>
          <w:r w:rsidRPr="00F41A2A">
            <w:rPr>
              <w:sz w:val="22"/>
              <w:szCs w:val="22"/>
            </w:rPr>
            <w:t xml:space="preserve"> Kramer, p260</w:t>
          </w:r>
        </w:p>
        <w:p w14:paraId="2957388E" w14:textId="77777777" w:rsidR="00F6571D" w:rsidRPr="00F41A2A" w:rsidRDefault="00F6571D" w:rsidP="003C0023">
          <w:pPr>
            <w:pStyle w:val="FootnoteText"/>
            <w:rPr>
              <w:sz w:val="22"/>
              <w:szCs w:val="22"/>
            </w:rPr>
          </w:pPr>
        </w:p>
        <w:p w14:paraId="46D8C884" w14:textId="027ECC53" w:rsidR="003C0023" w:rsidRPr="00F41A2A" w:rsidRDefault="003C0023" w:rsidP="003C0023">
          <w:pPr>
            <w:rPr>
              <w:rFonts w:ascii="Times New Roman" w:eastAsia="Times New Roman" w:hAnsi="Times New Roman" w:cs="Times New Roman"/>
              <w:sz w:val="22"/>
              <w:szCs w:val="22"/>
              <w:lang w:eastAsia="en-GB"/>
            </w:rPr>
          </w:pPr>
          <w:r w:rsidRPr="00F41A2A">
            <w:rPr>
              <w:rStyle w:val="FootnoteReference"/>
              <w:sz w:val="22"/>
              <w:szCs w:val="22"/>
            </w:rPr>
            <w:footnoteRef/>
          </w:r>
          <w:r w:rsidR="00F6571D" w:rsidRPr="00F41A2A">
            <w:rPr>
              <w:sz w:val="22"/>
              <w:szCs w:val="22"/>
              <w:vertAlign w:val="superscript"/>
            </w:rPr>
            <w:t>3</w:t>
          </w:r>
          <w:r w:rsidRPr="00F41A2A">
            <w:rPr>
              <w:sz w:val="22"/>
              <w:szCs w:val="22"/>
            </w:rPr>
            <w:t xml:space="preserve"> </w:t>
          </w:r>
          <w:r w:rsidRPr="00F41A2A">
            <w:rPr>
              <w:rFonts w:eastAsia="Times New Roman" w:cstheme="minorHAnsi"/>
              <w:sz w:val="22"/>
              <w:szCs w:val="22"/>
              <w:lang w:eastAsia="en-GB"/>
            </w:rPr>
            <w:t>Louis Bibbings, ‘Images of Manliness: The Portrayal of Soldiers and Conscientious Objectors in the Great War’, </w:t>
          </w:r>
          <w:r w:rsidRPr="00F41A2A">
            <w:rPr>
              <w:rFonts w:eastAsia="Times New Roman" w:cstheme="minorHAnsi"/>
              <w:i/>
              <w:iCs/>
              <w:color w:val="0E101A"/>
              <w:sz w:val="22"/>
              <w:szCs w:val="22"/>
              <w:lang w:eastAsia="en-GB"/>
            </w:rPr>
            <w:t>Sage &amp; Legal Studies, Issue 3, Volume 12, (2003), p343</w:t>
          </w:r>
        </w:p>
        <w:p w14:paraId="05915436" w14:textId="77777777" w:rsidR="003C0023" w:rsidRPr="00F41A2A" w:rsidRDefault="003C0023" w:rsidP="003C0023">
          <w:pPr>
            <w:pStyle w:val="FootnoteText"/>
            <w:rPr>
              <w:sz w:val="22"/>
              <w:szCs w:val="22"/>
            </w:rPr>
          </w:pPr>
        </w:p>
        <w:p w14:paraId="33585071" w14:textId="55714A6B" w:rsidR="003C0023" w:rsidRPr="00F41A2A" w:rsidRDefault="003C0023" w:rsidP="003C0023">
          <w:pPr>
            <w:pStyle w:val="FootnoteText"/>
            <w:rPr>
              <w:sz w:val="22"/>
              <w:szCs w:val="22"/>
            </w:rPr>
          </w:pPr>
          <w:r w:rsidRPr="00F41A2A">
            <w:rPr>
              <w:rStyle w:val="FootnoteReference"/>
              <w:sz w:val="22"/>
              <w:szCs w:val="22"/>
            </w:rPr>
            <w:footnoteRef/>
          </w:r>
          <w:r w:rsidR="00F6571D" w:rsidRPr="00F41A2A">
            <w:rPr>
              <w:sz w:val="22"/>
              <w:szCs w:val="22"/>
              <w:vertAlign w:val="superscript"/>
            </w:rPr>
            <w:t>4</w:t>
          </w:r>
          <w:r w:rsidRPr="00F41A2A">
            <w:rPr>
              <w:sz w:val="22"/>
              <w:szCs w:val="22"/>
            </w:rPr>
            <w:t xml:space="preserve"> Kramer, p279-280</w:t>
          </w:r>
        </w:p>
        <w:p w14:paraId="25A165C9" w14:textId="77777777" w:rsidR="00F6571D" w:rsidRPr="00F41A2A" w:rsidRDefault="00F6571D" w:rsidP="003C0023">
          <w:pPr>
            <w:pStyle w:val="FootnoteText"/>
            <w:rPr>
              <w:sz w:val="22"/>
              <w:szCs w:val="22"/>
            </w:rPr>
          </w:pPr>
        </w:p>
        <w:p w14:paraId="5E12DB10" w14:textId="7640C289" w:rsidR="003C0023" w:rsidRPr="00F41A2A" w:rsidRDefault="003C0023" w:rsidP="003C0023">
          <w:pPr>
            <w:pStyle w:val="FootnoteText"/>
            <w:rPr>
              <w:sz w:val="22"/>
              <w:szCs w:val="22"/>
            </w:rPr>
          </w:pPr>
          <w:r w:rsidRPr="00F41A2A">
            <w:rPr>
              <w:rStyle w:val="FootnoteReference"/>
              <w:sz w:val="22"/>
              <w:szCs w:val="22"/>
            </w:rPr>
            <w:footnoteRef/>
          </w:r>
          <w:r w:rsidR="00F6571D" w:rsidRPr="00F41A2A">
            <w:rPr>
              <w:sz w:val="22"/>
              <w:szCs w:val="22"/>
              <w:vertAlign w:val="superscript"/>
            </w:rPr>
            <w:t>5</w:t>
          </w:r>
          <w:r w:rsidRPr="00F41A2A">
            <w:rPr>
              <w:sz w:val="22"/>
              <w:szCs w:val="22"/>
            </w:rPr>
            <w:t xml:space="preserve"> Alisson Campsie, ‘The work camp for men who refused to go to war’, The Scotsman, 30th April 2018</w:t>
          </w:r>
        </w:p>
        <w:p w14:paraId="65D831A4" w14:textId="77777777" w:rsidR="00F6571D" w:rsidRPr="00F41A2A" w:rsidRDefault="00F6571D" w:rsidP="003C0023">
          <w:pPr>
            <w:pStyle w:val="FootnoteText"/>
            <w:rPr>
              <w:sz w:val="22"/>
              <w:szCs w:val="22"/>
            </w:rPr>
          </w:pPr>
        </w:p>
        <w:p w14:paraId="146AD0C1" w14:textId="2D74068B" w:rsidR="003C0023" w:rsidRPr="00F41A2A" w:rsidRDefault="003C0023" w:rsidP="003C0023">
          <w:pPr>
            <w:pStyle w:val="FootnoteText"/>
            <w:rPr>
              <w:sz w:val="22"/>
              <w:szCs w:val="22"/>
            </w:rPr>
          </w:pPr>
          <w:r w:rsidRPr="00F41A2A">
            <w:rPr>
              <w:rStyle w:val="FootnoteReference"/>
              <w:sz w:val="22"/>
              <w:szCs w:val="22"/>
            </w:rPr>
            <w:footnoteRef/>
          </w:r>
          <w:r w:rsidR="00F6571D" w:rsidRPr="00F41A2A">
            <w:rPr>
              <w:sz w:val="22"/>
              <w:szCs w:val="22"/>
              <w:vertAlign w:val="superscript"/>
            </w:rPr>
            <w:t>6</w:t>
          </w:r>
          <w:r w:rsidRPr="00F41A2A">
            <w:rPr>
              <w:sz w:val="22"/>
              <w:szCs w:val="22"/>
            </w:rPr>
            <w:t xml:space="preserve"> Alisson Campsie, ‘The work camp for men who refused to go to war’, The Scotsman, 30th April 2018</w:t>
          </w:r>
        </w:p>
        <w:p w14:paraId="286185F3" w14:textId="77777777" w:rsidR="00F6571D" w:rsidRPr="00F41A2A" w:rsidRDefault="00F6571D" w:rsidP="003C0023">
          <w:pPr>
            <w:pStyle w:val="FootnoteText"/>
            <w:rPr>
              <w:sz w:val="22"/>
              <w:szCs w:val="22"/>
            </w:rPr>
          </w:pPr>
        </w:p>
        <w:p w14:paraId="60D72AB8" w14:textId="572BD73D" w:rsidR="003C0023" w:rsidRPr="00F41A2A" w:rsidRDefault="003C0023" w:rsidP="003C0023">
          <w:pPr>
            <w:pStyle w:val="FootnoteText"/>
            <w:rPr>
              <w:sz w:val="22"/>
              <w:szCs w:val="22"/>
            </w:rPr>
          </w:pPr>
          <w:r w:rsidRPr="00F41A2A">
            <w:rPr>
              <w:rStyle w:val="FootnoteReference"/>
              <w:sz w:val="22"/>
              <w:szCs w:val="22"/>
            </w:rPr>
            <w:footnoteRef/>
          </w:r>
          <w:r w:rsidR="00F6571D" w:rsidRPr="00F41A2A">
            <w:rPr>
              <w:sz w:val="22"/>
              <w:szCs w:val="22"/>
              <w:vertAlign w:val="superscript"/>
            </w:rPr>
            <w:t>7</w:t>
          </w:r>
          <w:r w:rsidRPr="00F41A2A">
            <w:rPr>
              <w:sz w:val="22"/>
              <w:szCs w:val="22"/>
            </w:rPr>
            <w:t xml:space="preserve"> Alisson Campsie, ‘The work camp for men who refused to go to war’, The Scotsman, 30th April 2018</w:t>
          </w:r>
        </w:p>
        <w:p w14:paraId="37FFF208" w14:textId="77777777" w:rsidR="00F6571D" w:rsidRPr="00F41A2A" w:rsidRDefault="00F6571D" w:rsidP="003C0023">
          <w:pPr>
            <w:pStyle w:val="FootnoteText"/>
            <w:rPr>
              <w:sz w:val="22"/>
              <w:szCs w:val="22"/>
            </w:rPr>
          </w:pPr>
        </w:p>
        <w:p w14:paraId="398EADEF" w14:textId="47ED29B5" w:rsidR="003C0023" w:rsidRPr="00F41A2A" w:rsidRDefault="003C0023" w:rsidP="003C0023">
          <w:pPr>
            <w:pStyle w:val="FootnoteText"/>
            <w:rPr>
              <w:sz w:val="22"/>
              <w:szCs w:val="22"/>
            </w:rPr>
          </w:pPr>
          <w:r w:rsidRPr="00F41A2A">
            <w:rPr>
              <w:rStyle w:val="FootnoteReference"/>
              <w:sz w:val="22"/>
              <w:szCs w:val="22"/>
            </w:rPr>
            <w:footnoteRef/>
          </w:r>
          <w:r w:rsidR="00F6571D" w:rsidRPr="00F41A2A">
            <w:rPr>
              <w:sz w:val="22"/>
              <w:szCs w:val="22"/>
              <w:vertAlign w:val="superscript"/>
            </w:rPr>
            <w:t>8</w:t>
          </w:r>
          <w:r w:rsidRPr="00F41A2A">
            <w:rPr>
              <w:sz w:val="22"/>
              <w:szCs w:val="22"/>
            </w:rPr>
            <w:t xml:space="preserve"> Alisson Campsie, ‘The work camp for men who refused to go to war’, The Scotsman, 30th April 2018</w:t>
          </w:r>
        </w:p>
        <w:p w14:paraId="0062F24C" w14:textId="77777777" w:rsidR="00F6571D" w:rsidRPr="00F41A2A" w:rsidRDefault="00F6571D" w:rsidP="003C0023">
          <w:pPr>
            <w:pStyle w:val="FootnoteText"/>
            <w:rPr>
              <w:sz w:val="22"/>
              <w:szCs w:val="22"/>
            </w:rPr>
          </w:pPr>
        </w:p>
        <w:p w14:paraId="31B3828A" w14:textId="7065E9D4" w:rsidR="003C0023" w:rsidRPr="00F41A2A" w:rsidRDefault="003C0023" w:rsidP="003C0023">
          <w:pPr>
            <w:pStyle w:val="FootnoteText"/>
            <w:rPr>
              <w:sz w:val="22"/>
              <w:szCs w:val="22"/>
            </w:rPr>
          </w:pPr>
          <w:r w:rsidRPr="00F41A2A">
            <w:rPr>
              <w:rStyle w:val="FootnoteReference"/>
              <w:sz w:val="22"/>
              <w:szCs w:val="22"/>
            </w:rPr>
            <w:footnoteRef/>
          </w:r>
          <w:r w:rsidR="00F6571D" w:rsidRPr="00F41A2A">
            <w:rPr>
              <w:sz w:val="22"/>
              <w:szCs w:val="22"/>
              <w:vertAlign w:val="superscript"/>
            </w:rPr>
            <w:t>9</w:t>
          </w:r>
          <w:r w:rsidRPr="00F41A2A">
            <w:rPr>
              <w:sz w:val="22"/>
              <w:szCs w:val="22"/>
            </w:rPr>
            <w:t xml:space="preserve"> Alisson Campsie, ‘The work camp for men who refused to go to war’, The Scotsman, 30th April 2018</w:t>
          </w:r>
        </w:p>
        <w:p w14:paraId="6CB75022" w14:textId="77777777" w:rsidR="00F6571D" w:rsidRPr="00F41A2A" w:rsidRDefault="00F6571D" w:rsidP="003C0023">
          <w:pPr>
            <w:pStyle w:val="FootnoteText"/>
            <w:rPr>
              <w:sz w:val="22"/>
              <w:szCs w:val="22"/>
            </w:rPr>
          </w:pPr>
        </w:p>
        <w:p w14:paraId="0A639B6F" w14:textId="457246D5" w:rsidR="00F6571D" w:rsidRPr="00F41A2A" w:rsidRDefault="00F6571D" w:rsidP="003C0023">
          <w:pPr>
            <w:pStyle w:val="FootnoteText"/>
            <w:rPr>
              <w:sz w:val="22"/>
              <w:szCs w:val="22"/>
            </w:rPr>
          </w:pPr>
          <w:r w:rsidRPr="00F41A2A">
            <w:rPr>
              <w:sz w:val="22"/>
              <w:szCs w:val="22"/>
              <w:vertAlign w:val="superscript"/>
            </w:rPr>
            <w:t xml:space="preserve">20 </w:t>
          </w:r>
          <w:r w:rsidRPr="00F41A2A">
            <w:rPr>
              <w:sz w:val="22"/>
              <w:szCs w:val="22"/>
            </w:rPr>
            <w:t>Alisson Campsie, ‘The work camp for men who refused to go to war’, The Scotsman, 30th April 2018</w:t>
          </w:r>
        </w:p>
        <w:p w14:paraId="38B254F5" w14:textId="77777777" w:rsidR="003C0023" w:rsidRPr="00F41A2A" w:rsidRDefault="003C0023" w:rsidP="003C0023">
          <w:pPr>
            <w:rPr>
              <w:sz w:val="22"/>
              <w:szCs w:val="22"/>
              <w:lang w:val="en-US" w:bidi="en-US"/>
            </w:rPr>
          </w:pPr>
        </w:p>
        <w:sdt>
          <w:sdtPr>
            <w:id w:val="111145805"/>
            <w:bibliography/>
          </w:sdtPr>
          <w:sdtContent>
            <w:p w14:paraId="3031EAC0" w14:textId="702F86CC" w:rsidR="003C0023" w:rsidRDefault="003C0023">
              <w:r>
                <w:fldChar w:fldCharType="begin"/>
              </w:r>
              <w:r>
                <w:instrText xml:space="preserve"> BIBLIOGRAPHY </w:instrText>
              </w:r>
              <w:r>
                <w:fldChar w:fldCharType="separate"/>
              </w:r>
              <w:r>
                <w:rPr>
                  <w:b/>
                  <w:bCs/>
                  <w:noProof/>
                </w:rPr>
                <w:fldChar w:fldCharType="end"/>
              </w:r>
            </w:p>
          </w:sdtContent>
        </w:sdt>
      </w:sdtContent>
    </w:sdt>
    <w:p w14:paraId="3425C150" w14:textId="77777777" w:rsidR="00B45F75" w:rsidRPr="00C87432" w:rsidRDefault="00B45F75">
      <w:pPr>
        <w:rPr>
          <w:rFonts w:ascii="Times New Roman" w:hAnsi="Times New Roman" w:cs="Times New Roman"/>
        </w:rPr>
      </w:pPr>
    </w:p>
    <w:sectPr w:rsidR="00B45F75" w:rsidRPr="00C874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B037E3" w14:textId="77777777" w:rsidR="007F43AA" w:rsidRDefault="007F43AA" w:rsidP="002608DA">
      <w:r>
        <w:separator/>
      </w:r>
    </w:p>
  </w:endnote>
  <w:endnote w:type="continuationSeparator" w:id="0">
    <w:p w14:paraId="389F7E53" w14:textId="77777777" w:rsidR="007F43AA" w:rsidRDefault="007F43AA" w:rsidP="002608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6B6E94" w14:textId="77777777" w:rsidR="007F43AA" w:rsidRDefault="007F43AA" w:rsidP="002608DA">
      <w:r>
        <w:separator/>
      </w:r>
    </w:p>
  </w:footnote>
  <w:footnote w:type="continuationSeparator" w:id="0">
    <w:p w14:paraId="341027AD" w14:textId="77777777" w:rsidR="007F43AA" w:rsidRDefault="007F43AA" w:rsidP="002608DA">
      <w:r>
        <w:continuationSeparator/>
      </w:r>
    </w:p>
  </w:footnote>
  <w:footnote w:id="1">
    <w:p w14:paraId="55F3D141" w14:textId="77777777" w:rsidR="00ED383E" w:rsidRDefault="00ED383E" w:rsidP="00ED383E">
      <w:pPr>
        <w:pStyle w:val="FootnoteText"/>
      </w:pPr>
      <w:r>
        <w:rPr>
          <w:rStyle w:val="FootnoteReference"/>
        </w:rPr>
        <w:footnoteRef/>
      </w:r>
      <w:r>
        <w:t xml:space="preserve"> IWM, ‘Conscientious Objectors in their own words’, &lt; </w:t>
      </w:r>
      <w:hyperlink r:id="rId1" w:history="1">
        <w:r w:rsidRPr="00FF225C">
          <w:rPr>
            <w:rStyle w:val="Hyperlink"/>
          </w:rPr>
          <w:t>https://www.iwm.org.uk/history/conscientious-objectors-in-their-own-words</w:t>
        </w:r>
      </w:hyperlink>
      <w:r>
        <w:t xml:space="preserve"> &gt;, [Accessed 28/1/2022]</w:t>
      </w:r>
    </w:p>
  </w:footnote>
  <w:footnote w:id="2">
    <w:p w14:paraId="05AF934B" w14:textId="77777777" w:rsidR="00ED383E" w:rsidRDefault="00ED383E" w:rsidP="00ED383E">
      <w:pPr>
        <w:pStyle w:val="FootnoteText"/>
      </w:pPr>
      <w:r>
        <w:rPr>
          <w:rStyle w:val="FootnoteReference"/>
        </w:rPr>
        <w:footnoteRef/>
      </w:r>
      <w:r>
        <w:t xml:space="preserve"> Walter Griffin, Conscientious Objectors in their own words, IWM Interview, &lt; </w:t>
      </w:r>
      <w:hyperlink r:id="rId2" w:history="1">
        <w:r w:rsidRPr="00FF225C">
          <w:rPr>
            <w:rStyle w:val="Hyperlink"/>
          </w:rPr>
          <w:t>https://www.iwm.org.uk/history/conscientious-objectors-in-their-own-words</w:t>
        </w:r>
      </w:hyperlink>
      <w:r>
        <w:t xml:space="preserve"> &gt;, [Accessed 28/1/2022]</w:t>
      </w:r>
    </w:p>
  </w:footnote>
  <w:footnote w:id="3">
    <w:p w14:paraId="194F2315" w14:textId="77777777" w:rsidR="00F40816" w:rsidRPr="00921076" w:rsidRDefault="00F40816" w:rsidP="00F40816">
      <w:pPr>
        <w:rPr>
          <w:rFonts w:eastAsia="Times New Roman" w:cstheme="minorHAnsi"/>
          <w:sz w:val="22"/>
          <w:szCs w:val="22"/>
          <w:lang w:eastAsia="en-GB"/>
        </w:rPr>
      </w:pPr>
      <w:r>
        <w:rPr>
          <w:rStyle w:val="FootnoteReference"/>
        </w:rPr>
        <w:footnoteRef/>
      </w:r>
      <w:r w:rsidRPr="00921076">
        <w:rPr>
          <w:rFonts w:eastAsia="Times New Roman" w:cstheme="minorHAnsi"/>
          <w:sz w:val="22"/>
          <w:szCs w:val="22"/>
          <w:lang w:eastAsia="en-GB"/>
        </w:rPr>
        <w:t>Ann Kramer, '</w:t>
      </w:r>
      <w:r w:rsidRPr="00921076">
        <w:rPr>
          <w:rFonts w:eastAsia="Times New Roman" w:cstheme="minorHAnsi"/>
          <w:i/>
          <w:iCs/>
          <w:color w:val="0E101A"/>
          <w:sz w:val="22"/>
          <w:szCs w:val="22"/>
          <w:lang w:eastAsia="en-GB"/>
        </w:rPr>
        <w:t>Conscientious Objectors of the First World War'</w:t>
      </w:r>
      <w:r w:rsidRPr="00921076">
        <w:rPr>
          <w:rFonts w:eastAsia="Times New Roman" w:cstheme="minorHAnsi"/>
          <w:sz w:val="22"/>
          <w:szCs w:val="22"/>
          <w:lang w:eastAsia="en-GB"/>
        </w:rPr>
        <w:t>, (Barnsley: Pen &amp; Sword Books Ltd, 2013)</w:t>
      </w:r>
      <w:r w:rsidRPr="00921076">
        <w:rPr>
          <w:rFonts w:cstheme="minorHAnsi"/>
          <w:sz w:val="22"/>
          <w:szCs w:val="22"/>
        </w:rPr>
        <w:t>, p109</w:t>
      </w:r>
    </w:p>
  </w:footnote>
  <w:footnote w:id="4">
    <w:p w14:paraId="0C01AA42" w14:textId="77777777" w:rsidR="00F40816" w:rsidRPr="00921076" w:rsidRDefault="00F40816" w:rsidP="00F40816">
      <w:pPr>
        <w:pStyle w:val="FootnoteText"/>
        <w:rPr>
          <w:sz w:val="22"/>
          <w:szCs w:val="22"/>
        </w:rPr>
      </w:pPr>
      <w:r w:rsidRPr="00921076">
        <w:rPr>
          <w:rStyle w:val="FootnoteReference"/>
          <w:sz w:val="22"/>
          <w:szCs w:val="22"/>
        </w:rPr>
        <w:footnoteRef/>
      </w:r>
      <w:r w:rsidRPr="00921076">
        <w:rPr>
          <w:sz w:val="22"/>
          <w:szCs w:val="22"/>
        </w:rPr>
        <w:t xml:space="preserve"> Kramer, p110</w:t>
      </w:r>
    </w:p>
  </w:footnote>
  <w:footnote w:id="5">
    <w:p w14:paraId="36ED6059" w14:textId="77777777" w:rsidR="00F40816" w:rsidRPr="00921076" w:rsidRDefault="00F40816" w:rsidP="00F40816">
      <w:pPr>
        <w:rPr>
          <w:sz w:val="22"/>
          <w:szCs w:val="22"/>
        </w:rPr>
      </w:pPr>
      <w:r w:rsidRPr="00921076">
        <w:rPr>
          <w:rStyle w:val="FootnoteReference"/>
          <w:sz w:val="22"/>
          <w:szCs w:val="22"/>
        </w:rPr>
        <w:footnoteRef/>
      </w:r>
      <w:r w:rsidRPr="00921076">
        <w:rPr>
          <w:sz w:val="22"/>
          <w:szCs w:val="22"/>
        </w:rPr>
        <w:t xml:space="preserve"> Hansard, ‘The Conscientious Objector’, &lt; </w:t>
      </w:r>
      <w:hyperlink r:id="rId3" w:tgtFrame="_blank" w:history="1">
        <w:r w:rsidRPr="00921076">
          <w:rPr>
            <w:rStyle w:val="Hyperlink"/>
            <w:color w:val="4A6EE0"/>
            <w:sz w:val="22"/>
            <w:szCs w:val="22"/>
          </w:rPr>
          <w:t>https://api.parliament.uk/historic-hansard/lords/1943/mar/02/the-conscientious-objector</w:t>
        </w:r>
      </w:hyperlink>
      <w:r w:rsidRPr="00921076">
        <w:rPr>
          <w:sz w:val="22"/>
          <w:szCs w:val="22"/>
        </w:rPr>
        <w:t> &gt;, [Accessed 3/2/2022]</w:t>
      </w:r>
    </w:p>
    <w:p w14:paraId="4B95FCEA" w14:textId="77777777" w:rsidR="00F40816" w:rsidRPr="00921076" w:rsidRDefault="00F40816" w:rsidP="00F40816">
      <w:pPr>
        <w:pStyle w:val="FootnoteText"/>
        <w:rPr>
          <w:sz w:val="22"/>
          <w:szCs w:val="22"/>
        </w:rPr>
      </w:pPr>
    </w:p>
  </w:footnote>
  <w:footnote w:id="6">
    <w:p w14:paraId="54147AE4" w14:textId="77777777" w:rsidR="00F40816" w:rsidRPr="00921076" w:rsidRDefault="00F40816" w:rsidP="00F40816">
      <w:pPr>
        <w:rPr>
          <w:sz w:val="22"/>
          <w:szCs w:val="22"/>
        </w:rPr>
      </w:pPr>
      <w:r>
        <w:rPr>
          <w:rStyle w:val="FootnoteReference"/>
        </w:rPr>
        <w:footnoteRef/>
      </w:r>
      <w:r>
        <w:t xml:space="preserve"> </w:t>
      </w:r>
      <w:r w:rsidRPr="00921076">
        <w:rPr>
          <w:sz w:val="22"/>
          <w:szCs w:val="22"/>
        </w:rPr>
        <w:t>Hansard, ‘The Conscientious Objector’, &lt; </w:t>
      </w:r>
      <w:hyperlink r:id="rId4" w:tgtFrame="_blank" w:history="1">
        <w:r w:rsidRPr="00921076">
          <w:rPr>
            <w:rStyle w:val="Hyperlink"/>
            <w:color w:val="4A6EE0"/>
            <w:sz w:val="22"/>
            <w:szCs w:val="22"/>
          </w:rPr>
          <w:t>https://api.parliament.uk/historic-hansard/lords/1943/mar/02/the-conscientious-objector</w:t>
        </w:r>
      </w:hyperlink>
      <w:r w:rsidRPr="00921076">
        <w:rPr>
          <w:sz w:val="22"/>
          <w:szCs w:val="22"/>
        </w:rPr>
        <w:t> &gt;, [Accessed 3/2/2022]</w:t>
      </w:r>
    </w:p>
    <w:p w14:paraId="30BB6D86" w14:textId="77777777" w:rsidR="00F40816" w:rsidRDefault="00F40816" w:rsidP="00F40816">
      <w:pPr>
        <w:pStyle w:val="FootnoteText"/>
      </w:pPr>
    </w:p>
  </w:footnote>
  <w:footnote w:id="7">
    <w:p w14:paraId="066812CA" w14:textId="77777777" w:rsidR="00F40816" w:rsidRPr="00921076" w:rsidRDefault="00F40816" w:rsidP="00F40816">
      <w:pPr>
        <w:rPr>
          <w:rFonts w:ascii="Times New Roman" w:eastAsia="Times New Roman" w:hAnsi="Times New Roman" w:cs="Times New Roman"/>
          <w:lang w:eastAsia="en-GB"/>
        </w:rPr>
      </w:pPr>
      <w:r>
        <w:rPr>
          <w:rStyle w:val="FootnoteReference"/>
        </w:rPr>
        <w:footnoteRef/>
      </w:r>
      <w:r>
        <w:t xml:space="preserve"> </w:t>
      </w:r>
      <w:r w:rsidRPr="00921076">
        <w:rPr>
          <w:sz w:val="22"/>
          <w:szCs w:val="22"/>
        </w:rPr>
        <w:t>Kramer, p108</w:t>
      </w:r>
    </w:p>
    <w:p w14:paraId="61A574D8" w14:textId="77777777" w:rsidR="00F40816" w:rsidRDefault="00F40816" w:rsidP="00F40816">
      <w:pPr>
        <w:pStyle w:val="FootnoteText"/>
      </w:pPr>
    </w:p>
  </w:footnote>
  <w:footnote w:id="8">
    <w:p w14:paraId="0876899E" w14:textId="5D9FC48B" w:rsidR="002A4114" w:rsidRDefault="002A4114">
      <w:pPr>
        <w:pStyle w:val="FootnoteText"/>
      </w:pPr>
      <w:r>
        <w:rPr>
          <w:rStyle w:val="FootnoteReference"/>
        </w:rPr>
        <w:footnoteRef/>
      </w:r>
      <w:r>
        <w:t xml:space="preserve"> </w:t>
      </w:r>
      <w:r w:rsidR="00820917" w:rsidRPr="00820917">
        <w:t>Kramer, p257</w:t>
      </w:r>
    </w:p>
  </w:footnote>
  <w:footnote w:id="9">
    <w:p w14:paraId="1F3B43D5" w14:textId="7C3B6CC5" w:rsidR="00820917" w:rsidRDefault="00820917">
      <w:pPr>
        <w:pStyle w:val="FootnoteText"/>
      </w:pPr>
      <w:r>
        <w:rPr>
          <w:rStyle w:val="FootnoteReference"/>
        </w:rPr>
        <w:footnoteRef/>
      </w:r>
      <w:r>
        <w:t xml:space="preserve"> </w:t>
      </w:r>
      <w:r w:rsidRPr="00820917">
        <w:t>Kramer, p259</w:t>
      </w:r>
    </w:p>
  </w:footnote>
  <w:footnote w:id="10">
    <w:p w14:paraId="5825FE58" w14:textId="590C0D9D" w:rsidR="00820917" w:rsidRDefault="00820917">
      <w:pPr>
        <w:pStyle w:val="FootnoteText"/>
      </w:pPr>
      <w:r>
        <w:rPr>
          <w:rStyle w:val="FootnoteReference"/>
        </w:rPr>
        <w:footnoteRef/>
      </w:r>
      <w:r>
        <w:t xml:space="preserve"> </w:t>
      </w:r>
      <w:r w:rsidR="00F05D77" w:rsidRPr="00F05D77">
        <w:t>Kramer, p260</w:t>
      </w:r>
    </w:p>
  </w:footnote>
  <w:footnote w:id="11">
    <w:p w14:paraId="64814713" w14:textId="77777777" w:rsidR="005B5FC6" w:rsidRPr="00F05D77" w:rsidRDefault="005B5FC6" w:rsidP="005B5FC6">
      <w:pPr>
        <w:rPr>
          <w:rFonts w:ascii="Times New Roman" w:eastAsia="Times New Roman" w:hAnsi="Times New Roman" w:cs="Times New Roman"/>
          <w:sz w:val="21"/>
          <w:szCs w:val="21"/>
          <w:lang w:eastAsia="en-GB"/>
        </w:rPr>
      </w:pPr>
      <w:r>
        <w:rPr>
          <w:rStyle w:val="FootnoteReference"/>
        </w:rPr>
        <w:footnoteRef/>
      </w:r>
      <w:r>
        <w:t xml:space="preserve"> </w:t>
      </w:r>
      <w:r w:rsidRPr="00082AFF">
        <w:rPr>
          <w:rFonts w:eastAsia="Times New Roman" w:cstheme="minorHAnsi"/>
          <w:sz w:val="20"/>
          <w:szCs w:val="20"/>
          <w:lang w:eastAsia="en-GB"/>
        </w:rPr>
        <w:t>Louis Bibbings, ‘Images of Manliness: The Portrayal of Soldiers and Conscientious Objectors in the Great War’, </w:t>
      </w:r>
      <w:r w:rsidRPr="00082AFF">
        <w:rPr>
          <w:rFonts w:eastAsia="Times New Roman" w:cstheme="minorHAnsi"/>
          <w:i/>
          <w:iCs/>
          <w:color w:val="0E101A"/>
          <w:sz w:val="20"/>
          <w:szCs w:val="20"/>
          <w:lang w:eastAsia="en-GB"/>
        </w:rPr>
        <w:t>Sage &amp; Legal Studies, Issue 3, Volume 12, (2003), p343</w:t>
      </w:r>
    </w:p>
    <w:p w14:paraId="5B512A92" w14:textId="4E907E91" w:rsidR="005B5FC6" w:rsidRDefault="005B5FC6">
      <w:pPr>
        <w:pStyle w:val="FootnoteText"/>
      </w:pPr>
    </w:p>
  </w:footnote>
  <w:footnote w:id="12">
    <w:p w14:paraId="7EE7E008" w14:textId="77777777" w:rsidR="00F05D77" w:rsidRPr="00F05D77" w:rsidRDefault="00F05D77" w:rsidP="00F05D77">
      <w:pPr>
        <w:rPr>
          <w:rFonts w:ascii="Times New Roman" w:eastAsia="Times New Roman" w:hAnsi="Times New Roman" w:cs="Times New Roman"/>
          <w:sz w:val="21"/>
          <w:szCs w:val="21"/>
          <w:lang w:eastAsia="en-GB"/>
        </w:rPr>
      </w:pPr>
      <w:r>
        <w:rPr>
          <w:rStyle w:val="FootnoteReference"/>
        </w:rPr>
        <w:footnoteRef/>
      </w:r>
      <w:r>
        <w:t xml:space="preserve"> </w:t>
      </w:r>
      <w:r w:rsidRPr="00082AFF">
        <w:rPr>
          <w:rFonts w:eastAsia="Times New Roman" w:cstheme="minorHAnsi"/>
          <w:sz w:val="20"/>
          <w:szCs w:val="20"/>
          <w:lang w:eastAsia="en-GB"/>
        </w:rPr>
        <w:t>Louis Bibbings, ‘Images of Manliness: The Portrayal of Soldiers and Conscientious Objectors in the Great War’, </w:t>
      </w:r>
      <w:r w:rsidRPr="00082AFF">
        <w:rPr>
          <w:rFonts w:eastAsia="Times New Roman" w:cstheme="minorHAnsi"/>
          <w:i/>
          <w:iCs/>
          <w:color w:val="0E101A"/>
          <w:sz w:val="20"/>
          <w:szCs w:val="20"/>
          <w:lang w:eastAsia="en-GB"/>
        </w:rPr>
        <w:t>Sage &amp; Legal Studies, Issue 3, Volume 12, (2003), p343</w:t>
      </w:r>
    </w:p>
    <w:p w14:paraId="3F87E550" w14:textId="208A943C" w:rsidR="00F05D77" w:rsidRDefault="00F05D77">
      <w:pPr>
        <w:pStyle w:val="FootnoteText"/>
      </w:pPr>
    </w:p>
  </w:footnote>
  <w:footnote w:id="13">
    <w:p w14:paraId="71D5E8B0" w14:textId="062F7A86" w:rsidR="00082AFF" w:rsidRDefault="00082AFF">
      <w:pPr>
        <w:pStyle w:val="FootnoteText"/>
      </w:pPr>
      <w:r>
        <w:rPr>
          <w:rStyle w:val="FootnoteReference"/>
        </w:rPr>
        <w:footnoteRef/>
      </w:r>
      <w:r>
        <w:t xml:space="preserve"> </w:t>
      </w:r>
      <w:r w:rsidR="008817E9" w:rsidRPr="008817E9">
        <w:t>Kramer, p279-280</w:t>
      </w:r>
    </w:p>
  </w:footnote>
  <w:footnote w:id="14">
    <w:p w14:paraId="149C1ABE" w14:textId="4D439C69" w:rsidR="008817E9" w:rsidRDefault="008817E9">
      <w:pPr>
        <w:pStyle w:val="FootnoteText"/>
      </w:pPr>
      <w:r>
        <w:rPr>
          <w:rStyle w:val="FootnoteReference"/>
        </w:rPr>
        <w:footnoteRef/>
      </w:r>
      <w:r>
        <w:t xml:space="preserve"> </w:t>
      </w:r>
      <w:r w:rsidRPr="008817E9">
        <w:t>Alisson Campsie, ‘The work camp for men who refused to go to war’, The Scotsman, 30th April 2018</w:t>
      </w:r>
    </w:p>
  </w:footnote>
  <w:footnote w:id="15">
    <w:p w14:paraId="034252D3" w14:textId="66B4201F" w:rsidR="008817E9" w:rsidRDefault="008817E9">
      <w:pPr>
        <w:pStyle w:val="FootnoteText"/>
      </w:pPr>
      <w:r>
        <w:rPr>
          <w:rStyle w:val="FootnoteReference"/>
        </w:rPr>
        <w:footnoteRef/>
      </w:r>
      <w:r>
        <w:t xml:space="preserve"> </w:t>
      </w:r>
      <w:r w:rsidRPr="008817E9">
        <w:t>Alisson Campsie, ‘The work camp for men who refused to go to war’, The Scotsman, 30th April 2018</w:t>
      </w:r>
    </w:p>
  </w:footnote>
  <w:footnote w:id="16">
    <w:p w14:paraId="6DE8D0A0" w14:textId="13AAF64A" w:rsidR="008817E9" w:rsidRDefault="008817E9">
      <w:pPr>
        <w:pStyle w:val="FootnoteText"/>
      </w:pPr>
      <w:r>
        <w:rPr>
          <w:rStyle w:val="FootnoteReference"/>
        </w:rPr>
        <w:footnoteRef/>
      </w:r>
      <w:r>
        <w:t xml:space="preserve"> </w:t>
      </w:r>
      <w:r w:rsidRPr="008817E9">
        <w:t>Alisson Campsie, ‘The work camp for men who refused to go to war’, The Scotsman, 30th April 2018</w:t>
      </w:r>
    </w:p>
  </w:footnote>
  <w:footnote w:id="17">
    <w:p w14:paraId="02DAE9C4" w14:textId="20528282" w:rsidR="00862021" w:rsidRDefault="00862021">
      <w:pPr>
        <w:pStyle w:val="FootnoteText"/>
      </w:pPr>
      <w:r>
        <w:rPr>
          <w:rStyle w:val="FootnoteReference"/>
        </w:rPr>
        <w:footnoteRef/>
      </w:r>
      <w:r>
        <w:t xml:space="preserve"> </w:t>
      </w:r>
      <w:r w:rsidRPr="00862021">
        <w:t>Alisson Campsie, ‘The work camp for men who refused to go to war’, The Scotsman, 30th April 2018</w:t>
      </w:r>
    </w:p>
  </w:footnote>
  <w:footnote w:id="18">
    <w:p w14:paraId="18D07BD4" w14:textId="08F4A480" w:rsidR="00862021" w:rsidRDefault="00862021">
      <w:pPr>
        <w:pStyle w:val="FootnoteText"/>
      </w:pPr>
      <w:r>
        <w:rPr>
          <w:rStyle w:val="FootnoteReference"/>
        </w:rPr>
        <w:footnoteRef/>
      </w:r>
      <w:r>
        <w:t xml:space="preserve"> </w:t>
      </w:r>
      <w:r w:rsidRPr="00862021">
        <w:t>Alisson Campsie, ‘The work camp for men who refused to go to war’, The Scotsman, 30th April 2018</w:t>
      </w:r>
    </w:p>
  </w:footnote>
  <w:footnote w:id="19">
    <w:p w14:paraId="1CE96279" w14:textId="77777777" w:rsidR="00391F4E" w:rsidRDefault="00391F4E" w:rsidP="00391F4E">
      <w:pPr>
        <w:pStyle w:val="FootnoteText"/>
      </w:pPr>
      <w:r>
        <w:rPr>
          <w:rStyle w:val="FootnoteReference"/>
        </w:rPr>
        <w:footnoteRef/>
      </w:r>
      <w:r>
        <w:t xml:space="preserve"> Conscientious Objectors and The Great War, &lt; </w:t>
      </w:r>
      <w:hyperlink r:id="rId5" w:history="1">
        <w:r w:rsidRPr="00FF225C">
          <w:rPr>
            <w:rStyle w:val="Hyperlink"/>
          </w:rPr>
          <w:t>https://cosandgreatwar.swarthmore.edu/exhibits/show/learning-more/british-cos</w:t>
        </w:r>
      </w:hyperlink>
      <w:r>
        <w:t xml:space="preserve"> &gt;, [Accessed 4/2/2022]</w:t>
      </w:r>
    </w:p>
    <w:p w14:paraId="407384F0" w14:textId="77777777" w:rsidR="00391F4E" w:rsidRDefault="00391F4E" w:rsidP="00391F4E">
      <w:pPr>
        <w:pStyle w:val="FootnoteText"/>
      </w:pPr>
    </w:p>
  </w:footnote>
  <w:footnote w:id="20">
    <w:p w14:paraId="2ABFC1E2" w14:textId="77777777" w:rsidR="00391F4E" w:rsidRDefault="00391F4E" w:rsidP="00391F4E">
      <w:pPr>
        <w:pStyle w:val="FootnoteText"/>
      </w:pPr>
      <w:r>
        <w:rPr>
          <w:rStyle w:val="FootnoteReference"/>
        </w:rPr>
        <w:footnoteRef/>
      </w:r>
      <w:r>
        <w:t xml:space="preserve"> Monologues, &lt; </w:t>
      </w:r>
      <w:hyperlink r:id="rId6" w:history="1">
        <w:r w:rsidRPr="00FF225C">
          <w:rPr>
            <w:rStyle w:val="Hyperlink"/>
          </w:rPr>
          <w:t>https://monologues.co.uk/musichall/Songs-C/Conscientious-Objectors-Lament.htm</w:t>
        </w:r>
      </w:hyperlink>
      <w:r>
        <w:t xml:space="preserve"> &gt;, [Accessed 4/2/2022]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FA6176"/>
    <w:multiLevelType w:val="hybridMultilevel"/>
    <w:tmpl w:val="3588262E"/>
    <w:lvl w:ilvl="0" w:tplc="EAD233F8">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614C"/>
    <w:rsid w:val="0000143D"/>
    <w:rsid w:val="0001236D"/>
    <w:rsid w:val="00013359"/>
    <w:rsid w:val="00015BA7"/>
    <w:rsid w:val="00015CD6"/>
    <w:rsid w:val="00017387"/>
    <w:rsid w:val="0003161B"/>
    <w:rsid w:val="000435FB"/>
    <w:rsid w:val="0005315A"/>
    <w:rsid w:val="00071D85"/>
    <w:rsid w:val="00077CFC"/>
    <w:rsid w:val="00082AFF"/>
    <w:rsid w:val="000A48EE"/>
    <w:rsid w:val="000C0BA9"/>
    <w:rsid w:val="000C1F9D"/>
    <w:rsid w:val="000C5AEC"/>
    <w:rsid w:val="000D1887"/>
    <w:rsid w:val="000D3D6D"/>
    <w:rsid w:val="000D5B86"/>
    <w:rsid w:val="000E71A8"/>
    <w:rsid w:val="000F4EE8"/>
    <w:rsid w:val="000F59F4"/>
    <w:rsid w:val="00101CF5"/>
    <w:rsid w:val="00114149"/>
    <w:rsid w:val="00123CE2"/>
    <w:rsid w:val="00134BC3"/>
    <w:rsid w:val="0016091C"/>
    <w:rsid w:val="00161ECF"/>
    <w:rsid w:val="00175FA1"/>
    <w:rsid w:val="00176BC7"/>
    <w:rsid w:val="00176FE1"/>
    <w:rsid w:val="00181932"/>
    <w:rsid w:val="0018252A"/>
    <w:rsid w:val="00191E14"/>
    <w:rsid w:val="00193CA4"/>
    <w:rsid w:val="001A54E2"/>
    <w:rsid w:val="001B6690"/>
    <w:rsid w:val="001C319D"/>
    <w:rsid w:val="001C5565"/>
    <w:rsid w:val="001C5A10"/>
    <w:rsid w:val="001D3BCD"/>
    <w:rsid w:val="001D6414"/>
    <w:rsid w:val="001D6B4B"/>
    <w:rsid w:val="00200F77"/>
    <w:rsid w:val="002021F4"/>
    <w:rsid w:val="00220798"/>
    <w:rsid w:val="00221EFA"/>
    <w:rsid w:val="00226517"/>
    <w:rsid w:val="00226CD6"/>
    <w:rsid w:val="002300E2"/>
    <w:rsid w:val="0023189C"/>
    <w:rsid w:val="002375D5"/>
    <w:rsid w:val="00253B41"/>
    <w:rsid w:val="002608DA"/>
    <w:rsid w:val="00264591"/>
    <w:rsid w:val="00270EC6"/>
    <w:rsid w:val="002723D3"/>
    <w:rsid w:val="00284D54"/>
    <w:rsid w:val="00284D5B"/>
    <w:rsid w:val="00296CCD"/>
    <w:rsid w:val="002A4114"/>
    <w:rsid w:val="002B1F38"/>
    <w:rsid w:val="002C0799"/>
    <w:rsid w:val="002C0A6B"/>
    <w:rsid w:val="002C0E5E"/>
    <w:rsid w:val="002C25C0"/>
    <w:rsid w:val="002C711F"/>
    <w:rsid w:val="002D4904"/>
    <w:rsid w:val="002E4B2C"/>
    <w:rsid w:val="00304929"/>
    <w:rsid w:val="0032148E"/>
    <w:rsid w:val="00331082"/>
    <w:rsid w:val="003318EA"/>
    <w:rsid w:val="00332657"/>
    <w:rsid w:val="00343E7F"/>
    <w:rsid w:val="003535D9"/>
    <w:rsid w:val="00356978"/>
    <w:rsid w:val="00365156"/>
    <w:rsid w:val="003651FC"/>
    <w:rsid w:val="00367E55"/>
    <w:rsid w:val="00390BB2"/>
    <w:rsid w:val="00391F4E"/>
    <w:rsid w:val="003A1F0A"/>
    <w:rsid w:val="003A23A8"/>
    <w:rsid w:val="003A5641"/>
    <w:rsid w:val="003C0023"/>
    <w:rsid w:val="003E3427"/>
    <w:rsid w:val="004007DF"/>
    <w:rsid w:val="00400FB7"/>
    <w:rsid w:val="00425D82"/>
    <w:rsid w:val="004457DC"/>
    <w:rsid w:val="004645A1"/>
    <w:rsid w:val="0049027A"/>
    <w:rsid w:val="004A14CB"/>
    <w:rsid w:val="004B240F"/>
    <w:rsid w:val="004C7A4C"/>
    <w:rsid w:val="004E32DC"/>
    <w:rsid w:val="004E5513"/>
    <w:rsid w:val="004F3ADF"/>
    <w:rsid w:val="004F40CD"/>
    <w:rsid w:val="00503307"/>
    <w:rsid w:val="00513DE0"/>
    <w:rsid w:val="00515C17"/>
    <w:rsid w:val="00517A7F"/>
    <w:rsid w:val="00517CDF"/>
    <w:rsid w:val="005219C4"/>
    <w:rsid w:val="0052472C"/>
    <w:rsid w:val="00525585"/>
    <w:rsid w:val="00532F79"/>
    <w:rsid w:val="00534FBB"/>
    <w:rsid w:val="005440AE"/>
    <w:rsid w:val="00554220"/>
    <w:rsid w:val="00556581"/>
    <w:rsid w:val="0056679A"/>
    <w:rsid w:val="0056697F"/>
    <w:rsid w:val="00571674"/>
    <w:rsid w:val="0057380C"/>
    <w:rsid w:val="00573FA2"/>
    <w:rsid w:val="00575BC4"/>
    <w:rsid w:val="0058131B"/>
    <w:rsid w:val="005948CC"/>
    <w:rsid w:val="00594B6D"/>
    <w:rsid w:val="00595C16"/>
    <w:rsid w:val="005A2A1E"/>
    <w:rsid w:val="005A5940"/>
    <w:rsid w:val="005B5FC6"/>
    <w:rsid w:val="005C4C02"/>
    <w:rsid w:val="005D212B"/>
    <w:rsid w:val="005D5FC9"/>
    <w:rsid w:val="005E16FB"/>
    <w:rsid w:val="005E1F24"/>
    <w:rsid w:val="005E7D4A"/>
    <w:rsid w:val="00626CA1"/>
    <w:rsid w:val="0063070A"/>
    <w:rsid w:val="00646212"/>
    <w:rsid w:val="00664389"/>
    <w:rsid w:val="0069145A"/>
    <w:rsid w:val="006A0F03"/>
    <w:rsid w:val="006B3A39"/>
    <w:rsid w:val="006B5272"/>
    <w:rsid w:val="006B6195"/>
    <w:rsid w:val="006F5FEE"/>
    <w:rsid w:val="00700F0D"/>
    <w:rsid w:val="0070221D"/>
    <w:rsid w:val="00733EF9"/>
    <w:rsid w:val="00736E99"/>
    <w:rsid w:val="0074296F"/>
    <w:rsid w:val="0074587E"/>
    <w:rsid w:val="00761E7E"/>
    <w:rsid w:val="00766C1A"/>
    <w:rsid w:val="00781948"/>
    <w:rsid w:val="00796840"/>
    <w:rsid w:val="007A737B"/>
    <w:rsid w:val="007B136D"/>
    <w:rsid w:val="007B4197"/>
    <w:rsid w:val="007C4AEF"/>
    <w:rsid w:val="007D2534"/>
    <w:rsid w:val="007D2E41"/>
    <w:rsid w:val="007D3A51"/>
    <w:rsid w:val="007D59AC"/>
    <w:rsid w:val="007F43AA"/>
    <w:rsid w:val="00804D1C"/>
    <w:rsid w:val="008127D9"/>
    <w:rsid w:val="00820917"/>
    <w:rsid w:val="00844CEE"/>
    <w:rsid w:val="00852226"/>
    <w:rsid w:val="008535DE"/>
    <w:rsid w:val="00855C60"/>
    <w:rsid w:val="00855D25"/>
    <w:rsid w:val="00862021"/>
    <w:rsid w:val="00862710"/>
    <w:rsid w:val="00870108"/>
    <w:rsid w:val="008715E2"/>
    <w:rsid w:val="00872575"/>
    <w:rsid w:val="00880591"/>
    <w:rsid w:val="008817E9"/>
    <w:rsid w:val="0088193E"/>
    <w:rsid w:val="008A7823"/>
    <w:rsid w:val="008B3496"/>
    <w:rsid w:val="008B5DED"/>
    <w:rsid w:val="008C2446"/>
    <w:rsid w:val="008C27D4"/>
    <w:rsid w:val="008D5F74"/>
    <w:rsid w:val="008D640B"/>
    <w:rsid w:val="008F1A52"/>
    <w:rsid w:val="008F54AB"/>
    <w:rsid w:val="0090334D"/>
    <w:rsid w:val="009171DA"/>
    <w:rsid w:val="009307D6"/>
    <w:rsid w:val="00942BD4"/>
    <w:rsid w:val="009432BE"/>
    <w:rsid w:val="00960826"/>
    <w:rsid w:val="00963538"/>
    <w:rsid w:val="00964EE9"/>
    <w:rsid w:val="009742B9"/>
    <w:rsid w:val="00982AEC"/>
    <w:rsid w:val="0098767D"/>
    <w:rsid w:val="00996D84"/>
    <w:rsid w:val="009A7AC2"/>
    <w:rsid w:val="009B752E"/>
    <w:rsid w:val="009D7057"/>
    <w:rsid w:val="009E0936"/>
    <w:rsid w:val="00A0040E"/>
    <w:rsid w:val="00A04D3D"/>
    <w:rsid w:val="00A05D44"/>
    <w:rsid w:val="00A0614C"/>
    <w:rsid w:val="00A07C0D"/>
    <w:rsid w:val="00A2658F"/>
    <w:rsid w:val="00A27F21"/>
    <w:rsid w:val="00A30DCD"/>
    <w:rsid w:val="00A325BA"/>
    <w:rsid w:val="00A43BA3"/>
    <w:rsid w:val="00A45290"/>
    <w:rsid w:val="00A63E2E"/>
    <w:rsid w:val="00A65D28"/>
    <w:rsid w:val="00A73059"/>
    <w:rsid w:val="00A853E7"/>
    <w:rsid w:val="00AB3874"/>
    <w:rsid w:val="00AB6C49"/>
    <w:rsid w:val="00AC674E"/>
    <w:rsid w:val="00AE33B0"/>
    <w:rsid w:val="00AE69AE"/>
    <w:rsid w:val="00AF49AB"/>
    <w:rsid w:val="00B049FA"/>
    <w:rsid w:val="00B059F6"/>
    <w:rsid w:val="00B2437E"/>
    <w:rsid w:val="00B25E77"/>
    <w:rsid w:val="00B265EB"/>
    <w:rsid w:val="00B34490"/>
    <w:rsid w:val="00B35C94"/>
    <w:rsid w:val="00B45F75"/>
    <w:rsid w:val="00B47A15"/>
    <w:rsid w:val="00B54A09"/>
    <w:rsid w:val="00B7495D"/>
    <w:rsid w:val="00B74BA2"/>
    <w:rsid w:val="00B92275"/>
    <w:rsid w:val="00B937C1"/>
    <w:rsid w:val="00B95327"/>
    <w:rsid w:val="00B95BD0"/>
    <w:rsid w:val="00BA1432"/>
    <w:rsid w:val="00BA2BC0"/>
    <w:rsid w:val="00BA53D8"/>
    <w:rsid w:val="00BA77B3"/>
    <w:rsid w:val="00BC7E9B"/>
    <w:rsid w:val="00BD0289"/>
    <w:rsid w:val="00BD3A45"/>
    <w:rsid w:val="00BE09DE"/>
    <w:rsid w:val="00BE1B13"/>
    <w:rsid w:val="00BE4032"/>
    <w:rsid w:val="00BE467D"/>
    <w:rsid w:val="00C02D8C"/>
    <w:rsid w:val="00C070E5"/>
    <w:rsid w:val="00C20711"/>
    <w:rsid w:val="00C2683B"/>
    <w:rsid w:val="00C34E9E"/>
    <w:rsid w:val="00C36A73"/>
    <w:rsid w:val="00C5411C"/>
    <w:rsid w:val="00C57139"/>
    <w:rsid w:val="00C6682C"/>
    <w:rsid w:val="00C87432"/>
    <w:rsid w:val="00C903A5"/>
    <w:rsid w:val="00C908BD"/>
    <w:rsid w:val="00CB6A95"/>
    <w:rsid w:val="00CD0541"/>
    <w:rsid w:val="00CD574D"/>
    <w:rsid w:val="00CF14D4"/>
    <w:rsid w:val="00CF1A91"/>
    <w:rsid w:val="00CF2A52"/>
    <w:rsid w:val="00CF3A74"/>
    <w:rsid w:val="00D02AF1"/>
    <w:rsid w:val="00D22AFD"/>
    <w:rsid w:val="00D329C7"/>
    <w:rsid w:val="00D5209A"/>
    <w:rsid w:val="00D734CC"/>
    <w:rsid w:val="00D75FB0"/>
    <w:rsid w:val="00D90C0A"/>
    <w:rsid w:val="00DB6E62"/>
    <w:rsid w:val="00DD1C76"/>
    <w:rsid w:val="00DD2DCC"/>
    <w:rsid w:val="00DE0708"/>
    <w:rsid w:val="00DE1026"/>
    <w:rsid w:val="00E16619"/>
    <w:rsid w:val="00E23148"/>
    <w:rsid w:val="00E3231B"/>
    <w:rsid w:val="00E326F9"/>
    <w:rsid w:val="00E40134"/>
    <w:rsid w:val="00E41CF7"/>
    <w:rsid w:val="00E52471"/>
    <w:rsid w:val="00E6261A"/>
    <w:rsid w:val="00E64097"/>
    <w:rsid w:val="00E67168"/>
    <w:rsid w:val="00E70A79"/>
    <w:rsid w:val="00E768C9"/>
    <w:rsid w:val="00E86507"/>
    <w:rsid w:val="00E92923"/>
    <w:rsid w:val="00E92B7D"/>
    <w:rsid w:val="00EC423D"/>
    <w:rsid w:val="00EC6B57"/>
    <w:rsid w:val="00ED383E"/>
    <w:rsid w:val="00EE7B6A"/>
    <w:rsid w:val="00F0212E"/>
    <w:rsid w:val="00F05D77"/>
    <w:rsid w:val="00F074E7"/>
    <w:rsid w:val="00F23A77"/>
    <w:rsid w:val="00F33755"/>
    <w:rsid w:val="00F36141"/>
    <w:rsid w:val="00F40816"/>
    <w:rsid w:val="00F40B12"/>
    <w:rsid w:val="00F41A2A"/>
    <w:rsid w:val="00F533E7"/>
    <w:rsid w:val="00F56E60"/>
    <w:rsid w:val="00F6571D"/>
    <w:rsid w:val="00F66702"/>
    <w:rsid w:val="00F74AF9"/>
    <w:rsid w:val="00F95FA6"/>
    <w:rsid w:val="00F96FAA"/>
    <w:rsid w:val="00FB4EE9"/>
    <w:rsid w:val="00FD4B76"/>
    <w:rsid w:val="00FD6F06"/>
    <w:rsid w:val="00FE2A56"/>
    <w:rsid w:val="00FE7CDD"/>
    <w:rsid w:val="00FE7E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65FFA9"/>
  <w15:chartTrackingRefBased/>
  <w15:docId w15:val="{665386B3-8A5B-924B-9B51-9DF10280E7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0023"/>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0614C"/>
    <w:pPr>
      <w:suppressAutoHyphens/>
      <w:autoSpaceDN w:val="0"/>
      <w:spacing w:after="200" w:line="276" w:lineRule="auto"/>
      <w:ind w:left="720"/>
      <w:textAlignment w:val="baseline"/>
    </w:pPr>
    <w:rPr>
      <w:rFonts w:ascii="Calibri" w:eastAsia="Calibri" w:hAnsi="Calibri" w:cs="Times New Roman"/>
      <w:sz w:val="22"/>
      <w:szCs w:val="22"/>
    </w:rPr>
  </w:style>
  <w:style w:type="paragraph" w:styleId="FootnoteText">
    <w:name w:val="footnote text"/>
    <w:basedOn w:val="Normal"/>
    <w:link w:val="FootnoteTextChar"/>
    <w:uiPriority w:val="99"/>
    <w:semiHidden/>
    <w:unhideWhenUsed/>
    <w:rsid w:val="002608DA"/>
    <w:rPr>
      <w:sz w:val="20"/>
      <w:szCs w:val="20"/>
    </w:rPr>
  </w:style>
  <w:style w:type="character" w:customStyle="1" w:styleId="FootnoteTextChar">
    <w:name w:val="Footnote Text Char"/>
    <w:basedOn w:val="DefaultParagraphFont"/>
    <w:link w:val="FootnoteText"/>
    <w:uiPriority w:val="99"/>
    <w:semiHidden/>
    <w:rsid w:val="002608DA"/>
    <w:rPr>
      <w:sz w:val="20"/>
      <w:szCs w:val="20"/>
    </w:rPr>
  </w:style>
  <w:style w:type="character" w:styleId="FootnoteReference">
    <w:name w:val="footnote reference"/>
    <w:basedOn w:val="DefaultParagraphFont"/>
    <w:uiPriority w:val="99"/>
    <w:semiHidden/>
    <w:unhideWhenUsed/>
    <w:rsid w:val="002608DA"/>
    <w:rPr>
      <w:vertAlign w:val="superscript"/>
    </w:rPr>
  </w:style>
  <w:style w:type="character" w:styleId="Hyperlink">
    <w:name w:val="Hyperlink"/>
    <w:basedOn w:val="DefaultParagraphFont"/>
    <w:uiPriority w:val="99"/>
    <w:unhideWhenUsed/>
    <w:rsid w:val="00F40816"/>
    <w:rPr>
      <w:color w:val="0563C1" w:themeColor="hyperlink"/>
      <w:u w:val="single"/>
    </w:rPr>
  </w:style>
  <w:style w:type="paragraph" w:styleId="NormalWeb">
    <w:name w:val="Normal (Web)"/>
    <w:basedOn w:val="Normal"/>
    <w:uiPriority w:val="99"/>
    <w:unhideWhenUsed/>
    <w:rsid w:val="00F40816"/>
    <w:pPr>
      <w:spacing w:before="100" w:beforeAutospacing="1" w:after="100" w:afterAutospacing="1"/>
    </w:pPr>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F40B12"/>
    <w:rPr>
      <w:color w:val="605E5C"/>
      <w:shd w:val="clear" w:color="auto" w:fill="E1DFDD"/>
    </w:rPr>
  </w:style>
  <w:style w:type="character" w:styleId="Emphasis">
    <w:name w:val="Emphasis"/>
    <w:basedOn w:val="DefaultParagraphFont"/>
    <w:uiPriority w:val="20"/>
    <w:qFormat/>
    <w:rsid w:val="00F05D77"/>
    <w:rPr>
      <w:i/>
      <w:iCs/>
    </w:rPr>
  </w:style>
  <w:style w:type="character" w:customStyle="1" w:styleId="Heading1Char">
    <w:name w:val="Heading 1 Char"/>
    <w:basedOn w:val="DefaultParagraphFont"/>
    <w:link w:val="Heading1"/>
    <w:uiPriority w:val="9"/>
    <w:rsid w:val="003C0023"/>
    <w:rPr>
      <w:rFonts w:asciiTheme="majorHAnsi" w:eastAsiaTheme="majorEastAsia" w:hAnsiTheme="majorHAnsi" w:cstheme="majorBidi"/>
      <w:b/>
      <w:bCs/>
      <w:color w:val="2F5496" w:themeColor="accent1" w:themeShade="BF"/>
      <w:sz w:val="28"/>
      <w:szCs w:val="28"/>
      <w:lang w:val="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679663">
      <w:bodyDiv w:val="1"/>
      <w:marLeft w:val="0"/>
      <w:marRight w:val="0"/>
      <w:marTop w:val="0"/>
      <w:marBottom w:val="0"/>
      <w:divBdr>
        <w:top w:val="none" w:sz="0" w:space="0" w:color="auto"/>
        <w:left w:val="none" w:sz="0" w:space="0" w:color="auto"/>
        <w:bottom w:val="none" w:sz="0" w:space="0" w:color="auto"/>
        <w:right w:val="none" w:sz="0" w:space="0" w:color="auto"/>
      </w:divBdr>
    </w:div>
    <w:div w:id="750347512">
      <w:bodyDiv w:val="1"/>
      <w:marLeft w:val="0"/>
      <w:marRight w:val="0"/>
      <w:marTop w:val="0"/>
      <w:marBottom w:val="0"/>
      <w:divBdr>
        <w:top w:val="none" w:sz="0" w:space="0" w:color="auto"/>
        <w:left w:val="none" w:sz="0" w:space="0" w:color="auto"/>
        <w:bottom w:val="none" w:sz="0" w:space="0" w:color="auto"/>
        <w:right w:val="none" w:sz="0" w:space="0" w:color="auto"/>
      </w:divBdr>
    </w:div>
    <w:div w:id="1064983240">
      <w:bodyDiv w:val="1"/>
      <w:marLeft w:val="0"/>
      <w:marRight w:val="0"/>
      <w:marTop w:val="0"/>
      <w:marBottom w:val="0"/>
      <w:divBdr>
        <w:top w:val="none" w:sz="0" w:space="0" w:color="auto"/>
        <w:left w:val="none" w:sz="0" w:space="0" w:color="auto"/>
        <w:bottom w:val="none" w:sz="0" w:space="0" w:color="auto"/>
        <w:right w:val="none" w:sz="0" w:space="0" w:color="auto"/>
      </w:divBdr>
    </w:div>
    <w:div w:id="1084915055">
      <w:bodyDiv w:val="1"/>
      <w:marLeft w:val="0"/>
      <w:marRight w:val="0"/>
      <w:marTop w:val="0"/>
      <w:marBottom w:val="0"/>
      <w:divBdr>
        <w:top w:val="none" w:sz="0" w:space="0" w:color="auto"/>
        <w:left w:val="none" w:sz="0" w:space="0" w:color="auto"/>
        <w:bottom w:val="none" w:sz="0" w:space="0" w:color="auto"/>
        <w:right w:val="none" w:sz="0" w:space="0" w:color="auto"/>
      </w:divBdr>
    </w:div>
    <w:div w:id="1094669128">
      <w:bodyDiv w:val="1"/>
      <w:marLeft w:val="0"/>
      <w:marRight w:val="0"/>
      <w:marTop w:val="0"/>
      <w:marBottom w:val="0"/>
      <w:divBdr>
        <w:top w:val="none" w:sz="0" w:space="0" w:color="auto"/>
        <w:left w:val="none" w:sz="0" w:space="0" w:color="auto"/>
        <w:bottom w:val="none" w:sz="0" w:space="0" w:color="auto"/>
        <w:right w:val="none" w:sz="0" w:space="0" w:color="auto"/>
      </w:divBdr>
    </w:div>
    <w:div w:id="1136802185">
      <w:bodyDiv w:val="1"/>
      <w:marLeft w:val="0"/>
      <w:marRight w:val="0"/>
      <w:marTop w:val="0"/>
      <w:marBottom w:val="0"/>
      <w:divBdr>
        <w:top w:val="none" w:sz="0" w:space="0" w:color="auto"/>
        <w:left w:val="none" w:sz="0" w:space="0" w:color="auto"/>
        <w:bottom w:val="none" w:sz="0" w:space="0" w:color="auto"/>
        <w:right w:val="none" w:sz="0" w:space="0" w:color="auto"/>
      </w:divBdr>
    </w:div>
    <w:div w:id="1232345646">
      <w:bodyDiv w:val="1"/>
      <w:marLeft w:val="0"/>
      <w:marRight w:val="0"/>
      <w:marTop w:val="0"/>
      <w:marBottom w:val="0"/>
      <w:divBdr>
        <w:top w:val="none" w:sz="0" w:space="0" w:color="auto"/>
        <w:left w:val="none" w:sz="0" w:space="0" w:color="auto"/>
        <w:bottom w:val="none" w:sz="0" w:space="0" w:color="auto"/>
        <w:right w:val="none" w:sz="0" w:space="0" w:color="auto"/>
      </w:divBdr>
    </w:div>
    <w:div w:id="1316303468">
      <w:bodyDiv w:val="1"/>
      <w:marLeft w:val="0"/>
      <w:marRight w:val="0"/>
      <w:marTop w:val="0"/>
      <w:marBottom w:val="0"/>
      <w:divBdr>
        <w:top w:val="none" w:sz="0" w:space="0" w:color="auto"/>
        <w:left w:val="none" w:sz="0" w:space="0" w:color="auto"/>
        <w:bottom w:val="none" w:sz="0" w:space="0" w:color="auto"/>
        <w:right w:val="none" w:sz="0" w:space="0" w:color="auto"/>
      </w:divBdr>
    </w:div>
    <w:div w:id="1547794701">
      <w:bodyDiv w:val="1"/>
      <w:marLeft w:val="0"/>
      <w:marRight w:val="0"/>
      <w:marTop w:val="0"/>
      <w:marBottom w:val="0"/>
      <w:divBdr>
        <w:top w:val="none" w:sz="0" w:space="0" w:color="auto"/>
        <w:left w:val="none" w:sz="0" w:space="0" w:color="auto"/>
        <w:bottom w:val="none" w:sz="0" w:space="0" w:color="auto"/>
        <w:right w:val="none" w:sz="0" w:space="0" w:color="auto"/>
      </w:divBdr>
    </w:div>
    <w:div w:id="1942951880">
      <w:bodyDiv w:val="1"/>
      <w:marLeft w:val="0"/>
      <w:marRight w:val="0"/>
      <w:marTop w:val="0"/>
      <w:marBottom w:val="0"/>
      <w:divBdr>
        <w:top w:val="none" w:sz="0" w:space="0" w:color="auto"/>
        <w:left w:val="none" w:sz="0" w:space="0" w:color="auto"/>
        <w:bottom w:val="none" w:sz="0" w:space="0" w:color="auto"/>
        <w:right w:val="none" w:sz="0" w:space="0" w:color="auto"/>
      </w:divBdr>
      <w:divsChild>
        <w:div w:id="1298950927">
          <w:marLeft w:val="0"/>
          <w:marRight w:val="0"/>
          <w:marTop w:val="0"/>
          <w:marBottom w:val="0"/>
          <w:divBdr>
            <w:top w:val="none" w:sz="0" w:space="0" w:color="auto"/>
            <w:left w:val="none" w:sz="0" w:space="0" w:color="auto"/>
            <w:bottom w:val="none" w:sz="0" w:space="0" w:color="auto"/>
            <w:right w:val="none" w:sz="0" w:space="0" w:color="auto"/>
          </w:divBdr>
          <w:divsChild>
            <w:div w:id="1077481612">
              <w:marLeft w:val="0"/>
              <w:marRight w:val="0"/>
              <w:marTop w:val="0"/>
              <w:marBottom w:val="0"/>
              <w:divBdr>
                <w:top w:val="none" w:sz="0" w:space="0" w:color="auto"/>
                <w:left w:val="none" w:sz="0" w:space="0" w:color="auto"/>
                <w:bottom w:val="none" w:sz="0" w:space="0" w:color="auto"/>
                <w:right w:val="none" w:sz="0" w:space="0" w:color="auto"/>
              </w:divBdr>
            </w:div>
          </w:divsChild>
        </w:div>
        <w:div w:id="252905265">
          <w:marLeft w:val="0"/>
          <w:marRight w:val="0"/>
          <w:marTop w:val="0"/>
          <w:marBottom w:val="150"/>
          <w:divBdr>
            <w:top w:val="none" w:sz="0" w:space="0" w:color="auto"/>
            <w:left w:val="none" w:sz="0" w:space="0" w:color="auto"/>
            <w:bottom w:val="none" w:sz="0" w:space="0" w:color="auto"/>
            <w:right w:val="none" w:sz="0" w:space="0" w:color="auto"/>
          </w:divBdr>
          <w:divsChild>
            <w:div w:id="339739348">
              <w:marLeft w:val="0"/>
              <w:marRight w:val="0"/>
              <w:marTop w:val="0"/>
              <w:marBottom w:val="0"/>
              <w:divBdr>
                <w:top w:val="none" w:sz="0" w:space="0" w:color="auto"/>
                <w:left w:val="none" w:sz="0" w:space="0" w:color="auto"/>
                <w:bottom w:val="none" w:sz="0" w:space="0" w:color="auto"/>
                <w:right w:val="none" w:sz="0" w:space="0" w:color="auto"/>
              </w:divBdr>
              <w:divsChild>
                <w:div w:id="1021320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69995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wm.org.uk/history/conscientious-objectors-in-their-own-words" TargetMode="External"/><Relationship Id="rId13" Type="http://schemas.openxmlformats.org/officeDocument/2006/relationships/hyperlink" Target="https://api.parliament.uk/historic-hansard/lords/1943/mar/02/the-conscientious-objector"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api.parliament.uk/historic-hansard/lords/1943/mar/02/the-conscientious-objector"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onologues.co.uk/musichall/Songs-C/Conscientious-Objectors-Lament.ht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cosandgreatwar.swarthmore.edu/exhibits/show/learning-more/british-cos" TargetMode="External"/><Relationship Id="rId4" Type="http://schemas.openxmlformats.org/officeDocument/2006/relationships/settings" Target="settings.xml"/><Relationship Id="rId9" Type="http://schemas.openxmlformats.org/officeDocument/2006/relationships/hyperlink" Target="https://www.iwm.org.uk/history/conscientious-objectors-in-their-own-words"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api.parliament.uk/historic-hansard/lords/1943/mar/02/the-conscientious-objector" TargetMode="External"/><Relationship Id="rId2" Type="http://schemas.openxmlformats.org/officeDocument/2006/relationships/hyperlink" Target="https://www.iwm.org.uk/history/conscientious-objectors-in-their-own-words" TargetMode="External"/><Relationship Id="rId1" Type="http://schemas.openxmlformats.org/officeDocument/2006/relationships/hyperlink" Target="https://www.iwm.org.uk/history/conscientious-objectors-in-their-own-words" TargetMode="External"/><Relationship Id="rId6" Type="http://schemas.openxmlformats.org/officeDocument/2006/relationships/hyperlink" Target="https://monologues.co.uk/musichall/Songs-C/Conscientious-Objectors-Lament.htm" TargetMode="External"/><Relationship Id="rId5" Type="http://schemas.openxmlformats.org/officeDocument/2006/relationships/hyperlink" Target="https://cosandgreatwar.swarthmore.edu/exhibits/show/learning-more/british-cos" TargetMode="External"/><Relationship Id="rId4" Type="http://schemas.openxmlformats.org/officeDocument/2006/relationships/hyperlink" Target="https://api.parliament.uk/historic-hansard/lords/1943/mar/02/the-conscientious-object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8CB9C1-6AC3-7B4F-9DB8-0044D56ECA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587</TotalTime>
  <Pages>6</Pages>
  <Words>2673</Words>
  <Characters>15240</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bowen</dc:creator>
  <cp:keywords/>
  <dc:description/>
  <cp:lastModifiedBy>michael bowen</cp:lastModifiedBy>
  <cp:revision>269</cp:revision>
  <dcterms:created xsi:type="dcterms:W3CDTF">2022-01-22T16:21:00Z</dcterms:created>
  <dcterms:modified xsi:type="dcterms:W3CDTF">2022-02-04T18:21:00Z</dcterms:modified>
</cp:coreProperties>
</file>