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C24B1" w:rsidP="755F26B7" w:rsidRDefault="00526FB4" w14:paraId="4D27A1F3" w14:textId="6E52A2F8">
      <w:pPr>
        <w:spacing w:before="299" w:after="299"/>
        <w:jc w:val="center"/>
        <w:rPr>
          <w:rFonts w:ascii="Arial Nova" w:hAnsi="Arial Nova" w:eastAsia="Arial Nova" w:cs="Arial Nova"/>
          <w:b/>
          <w:bCs/>
          <w:color w:val="000000" w:themeColor="text1"/>
          <w:sz w:val="36"/>
          <w:szCs w:val="36"/>
          <w:u w:val="single"/>
        </w:rPr>
      </w:pPr>
      <w:r>
        <w:rPr>
          <w:noProof/>
        </w:rPr>
        <w:drawing>
          <wp:inline distT="0" distB="0" distL="0" distR="0" wp14:anchorId="7342F768" wp14:editId="342DD6BC">
            <wp:extent cx="17953696" cy="4749189"/>
            <wp:effectExtent l="0" t="0" r="0" b="0"/>
            <wp:docPr id="1953121002" name="Picture 1" descr="A group of people standing arou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121002" name="Picture 1" descr="A group of people standing around a table&#10;&#10;AI-generated content may be incorrect."/>
                    <pic:cNvPicPr/>
                  </pic:nvPicPr>
                  <pic:blipFill>
                    <a:blip r:embed="rId5"/>
                    <a:stretch>
                      <a:fillRect/>
                    </a:stretch>
                  </pic:blipFill>
                  <pic:spPr>
                    <a:xfrm>
                      <a:off x="0" y="0"/>
                      <a:ext cx="17953696" cy="4749189"/>
                    </a:xfrm>
                    <a:prstGeom prst="rect">
                      <a:avLst/>
                    </a:prstGeom>
                  </pic:spPr>
                </pic:pic>
              </a:graphicData>
            </a:graphic>
          </wp:inline>
        </w:drawing>
      </w:r>
    </w:p>
    <w:p w:rsidR="00526FB4" w:rsidP="00814FB0" w:rsidRDefault="00526FB4" w14:paraId="7428F3D3" w14:textId="77777777">
      <w:pPr>
        <w:spacing w:before="299" w:after="299"/>
        <w:rPr>
          <w:rFonts w:ascii="Arial Nova" w:hAnsi="Arial Nova" w:eastAsia="Arial Nova" w:cs="Arial Nova"/>
          <w:b/>
          <w:bCs/>
          <w:color w:val="000000" w:themeColor="text1"/>
          <w:sz w:val="36"/>
          <w:szCs w:val="36"/>
          <w:u w:val="single"/>
        </w:rPr>
        <w:sectPr w:rsidR="00526FB4">
          <w:pgSz w:w="31680" w:h="28800" w:orient="landscape"/>
          <w:pgMar w:top="1440" w:right="1440" w:bottom="1440" w:left="1440" w:header="720" w:footer="720" w:gutter="0"/>
          <w:cols w:space="720"/>
          <w:docGrid w:linePitch="360"/>
        </w:sectPr>
      </w:pPr>
    </w:p>
    <w:p w:rsidR="00DF6FF6" w:rsidP="00814FB0" w:rsidRDefault="39371A02" w14:paraId="1B6E28F7" w14:textId="0E3BF65E">
      <w:pPr>
        <w:spacing w:before="299" w:after="299"/>
        <w:rPr>
          <w:rFonts w:ascii="Arial Nova" w:hAnsi="Arial Nova" w:eastAsia="Arial Nova" w:cs="Arial Nova"/>
          <w:color w:val="000000" w:themeColor="text1"/>
          <w:sz w:val="36"/>
          <w:szCs w:val="36"/>
        </w:rPr>
      </w:pPr>
      <w:r w:rsidRPr="755F26B7">
        <w:rPr>
          <w:rFonts w:ascii="Arial Nova" w:hAnsi="Arial Nova" w:eastAsia="Arial Nova" w:cs="Arial Nova"/>
          <w:b/>
          <w:bCs/>
          <w:color w:val="000000" w:themeColor="text1"/>
          <w:sz w:val="36"/>
          <w:szCs w:val="36"/>
          <w:u w:val="single"/>
        </w:rPr>
        <w:t>HEALTHY FUTURES: TACKLING OBESITY TOGETHER</w:t>
      </w:r>
    </w:p>
    <w:p w:rsidR="00DF6FF6" w:rsidP="755F26B7" w:rsidRDefault="39371A02" w14:paraId="71D34ED7" w14:textId="0EBF6FD3">
      <w:pPr>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u w:val="single"/>
        </w:rPr>
        <w:t>Title and Innovation Overview</w:t>
      </w:r>
    </w:p>
    <w:p w:rsidR="00DF6FF6" w:rsidP="755F26B7" w:rsidRDefault="39371A02" w14:paraId="5A626582" w14:textId="62233CA4">
      <w:pPr>
        <w:spacing w:before="240" w:after="240"/>
        <w:rPr>
          <w:rFonts w:ascii="Arial Nova" w:hAnsi="Arial Nova" w:eastAsia="Arial Nova" w:cs="Arial Nova"/>
          <w:color w:val="000000" w:themeColor="text1"/>
          <w:sz w:val="22"/>
          <w:szCs w:val="22"/>
        </w:rPr>
      </w:pPr>
      <w:r w:rsidRPr="24E55592">
        <w:rPr>
          <w:rFonts w:ascii="Arial Nova" w:hAnsi="Arial Nova" w:eastAsia="Arial Nova" w:cs="Arial Nova"/>
          <w:b/>
          <w:bCs/>
          <w:color w:val="000000" w:themeColor="text1"/>
          <w:sz w:val="22"/>
          <w:szCs w:val="22"/>
        </w:rPr>
        <w:t>Healthy Futures: Tackling Obesity Together</w:t>
      </w:r>
      <w:r w:rsidRPr="24E55592">
        <w:rPr>
          <w:rFonts w:ascii="Arial Nova" w:hAnsi="Arial Nova" w:eastAsia="Arial Nova" w:cs="Arial Nova"/>
          <w:color w:val="000000" w:themeColor="text1"/>
          <w:sz w:val="22"/>
          <w:szCs w:val="22"/>
        </w:rPr>
        <w:t xml:space="preserve"> is a forward-thinking, community-driven public health initiative designed to confront the escalating obesity crisis in the United Kingdom. Rather than framing obesity as an individual shortcoming, the campaign positions it as a systemic challenge influenced by social, </w:t>
      </w:r>
      <w:bookmarkStart w:name="_Int_7zE0nPm2" w:id="0"/>
      <w:r w:rsidRPr="24E55592">
        <w:rPr>
          <w:rFonts w:ascii="Arial Nova" w:hAnsi="Arial Nova" w:eastAsia="Arial Nova" w:cs="Arial Nova"/>
          <w:color w:val="000000" w:themeColor="text1"/>
          <w:sz w:val="22"/>
          <w:szCs w:val="22"/>
        </w:rPr>
        <w:t>economic</w:t>
      </w:r>
      <w:bookmarkEnd w:id="0"/>
      <w:r w:rsidRPr="24E55592">
        <w:rPr>
          <w:rFonts w:ascii="Arial Nova" w:hAnsi="Arial Nova" w:eastAsia="Arial Nova" w:cs="Arial Nova"/>
          <w:color w:val="000000" w:themeColor="text1"/>
          <w:sz w:val="22"/>
          <w:szCs w:val="22"/>
        </w:rPr>
        <w:t xml:space="preserve"> and environmental determinants of health. This reframing is </w:t>
      </w:r>
      <w:bookmarkStart w:name="_Int_tChQvVdJ" w:id="1"/>
      <w:r w:rsidRPr="24E55592">
        <w:rPr>
          <w:rFonts w:ascii="Arial Nova" w:hAnsi="Arial Nova" w:eastAsia="Arial Nova" w:cs="Arial Nova"/>
          <w:color w:val="000000" w:themeColor="text1"/>
          <w:sz w:val="22"/>
          <w:szCs w:val="22"/>
        </w:rPr>
        <w:t>crucial</w:t>
      </w:r>
      <w:bookmarkEnd w:id="1"/>
      <w:r w:rsidRPr="24E55592">
        <w:rPr>
          <w:rFonts w:ascii="Arial Nova" w:hAnsi="Arial Nova" w:eastAsia="Arial Nova" w:cs="Arial Nova"/>
          <w:color w:val="000000" w:themeColor="text1"/>
          <w:sz w:val="22"/>
          <w:szCs w:val="22"/>
        </w:rPr>
        <w:t xml:space="preserve"> and it shifts the narrative from blame to empowerment, encouraging. empathy, </w:t>
      </w:r>
      <w:bookmarkStart w:name="_Int_Mhcap7vf" w:id="2"/>
      <w:r w:rsidRPr="24E55592">
        <w:rPr>
          <w:rFonts w:ascii="Arial Nova" w:hAnsi="Arial Nova" w:eastAsia="Arial Nova" w:cs="Arial Nova"/>
          <w:color w:val="000000" w:themeColor="text1"/>
          <w:sz w:val="22"/>
          <w:szCs w:val="22"/>
        </w:rPr>
        <w:t>education</w:t>
      </w:r>
      <w:bookmarkEnd w:id="2"/>
      <w:r w:rsidRPr="24E55592">
        <w:rPr>
          <w:rFonts w:ascii="Arial Nova" w:hAnsi="Arial Nova" w:eastAsia="Arial Nova" w:cs="Arial Nova"/>
          <w:color w:val="000000" w:themeColor="text1"/>
          <w:sz w:val="22"/>
          <w:szCs w:val="22"/>
        </w:rPr>
        <w:t xml:space="preserve"> and collective responsibility.</w:t>
      </w:r>
    </w:p>
    <w:p w:rsidR="00DF6FF6" w:rsidP="755F26B7" w:rsidRDefault="39371A02" w14:paraId="50C72679" w14:textId="2E0B7749">
      <w:pPr>
        <w:spacing w:before="240" w:after="240"/>
        <w:rPr>
          <w:rFonts w:ascii="Arial Nova" w:hAnsi="Arial Nova" w:eastAsia="Arial Nova" w:cs="Arial Nova"/>
          <w:color w:val="000000" w:themeColor="text1"/>
          <w:sz w:val="22"/>
          <w:szCs w:val="22"/>
        </w:rPr>
      </w:pPr>
      <w:r w:rsidRPr="24E55592">
        <w:rPr>
          <w:rFonts w:ascii="Arial Nova" w:hAnsi="Arial Nova" w:eastAsia="Arial Nova" w:cs="Arial Nova"/>
          <w:color w:val="000000" w:themeColor="text1"/>
          <w:sz w:val="22"/>
          <w:szCs w:val="22"/>
        </w:rPr>
        <w:t>The campaign integrates several innovative elements. Peer-led support groups provide safe spaces for individuals to share experiences and strategies, while social media storytelling amplifies authentic voices from the community, ensuring that lived experiences shape the narrative. School-based nutrition education embeds healthy eating into the curriculum, equipping children with lifelong skills</w:t>
      </w:r>
      <w:bookmarkStart w:name="_Int_vjbyyMDX" w:id="3"/>
      <w:r w:rsidRPr="24E55592">
        <w:rPr>
          <w:rFonts w:ascii="Arial Nova" w:hAnsi="Arial Nova" w:eastAsia="Arial Nova" w:cs="Arial Nova"/>
          <w:color w:val="000000" w:themeColor="text1"/>
          <w:sz w:val="22"/>
          <w:szCs w:val="22"/>
        </w:rPr>
        <w:t>, partnerships</w:t>
      </w:r>
      <w:bookmarkEnd w:id="3"/>
      <w:r w:rsidRPr="24E55592">
        <w:rPr>
          <w:rFonts w:ascii="Arial Nova" w:hAnsi="Arial Nova" w:eastAsia="Arial Nova" w:cs="Arial Nova"/>
          <w:color w:val="000000" w:themeColor="text1"/>
          <w:sz w:val="22"/>
          <w:szCs w:val="22"/>
        </w:rPr>
        <w:t xml:space="preserve"> with local supermarkets further extend the campaign’s reach, making healthier food options more visible and accessible.</w:t>
      </w:r>
    </w:p>
    <w:p w:rsidR="00DF6FF6" w:rsidP="755F26B7" w:rsidRDefault="39371A02" w14:paraId="361ADF6C" w14:textId="5C88AC9A">
      <w:pPr>
        <w:spacing w:before="240" w:after="240"/>
        <w:rPr>
          <w:rFonts w:ascii="Arial Nova" w:hAnsi="Arial Nova" w:eastAsia="Arial Nova" w:cs="Arial Nova"/>
          <w:color w:val="000000" w:themeColor="text1"/>
          <w:sz w:val="22"/>
          <w:szCs w:val="22"/>
        </w:rPr>
      </w:pPr>
      <w:r w:rsidRPr="24E55592">
        <w:rPr>
          <w:rFonts w:ascii="Arial Nova" w:hAnsi="Arial Nova" w:eastAsia="Arial Nova" w:cs="Arial Nova"/>
          <w:color w:val="000000" w:themeColor="text1"/>
          <w:sz w:val="22"/>
          <w:szCs w:val="22"/>
        </w:rPr>
        <w:t xml:space="preserve">The accompanying poster embodies this ethos. It depicts diverse families gathered around </w:t>
      </w:r>
      <w:r w:rsidRPr="24E55592" w:rsidR="16FD5BD9">
        <w:rPr>
          <w:rFonts w:ascii="Arial Nova" w:hAnsi="Arial Nova" w:eastAsia="Arial Nova" w:cs="Arial Nova"/>
          <w:color w:val="000000" w:themeColor="text1"/>
          <w:sz w:val="22"/>
          <w:szCs w:val="22"/>
        </w:rPr>
        <w:t>making and</w:t>
      </w:r>
      <w:r w:rsidRPr="24E55592">
        <w:rPr>
          <w:rFonts w:ascii="Arial Nova" w:hAnsi="Arial Nova" w:eastAsia="Arial Nova" w:cs="Arial Nova"/>
          <w:color w:val="000000" w:themeColor="text1"/>
          <w:sz w:val="22"/>
          <w:szCs w:val="22"/>
        </w:rPr>
        <w:t xml:space="preserve"> </w:t>
      </w:r>
      <w:r w:rsidRPr="24E55592" w:rsidR="41BD63B7">
        <w:rPr>
          <w:rFonts w:ascii="Arial Nova" w:hAnsi="Arial Nova" w:eastAsia="Arial Nova" w:cs="Arial Nova"/>
          <w:color w:val="000000" w:themeColor="text1"/>
          <w:sz w:val="22"/>
          <w:szCs w:val="22"/>
        </w:rPr>
        <w:t>sharing</w:t>
      </w:r>
      <w:r w:rsidRPr="24E55592">
        <w:rPr>
          <w:rFonts w:ascii="Arial Nova" w:hAnsi="Arial Nova" w:eastAsia="Arial Nova" w:cs="Arial Nova"/>
          <w:color w:val="000000" w:themeColor="text1"/>
          <w:sz w:val="22"/>
          <w:szCs w:val="22"/>
        </w:rPr>
        <w:t xml:space="preserve"> </w:t>
      </w:r>
      <w:r w:rsidRPr="24E55592" w:rsidR="71AB1413">
        <w:rPr>
          <w:rFonts w:ascii="Arial Nova" w:hAnsi="Arial Nova" w:eastAsia="Arial Nova" w:cs="Arial Nova"/>
          <w:color w:val="000000" w:themeColor="text1"/>
          <w:sz w:val="22"/>
          <w:szCs w:val="22"/>
        </w:rPr>
        <w:t>meals together</w:t>
      </w:r>
      <w:r w:rsidRPr="24E55592" w:rsidR="5F1B1553">
        <w:rPr>
          <w:rFonts w:ascii="Arial Nova" w:hAnsi="Arial Nova" w:eastAsia="Arial Nova" w:cs="Arial Nova"/>
          <w:color w:val="000000" w:themeColor="text1"/>
          <w:sz w:val="22"/>
          <w:szCs w:val="22"/>
        </w:rPr>
        <w:t>,</w:t>
      </w:r>
      <w:r w:rsidRPr="24E55592">
        <w:rPr>
          <w:rFonts w:ascii="Arial Nova" w:hAnsi="Arial Nova" w:eastAsia="Arial Nova" w:cs="Arial Nova"/>
          <w:color w:val="000000" w:themeColor="text1"/>
          <w:sz w:val="22"/>
          <w:szCs w:val="22"/>
        </w:rPr>
        <w:t xml:space="preserve"> symbolizing inclusivity and community. This imagery reinforces the message that tackling obesity requires collaboration, creativity, and adaptability.</w:t>
      </w:r>
    </w:p>
    <w:p w:rsidR="00DF6FF6" w:rsidP="755F26B7" w:rsidRDefault="39371A02" w14:paraId="42E51834" w14:textId="40EDF848">
      <w:pPr>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u w:val="single"/>
        </w:rPr>
        <w:t>The Issue and Gaps in Health and Social care</w:t>
      </w:r>
    </w:p>
    <w:p w:rsidR="00DF6FF6" w:rsidP="755F26B7" w:rsidRDefault="39371A02" w14:paraId="58A7A6D7" w14:textId="52BA4961">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Obesity has become one of the most pressing public health challenges in the UK. According to NHS Digital, 64.5% of adults in England are classified as overweight or obese, with 26.5% having obesity alone (NHS Digital, 2024). These statistics are not merely numbers, but they reflect entrenched inequalities in access to nutritious food, safe environments for physical activity and supportive healthcare services.</w:t>
      </w:r>
    </w:p>
    <w:p w:rsidR="00DF6FF6" w:rsidP="755F26B7" w:rsidRDefault="39371A02" w14:paraId="655F8BDB" w14:textId="0B9FFC61">
      <w:pPr>
        <w:spacing w:before="240" w:after="240"/>
        <w:rPr>
          <w:rFonts w:ascii="Arial Nova" w:hAnsi="Arial Nova" w:eastAsia="Arial Nova" w:cs="Arial Nova"/>
          <w:color w:val="000000" w:themeColor="text1"/>
          <w:sz w:val="22"/>
          <w:szCs w:val="22"/>
        </w:rPr>
      </w:pPr>
      <w:r w:rsidRPr="24E55592">
        <w:rPr>
          <w:rFonts w:ascii="Arial Nova" w:hAnsi="Arial Nova" w:eastAsia="Arial Nova" w:cs="Arial Nova"/>
          <w:color w:val="000000" w:themeColor="text1"/>
          <w:sz w:val="22"/>
          <w:szCs w:val="22"/>
        </w:rPr>
        <w:t xml:space="preserve">Public Health England (2023) underscores that obesity rates are disproportionately higher in deprived communities. Families in these areas often face structural barriers like food insecurity, limited access to green </w:t>
      </w:r>
      <w:bookmarkStart w:name="_Int_sfcIP4tu" w:id="4"/>
      <w:r w:rsidRPr="24E55592">
        <w:rPr>
          <w:rFonts w:ascii="Arial Nova" w:hAnsi="Arial Nova" w:eastAsia="Arial Nova" w:cs="Arial Nova"/>
          <w:color w:val="000000" w:themeColor="text1"/>
          <w:sz w:val="22"/>
          <w:szCs w:val="22"/>
        </w:rPr>
        <w:t>spaces</w:t>
      </w:r>
      <w:bookmarkEnd w:id="4"/>
      <w:r w:rsidRPr="24E55592">
        <w:rPr>
          <w:rFonts w:ascii="Arial Nova" w:hAnsi="Arial Nova" w:eastAsia="Arial Nova" w:cs="Arial Nova"/>
          <w:color w:val="000000" w:themeColor="text1"/>
          <w:sz w:val="22"/>
          <w:szCs w:val="22"/>
        </w:rPr>
        <w:t xml:space="preserve"> and an overabundance of fast-food outlets. These environmental factors create conditions where maintaining a healthy lifestyle becomes significantly more difficult.</w:t>
      </w:r>
    </w:p>
    <w:p w:rsidR="00DF6FF6" w:rsidP="755F26B7" w:rsidRDefault="39371A02" w14:paraId="15C671D1" w14:textId="59757593">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The Health Foundation (2024) further highlights the stark consequences of these inequalities. Individuals living in the most deprived communities have a life expectancy that is on average 10.7 years shorter than those in the least deprived areas. Obesity is a major contributor to this gap, exacerbating chronic conditions like type 2 diabetes, cardiovascular disease and certain cancers.</w:t>
      </w:r>
    </w:p>
    <w:p w:rsidR="00DF6FF6" w:rsidP="755F26B7" w:rsidRDefault="39371A02" w14:paraId="5664D808" w14:textId="7C3D30A8">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 xml:space="preserve">Beyond physical health, stigma plays a damaging role. Research by </w:t>
      </w:r>
      <w:r w:rsidRPr="755F26B7">
        <w:rPr>
          <w:rFonts w:ascii="Arial" w:hAnsi="Arial" w:eastAsia="Arial" w:cs="Arial"/>
          <w:color w:val="222222"/>
          <w:sz w:val="22"/>
          <w:szCs w:val="22"/>
        </w:rPr>
        <w:t>O'Keeffe (</w:t>
      </w:r>
      <w:r w:rsidRPr="755F26B7">
        <w:rPr>
          <w:rFonts w:ascii="Arial Nova" w:hAnsi="Arial Nova" w:eastAsia="Arial Nova" w:cs="Arial Nova"/>
          <w:color w:val="000000" w:themeColor="text1"/>
          <w:sz w:val="22"/>
          <w:szCs w:val="22"/>
        </w:rPr>
        <w:t>2020) demonstrates that weight-based discrimination can lead to emotional distress, social isolation, and disengagement from health services. This stigma perpetuates cycles of poor health and discourages individuals from seeking support. Addressing obesity therefore requires a holistic, person-centered approach that goes beyond clinical interventions and tackles the social determinants of health head-on.</w:t>
      </w:r>
    </w:p>
    <w:p w:rsidR="00DF6FF6" w:rsidP="755F26B7" w:rsidRDefault="39371A02" w14:paraId="27DF3ED7" w14:textId="08554C23">
      <w:pPr>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u w:val="single"/>
        </w:rPr>
        <w:t>Target Audience and Impact</w:t>
      </w:r>
    </w:p>
    <w:p w:rsidR="00DF6FF6" w:rsidP="755F26B7" w:rsidRDefault="39371A02" w14:paraId="5FDB74B6" w14:textId="6C1EAE54">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Healthy Futures is designed with a clear focus on groups most affected by obesity and its consequences includes:</w:t>
      </w:r>
    </w:p>
    <w:p w:rsidR="00DF6FF6" w:rsidP="755F26B7" w:rsidRDefault="39371A02" w14:paraId="080A6920" w14:textId="7FB72474">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Families in low-income communities -</w:t>
      </w:r>
      <w:r w:rsidRPr="755F26B7">
        <w:rPr>
          <w:rFonts w:ascii="Arial Nova" w:hAnsi="Arial Nova" w:eastAsia="Arial Nova" w:cs="Arial Nova"/>
          <w:color w:val="000000" w:themeColor="text1"/>
          <w:sz w:val="22"/>
          <w:szCs w:val="22"/>
        </w:rPr>
        <w:t xml:space="preserve"> often face barriers to healthy living.</w:t>
      </w:r>
    </w:p>
    <w:p w:rsidR="00DF6FF6" w:rsidP="755F26B7" w:rsidRDefault="39371A02" w14:paraId="41D72EF3" w14:textId="15C10D82">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Children aged 5–11 -</w:t>
      </w:r>
      <w:r w:rsidRPr="755F26B7">
        <w:rPr>
          <w:rFonts w:ascii="Arial Nova" w:hAnsi="Arial Nova" w:eastAsia="Arial Nova" w:cs="Arial Nova"/>
          <w:color w:val="000000" w:themeColor="text1"/>
          <w:sz w:val="22"/>
          <w:szCs w:val="22"/>
        </w:rPr>
        <w:t xml:space="preserve"> a critical age group where lifelong habits are formed.</w:t>
      </w:r>
    </w:p>
    <w:p w:rsidR="00DF6FF6" w:rsidP="755F26B7" w:rsidRDefault="39371A02" w14:paraId="46BB0B99" w14:textId="3C965488">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Adults experiencing weight-related stigma -</w:t>
      </w:r>
      <w:r w:rsidRPr="755F26B7">
        <w:rPr>
          <w:rFonts w:ascii="Arial Nova" w:hAnsi="Arial Nova" w:eastAsia="Arial Nova" w:cs="Arial Nova"/>
          <w:color w:val="000000" w:themeColor="text1"/>
          <w:sz w:val="22"/>
          <w:szCs w:val="22"/>
        </w:rPr>
        <w:t xml:space="preserve"> who may feel excluded from traditional health services.</w:t>
      </w:r>
    </w:p>
    <w:p w:rsidR="00DF6FF6" w:rsidP="755F26B7" w:rsidRDefault="39371A02" w14:paraId="26527C4F" w14:textId="77EAD004">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By targeting these groups, the campaign's aim is to enhance health literacy and nutrition awareness, empowering individuals to make informed dietary choices. By fostering psychological safety through peer-led support groups, it creates non-judgmental spaces for engagement. These strategies collectively reduce long-term risks of chronic conditions such as diabetes and cardiovascular disease while strengthening social cohesion through community-driven lifestyle improvements</w:t>
      </w:r>
    </w:p>
    <w:p w:rsidR="00DF6FF6" w:rsidP="755F26B7" w:rsidRDefault="39371A02" w14:paraId="343F7510" w14:textId="28C6AA2D">
      <w:pPr>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u w:val="single"/>
        </w:rPr>
        <w:t>Implementation Strategy</w:t>
      </w:r>
    </w:p>
    <w:p w:rsidR="00DF6FF6" w:rsidP="755F26B7" w:rsidRDefault="39371A02" w14:paraId="67A52752" w14:textId="31230220">
      <w:pPr>
        <w:rPr>
          <w:rFonts w:ascii="Arial Nova" w:hAnsi="Arial Nova" w:eastAsia="Arial Nova" w:cs="Arial Nova"/>
          <w:color w:val="000000" w:themeColor="text1"/>
          <w:sz w:val="22"/>
          <w:szCs w:val="22"/>
        </w:rPr>
      </w:pPr>
      <w:r w:rsidRPr="24E55592">
        <w:rPr>
          <w:rFonts w:ascii="Arial Nova" w:hAnsi="Arial Nova" w:eastAsia="Arial Nova" w:cs="Arial Nova"/>
          <w:color w:val="000000" w:themeColor="text1"/>
          <w:sz w:val="22"/>
          <w:szCs w:val="22"/>
        </w:rPr>
        <w:t xml:space="preserve">Healthy Futures adopts a multi-setting approach to maximize accessibility and </w:t>
      </w:r>
      <w:bookmarkStart w:name="_Int_DEhJ4JcG" w:id="5"/>
      <w:r w:rsidRPr="24E55592">
        <w:rPr>
          <w:rFonts w:ascii="Arial Nova" w:hAnsi="Arial Nova" w:eastAsia="Arial Nova" w:cs="Arial Nova"/>
          <w:color w:val="000000" w:themeColor="text1"/>
          <w:sz w:val="22"/>
          <w:szCs w:val="22"/>
        </w:rPr>
        <w:t>relevance,</w:t>
      </w:r>
      <w:bookmarkEnd w:id="5"/>
      <w:r w:rsidRPr="24E55592">
        <w:rPr>
          <w:rFonts w:ascii="Arial Nova" w:hAnsi="Arial Nova" w:eastAsia="Arial Nova" w:cs="Arial Nova"/>
          <w:color w:val="000000" w:themeColor="text1"/>
          <w:sz w:val="22"/>
          <w:szCs w:val="22"/>
        </w:rPr>
        <w:t xml:space="preserve"> these include:</w:t>
      </w:r>
    </w:p>
    <w:p w:rsidR="00DF6FF6" w:rsidP="755F26B7" w:rsidRDefault="39371A02" w14:paraId="51798222" w14:textId="7C5B2C79">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Settings -</w:t>
      </w:r>
      <w:r w:rsidRPr="755F26B7">
        <w:rPr>
          <w:rFonts w:ascii="Arial Nova" w:hAnsi="Arial Nova" w:eastAsia="Arial Nova" w:cs="Arial Nova"/>
          <w:color w:val="000000" w:themeColor="text1"/>
          <w:sz w:val="22"/>
          <w:szCs w:val="22"/>
        </w:rPr>
        <w:t xml:space="preserve"> Community centres, primary schools, local supermarkets and online platforms serve as key delivery points.</w:t>
      </w:r>
    </w:p>
    <w:p w:rsidR="00DF6FF6" w:rsidP="755F26B7" w:rsidRDefault="39371A02" w14:paraId="6BAC890C" w14:textId="293CE768">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Delivery partners - Public</w:t>
      </w:r>
      <w:r w:rsidRPr="755F26B7">
        <w:rPr>
          <w:rFonts w:ascii="Arial Nova" w:hAnsi="Arial Nova" w:eastAsia="Arial Nova" w:cs="Arial Nova"/>
          <w:color w:val="000000" w:themeColor="text1"/>
          <w:sz w:val="22"/>
          <w:szCs w:val="22"/>
        </w:rPr>
        <w:t xml:space="preserve"> health teams, school staff, community champions and supermarket outreach coordinators collaborate to ensure effective implementation.</w:t>
      </w:r>
    </w:p>
    <w:p w:rsidR="00DF6FF6" w:rsidP="755F26B7" w:rsidRDefault="39371A02" w14:paraId="6C0CA5F5" w14:textId="12D3170B">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 xml:space="preserve">Activities - </w:t>
      </w:r>
      <w:r w:rsidRPr="755F26B7">
        <w:rPr>
          <w:rFonts w:ascii="Arial Nova" w:hAnsi="Arial Nova" w:eastAsia="Arial Nova" w:cs="Arial Nova"/>
          <w:color w:val="000000" w:themeColor="text1"/>
          <w:sz w:val="22"/>
          <w:szCs w:val="22"/>
        </w:rPr>
        <w:t>Cooking workshops where families learn affordable, nutritious recipes together, nutrition-integrated lessons that embed food education into school subjects, peer-led support groups offering safe spaces for shared experiences and digital wellbeing tools such as apps that track meals, mood and movement in a supportive, nonjudgemental way.</w:t>
      </w:r>
    </w:p>
    <w:p w:rsidR="00DF6FF6" w:rsidP="755F26B7" w:rsidRDefault="39371A02" w14:paraId="32863768" w14:textId="3B59C8C5">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This integrated strategy ensures that interventions are accessible, culturally relevant, and responsive to the needs of underserved communities.</w:t>
      </w:r>
    </w:p>
    <w:p w:rsidR="00DF6FF6" w:rsidP="755F26B7" w:rsidRDefault="39371A02" w14:paraId="2BEA8740" w14:textId="26397686">
      <w:pPr>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u w:val="single"/>
        </w:rPr>
        <w:t>Timeline</w:t>
      </w:r>
    </w:p>
    <w:p w:rsidR="00DF6FF6" w:rsidP="755F26B7" w:rsidRDefault="39371A02" w14:paraId="3A32A4C7" w14:textId="080BE332">
      <w:pPr>
        <w:spacing w:before="240" w:after="240"/>
        <w:rPr>
          <w:rFonts w:ascii="Arial Nova" w:hAnsi="Arial Nova" w:eastAsia="Arial Nova" w:cs="Arial Nova"/>
          <w:color w:val="000000" w:themeColor="text1"/>
          <w:sz w:val="22"/>
          <w:szCs w:val="22"/>
        </w:rPr>
      </w:pPr>
      <w:r w:rsidRPr="24E55592">
        <w:rPr>
          <w:rFonts w:ascii="Arial Nova" w:hAnsi="Arial Nova" w:eastAsia="Arial Nova" w:cs="Arial Nova"/>
          <w:color w:val="000000" w:themeColor="text1"/>
          <w:sz w:val="22"/>
          <w:szCs w:val="22"/>
        </w:rPr>
        <w:t>The campaign employs an agile approach with four phases: stakeholder co-design (Jan–Mar 2026), community pilot (Apr–Jun 2026), evaluation and refinement (Jul–Aug 2026)</w:t>
      </w:r>
      <w:bookmarkStart w:name="_Int_c6lBS6Im" w:id="6"/>
      <w:r w:rsidRPr="24E55592">
        <w:rPr>
          <w:rFonts w:ascii="Arial Nova" w:hAnsi="Arial Nova" w:eastAsia="Arial Nova" w:cs="Arial Nova"/>
          <w:color w:val="000000" w:themeColor="text1"/>
          <w:sz w:val="22"/>
          <w:szCs w:val="22"/>
        </w:rPr>
        <w:t xml:space="preserve"> and</w:t>
      </w:r>
      <w:bookmarkEnd w:id="6"/>
      <w:r w:rsidRPr="24E55592">
        <w:rPr>
          <w:rFonts w:ascii="Arial Nova" w:hAnsi="Arial Nova" w:eastAsia="Arial Nova" w:cs="Arial Nova"/>
          <w:color w:val="000000" w:themeColor="text1"/>
          <w:sz w:val="22"/>
          <w:szCs w:val="22"/>
        </w:rPr>
        <w:t xml:space="preserve"> national rollout (Sep 2026–Jan 2027).</w:t>
      </w:r>
    </w:p>
    <w:p w:rsidR="00DF6FF6" w:rsidP="755F26B7" w:rsidRDefault="39371A02" w14:paraId="069ADF8D" w14:textId="2869ACBC">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 xml:space="preserve">This structured, iterative process ensures stakeholder input, real-world testing and evidence-based adjustments, enhancing scalability and sustainability for long-term public health impact. </w:t>
      </w:r>
    </w:p>
    <w:p w:rsidR="00DF6FF6" w:rsidP="755F26B7" w:rsidRDefault="39371A02" w14:paraId="69571A9E" w14:textId="391AA879">
      <w:pPr>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u w:val="single"/>
        </w:rPr>
        <w:t>Development and Regulations</w:t>
      </w:r>
    </w:p>
    <w:p w:rsidR="00DF6FF6" w:rsidP="755F26B7" w:rsidRDefault="39371A02" w14:paraId="6B2B67E5" w14:textId="38032614">
      <w:pPr>
        <w:spacing w:before="240" w:after="240"/>
        <w:rPr>
          <w:rFonts w:ascii="Arial Nova" w:hAnsi="Arial Nova" w:eastAsia="Arial Nova" w:cs="Arial Nova"/>
          <w:color w:val="000000" w:themeColor="text1"/>
          <w:sz w:val="22"/>
          <w:szCs w:val="22"/>
        </w:rPr>
      </w:pPr>
      <w:r w:rsidRPr="24E55592">
        <w:rPr>
          <w:rFonts w:ascii="Arial Nova" w:hAnsi="Arial Nova" w:eastAsia="Arial Nova" w:cs="Arial Nova"/>
          <w:color w:val="000000" w:themeColor="text1"/>
          <w:sz w:val="22"/>
          <w:szCs w:val="22"/>
        </w:rPr>
        <w:t xml:space="preserve">Healthy Futures is underpinned by robust regulatory frameworks to ensure safety and effectiveness. It complies with NHS Digital standards for data security, GDPR requirements for user </w:t>
      </w:r>
      <w:bookmarkStart w:name="_Int_MvKcpH5G" w:id="7"/>
      <w:r w:rsidRPr="24E55592">
        <w:rPr>
          <w:rFonts w:ascii="Arial Nova" w:hAnsi="Arial Nova" w:eastAsia="Arial Nova" w:cs="Arial Nova"/>
          <w:color w:val="000000" w:themeColor="text1"/>
          <w:sz w:val="22"/>
          <w:szCs w:val="22"/>
        </w:rPr>
        <w:t>privacy</w:t>
      </w:r>
      <w:bookmarkEnd w:id="7"/>
      <w:r w:rsidRPr="24E55592">
        <w:rPr>
          <w:rFonts w:ascii="Arial Nova" w:hAnsi="Arial Nova" w:eastAsia="Arial Nova" w:cs="Arial Nova"/>
          <w:color w:val="000000" w:themeColor="text1"/>
          <w:sz w:val="22"/>
          <w:szCs w:val="22"/>
        </w:rPr>
        <w:t xml:space="preserve"> and NICE guidelines on obesity prevention and behaviour change (NICE, 2023). Safeguarding protocols are embedded throughout, ensuring that children and vulnerable adults are protected. These measures guarantee that the campaign operates ethically and responsibly across all settings.</w:t>
      </w:r>
    </w:p>
    <w:p w:rsidR="00DF6FF6" w:rsidP="755F26B7" w:rsidRDefault="39371A02" w14:paraId="4AC582D4" w14:textId="59BA4BD1">
      <w:pPr>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u w:val="single"/>
        </w:rPr>
        <w:t>Technology Integration</w:t>
      </w:r>
    </w:p>
    <w:p w:rsidR="00DF6FF6" w:rsidP="755F26B7" w:rsidRDefault="39371A02" w14:paraId="675F8C7B" w14:textId="0966C33C">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Technology plays a pivotal role in enhancing engagement and accessibility.</w:t>
      </w:r>
    </w:p>
    <w:p w:rsidR="00DF6FF6" w:rsidP="755F26B7" w:rsidRDefault="39371A02" w14:paraId="6C92914E" w14:textId="3F0E425A">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Mobile apps -</w:t>
      </w:r>
      <w:r w:rsidRPr="755F26B7">
        <w:rPr>
          <w:rFonts w:ascii="Arial Nova" w:hAnsi="Arial Nova" w:eastAsia="Arial Nova" w:cs="Arial Nova"/>
          <w:color w:val="000000" w:themeColor="text1"/>
          <w:sz w:val="22"/>
          <w:szCs w:val="22"/>
        </w:rPr>
        <w:t xml:space="preserve"> Tracks meals, mood and movement, offering personalized nudges to encourage healthier behaviours.</w:t>
      </w:r>
    </w:p>
    <w:p w:rsidR="00DF6FF6" w:rsidP="755F26B7" w:rsidRDefault="39371A02" w14:paraId="0DE0157A" w14:textId="555D9FB6">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AI-powered chatbot -</w:t>
      </w:r>
      <w:r w:rsidRPr="755F26B7">
        <w:rPr>
          <w:rFonts w:ascii="Arial Nova" w:hAnsi="Arial Nova" w:eastAsia="Arial Nova" w:cs="Arial Nova"/>
          <w:color w:val="000000" w:themeColor="text1"/>
          <w:sz w:val="22"/>
          <w:szCs w:val="22"/>
        </w:rPr>
        <w:t xml:space="preserve"> Provides non-judgmental support, answering questions and offering tips in real time.</w:t>
      </w:r>
    </w:p>
    <w:p w:rsidR="00DF6FF6" w:rsidP="755F26B7" w:rsidRDefault="39371A02" w14:paraId="4203B7DB" w14:textId="2C25D035">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Data dashboards -</w:t>
      </w:r>
      <w:r w:rsidRPr="755F26B7">
        <w:rPr>
          <w:rFonts w:ascii="Arial Nova" w:hAnsi="Arial Nova" w:eastAsia="Arial Nova" w:cs="Arial Nova"/>
          <w:color w:val="000000" w:themeColor="text1"/>
          <w:sz w:val="22"/>
          <w:szCs w:val="22"/>
        </w:rPr>
        <w:t xml:space="preserve"> Enable community health teams to monitor engagement and outcomes, facilitating adaptive learning.</w:t>
      </w:r>
    </w:p>
    <w:p w:rsidR="00DF6FF6" w:rsidP="755F26B7" w:rsidRDefault="39371A02" w14:paraId="5181A7F4" w14:textId="266850AA">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These tools are designed with inclusive in mind, offering multilingual options and offline functionality to ensure that no community is left behind.</w:t>
      </w:r>
    </w:p>
    <w:p w:rsidR="00DF6FF6" w:rsidP="755F26B7" w:rsidRDefault="39371A02" w14:paraId="11210F1B" w14:textId="5CC0CBC4">
      <w:pPr>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u w:val="single"/>
        </w:rPr>
        <w:t>Dissemination Strategy</w:t>
      </w:r>
    </w:p>
    <w:p w:rsidR="00DF6FF6" w:rsidP="755F26B7" w:rsidRDefault="39371A02" w14:paraId="24B0A8B6" w14:textId="251D3AB9">
      <w:pPr>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Promotion and dissemination are critical to the campaign’s success. Healthy Futures employs a multi-channel approach:</w:t>
      </w:r>
    </w:p>
    <w:p w:rsidR="00DF6FF6" w:rsidP="755F26B7" w:rsidRDefault="39371A02" w14:paraId="3389DB73" w14:textId="5A06FCF8">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Social media storytelling -</w:t>
      </w:r>
      <w:r w:rsidRPr="755F26B7">
        <w:rPr>
          <w:rFonts w:ascii="Arial Nova" w:hAnsi="Arial Nova" w:eastAsia="Arial Nova" w:cs="Arial Nova"/>
          <w:color w:val="000000" w:themeColor="text1"/>
          <w:sz w:val="22"/>
          <w:szCs w:val="22"/>
        </w:rPr>
        <w:t xml:space="preserve"> featuring authentic voices from the community.</w:t>
      </w:r>
    </w:p>
    <w:p w:rsidR="00DF6FF6" w:rsidP="755F26B7" w:rsidRDefault="39371A02" w14:paraId="69BAB42A" w14:textId="6920CCD0">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School newsletters and supermarket flyers -</w:t>
      </w:r>
      <w:r w:rsidRPr="755F26B7">
        <w:rPr>
          <w:rFonts w:ascii="Arial Nova" w:hAnsi="Arial Nova" w:eastAsia="Arial Nova" w:cs="Arial Nova"/>
          <w:color w:val="000000" w:themeColor="text1"/>
          <w:sz w:val="22"/>
          <w:szCs w:val="22"/>
        </w:rPr>
        <w:t xml:space="preserve"> ensuring direct communication with families.</w:t>
      </w:r>
    </w:p>
    <w:p w:rsidR="00DF6FF6" w:rsidP="755F26B7" w:rsidRDefault="39371A02" w14:paraId="42E51CC7" w14:textId="0664DA1D">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rPr>
        <w:t>Public health webinars -</w:t>
      </w:r>
      <w:r w:rsidRPr="755F26B7">
        <w:rPr>
          <w:rFonts w:ascii="Arial Nova" w:hAnsi="Arial Nova" w:eastAsia="Arial Nova" w:cs="Arial Nova"/>
          <w:color w:val="000000" w:themeColor="text1"/>
          <w:sz w:val="22"/>
          <w:szCs w:val="22"/>
        </w:rPr>
        <w:t xml:space="preserve"> engaging professionals and stakeholders.</w:t>
      </w:r>
    </w:p>
    <w:p w:rsidR="00DF6FF6" w:rsidP="755F26B7" w:rsidRDefault="39371A02" w14:paraId="3C3DAEED" w14:textId="74F67758">
      <w:pPr>
        <w:spacing w:before="240" w:after="240"/>
        <w:rPr>
          <w:rFonts w:ascii="Arial Nova" w:hAnsi="Arial Nova" w:eastAsia="Arial Nova" w:cs="Arial Nova"/>
          <w:color w:val="000000" w:themeColor="text1"/>
          <w:sz w:val="22"/>
          <w:szCs w:val="22"/>
        </w:rPr>
      </w:pPr>
      <w:r w:rsidRPr="755F26B7">
        <w:rPr>
          <w:rFonts w:ascii="Arial Nova" w:hAnsi="Arial Nova" w:eastAsia="Arial Nova" w:cs="Arial Nova"/>
          <w:color w:val="000000" w:themeColor="text1"/>
          <w:sz w:val="22"/>
          <w:szCs w:val="22"/>
        </w:rPr>
        <w:t>Stakeholder involvement is central to sustainability. Co-production workshops, community events and digital toolkits ensure that communities are not passive recipients but active partners in shaping the campaign.</w:t>
      </w:r>
    </w:p>
    <w:p w:rsidR="00DF6FF6" w:rsidP="755F26B7" w:rsidRDefault="39371A02" w14:paraId="32F19AEF" w14:textId="2BD160D2">
      <w:pPr>
        <w:rPr>
          <w:rFonts w:ascii="Arial Nova" w:hAnsi="Arial Nova" w:eastAsia="Arial Nova" w:cs="Arial Nova"/>
          <w:color w:val="000000" w:themeColor="text1"/>
          <w:sz w:val="22"/>
          <w:szCs w:val="22"/>
        </w:rPr>
      </w:pPr>
      <w:r w:rsidRPr="755F26B7">
        <w:rPr>
          <w:rFonts w:ascii="Arial Nova" w:hAnsi="Arial Nova" w:eastAsia="Arial Nova" w:cs="Arial Nova"/>
          <w:b/>
          <w:bCs/>
          <w:color w:val="000000" w:themeColor="text1"/>
          <w:sz w:val="22"/>
          <w:szCs w:val="22"/>
          <w:u w:val="single"/>
        </w:rPr>
        <w:t>Conclusion</w:t>
      </w:r>
    </w:p>
    <w:p w:rsidR="00DF6FF6" w:rsidP="755F26B7" w:rsidRDefault="39371A02" w14:paraId="237FAA35" w14:textId="731AE162">
      <w:pPr>
        <w:spacing w:before="240" w:after="240"/>
        <w:rPr>
          <w:rFonts w:ascii="Arial Nova" w:hAnsi="Arial Nova" w:eastAsia="Arial Nova" w:cs="Arial Nova"/>
          <w:color w:val="000000" w:themeColor="text1"/>
          <w:sz w:val="22"/>
          <w:szCs w:val="22"/>
        </w:rPr>
      </w:pPr>
      <w:r w:rsidRPr="24E55592">
        <w:rPr>
          <w:rFonts w:ascii="Arial Nova" w:hAnsi="Arial Nova" w:eastAsia="Arial Nova" w:cs="Arial Nova"/>
          <w:color w:val="000000" w:themeColor="text1"/>
          <w:sz w:val="22"/>
          <w:szCs w:val="22"/>
        </w:rPr>
        <w:t xml:space="preserve">Healthy Futures is more than a public health campaign. It is a movement towards inclusive, </w:t>
      </w:r>
      <w:bookmarkStart w:name="_Int_13SzGoJ5" w:id="8"/>
      <w:r w:rsidRPr="24E55592">
        <w:rPr>
          <w:rFonts w:ascii="Arial Nova" w:hAnsi="Arial Nova" w:eastAsia="Arial Nova" w:cs="Arial Nova"/>
          <w:color w:val="000000" w:themeColor="text1"/>
          <w:sz w:val="22"/>
          <w:szCs w:val="22"/>
        </w:rPr>
        <w:t>empathetic</w:t>
      </w:r>
      <w:bookmarkEnd w:id="8"/>
      <w:r w:rsidRPr="24E55592">
        <w:rPr>
          <w:rFonts w:ascii="Arial Nova" w:hAnsi="Arial Nova" w:eastAsia="Arial Nova" w:cs="Arial Nova"/>
          <w:color w:val="000000" w:themeColor="text1"/>
          <w:sz w:val="22"/>
          <w:szCs w:val="22"/>
        </w:rPr>
        <w:t xml:space="preserve"> and systemic change. By addressing structural barriers, reducing stigma and amplifying community voices, it empowers individuals to make healthier choices without shame. The campaign contributes to national health priorities, reduces inequalities and fosters hope for a healthier future.</w:t>
      </w:r>
    </w:p>
    <w:p w:rsidR="00D27F6C" w:rsidP="755F26B7" w:rsidRDefault="39371A02" w14:paraId="2E2ACA93" w14:textId="77777777">
      <w:pPr>
        <w:spacing w:before="240" w:after="240"/>
        <w:rPr>
          <w:rFonts w:ascii="Arial Nova" w:hAnsi="Arial Nova" w:eastAsia="Arial Nova" w:cs="Arial Nova"/>
          <w:color w:val="000000" w:themeColor="text1"/>
          <w:sz w:val="22"/>
          <w:szCs w:val="22"/>
        </w:rPr>
        <w:sectPr w:rsidR="00D27F6C" w:rsidSect="00526FB4">
          <w:type w:val="continuous"/>
          <w:pgSz w:w="31680" w:h="28800" w:orient="landscape"/>
          <w:pgMar w:top="1440" w:right="1440" w:bottom="1440" w:left="1440" w:header="720" w:footer="720" w:gutter="0"/>
          <w:cols w:space="709" w:num="4"/>
          <w:docGrid w:linePitch="360"/>
        </w:sectPr>
      </w:pPr>
      <w:r w:rsidRPr="24E55592">
        <w:rPr>
          <w:rFonts w:ascii="Arial Nova" w:hAnsi="Arial Nova" w:eastAsia="Arial Nova" w:cs="Arial Nova"/>
          <w:color w:val="000000" w:themeColor="text1"/>
          <w:sz w:val="22"/>
          <w:szCs w:val="22"/>
        </w:rPr>
        <w:t xml:space="preserve">The poster encapsulates this vision: obesity is not just about statistics, but about people. When communities listen, support and co-create solutions, healthier futures become possible. Healthy Futures demonstrates that tackling obesity requires collective action, </w:t>
      </w:r>
      <w:bookmarkStart w:name="_Int_cAI12bGq" w:id="9"/>
      <w:r w:rsidRPr="24E55592">
        <w:rPr>
          <w:rFonts w:ascii="Arial Nova" w:hAnsi="Arial Nova" w:eastAsia="Arial Nova" w:cs="Arial Nova"/>
          <w:color w:val="000000" w:themeColor="text1"/>
          <w:sz w:val="22"/>
          <w:szCs w:val="22"/>
        </w:rPr>
        <w:t>compassion</w:t>
      </w:r>
      <w:bookmarkEnd w:id="9"/>
      <w:r w:rsidRPr="24E55592">
        <w:rPr>
          <w:rFonts w:ascii="Arial Nova" w:hAnsi="Arial Nova" w:eastAsia="Arial Nova" w:cs="Arial Nova"/>
          <w:color w:val="000000" w:themeColor="text1"/>
          <w:sz w:val="22"/>
          <w:szCs w:val="22"/>
        </w:rPr>
        <w:t xml:space="preserve"> and innovation to build a society where wellbeing is shared.</w:t>
      </w:r>
    </w:p>
    <w:p w:rsidR="00307B4F" w:rsidP="755F26B7" w:rsidRDefault="00307B4F" w14:paraId="35DBF140" w14:textId="317D9100">
      <w:pPr>
        <w:spacing w:before="240" w:after="240"/>
        <w:rPr>
          <w:rFonts w:ascii="Arial Nova" w:hAnsi="Arial Nova" w:eastAsia="Arial Nova" w:cs="Arial Nova"/>
          <w:color w:val="000000" w:themeColor="text1"/>
          <w:sz w:val="22"/>
          <w:szCs w:val="22"/>
        </w:rPr>
      </w:pPr>
    </w:p>
    <w:p w:rsidRPr="006324CC" w:rsidR="00526FB4" w:rsidRDefault="00526FB4" w14:paraId="621ED538" w14:textId="33C43DBC">
      <w:pPr>
        <w:rPr>
          <w:rFonts w:ascii="Arial Nova" w:hAnsi="Arial Nova" w:eastAsia="Arial Nova" w:cs="Arial Nova"/>
          <w:color w:val="000000" w:themeColor="text1"/>
          <w:sz w:val="22"/>
          <w:szCs w:val="22"/>
        </w:rPr>
        <w:sectPr w:rsidRPr="006324CC" w:rsidR="00526FB4" w:rsidSect="00D27F6C">
          <w:type w:val="continuous"/>
          <w:pgSz w:w="12191" w:h="15876" w:orient="landscape"/>
          <w:pgMar w:top="1440" w:right="1440" w:bottom="1440" w:left="1440" w:header="720" w:footer="720" w:gutter="0"/>
          <w:cols w:space="709" w:num="4"/>
          <w:docGrid w:linePitch="360"/>
        </w:sectPr>
      </w:pPr>
    </w:p>
    <w:p w:rsidR="17ED9988" w:rsidP="17ED9988" w:rsidRDefault="17ED9988" w14:paraId="3F6F298D" w14:textId="4D3D8566">
      <w:pPr>
        <w:rPr>
          <w:sz w:val="22"/>
          <w:szCs w:val="22"/>
        </w:rPr>
      </w:pPr>
    </w:p>
    <w:p w:rsidR="24E55592" w:rsidP="24E55592" w:rsidRDefault="24E55592" w14:paraId="7A33C9F5" w14:textId="3150BE89">
      <w:pPr>
        <w:rPr>
          <w:sz w:val="22"/>
          <w:szCs w:val="22"/>
        </w:rPr>
      </w:pPr>
    </w:p>
    <w:p w:rsidR="24E55592" w:rsidP="24E55592" w:rsidRDefault="24E55592" w14:paraId="14B4F000" w14:textId="755687DD">
      <w:pPr>
        <w:rPr>
          <w:sz w:val="22"/>
          <w:szCs w:val="22"/>
        </w:rPr>
      </w:pPr>
    </w:p>
    <w:p w:rsidR="00AC10B6" w:rsidP="24E55592" w:rsidRDefault="4EC6F27E" w14:paraId="12D2C8C8" w14:textId="77777777">
      <w:pPr>
        <w:rPr>
          <w:b/>
          <w:bCs/>
          <w:sz w:val="22"/>
          <w:szCs w:val="22"/>
        </w:rPr>
      </w:pPr>
      <w:r w:rsidRPr="24E55592">
        <w:rPr>
          <w:b/>
          <w:bCs/>
          <w:sz w:val="22"/>
          <w:szCs w:val="22"/>
        </w:rPr>
        <w:t>HEALTHY FUTURE</w:t>
      </w:r>
      <w:r w:rsidRPr="24E55592" w:rsidR="175D888C">
        <w:rPr>
          <w:b/>
          <w:bCs/>
          <w:sz w:val="22"/>
          <w:szCs w:val="22"/>
        </w:rPr>
        <w:t>: TACKILING OBESITY TOGETHER</w:t>
      </w:r>
    </w:p>
    <w:p w:rsidR="24E55592" w:rsidP="24E55592" w:rsidRDefault="24E55592" w14:paraId="118AD8BF" w14:textId="29CE546D">
      <w:pPr>
        <w:rPr>
          <w:b/>
          <w:bCs/>
          <w:sz w:val="22"/>
          <w:szCs w:val="22"/>
        </w:rPr>
      </w:pPr>
    </w:p>
    <w:p w:rsidR="36A1DF8D" w:rsidP="00AC10B6" w:rsidRDefault="4EC6F27E" w14:paraId="1C93C467" w14:textId="5C129F28">
      <w:pPr>
        <w:rPr>
          <w:sz w:val="22"/>
          <w:szCs w:val="22"/>
        </w:rPr>
      </w:pPr>
      <w:r w:rsidRPr="24E55592">
        <w:rPr>
          <w:sz w:val="22"/>
          <w:szCs w:val="22"/>
        </w:rPr>
        <w:t xml:space="preserve">The Healthy Futures campaign represents a systemic reframing of obesity, moving away from individual blame towards recognition of wider social determinants of health. This approach reflects the growing consensus in public health that obesity is shaped by structural inequalities, including poverty, food </w:t>
      </w:r>
      <w:bookmarkStart w:name="_Int_cELRhrwO" w:id="10"/>
      <w:r w:rsidRPr="24E55592">
        <w:rPr>
          <w:sz w:val="22"/>
          <w:szCs w:val="22"/>
        </w:rPr>
        <w:t>environments</w:t>
      </w:r>
      <w:bookmarkEnd w:id="10"/>
      <w:r w:rsidRPr="24E55592">
        <w:rPr>
          <w:sz w:val="22"/>
          <w:szCs w:val="22"/>
        </w:rPr>
        <w:t xml:space="preserve"> and access to healthcare (Swinburn et al., 2019). By positioning obesity as a collective challenge, the campaign aligns with calls for whole‑systems strategies that integrate community voices and policy action (Bagnall et al., 2019). The poster, depicting diverse families sharing a meal, symbolises inclusivity and collaboration, reinforcing the idea that tackling obesity requires shared responsibility rather than isolated interventions.</w:t>
      </w:r>
    </w:p>
    <w:p w:rsidR="36A1DF8D" w:rsidP="781D23E8" w:rsidRDefault="4EC6F27E" w14:paraId="572974EB" w14:textId="1D737E26">
      <w:pPr>
        <w:spacing w:before="240" w:after="240"/>
        <w:rPr>
          <w:sz w:val="22"/>
          <w:szCs w:val="22"/>
        </w:rPr>
      </w:pPr>
      <w:r w:rsidRPr="24E55592">
        <w:rPr>
          <w:sz w:val="22"/>
          <w:szCs w:val="22"/>
        </w:rPr>
        <w:t>The scale of the challenge is evident in national data. NHS England reports that nearly two‑thirds of adults are overweight or obese, with one in four living with obesity (NHS England, 2024). These figures highlight entrenched inequalities, as obesity prevalence is significantly higher in deprived communities where access to affordable nutritious food and safe spaces for physical activity is limited (Public Health England, 2023). Research demonstrates that the built environment, including the density of fast‑food outlets and lack of green spaces, strongly influences dietary and physical activity behaviours (Fraser et al., 2010). The Health Foundation (2024) further emphasises that such inequalities contribute to stark differences in life expectancy, with obesity acting as a major driver of chronic conditions such as diabetes and cardiovascular disease.</w:t>
      </w:r>
    </w:p>
    <w:p w:rsidR="36A1DF8D" w:rsidP="781D23E8" w:rsidRDefault="4EC6F27E" w14:paraId="757BE7D1" w14:textId="66333329">
      <w:pPr>
        <w:spacing w:before="240" w:after="240"/>
        <w:rPr>
          <w:sz w:val="22"/>
          <w:szCs w:val="22"/>
        </w:rPr>
      </w:pPr>
      <w:r w:rsidRPr="24E55592">
        <w:rPr>
          <w:sz w:val="22"/>
          <w:szCs w:val="22"/>
        </w:rPr>
        <w:t>Stigma compounds these structural barriers. Weight‑based discrimination has been shown to reduce engagement with health services and increase psychological distress</w:t>
      </w:r>
      <w:r w:rsidRPr="24E55592" w:rsidR="45673DC0">
        <w:rPr>
          <w:sz w:val="22"/>
          <w:szCs w:val="22"/>
        </w:rPr>
        <w:t>.</w:t>
      </w:r>
      <w:r w:rsidRPr="24E55592">
        <w:rPr>
          <w:sz w:val="22"/>
          <w:szCs w:val="22"/>
        </w:rPr>
        <w:t xml:space="preserve"> Campaigns that emphasise empathy and empowerment as Healthy Futures </w:t>
      </w:r>
      <w:r w:rsidRPr="24E55592" w:rsidR="4ED60AD5">
        <w:rPr>
          <w:sz w:val="22"/>
          <w:szCs w:val="22"/>
        </w:rPr>
        <w:t>do</w:t>
      </w:r>
      <w:r w:rsidRPr="24E55592">
        <w:rPr>
          <w:sz w:val="22"/>
          <w:szCs w:val="22"/>
        </w:rPr>
        <w:t>, are therefore critical in countering stigma and encouraging participation. By embedding peer‑led support groups, the initiative creates safe spaces for dialogue and mutual learning, which evidence suggests can improve self‑efficacy and long‑term behaviour change (Dennis, 2003).</w:t>
      </w:r>
    </w:p>
    <w:p w:rsidR="36A1DF8D" w:rsidP="781D23E8" w:rsidRDefault="4EC6F27E" w14:paraId="447B95D8" w14:textId="7DBC8EFE">
      <w:pPr>
        <w:spacing w:before="240" w:after="240"/>
        <w:rPr>
          <w:sz w:val="22"/>
          <w:szCs w:val="22"/>
        </w:rPr>
      </w:pPr>
      <w:r w:rsidRPr="781D23E8">
        <w:rPr>
          <w:sz w:val="22"/>
          <w:szCs w:val="22"/>
        </w:rPr>
        <w:t>The campaign’s focus on children aged five to eleven is particularly significant, as early interventions are known to shape lifelong health trajectories. School‑based nutrition education has been found to improve dietary knowledge and reduce consumption of unhealthy foods (Waters et al., 2011). Partnerships with supermarkets also extend the campaign’s reach, addressing the visibility and affordability of healthier options. This reflects the importance of engaging commercial actors in public health strategies, as food retail environments play a decisive role in shaping consumer choices (Cummins et al., 2014).</w:t>
      </w:r>
    </w:p>
    <w:p w:rsidR="36A1DF8D" w:rsidP="781D23E8" w:rsidRDefault="4EC6F27E" w14:paraId="6B5C1F6E" w14:textId="793790A1">
      <w:pPr>
        <w:spacing w:before="240" w:after="240"/>
        <w:rPr>
          <w:sz w:val="22"/>
          <w:szCs w:val="22"/>
        </w:rPr>
      </w:pPr>
      <w:r w:rsidRPr="24E55592">
        <w:rPr>
          <w:sz w:val="22"/>
          <w:szCs w:val="22"/>
        </w:rPr>
        <w:t>Technology integration further strengthens the campaign. Mobile apps and AI‑powered chatbots provide personalised</w:t>
      </w:r>
      <w:r w:rsidRPr="24E55592" w:rsidR="1F343937">
        <w:rPr>
          <w:sz w:val="22"/>
          <w:szCs w:val="22"/>
        </w:rPr>
        <w:t xml:space="preserve"> and</w:t>
      </w:r>
      <w:r w:rsidRPr="24E55592">
        <w:rPr>
          <w:sz w:val="22"/>
          <w:szCs w:val="22"/>
        </w:rPr>
        <w:t xml:space="preserve"> non‑judgemental support, which aligns with evidence that digital health tools can enhance engagement and self‑monitoring (Murray et al., 2016). Importantly, the inclusion of multilingual and offline functionality addresses digital exclusion, ensuring that vulnerable communities are not left behind. Data dashboards for community health teams also enable adaptive learning, allowing interventions to be refined in real time.</w:t>
      </w:r>
    </w:p>
    <w:p w:rsidR="36A1DF8D" w:rsidP="781D23E8" w:rsidRDefault="4EC6F27E" w14:paraId="010A6C10" w14:textId="4B418A93">
      <w:pPr>
        <w:spacing w:before="240" w:after="240"/>
        <w:rPr>
          <w:sz w:val="22"/>
          <w:szCs w:val="22"/>
        </w:rPr>
      </w:pPr>
      <w:r w:rsidRPr="24E55592">
        <w:rPr>
          <w:sz w:val="22"/>
          <w:szCs w:val="22"/>
        </w:rPr>
        <w:t xml:space="preserve">The phased </w:t>
      </w:r>
      <w:r w:rsidRPr="24E55592" w:rsidR="7E2FEDF3">
        <w:rPr>
          <w:sz w:val="22"/>
          <w:szCs w:val="22"/>
        </w:rPr>
        <w:t>implementation of strategic‐</w:t>
      </w:r>
      <w:r w:rsidRPr="24E55592">
        <w:rPr>
          <w:sz w:val="22"/>
          <w:szCs w:val="22"/>
        </w:rPr>
        <w:t>design, pilot, evaluation and national rollout</w:t>
      </w:r>
      <w:r w:rsidRPr="24E55592" w:rsidR="5BF895D4">
        <w:rPr>
          <w:sz w:val="22"/>
          <w:szCs w:val="22"/>
        </w:rPr>
        <w:t xml:space="preserve"> </w:t>
      </w:r>
      <w:r w:rsidRPr="24E55592">
        <w:rPr>
          <w:sz w:val="22"/>
          <w:szCs w:val="22"/>
        </w:rPr>
        <w:t xml:space="preserve">demonstrates a commitment to iterative development. Co‑production with stakeholders ensures that interventions are culturally relevant and responsive to local needs, a principle widely recognised as essential for sustainable public health programmes (Hickey et al., 2018). Evaluation and refinement phases allow for evidence‑based adjustments, increasing </w:t>
      </w:r>
      <w:bookmarkStart w:name="_Int_JWhBgwb4" w:id="11"/>
      <w:r w:rsidRPr="24E55592">
        <w:rPr>
          <w:sz w:val="22"/>
          <w:szCs w:val="22"/>
        </w:rPr>
        <w:t>scalability</w:t>
      </w:r>
      <w:bookmarkEnd w:id="11"/>
      <w:r w:rsidRPr="24E55592">
        <w:rPr>
          <w:sz w:val="22"/>
          <w:szCs w:val="22"/>
        </w:rPr>
        <w:t xml:space="preserve"> and long‑term impact.</w:t>
      </w:r>
    </w:p>
    <w:p w:rsidR="36A1DF8D" w:rsidP="781D23E8" w:rsidRDefault="4EC6F27E" w14:paraId="5FCA381D" w14:textId="7CE7EA80">
      <w:pPr>
        <w:spacing w:before="240" w:after="240"/>
        <w:rPr>
          <w:sz w:val="22"/>
          <w:szCs w:val="22"/>
        </w:rPr>
      </w:pPr>
      <w:r w:rsidRPr="24E55592">
        <w:rPr>
          <w:sz w:val="22"/>
          <w:szCs w:val="22"/>
        </w:rPr>
        <w:t xml:space="preserve">Regulatory compliance underpins the campaign’s credibility. Adherence to GDPR, NHS Digital standards and NICE guidelines </w:t>
      </w:r>
      <w:r w:rsidRPr="24E55592" w:rsidR="18DBC8BF">
        <w:rPr>
          <w:sz w:val="22"/>
          <w:szCs w:val="22"/>
        </w:rPr>
        <w:t>ensure</w:t>
      </w:r>
      <w:r w:rsidRPr="24E55592">
        <w:rPr>
          <w:sz w:val="22"/>
          <w:szCs w:val="22"/>
        </w:rPr>
        <w:t xml:space="preserve"> ethical delivery and </w:t>
      </w:r>
      <w:r w:rsidRPr="24E55592" w:rsidR="60EBB597">
        <w:rPr>
          <w:sz w:val="22"/>
          <w:szCs w:val="22"/>
        </w:rPr>
        <w:t>safeguards for</w:t>
      </w:r>
      <w:r w:rsidRPr="24E55592">
        <w:rPr>
          <w:sz w:val="22"/>
          <w:szCs w:val="22"/>
        </w:rPr>
        <w:t xml:space="preserve"> vulnerable groups. NICE (2023) emphasises that obesity prevention must combine behavioural support with structural change, a principle clearly embedded in Healthy Futures. Safeguarding protocols further ensure that children and </w:t>
      </w:r>
      <w:r w:rsidRPr="24E55592" w:rsidR="4CA82F8F">
        <w:rPr>
          <w:sz w:val="22"/>
          <w:szCs w:val="22"/>
        </w:rPr>
        <w:t>adults</w:t>
      </w:r>
      <w:r w:rsidRPr="24E55592">
        <w:rPr>
          <w:sz w:val="22"/>
          <w:szCs w:val="22"/>
        </w:rPr>
        <w:t xml:space="preserve"> are protected throughout the campaign.</w:t>
      </w:r>
    </w:p>
    <w:p w:rsidR="36A1DF8D" w:rsidP="781D23E8" w:rsidRDefault="4EC6F27E" w14:paraId="267E987C" w14:textId="7A9F09D2">
      <w:pPr>
        <w:spacing w:before="240" w:after="240"/>
        <w:rPr>
          <w:sz w:val="22"/>
          <w:szCs w:val="22"/>
        </w:rPr>
      </w:pPr>
      <w:r w:rsidRPr="781D23E8">
        <w:rPr>
          <w:sz w:val="22"/>
          <w:szCs w:val="22"/>
        </w:rPr>
        <w:t>Dissemination strategies are equally robust. Social media storytelling amplifies authentic community voices, countering dominant narratives that often stigmatise obesity. School newsletters and supermarket flyers ensure direct communication with families, while public health webinars engage professionals and policymakers. This multi‑channel approach reflects best practice in health communication, which stresses the importance of tailoring messages to diverse audiences (Noar et al., 2009).</w:t>
      </w:r>
    </w:p>
    <w:p w:rsidR="00780A10" w:rsidP="00780A10" w:rsidRDefault="4EC6F27E" w14:paraId="2C5D601C" w14:textId="25FA93B5">
      <w:pPr>
        <w:spacing w:before="240" w:after="240"/>
        <w:rPr>
          <w:sz w:val="22"/>
          <w:szCs w:val="22"/>
        </w:rPr>
      </w:pPr>
      <w:r w:rsidRPr="24E55592">
        <w:rPr>
          <w:sz w:val="22"/>
          <w:szCs w:val="22"/>
        </w:rPr>
        <w:t xml:space="preserve">Ultimately, Healthy Futures is more than a </w:t>
      </w:r>
      <w:bookmarkStart w:name="_Int_eqnZkBWo" w:id="12"/>
      <w:r w:rsidRPr="24E55592">
        <w:rPr>
          <w:sz w:val="22"/>
          <w:szCs w:val="22"/>
        </w:rPr>
        <w:t>campaign</w:t>
      </w:r>
      <w:r w:rsidRPr="24E55592" w:rsidR="4B7B1106">
        <w:rPr>
          <w:sz w:val="22"/>
          <w:szCs w:val="22"/>
        </w:rPr>
        <w:t>,</w:t>
      </w:r>
      <w:bookmarkEnd w:id="12"/>
      <w:r w:rsidRPr="24E55592">
        <w:rPr>
          <w:sz w:val="22"/>
          <w:szCs w:val="22"/>
        </w:rPr>
        <w:t xml:space="preserve"> it is a movement towards systemic change. By tackling structural barriers, reducing stigma and amplifying community voices, it contributes to national health priorities and reduces inequalities. The poster encapsulates this vision, reminding audiences that obesity is not simply about statistics but about people. When communities co‑create solutions, healthier futures become possible. The campaign demonstrates that tackling obesity requires collective action, </w:t>
      </w:r>
      <w:bookmarkStart w:name="_Int_aUWkBdBF" w:id="13"/>
      <w:r w:rsidRPr="24E55592">
        <w:rPr>
          <w:sz w:val="22"/>
          <w:szCs w:val="22"/>
        </w:rPr>
        <w:t>compassion</w:t>
      </w:r>
      <w:bookmarkEnd w:id="13"/>
      <w:r w:rsidRPr="24E55592">
        <w:rPr>
          <w:sz w:val="22"/>
          <w:szCs w:val="22"/>
        </w:rPr>
        <w:t xml:space="preserve"> and innovation, building a society where wellbeing is shared</w:t>
      </w:r>
      <w:r w:rsidRPr="24E55592" w:rsidR="00780A10">
        <w:rPr>
          <w:sz w:val="22"/>
          <w:szCs w:val="22"/>
        </w:rPr>
        <w:t>.</w:t>
      </w:r>
    </w:p>
    <w:p w:rsidR="24E55592" w:rsidP="24E55592" w:rsidRDefault="24E55592" w14:paraId="6A74F160" w14:textId="09DB4DC4">
      <w:pPr>
        <w:spacing w:before="240" w:after="240"/>
        <w:rPr>
          <w:sz w:val="22"/>
          <w:szCs w:val="22"/>
        </w:rPr>
      </w:pPr>
    </w:p>
    <w:p w:rsidR="0635166C" w:rsidP="24E55592" w:rsidRDefault="0635166C" w14:paraId="72B77F69" w14:textId="43A28A52">
      <w:pPr>
        <w:spacing w:before="240" w:after="240"/>
        <w:rPr>
          <w:b/>
          <w:bCs/>
          <w:sz w:val="22"/>
          <w:szCs w:val="22"/>
        </w:rPr>
      </w:pPr>
      <w:r w:rsidRPr="24E55592">
        <w:rPr>
          <w:b/>
          <w:bCs/>
          <w:sz w:val="22"/>
          <w:szCs w:val="22"/>
        </w:rPr>
        <w:t>CONCLUSION</w:t>
      </w:r>
    </w:p>
    <w:p w:rsidR="0635166C" w:rsidP="24E55592" w:rsidRDefault="0635166C" w14:paraId="23B5B51D" w14:textId="76F1EF3A">
      <w:pPr>
        <w:spacing w:before="240" w:after="240"/>
      </w:pPr>
      <w:r w:rsidRPr="24E55592">
        <w:rPr>
          <w:rFonts w:ascii="Arial Nova" w:hAnsi="Arial Nova" w:eastAsia="Arial Nova" w:cs="Arial Nova"/>
          <w:sz w:val="22"/>
          <w:szCs w:val="22"/>
        </w:rPr>
        <w:t xml:space="preserve">Healthy Futures: Tackling Obesity Together is more than a </w:t>
      </w:r>
      <w:r w:rsidRPr="24E55592" w:rsidR="049DE9C0">
        <w:rPr>
          <w:rFonts w:ascii="Arial Nova" w:hAnsi="Arial Nova" w:eastAsia="Arial Nova" w:cs="Arial Nova"/>
          <w:sz w:val="22"/>
          <w:szCs w:val="22"/>
        </w:rPr>
        <w:t>campaign, it</w:t>
      </w:r>
      <w:r w:rsidRPr="24E55592">
        <w:rPr>
          <w:rFonts w:ascii="Arial Nova" w:hAnsi="Arial Nova" w:eastAsia="Arial Nova" w:cs="Arial Nova"/>
          <w:sz w:val="22"/>
          <w:szCs w:val="22"/>
        </w:rPr>
        <w:t xml:space="preserve"> is a movement built on compassion, inclusion and shared responsibility. Instead of blaming individuals, it recognises that obesity is shaped by wider social and economic factors, from food insecurity to limited access to safe spaces for activity. By creating peer-led support groups, embedding nutrition education in schools and partnering with supermarkets, it empowers families and children to make healthier choices in everyday life. Technology adds personalised support through apps and chatbots, while storytelling ensures that real voices guide the message. The poster captures this vision</w:t>
      </w:r>
      <w:r w:rsidRPr="24E55592" w:rsidR="5B420307">
        <w:rPr>
          <w:rFonts w:ascii="Arial Nova" w:hAnsi="Arial Nova" w:eastAsia="Arial Nova" w:cs="Arial Nova"/>
          <w:sz w:val="22"/>
          <w:szCs w:val="22"/>
        </w:rPr>
        <w:t xml:space="preserve"> of </w:t>
      </w:r>
      <w:r w:rsidRPr="24E55592">
        <w:rPr>
          <w:rFonts w:ascii="Arial Nova" w:hAnsi="Arial Nova" w:eastAsia="Arial Nova" w:cs="Arial Nova"/>
          <w:sz w:val="22"/>
          <w:szCs w:val="22"/>
        </w:rPr>
        <w:t>diverse families</w:t>
      </w:r>
      <w:r w:rsidRPr="24E55592" w:rsidR="0B31D3E4">
        <w:rPr>
          <w:rFonts w:ascii="Arial Nova" w:hAnsi="Arial Nova" w:eastAsia="Arial Nova" w:cs="Arial Nova"/>
          <w:sz w:val="22"/>
          <w:szCs w:val="22"/>
        </w:rPr>
        <w:t xml:space="preserve"> making and</w:t>
      </w:r>
      <w:r w:rsidRPr="24E55592">
        <w:rPr>
          <w:rFonts w:ascii="Arial Nova" w:hAnsi="Arial Nova" w:eastAsia="Arial Nova" w:cs="Arial Nova"/>
          <w:sz w:val="22"/>
          <w:szCs w:val="22"/>
        </w:rPr>
        <w:t xml:space="preserve"> sharing a meal, symbolising unity and hope. Healthy Futures shows that lasting change comes when communities act together.</w:t>
      </w:r>
    </w:p>
    <w:p w:rsidR="00780A10" w:rsidP="00780A10" w:rsidRDefault="00780A10" w14:paraId="5AD59C2D" w14:textId="77777777">
      <w:pPr>
        <w:spacing w:before="240" w:after="240"/>
        <w:rPr>
          <w:sz w:val="22"/>
          <w:szCs w:val="22"/>
        </w:rPr>
      </w:pPr>
    </w:p>
    <w:p w:rsidR="00780A10" w:rsidP="00780A10" w:rsidRDefault="00780A10" w14:paraId="4806C4AC" w14:textId="77777777">
      <w:pPr>
        <w:spacing w:before="240" w:after="240"/>
        <w:rPr>
          <w:sz w:val="22"/>
          <w:szCs w:val="22"/>
        </w:rPr>
      </w:pPr>
    </w:p>
    <w:p w:rsidR="00780A10" w:rsidP="00780A10" w:rsidRDefault="00780A10" w14:paraId="7C6F3F9D" w14:textId="77777777">
      <w:pPr>
        <w:spacing w:before="240" w:after="240"/>
        <w:rPr>
          <w:sz w:val="22"/>
          <w:szCs w:val="22"/>
        </w:rPr>
      </w:pPr>
    </w:p>
    <w:p w:rsidR="36A1DF8D" w:rsidP="24E55592" w:rsidRDefault="36A1DF8D" w14:paraId="07963F4A" w14:textId="451819D8">
      <w:pPr>
        <w:spacing w:before="240" w:after="240"/>
        <w:rPr>
          <w:sz w:val="22"/>
          <w:szCs w:val="22"/>
        </w:rPr>
      </w:pPr>
    </w:p>
    <w:p w:rsidR="36A1DF8D" w:rsidP="24E55592" w:rsidRDefault="36A1DF8D" w14:paraId="7FC98E78" w14:textId="79529C6E">
      <w:pPr>
        <w:spacing w:before="240" w:after="240"/>
        <w:rPr>
          <w:sz w:val="32"/>
          <w:szCs w:val="32"/>
        </w:rPr>
      </w:pPr>
    </w:p>
    <w:p w:rsidR="36A1DF8D" w:rsidP="24E55592" w:rsidRDefault="36A1DF8D" w14:paraId="3C6A377A" w14:textId="138E2949">
      <w:pPr>
        <w:spacing w:before="240" w:after="240"/>
        <w:rPr>
          <w:sz w:val="32"/>
          <w:szCs w:val="32"/>
        </w:rPr>
      </w:pPr>
    </w:p>
    <w:p w:rsidR="36A1DF8D" w:rsidP="24E55592" w:rsidRDefault="36A1DF8D" w14:paraId="70C48784" w14:textId="608A0166">
      <w:pPr>
        <w:spacing w:before="240" w:after="240"/>
        <w:rPr>
          <w:sz w:val="32"/>
          <w:szCs w:val="32"/>
        </w:rPr>
      </w:pPr>
    </w:p>
    <w:p w:rsidR="36A1DF8D" w:rsidP="24E55592" w:rsidRDefault="36A1DF8D" w14:paraId="4CA27192" w14:textId="6D1535E8">
      <w:pPr>
        <w:spacing w:before="240" w:after="240"/>
        <w:rPr>
          <w:sz w:val="32"/>
          <w:szCs w:val="32"/>
        </w:rPr>
      </w:pPr>
    </w:p>
    <w:p w:rsidR="36A1DF8D" w:rsidP="24E55592" w:rsidRDefault="36A1DF8D" w14:paraId="5E71C268" w14:textId="750ED5B3">
      <w:pPr>
        <w:spacing w:before="240" w:after="240"/>
        <w:rPr>
          <w:sz w:val="32"/>
          <w:szCs w:val="32"/>
        </w:rPr>
      </w:pPr>
    </w:p>
    <w:p w:rsidR="36A1DF8D" w:rsidP="24E55592" w:rsidRDefault="36A1DF8D" w14:paraId="0CDE6AE4" w14:textId="687CDC7E">
      <w:pPr>
        <w:spacing w:before="240" w:after="240"/>
        <w:rPr>
          <w:sz w:val="32"/>
          <w:szCs w:val="32"/>
        </w:rPr>
      </w:pPr>
    </w:p>
    <w:p w:rsidR="36A1DF8D" w:rsidP="24E55592" w:rsidRDefault="36A1DF8D" w14:paraId="2A004111" w14:textId="640F238D">
      <w:pPr>
        <w:spacing w:before="240" w:after="240"/>
        <w:rPr>
          <w:sz w:val="32"/>
          <w:szCs w:val="32"/>
        </w:rPr>
      </w:pPr>
    </w:p>
    <w:p w:rsidR="36A1DF8D" w:rsidP="24E55592" w:rsidRDefault="36A1DF8D" w14:paraId="054EA037" w14:textId="697F94C3">
      <w:pPr>
        <w:spacing w:before="240" w:after="240"/>
        <w:rPr>
          <w:sz w:val="32"/>
          <w:szCs w:val="32"/>
        </w:rPr>
      </w:pPr>
    </w:p>
    <w:p w:rsidR="00815C82" w:rsidP="01E0C363" w:rsidRDefault="00815C82" w14:paraId="192F04CE" w14:textId="50FBD3CE">
      <w:pPr>
        <w:spacing w:before="240" w:after="240"/>
        <w:rPr>
          <w:b w:val="1"/>
          <w:bCs w:val="1"/>
          <w:sz w:val="32"/>
          <w:szCs w:val="32"/>
        </w:rPr>
      </w:pPr>
      <w:r w:rsidRPr="01E0C363" w:rsidR="00815C82">
        <w:rPr>
          <w:b w:val="1"/>
          <w:bCs w:val="1"/>
          <w:sz w:val="32"/>
          <w:szCs w:val="32"/>
        </w:rPr>
        <w:t>REFERENCES LIST</w:t>
      </w:r>
    </w:p>
    <w:p w:rsidR="5DE1B20E" w:rsidP="01E0C363" w:rsidRDefault="5DE1B20E" w14:paraId="5E152B1D" w14:textId="79C444BE">
      <w:pPr>
        <w:spacing w:before="240" w:after="240"/>
        <w:rPr>
          <w:b w:val="0"/>
          <w:bCs w:val="0"/>
          <w:sz w:val="22"/>
          <w:szCs w:val="22"/>
        </w:rPr>
      </w:pPr>
      <w:r w:rsidRPr="01E0C363" w:rsidR="5DE1B20E">
        <w:rPr>
          <w:b w:val="0"/>
          <w:bCs w:val="0"/>
          <w:sz w:val="22"/>
          <w:szCs w:val="22"/>
        </w:rPr>
        <w:t>Poster</w:t>
      </w:r>
      <w:r w:rsidRPr="01E0C363" w:rsidR="5DE1B20E">
        <w:rPr>
          <w:b w:val="0"/>
          <w:bCs w:val="0"/>
          <w:sz w:val="22"/>
          <w:szCs w:val="22"/>
        </w:rPr>
        <w:t xml:space="preserve"> Image. </w:t>
      </w:r>
      <w:r w:rsidRPr="01E0C363" w:rsidR="5022B1FB">
        <w:rPr>
          <w:b w:val="0"/>
          <w:bCs w:val="0"/>
          <w:sz w:val="22"/>
          <w:szCs w:val="22"/>
        </w:rPr>
        <w:t xml:space="preserve">Available at: </w:t>
      </w:r>
      <w:hyperlink r:id="Rfe05e0f4751e462b">
        <w:r w:rsidRPr="01E0C363" w:rsidR="7360B78B">
          <w:rPr>
            <w:rStyle w:val="Hyperlink"/>
            <w:b w:val="0"/>
            <w:bCs w:val="0"/>
            <w:sz w:val="22"/>
            <w:szCs w:val="22"/>
          </w:rPr>
          <w:t>h</w:t>
        </w:r>
        <w:r w:rsidRPr="01E0C363" w:rsidR="4E9E96D0">
          <w:rPr>
            <w:rStyle w:val="Hyperlink"/>
            <w:b w:val="0"/>
            <w:bCs w:val="0"/>
            <w:sz w:val="22"/>
            <w:szCs w:val="22"/>
          </w:rPr>
          <w:t>t</w:t>
        </w:r>
        <w:r w:rsidRPr="01E0C363" w:rsidR="0DE6E91C">
          <w:rPr>
            <w:rStyle w:val="Hyperlink"/>
            <w:b w:val="0"/>
            <w:bCs w:val="0"/>
            <w:sz w:val="22"/>
            <w:szCs w:val="22"/>
          </w:rPr>
          <w:t>t</w:t>
        </w:r>
        <w:r w:rsidRPr="01E0C363" w:rsidR="4E9E96D0">
          <w:rPr>
            <w:rStyle w:val="Hyperlink"/>
            <w:b w:val="0"/>
            <w:bCs w:val="0"/>
            <w:sz w:val="22"/>
            <w:szCs w:val="22"/>
          </w:rPr>
          <w:t>ps://img.rawpixel.com/s3fsprivate/rawpixel</w:t>
        </w:r>
        <w:r w:rsidRPr="01E0C363" w:rsidR="6EE3E43C">
          <w:rPr>
            <w:rStyle w:val="Hyperlink"/>
            <w:b w:val="0"/>
            <w:bCs w:val="0"/>
            <w:sz w:val="22"/>
            <w:szCs w:val="22"/>
          </w:rPr>
          <w:t>_images/website_co</w:t>
        </w:r>
        <w:r w:rsidRPr="01E0C363" w:rsidR="500A5B0C">
          <w:rPr>
            <w:rStyle w:val="Hyperlink"/>
            <w:b w:val="0"/>
            <w:bCs w:val="0"/>
            <w:sz w:val="22"/>
            <w:szCs w:val="22"/>
          </w:rPr>
          <w:t>n</w:t>
        </w:r>
        <w:r w:rsidRPr="01E0C363" w:rsidR="6EE3E43C">
          <w:rPr>
            <w:rStyle w:val="Hyperlink"/>
            <w:b w:val="0"/>
            <w:bCs w:val="0"/>
            <w:sz w:val="22"/>
            <w:szCs w:val="22"/>
          </w:rPr>
          <w:t>tent/271-pai1</w:t>
        </w:r>
        <w:r w:rsidRPr="01E0C363" w:rsidR="0D53F109">
          <w:rPr>
            <w:rStyle w:val="Hyperlink"/>
            <w:b w:val="0"/>
            <w:bCs w:val="0"/>
            <w:sz w:val="22"/>
            <w:szCs w:val="22"/>
          </w:rPr>
          <w:t>225-chim.jpg</w:t>
        </w:r>
        <w:r w:rsidRPr="01E0C363" w:rsidR="0BB44389">
          <w:rPr>
            <w:rStyle w:val="Hyperlink"/>
            <w:b w:val="0"/>
            <w:bCs w:val="0"/>
            <w:sz w:val="22"/>
            <w:szCs w:val="22"/>
          </w:rPr>
          <w:t>?</w:t>
        </w:r>
        <w:r w:rsidRPr="01E0C363" w:rsidR="0D53F109">
          <w:rPr>
            <w:rStyle w:val="Hyperlink"/>
            <w:b w:val="0"/>
            <w:bCs w:val="0"/>
            <w:sz w:val="22"/>
            <w:szCs w:val="22"/>
          </w:rPr>
          <w:t>w=800</w:t>
        </w:r>
        <w:r w:rsidRPr="01E0C363" w:rsidR="5C17034C">
          <w:rPr>
            <w:rStyle w:val="Hyperlink"/>
            <w:b w:val="0"/>
            <w:bCs w:val="0"/>
            <w:sz w:val="22"/>
            <w:szCs w:val="22"/>
          </w:rPr>
          <w:t>&amp;dpr=default&amp;crop=default&amp;auto=format</w:t>
        </w:r>
        <w:r w:rsidRPr="01E0C363" w:rsidR="52A23339">
          <w:rPr>
            <w:rStyle w:val="Hyperlink"/>
            <w:b w:val="0"/>
            <w:bCs w:val="0"/>
            <w:sz w:val="22"/>
            <w:szCs w:val="22"/>
          </w:rPr>
          <w:t>&amp;fm=pjpg&amp;q=75&amp;vib=3&amp;con</w:t>
        </w:r>
        <w:r w:rsidRPr="01E0C363" w:rsidR="033ABDB3">
          <w:rPr>
            <w:rStyle w:val="Hyperlink"/>
            <w:b w:val="0"/>
            <w:bCs w:val="0"/>
            <w:sz w:val="22"/>
            <w:szCs w:val="22"/>
          </w:rPr>
          <w:t>=3&amp;usm=15&amp;bg=</w:t>
        </w:r>
        <w:r w:rsidRPr="01E0C363" w:rsidR="7802632F">
          <w:rPr>
            <w:rStyle w:val="Hyperlink"/>
            <w:b w:val="0"/>
            <w:bCs w:val="0"/>
            <w:sz w:val="22"/>
            <w:szCs w:val="22"/>
          </w:rPr>
          <w:t>F4F4F3&amp;ixlib=js.2.21&amp;s=150</w:t>
        </w:r>
        <w:r w:rsidRPr="01E0C363" w:rsidR="0C842B6B">
          <w:rPr>
            <w:rStyle w:val="Hyperlink"/>
            <w:b w:val="0"/>
            <w:bCs w:val="0"/>
            <w:sz w:val="22"/>
            <w:szCs w:val="22"/>
          </w:rPr>
          <w:t>81388afa4c8dc6</w:t>
        </w:r>
        <w:r w:rsidRPr="01E0C363" w:rsidR="67F6DCF9">
          <w:rPr>
            <w:rStyle w:val="Hyperlink"/>
            <w:b w:val="0"/>
            <w:bCs w:val="0"/>
            <w:sz w:val="22"/>
            <w:szCs w:val="22"/>
          </w:rPr>
          <w:t>44a80d8ced06e0</w:t>
        </w:r>
        <w:r w:rsidRPr="01E0C363" w:rsidR="32B2CA06">
          <w:rPr>
            <w:rStyle w:val="Hyperlink"/>
            <w:b w:val="0"/>
            <w:bCs w:val="0"/>
            <w:sz w:val="22"/>
            <w:szCs w:val="22"/>
          </w:rPr>
          <w:t>5</w:t>
        </w:r>
      </w:hyperlink>
      <w:r w:rsidRPr="01E0C363" w:rsidR="32B2CA06">
        <w:rPr>
          <w:b w:val="0"/>
          <w:bCs w:val="0"/>
          <w:sz w:val="22"/>
          <w:szCs w:val="22"/>
        </w:rPr>
        <w:t xml:space="preserve"> </w:t>
      </w:r>
      <w:r w:rsidRPr="01E0C363" w:rsidR="7385DCAF">
        <w:rPr>
          <w:b w:val="0"/>
          <w:bCs w:val="0"/>
          <w:sz w:val="22"/>
          <w:szCs w:val="22"/>
        </w:rPr>
        <w:t xml:space="preserve"> </w:t>
      </w:r>
      <w:r w:rsidRPr="01E0C363" w:rsidR="3F7A4F16">
        <w:rPr>
          <w:b w:val="0"/>
          <w:bCs w:val="0"/>
          <w:sz w:val="22"/>
          <w:szCs w:val="22"/>
        </w:rPr>
        <w:t xml:space="preserve">(Accessed </w:t>
      </w:r>
      <w:r w:rsidRPr="01E0C363" w:rsidR="42CDE8CE">
        <w:rPr>
          <w:b w:val="0"/>
          <w:bCs w:val="0"/>
          <w:sz w:val="22"/>
          <w:szCs w:val="22"/>
        </w:rPr>
        <w:t>7</w:t>
      </w:r>
      <w:r w:rsidRPr="01E0C363" w:rsidR="3F7A4F16">
        <w:rPr>
          <w:b w:val="0"/>
          <w:bCs w:val="0"/>
          <w:sz w:val="22"/>
          <w:szCs w:val="22"/>
          <w:vertAlign w:val="superscript"/>
        </w:rPr>
        <w:t>th</w:t>
      </w:r>
      <w:r w:rsidRPr="01E0C363" w:rsidR="3F7A4F16">
        <w:rPr>
          <w:b w:val="0"/>
          <w:bCs w:val="0"/>
          <w:sz w:val="22"/>
          <w:szCs w:val="22"/>
        </w:rPr>
        <w:t xml:space="preserve"> Nov 2025)</w:t>
      </w:r>
    </w:p>
    <w:p w:rsidR="36A1DF8D" w:rsidP="781D23E8" w:rsidRDefault="4EC6F27E" w14:paraId="2EB61B8E" w14:textId="32182406">
      <w:pPr>
        <w:spacing w:before="240" w:after="240"/>
        <w:rPr>
          <w:color w:val="000000" w:themeColor="text1"/>
          <w:sz w:val="22"/>
          <w:szCs w:val="22"/>
        </w:rPr>
      </w:pPr>
      <w:r w:rsidRPr="01E0C363" w:rsidR="4EC6F27E">
        <w:rPr>
          <w:color w:val="000000" w:themeColor="text1" w:themeTint="FF" w:themeShade="FF"/>
          <w:sz w:val="22"/>
          <w:szCs w:val="22"/>
        </w:rPr>
        <w:t>NHS Digital (2024)</w:t>
      </w:r>
      <w:r w:rsidRPr="01E0C363" w:rsidR="4EC6F27E">
        <w:rPr>
          <w:b w:val="1"/>
          <w:bCs w:val="1"/>
          <w:color w:val="000000" w:themeColor="text1" w:themeTint="FF" w:themeShade="FF"/>
          <w:sz w:val="22"/>
          <w:szCs w:val="22"/>
        </w:rPr>
        <w:t>.</w:t>
      </w:r>
      <w:r w:rsidRPr="01E0C363" w:rsidR="4EC6F27E">
        <w:rPr>
          <w:color w:val="000000" w:themeColor="text1" w:themeTint="FF" w:themeShade="FF"/>
          <w:sz w:val="22"/>
          <w:szCs w:val="22"/>
        </w:rPr>
        <w:t xml:space="preserve"> National Obesity Audit, April–June 2024. NHS England Digital. Available at: </w:t>
      </w:r>
      <w:hyperlink r:id="R78ae721d0c044bdf">
        <w:r w:rsidRPr="01E0C363" w:rsidR="4EC6F27E">
          <w:rPr>
            <w:rStyle w:val="Hyperlink"/>
            <w:sz w:val="22"/>
            <w:szCs w:val="22"/>
          </w:rPr>
          <w:t>https://digital.nhs.uk/data-and-information/publications/statistical/national-obesity-audit/national-obesity-audit-april-2024---june-2024</w:t>
        </w:r>
      </w:hyperlink>
      <w:r w:rsidRPr="01E0C363" w:rsidR="4EC6F27E">
        <w:rPr>
          <w:color w:val="000000" w:themeColor="text1" w:themeTint="FF" w:themeShade="FF"/>
          <w:sz w:val="22"/>
          <w:szCs w:val="22"/>
        </w:rPr>
        <w:t xml:space="preserve"> (Accessed 8</w:t>
      </w:r>
      <w:r w:rsidRPr="01E0C363" w:rsidR="4EC6F27E">
        <w:rPr>
          <w:color w:val="000000" w:themeColor="text1" w:themeTint="FF" w:themeShade="FF"/>
          <w:sz w:val="22"/>
          <w:szCs w:val="22"/>
          <w:vertAlign w:val="superscript"/>
        </w:rPr>
        <w:t>th</w:t>
      </w:r>
      <w:r w:rsidRPr="01E0C363" w:rsidR="4EC6F27E">
        <w:rPr>
          <w:color w:val="000000" w:themeColor="text1" w:themeTint="FF" w:themeShade="FF"/>
          <w:sz w:val="22"/>
          <w:szCs w:val="22"/>
        </w:rPr>
        <w:t xml:space="preserve"> Nov 2025)</w:t>
      </w:r>
    </w:p>
    <w:p w:rsidR="36A1DF8D" w:rsidP="781D23E8" w:rsidRDefault="4EC6F27E" w14:paraId="5440A5E5" w14:textId="01395006">
      <w:pPr>
        <w:spacing w:before="240" w:after="240"/>
        <w:rPr>
          <w:color w:val="000000" w:themeColor="text1"/>
          <w:sz w:val="22"/>
          <w:szCs w:val="22"/>
        </w:rPr>
      </w:pPr>
      <w:r w:rsidRPr="01E0C363" w:rsidR="4EC6F27E">
        <w:rPr>
          <w:color w:val="000000" w:themeColor="text1" w:themeTint="FF" w:themeShade="FF"/>
          <w:sz w:val="22"/>
          <w:szCs w:val="22"/>
        </w:rPr>
        <w:t>NHS England (2023)</w:t>
      </w:r>
      <w:r w:rsidRPr="01E0C363" w:rsidR="4EC6F27E">
        <w:rPr>
          <w:b w:val="1"/>
          <w:bCs w:val="1"/>
          <w:color w:val="000000" w:themeColor="text1" w:themeTint="FF" w:themeShade="FF"/>
          <w:sz w:val="22"/>
          <w:szCs w:val="22"/>
        </w:rPr>
        <w:t>.</w:t>
      </w:r>
      <w:r w:rsidRPr="01E0C363" w:rsidR="4EC6F27E">
        <w:rPr>
          <w:color w:val="000000" w:themeColor="text1" w:themeTint="FF" w:themeShade="FF"/>
          <w:sz w:val="22"/>
          <w:szCs w:val="22"/>
        </w:rPr>
        <w:t xml:space="preserve"> Obesity – Prevention </w:t>
      </w:r>
      <w:r w:rsidRPr="01E0C363" w:rsidR="4EC6F27E">
        <w:rPr>
          <w:color w:val="000000" w:themeColor="text1" w:themeTint="FF" w:themeShade="FF"/>
          <w:sz w:val="22"/>
          <w:szCs w:val="22"/>
        </w:rPr>
        <w:t>Programme</w:t>
      </w:r>
      <w:r w:rsidRPr="01E0C363" w:rsidR="4EC6F27E">
        <w:rPr>
          <w:color w:val="000000" w:themeColor="text1" w:themeTint="FF" w:themeShade="FF"/>
          <w:sz w:val="22"/>
          <w:szCs w:val="22"/>
        </w:rPr>
        <w:t xml:space="preserve">. NHS England. Available at: </w:t>
      </w:r>
      <w:hyperlink r:id="R35635cc4483b4065">
        <w:r w:rsidRPr="01E0C363" w:rsidR="4EC6F27E">
          <w:rPr>
            <w:rStyle w:val="Hyperlink"/>
            <w:sz w:val="22"/>
            <w:szCs w:val="22"/>
          </w:rPr>
          <w:t>https://www.england.nhs.uk/ourwork/prevention/obesity/</w:t>
        </w:r>
      </w:hyperlink>
      <w:r w:rsidRPr="01E0C363" w:rsidR="4EC6F27E">
        <w:rPr>
          <w:color w:val="000000" w:themeColor="text1" w:themeTint="FF" w:themeShade="FF"/>
          <w:sz w:val="22"/>
          <w:szCs w:val="22"/>
        </w:rPr>
        <w:t xml:space="preserve"> (Accessed 8</w:t>
      </w:r>
      <w:r w:rsidRPr="01E0C363" w:rsidR="4EC6F27E">
        <w:rPr>
          <w:color w:val="000000" w:themeColor="text1" w:themeTint="FF" w:themeShade="FF"/>
          <w:sz w:val="22"/>
          <w:szCs w:val="22"/>
          <w:vertAlign w:val="superscript"/>
        </w:rPr>
        <w:t>th</w:t>
      </w:r>
      <w:r w:rsidRPr="01E0C363" w:rsidR="4EC6F27E">
        <w:rPr>
          <w:color w:val="000000" w:themeColor="text1" w:themeTint="FF" w:themeShade="FF"/>
          <w:sz w:val="22"/>
          <w:szCs w:val="22"/>
        </w:rPr>
        <w:t xml:space="preserve"> Nov 2025)</w:t>
      </w:r>
    </w:p>
    <w:p w:rsidR="36A1DF8D" w:rsidP="781D23E8" w:rsidRDefault="4EC6F27E" w14:paraId="47949EF9" w14:textId="30F97A67">
      <w:pPr>
        <w:spacing w:before="240" w:after="240"/>
        <w:rPr>
          <w:color w:val="000000" w:themeColor="text1"/>
          <w:sz w:val="22"/>
          <w:szCs w:val="22"/>
        </w:rPr>
      </w:pPr>
      <w:r w:rsidRPr="01E0C363" w:rsidR="4EC6F27E">
        <w:rPr>
          <w:color w:val="000000" w:themeColor="text1" w:themeTint="FF" w:themeShade="FF"/>
          <w:sz w:val="22"/>
          <w:szCs w:val="22"/>
        </w:rPr>
        <w:t xml:space="preserve">Public Health England / Office for Health Improvement &amp; Disparities (2024). Obesity Profile: Short Statistical Commentary, May 2024. GOV.UK. Available at: </w:t>
      </w:r>
      <w:hyperlink r:id="R9b906c56370648e3">
        <w:r w:rsidRPr="01E0C363" w:rsidR="4EC6F27E">
          <w:rPr>
            <w:rStyle w:val="Hyperlink"/>
            <w:sz w:val="22"/>
            <w:szCs w:val="22"/>
          </w:rPr>
          <w:t>https://www.gov.uk/government/statistics/update-to-the-obesity-profile-on-fingertips/obesity-profile-short-statistical-commentary-may-2024</w:t>
        </w:r>
      </w:hyperlink>
      <w:r w:rsidRPr="01E0C363" w:rsidR="4EC6F27E">
        <w:rPr>
          <w:color w:val="000000" w:themeColor="text1" w:themeTint="FF" w:themeShade="FF"/>
          <w:sz w:val="22"/>
          <w:szCs w:val="22"/>
        </w:rPr>
        <w:t xml:space="preserve"> (Accessed 8</w:t>
      </w:r>
      <w:r w:rsidRPr="01E0C363" w:rsidR="4EC6F27E">
        <w:rPr>
          <w:color w:val="000000" w:themeColor="text1" w:themeTint="FF" w:themeShade="FF"/>
          <w:sz w:val="22"/>
          <w:szCs w:val="22"/>
          <w:vertAlign w:val="superscript"/>
        </w:rPr>
        <w:t>th</w:t>
      </w:r>
      <w:r w:rsidRPr="01E0C363" w:rsidR="4EC6F27E">
        <w:rPr>
          <w:color w:val="000000" w:themeColor="text1" w:themeTint="FF" w:themeShade="FF"/>
          <w:sz w:val="22"/>
          <w:szCs w:val="22"/>
        </w:rPr>
        <w:t xml:space="preserve"> Nov 2025)</w:t>
      </w:r>
    </w:p>
    <w:p w:rsidR="36A1DF8D" w:rsidP="781D23E8" w:rsidRDefault="4EC6F27E" w14:paraId="08F69ECF" w14:textId="10FB7A48">
      <w:pPr>
        <w:spacing w:before="240" w:after="240"/>
        <w:rPr>
          <w:color w:val="000000" w:themeColor="text1"/>
          <w:sz w:val="22"/>
          <w:szCs w:val="22"/>
        </w:rPr>
      </w:pPr>
      <w:r w:rsidRPr="01E0C363" w:rsidR="4EC6F27E">
        <w:rPr>
          <w:color w:val="000000" w:themeColor="text1" w:themeTint="FF" w:themeShade="FF"/>
          <w:sz w:val="22"/>
          <w:szCs w:val="22"/>
        </w:rPr>
        <w:t xml:space="preserve">NICE (2025). Overweight and Obesity Management. National Institute for Health and Care Excellence. Available at: </w:t>
      </w:r>
      <w:hyperlink r:id="Rf5d09789681840ff">
        <w:r w:rsidRPr="01E0C363" w:rsidR="4EC6F27E">
          <w:rPr>
            <w:rStyle w:val="Hyperlink"/>
            <w:sz w:val="22"/>
            <w:szCs w:val="22"/>
          </w:rPr>
          <w:t>https://www.nice.org.uk/guidance/ng246</w:t>
        </w:r>
      </w:hyperlink>
      <w:r w:rsidRPr="01E0C363" w:rsidR="4EC6F27E">
        <w:rPr>
          <w:color w:val="000000" w:themeColor="text1" w:themeTint="FF" w:themeShade="FF"/>
          <w:sz w:val="22"/>
          <w:szCs w:val="22"/>
        </w:rPr>
        <w:t xml:space="preserve"> (Accessed 10</w:t>
      </w:r>
      <w:r w:rsidRPr="01E0C363" w:rsidR="4EC6F27E">
        <w:rPr>
          <w:color w:val="000000" w:themeColor="text1" w:themeTint="FF" w:themeShade="FF"/>
          <w:sz w:val="22"/>
          <w:szCs w:val="22"/>
          <w:vertAlign w:val="superscript"/>
        </w:rPr>
        <w:t>th</w:t>
      </w:r>
      <w:r w:rsidRPr="01E0C363" w:rsidR="4EC6F27E">
        <w:rPr>
          <w:color w:val="000000" w:themeColor="text1" w:themeTint="FF" w:themeShade="FF"/>
          <w:sz w:val="22"/>
          <w:szCs w:val="22"/>
        </w:rPr>
        <w:t xml:space="preserve"> Nov 2025)</w:t>
      </w:r>
    </w:p>
    <w:p w:rsidR="36A1DF8D" w:rsidP="781D23E8" w:rsidRDefault="4EC6F27E" w14:paraId="0CEF1E2C" w14:textId="3D005A4A">
      <w:pPr>
        <w:spacing w:before="240" w:after="240"/>
        <w:rPr>
          <w:color w:val="000000" w:themeColor="text1"/>
          <w:sz w:val="22"/>
          <w:szCs w:val="22"/>
        </w:rPr>
      </w:pPr>
      <w:r w:rsidRPr="01E0C363" w:rsidR="4EC6F27E">
        <w:rPr>
          <w:color w:val="000000" w:themeColor="text1" w:themeTint="FF" w:themeShade="FF"/>
          <w:sz w:val="22"/>
          <w:szCs w:val="22"/>
        </w:rPr>
        <w:t xml:space="preserve">The Health Foundation (2025). Inequalities in Life Expectancy and Healthy Life Expectancy. Available at: </w:t>
      </w:r>
      <w:hyperlink r:id="R48f15d1ffd9049f5">
        <w:r w:rsidRPr="01E0C363" w:rsidR="4EC6F27E">
          <w:rPr>
            <w:rStyle w:val="Hyperlink"/>
            <w:sz w:val="22"/>
            <w:szCs w:val="22"/>
          </w:rPr>
          <w:t>https://www.health.org.uk/evidence-hub/health-inequalities/inequalities-in-life-expectancy-and-healthy-life-expectancy</w:t>
        </w:r>
      </w:hyperlink>
      <w:r w:rsidRPr="01E0C363" w:rsidR="4EC6F27E">
        <w:rPr>
          <w:color w:val="000000" w:themeColor="text1" w:themeTint="FF" w:themeShade="FF"/>
          <w:sz w:val="22"/>
          <w:szCs w:val="22"/>
        </w:rPr>
        <w:t xml:space="preserve"> (Accessed 10</w:t>
      </w:r>
      <w:r w:rsidRPr="01E0C363" w:rsidR="4EC6F27E">
        <w:rPr>
          <w:color w:val="000000" w:themeColor="text1" w:themeTint="FF" w:themeShade="FF"/>
          <w:sz w:val="22"/>
          <w:szCs w:val="22"/>
          <w:vertAlign w:val="superscript"/>
        </w:rPr>
        <w:t>th</w:t>
      </w:r>
      <w:r w:rsidRPr="01E0C363" w:rsidR="4EC6F27E">
        <w:rPr>
          <w:color w:val="000000" w:themeColor="text1" w:themeTint="FF" w:themeShade="FF"/>
          <w:sz w:val="22"/>
          <w:szCs w:val="22"/>
        </w:rPr>
        <w:t xml:space="preserve"> Nov 2025)</w:t>
      </w:r>
    </w:p>
    <w:p w:rsidR="36A1DF8D" w:rsidP="781D23E8" w:rsidRDefault="4EC6F27E" w14:paraId="7FAC7033" w14:textId="466780C1">
      <w:pPr>
        <w:spacing w:before="240" w:after="240"/>
        <w:rPr>
          <w:color w:val="222222"/>
          <w:sz w:val="22"/>
          <w:szCs w:val="22"/>
        </w:rPr>
      </w:pPr>
      <w:r w:rsidRPr="781D23E8">
        <w:rPr>
          <w:color w:val="222222"/>
          <w:sz w:val="22"/>
          <w:szCs w:val="22"/>
        </w:rPr>
        <w:t>O'Keeffe, M., Flint, S.W., Watts, K. and Rubino, F., 2020. Knowledge gaps and weight stigma shape attitudes toward obesity. The Lancet Diabetes &amp; Endocrinology, 8(5),</w:t>
      </w:r>
    </w:p>
    <w:p w:rsidR="36A1DF8D" w:rsidP="781D23E8" w:rsidRDefault="2C74E2A2" w14:paraId="2D7E682F" w14:textId="15230F6B">
      <w:pPr>
        <w:spacing w:before="240" w:after="240"/>
        <w:rPr>
          <w:rFonts w:ascii="Arial" w:hAnsi="Arial" w:eastAsia="Arial" w:cs="Arial"/>
          <w:sz w:val="22"/>
          <w:szCs w:val="22"/>
        </w:rPr>
      </w:pPr>
      <w:r w:rsidRPr="01E0C363" w:rsidR="2C74E2A2">
        <w:rPr>
          <w:rFonts w:ascii="Arial" w:hAnsi="Arial" w:eastAsia="Arial" w:cs="Arial"/>
          <w:sz w:val="22"/>
          <w:szCs w:val="22"/>
        </w:rPr>
        <w:t>Rutter, H., Savona, N., Glonti, K., Bibby, J., Cummins, S., &amp; Finegood, D.T. (2017)</w:t>
      </w:r>
      <w:r w:rsidRPr="01E0C363" w:rsidR="2C74E2A2">
        <w:rPr>
          <w:rFonts w:ascii="Arial" w:hAnsi="Arial" w:eastAsia="Arial" w:cs="Arial"/>
          <w:sz w:val="22"/>
          <w:szCs w:val="22"/>
        </w:rPr>
        <w:t xml:space="preserve"> </w:t>
      </w:r>
      <w:r w:rsidRPr="01E0C363" w:rsidR="2C74E2A2">
        <w:rPr>
          <w:rFonts w:ascii="Arial" w:hAnsi="Arial" w:eastAsia="Arial" w:cs="Arial"/>
          <w:i w:val="1"/>
          <w:iCs w:val="1"/>
          <w:sz w:val="22"/>
          <w:szCs w:val="22"/>
        </w:rPr>
        <w:t>The</w:t>
      </w:r>
      <w:r w:rsidRPr="01E0C363" w:rsidR="2C74E2A2">
        <w:rPr>
          <w:rFonts w:ascii="Arial" w:hAnsi="Arial" w:eastAsia="Arial" w:cs="Arial"/>
          <w:i w:val="1"/>
          <w:iCs w:val="1"/>
          <w:sz w:val="22"/>
          <w:szCs w:val="22"/>
        </w:rPr>
        <w:t xml:space="preserve"> need for a complex systems model of evidence for public health</w:t>
      </w:r>
      <w:r w:rsidRPr="01E0C363" w:rsidR="2C74E2A2">
        <w:rPr>
          <w:rFonts w:ascii="Arial" w:hAnsi="Arial" w:eastAsia="Arial" w:cs="Arial"/>
          <w:sz w:val="22"/>
          <w:szCs w:val="22"/>
        </w:rPr>
        <w:t xml:space="preserve">. </w:t>
      </w:r>
      <w:r w:rsidRPr="01E0C363" w:rsidR="2C74E2A2">
        <w:rPr>
          <w:rFonts w:ascii="Arial" w:hAnsi="Arial" w:eastAsia="Arial" w:cs="Arial"/>
          <w:sz w:val="22"/>
          <w:szCs w:val="22"/>
        </w:rPr>
        <w:t>The Lancet</w:t>
      </w:r>
      <w:r w:rsidRPr="01E0C363" w:rsidR="2C74E2A2">
        <w:rPr>
          <w:rFonts w:ascii="Arial" w:hAnsi="Arial" w:eastAsia="Arial" w:cs="Arial"/>
          <w:sz w:val="22"/>
          <w:szCs w:val="22"/>
        </w:rPr>
        <w:t>, 390(10112), pp. 2602–2604.</w:t>
      </w:r>
    </w:p>
    <w:p w:rsidR="36A1DF8D" w:rsidP="781D23E8" w:rsidRDefault="5C4520A7" w14:paraId="1466EEE2" w14:textId="395F7D71">
      <w:pPr>
        <w:spacing w:before="240" w:after="240"/>
        <w:rPr>
          <w:rFonts w:ascii="Arial" w:hAnsi="Arial" w:eastAsia="Arial" w:cs="Arial"/>
          <w:sz w:val="22"/>
          <w:szCs w:val="22"/>
        </w:rPr>
      </w:pPr>
      <w:r w:rsidRPr="01E0C363" w:rsidR="5C4520A7">
        <w:rPr>
          <w:rFonts w:ascii="Arial" w:hAnsi="Arial" w:eastAsia="Arial" w:cs="Arial"/>
          <w:sz w:val="22"/>
          <w:szCs w:val="22"/>
        </w:rPr>
        <w:t xml:space="preserve">Bagnall, A.M., Radley, D., Jones, R., Gately, P., Nobles, J. &amp; Van Dijk, M. (2019) ‘Whole systems </w:t>
      </w:r>
      <w:r w:rsidRPr="01E0C363" w:rsidR="5C4520A7">
        <w:rPr>
          <w:rFonts w:ascii="Arial" w:hAnsi="Arial" w:eastAsia="Arial" w:cs="Arial"/>
          <w:sz w:val="22"/>
          <w:szCs w:val="22"/>
        </w:rPr>
        <w:t>approaches</w:t>
      </w:r>
      <w:r w:rsidRPr="01E0C363" w:rsidR="5C4520A7">
        <w:rPr>
          <w:rFonts w:ascii="Arial" w:hAnsi="Arial" w:eastAsia="Arial" w:cs="Arial"/>
          <w:sz w:val="22"/>
          <w:szCs w:val="22"/>
        </w:rPr>
        <w:t xml:space="preserve"> to obesity and other complex public health challenges: a systematic review’, </w:t>
      </w:r>
      <w:r w:rsidRPr="01E0C363" w:rsidR="5C4520A7">
        <w:rPr>
          <w:rFonts w:ascii="Arial" w:hAnsi="Arial" w:eastAsia="Arial" w:cs="Arial"/>
          <w:i w:val="1"/>
          <w:iCs w:val="1"/>
          <w:sz w:val="22"/>
          <w:szCs w:val="22"/>
        </w:rPr>
        <w:t>BMC Public Health</w:t>
      </w:r>
      <w:r w:rsidRPr="01E0C363" w:rsidR="5C4520A7">
        <w:rPr>
          <w:rFonts w:ascii="Arial" w:hAnsi="Arial" w:eastAsia="Arial" w:cs="Arial"/>
          <w:sz w:val="22"/>
          <w:szCs w:val="22"/>
        </w:rPr>
        <w:t>, 19(8), pp. 1–14.</w:t>
      </w:r>
    </w:p>
    <w:p w:rsidR="36A1DF8D" w:rsidP="781D23E8" w:rsidRDefault="5C4520A7" w14:paraId="2EF60030" w14:textId="5AFA2543">
      <w:pPr>
        <w:spacing w:before="240" w:after="240"/>
        <w:rPr>
          <w:rFonts w:ascii="Arial" w:hAnsi="Arial" w:eastAsia="Arial" w:cs="Arial"/>
          <w:sz w:val="22"/>
          <w:szCs w:val="22"/>
        </w:rPr>
      </w:pPr>
      <w:r w:rsidRPr="01E0C363" w:rsidR="5C4520A7">
        <w:rPr>
          <w:rFonts w:ascii="Arial" w:hAnsi="Arial" w:eastAsia="Arial" w:cs="Arial"/>
          <w:sz w:val="22"/>
          <w:szCs w:val="22"/>
        </w:rPr>
        <w:t xml:space="preserve">Cummins, S., Flint, E. &amp; Matthews, S.A. (2014) ‘New </w:t>
      </w:r>
      <w:r w:rsidRPr="01E0C363" w:rsidR="5C4520A7">
        <w:rPr>
          <w:rFonts w:ascii="Arial" w:hAnsi="Arial" w:eastAsia="Arial" w:cs="Arial"/>
          <w:sz w:val="22"/>
          <w:szCs w:val="22"/>
        </w:rPr>
        <w:t>neighbourhood</w:t>
      </w:r>
      <w:r w:rsidRPr="01E0C363" w:rsidR="5C4520A7">
        <w:rPr>
          <w:rFonts w:ascii="Arial" w:hAnsi="Arial" w:eastAsia="Arial" w:cs="Arial"/>
          <w:sz w:val="22"/>
          <w:szCs w:val="22"/>
        </w:rPr>
        <w:t xml:space="preserve"> grocery store increased awareness of food access but did not alter dietary habits or obesity’, </w:t>
      </w:r>
      <w:r w:rsidRPr="01E0C363" w:rsidR="5C4520A7">
        <w:rPr>
          <w:rFonts w:ascii="Arial" w:hAnsi="Arial" w:eastAsia="Arial" w:cs="Arial"/>
          <w:i w:val="1"/>
          <w:iCs w:val="1"/>
          <w:sz w:val="22"/>
          <w:szCs w:val="22"/>
        </w:rPr>
        <w:t>Health Affairs</w:t>
      </w:r>
      <w:r w:rsidRPr="01E0C363" w:rsidR="5C4520A7">
        <w:rPr>
          <w:rFonts w:ascii="Arial" w:hAnsi="Arial" w:eastAsia="Arial" w:cs="Arial"/>
          <w:sz w:val="22"/>
          <w:szCs w:val="22"/>
        </w:rPr>
        <w:t>, 33(2), pp. 283–291.</w:t>
      </w:r>
    </w:p>
    <w:p w:rsidR="36A1DF8D" w:rsidP="781D23E8" w:rsidRDefault="5C4520A7" w14:paraId="4B8AC84A" w14:textId="0CF9ADB4">
      <w:pPr>
        <w:spacing w:before="240" w:after="240"/>
        <w:rPr>
          <w:rFonts w:ascii="Arial" w:hAnsi="Arial" w:eastAsia="Arial" w:cs="Arial"/>
          <w:sz w:val="22"/>
          <w:szCs w:val="22"/>
        </w:rPr>
      </w:pPr>
      <w:r w:rsidRPr="781D23E8">
        <w:rPr>
          <w:rFonts w:ascii="Arial" w:hAnsi="Arial" w:eastAsia="Arial" w:cs="Arial"/>
          <w:sz w:val="22"/>
          <w:szCs w:val="22"/>
        </w:rPr>
        <w:t xml:space="preserve">Dennis, C.L. (2003) ‘Peer support within a health care context: a concept analysis’, </w:t>
      </w:r>
      <w:r w:rsidRPr="781D23E8">
        <w:rPr>
          <w:rFonts w:ascii="Arial" w:hAnsi="Arial" w:eastAsia="Arial" w:cs="Arial"/>
          <w:i/>
          <w:iCs/>
          <w:sz w:val="22"/>
          <w:szCs w:val="22"/>
        </w:rPr>
        <w:t>International Journal of Nursing Studies</w:t>
      </w:r>
      <w:r w:rsidRPr="781D23E8">
        <w:rPr>
          <w:rFonts w:ascii="Arial" w:hAnsi="Arial" w:eastAsia="Arial" w:cs="Arial"/>
          <w:sz w:val="22"/>
          <w:szCs w:val="22"/>
        </w:rPr>
        <w:t>, 40(3), pp. 321–332.</w:t>
      </w:r>
    </w:p>
    <w:p w:rsidR="36A1DF8D" w:rsidP="781D23E8" w:rsidRDefault="5C4520A7" w14:paraId="73D36290" w14:textId="44FB3F48">
      <w:pPr>
        <w:spacing w:before="240" w:after="240"/>
        <w:rPr>
          <w:rFonts w:ascii="Arial" w:hAnsi="Arial" w:eastAsia="Arial" w:cs="Arial"/>
          <w:sz w:val="22"/>
          <w:szCs w:val="22"/>
        </w:rPr>
      </w:pPr>
      <w:r w:rsidRPr="01E0C363" w:rsidR="5C4520A7">
        <w:rPr>
          <w:rFonts w:ascii="Arial" w:hAnsi="Arial" w:eastAsia="Arial" w:cs="Arial"/>
          <w:sz w:val="22"/>
          <w:szCs w:val="22"/>
        </w:rPr>
        <w:t xml:space="preserve">Fraser, L.K., Edwards, K.L., Cade, J. &amp; Clarke, G.P. (2010) ‘The </w:t>
      </w:r>
      <w:r w:rsidRPr="01E0C363" w:rsidR="5C4520A7">
        <w:rPr>
          <w:rFonts w:ascii="Arial" w:hAnsi="Arial" w:eastAsia="Arial" w:cs="Arial"/>
          <w:sz w:val="22"/>
          <w:szCs w:val="22"/>
        </w:rPr>
        <w:t>geography</w:t>
      </w:r>
      <w:r w:rsidRPr="01E0C363" w:rsidR="5C4520A7">
        <w:rPr>
          <w:rFonts w:ascii="Arial" w:hAnsi="Arial" w:eastAsia="Arial" w:cs="Arial"/>
          <w:sz w:val="22"/>
          <w:szCs w:val="22"/>
        </w:rPr>
        <w:t xml:space="preserve"> of </w:t>
      </w:r>
      <w:r w:rsidRPr="01E0C363" w:rsidR="5C4520A7">
        <w:rPr>
          <w:rFonts w:ascii="Arial" w:hAnsi="Arial" w:eastAsia="Arial" w:cs="Arial"/>
          <w:sz w:val="22"/>
          <w:szCs w:val="22"/>
        </w:rPr>
        <w:t>fast food</w:t>
      </w:r>
      <w:r w:rsidRPr="01E0C363" w:rsidR="5C4520A7">
        <w:rPr>
          <w:rFonts w:ascii="Arial" w:hAnsi="Arial" w:eastAsia="Arial" w:cs="Arial"/>
          <w:sz w:val="22"/>
          <w:szCs w:val="22"/>
        </w:rPr>
        <w:t xml:space="preserve"> outlets: a review’, </w:t>
      </w:r>
      <w:r w:rsidRPr="01E0C363" w:rsidR="5C4520A7">
        <w:rPr>
          <w:rFonts w:ascii="Arial" w:hAnsi="Arial" w:eastAsia="Arial" w:cs="Arial"/>
          <w:i w:val="1"/>
          <w:iCs w:val="1"/>
          <w:sz w:val="22"/>
          <w:szCs w:val="22"/>
        </w:rPr>
        <w:t>International Journal of Environmental Research and Public Health</w:t>
      </w:r>
      <w:r w:rsidRPr="01E0C363" w:rsidR="5C4520A7">
        <w:rPr>
          <w:rFonts w:ascii="Arial" w:hAnsi="Arial" w:eastAsia="Arial" w:cs="Arial"/>
          <w:sz w:val="22"/>
          <w:szCs w:val="22"/>
        </w:rPr>
        <w:t>, 7(5), pp. 2290–2308.</w:t>
      </w:r>
    </w:p>
    <w:p w:rsidR="36A1DF8D" w:rsidP="781D23E8" w:rsidRDefault="5C4520A7" w14:paraId="34C34245" w14:textId="214BF6D9">
      <w:pPr>
        <w:spacing w:before="240" w:after="240"/>
        <w:rPr>
          <w:rFonts w:ascii="Arial" w:hAnsi="Arial" w:eastAsia="Arial" w:cs="Arial"/>
          <w:sz w:val="22"/>
          <w:szCs w:val="22"/>
        </w:rPr>
      </w:pPr>
      <w:r w:rsidRPr="781D23E8">
        <w:rPr>
          <w:rFonts w:ascii="Arial" w:hAnsi="Arial" w:eastAsia="Arial" w:cs="Arial"/>
          <w:sz w:val="22"/>
          <w:szCs w:val="22"/>
        </w:rPr>
        <w:t xml:space="preserve">Health Foundation (2024) </w:t>
      </w:r>
      <w:r w:rsidRPr="781D23E8">
        <w:rPr>
          <w:rFonts w:ascii="Arial" w:hAnsi="Arial" w:eastAsia="Arial" w:cs="Arial"/>
          <w:i/>
          <w:iCs/>
          <w:sz w:val="22"/>
          <w:szCs w:val="22"/>
        </w:rPr>
        <w:t>Health inequalities in the UK: Life expectancy and deprivation</w:t>
      </w:r>
      <w:r w:rsidRPr="781D23E8">
        <w:rPr>
          <w:rFonts w:ascii="Arial" w:hAnsi="Arial" w:eastAsia="Arial" w:cs="Arial"/>
          <w:sz w:val="22"/>
          <w:szCs w:val="22"/>
        </w:rPr>
        <w:t>. London: The Health Foundation.</w:t>
      </w:r>
    </w:p>
    <w:p w:rsidR="36A1DF8D" w:rsidP="781D23E8" w:rsidRDefault="5C4520A7" w14:paraId="07582CAB" w14:textId="3384B215">
      <w:pPr>
        <w:spacing w:before="240" w:after="240"/>
        <w:rPr>
          <w:rFonts w:ascii="Arial" w:hAnsi="Arial" w:eastAsia="Arial" w:cs="Arial"/>
          <w:sz w:val="22"/>
          <w:szCs w:val="22"/>
        </w:rPr>
      </w:pPr>
      <w:r w:rsidRPr="01E0C363" w:rsidR="5C4520A7">
        <w:rPr>
          <w:rFonts w:ascii="Arial" w:hAnsi="Arial" w:eastAsia="Arial" w:cs="Arial"/>
          <w:sz w:val="22"/>
          <w:szCs w:val="22"/>
        </w:rPr>
        <w:t xml:space="preserve">Hickey, G., Richards, T. &amp; Sheehy, J. (2018) ‘Co‑production: </w:t>
      </w:r>
      <w:r w:rsidRPr="01E0C363" w:rsidR="5C4520A7">
        <w:rPr>
          <w:rFonts w:ascii="Arial" w:hAnsi="Arial" w:eastAsia="Arial" w:cs="Arial"/>
          <w:sz w:val="22"/>
          <w:szCs w:val="22"/>
        </w:rPr>
        <w:t>when users</w:t>
      </w:r>
      <w:r w:rsidRPr="01E0C363" w:rsidR="5C4520A7">
        <w:rPr>
          <w:rFonts w:ascii="Arial" w:hAnsi="Arial" w:eastAsia="Arial" w:cs="Arial"/>
          <w:sz w:val="22"/>
          <w:szCs w:val="22"/>
        </w:rPr>
        <w:t xml:space="preserve"> define </w:t>
      </w:r>
      <w:r w:rsidRPr="01E0C363" w:rsidR="5C4520A7">
        <w:rPr>
          <w:rFonts w:ascii="Arial" w:hAnsi="Arial" w:eastAsia="Arial" w:cs="Arial"/>
          <w:sz w:val="22"/>
          <w:szCs w:val="22"/>
        </w:rPr>
        <w:t>quality</w:t>
      </w:r>
      <w:r w:rsidRPr="01E0C363" w:rsidR="5C4520A7">
        <w:rPr>
          <w:rFonts w:ascii="Arial" w:hAnsi="Arial" w:eastAsia="Arial" w:cs="Arial"/>
          <w:sz w:val="22"/>
          <w:szCs w:val="22"/>
        </w:rPr>
        <w:t xml:space="preserve">’, </w:t>
      </w:r>
      <w:r w:rsidRPr="01E0C363" w:rsidR="5C4520A7">
        <w:rPr>
          <w:rFonts w:ascii="Arial" w:hAnsi="Arial" w:eastAsia="Arial" w:cs="Arial"/>
          <w:i w:val="1"/>
          <w:iCs w:val="1"/>
          <w:sz w:val="22"/>
          <w:szCs w:val="22"/>
        </w:rPr>
        <w:t>BMJ</w:t>
      </w:r>
      <w:r w:rsidRPr="01E0C363" w:rsidR="5C4520A7">
        <w:rPr>
          <w:rFonts w:ascii="Arial" w:hAnsi="Arial" w:eastAsia="Arial" w:cs="Arial"/>
          <w:sz w:val="22"/>
          <w:szCs w:val="22"/>
        </w:rPr>
        <w:t>, 362, k3614.</w:t>
      </w:r>
    </w:p>
    <w:p w:rsidR="36A1DF8D" w:rsidP="781D23E8" w:rsidRDefault="5C4520A7" w14:paraId="57F4B4BD" w14:textId="2E97ED39">
      <w:pPr>
        <w:spacing w:before="240" w:after="240"/>
        <w:rPr>
          <w:rFonts w:ascii="Arial" w:hAnsi="Arial" w:eastAsia="Arial" w:cs="Arial"/>
          <w:sz w:val="22"/>
          <w:szCs w:val="22"/>
        </w:rPr>
      </w:pPr>
      <w:r w:rsidRPr="781D23E8">
        <w:rPr>
          <w:rFonts w:ascii="Arial" w:hAnsi="Arial" w:eastAsia="Arial" w:cs="Arial"/>
          <w:sz w:val="22"/>
          <w:szCs w:val="22"/>
        </w:rPr>
        <w:t xml:space="preserve">Murray, E., Hekler, E.B., Andersson, G., Collins, L.M., Doherty, A., Hollis, C. &amp; Johnston, M. (2016) ‘Evaluating digital health interventions: key questions and approaches’, </w:t>
      </w:r>
      <w:r w:rsidRPr="781D23E8">
        <w:rPr>
          <w:rFonts w:ascii="Arial" w:hAnsi="Arial" w:eastAsia="Arial" w:cs="Arial"/>
          <w:i/>
          <w:iCs/>
          <w:sz w:val="22"/>
          <w:szCs w:val="22"/>
        </w:rPr>
        <w:t>American Journal of Preventive Medicine</w:t>
      </w:r>
      <w:r w:rsidRPr="781D23E8">
        <w:rPr>
          <w:rFonts w:ascii="Arial" w:hAnsi="Arial" w:eastAsia="Arial" w:cs="Arial"/>
          <w:sz w:val="22"/>
          <w:szCs w:val="22"/>
        </w:rPr>
        <w:t>, 51(5), pp. 843–851.</w:t>
      </w:r>
    </w:p>
    <w:p w:rsidR="36A1DF8D" w:rsidP="781D23E8" w:rsidRDefault="5C4520A7" w14:paraId="35A8D27D" w14:textId="44EC4C72">
      <w:pPr>
        <w:spacing w:before="240" w:after="240"/>
        <w:rPr>
          <w:rFonts w:ascii="Arial" w:hAnsi="Arial" w:eastAsia="Arial" w:cs="Arial"/>
          <w:sz w:val="22"/>
          <w:szCs w:val="22"/>
        </w:rPr>
      </w:pPr>
      <w:r w:rsidRPr="01E0C363" w:rsidR="5C4520A7">
        <w:rPr>
          <w:rFonts w:ascii="Arial" w:hAnsi="Arial" w:eastAsia="Arial" w:cs="Arial"/>
          <w:sz w:val="22"/>
          <w:szCs w:val="22"/>
        </w:rPr>
        <w:t xml:space="preserve">NHS England (2024) </w:t>
      </w:r>
      <w:r w:rsidRPr="01E0C363" w:rsidR="5C4520A7">
        <w:rPr>
          <w:rFonts w:ascii="Arial" w:hAnsi="Arial" w:eastAsia="Arial" w:cs="Arial"/>
          <w:i w:val="1"/>
          <w:iCs w:val="1"/>
          <w:sz w:val="22"/>
          <w:szCs w:val="22"/>
        </w:rPr>
        <w:t xml:space="preserve">Statistics on obesity, physical </w:t>
      </w:r>
      <w:r w:rsidRPr="01E0C363" w:rsidR="5C4520A7">
        <w:rPr>
          <w:rFonts w:ascii="Arial" w:hAnsi="Arial" w:eastAsia="Arial" w:cs="Arial"/>
          <w:i w:val="1"/>
          <w:iCs w:val="1"/>
          <w:sz w:val="22"/>
          <w:szCs w:val="22"/>
        </w:rPr>
        <w:t>activity</w:t>
      </w:r>
      <w:r w:rsidRPr="01E0C363" w:rsidR="5C4520A7">
        <w:rPr>
          <w:rFonts w:ascii="Arial" w:hAnsi="Arial" w:eastAsia="Arial" w:cs="Arial"/>
          <w:i w:val="1"/>
          <w:iCs w:val="1"/>
          <w:sz w:val="22"/>
          <w:szCs w:val="22"/>
        </w:rPr>
        <w:t xml:space="preserve"> and diet: England</w:t>
      </w:r>
      <w:r w:rsidRPr="01E0C363" w:rsidR="5C4520A7">
        <w:rPr>
          <w:rFonts w:ascii="Arial" w:hAnsi="Arial" w:eastAsia="Arial" w:cs="Arial"/>
          <w:sz w:val="22"/>
          <w:szCs w:val="22"/>
        </w:rPr>
        <w:t>. London: NHS England.</w:t>
      </w:r>
    </w:p>
    <w:p w:rsidR="36A1DF8D" w:rsidP="781D23E8" w:rsidRDefault="5C4520A7" w14:paraId="1897962D" w14:textId="4ABF0C51">
      <w:pPr>
        <w:spacing w:before="240" w:after="240"/>
        <w:rPr>
          <w:rFonts w:ascii="Arial" w:hAnsi="Arial" w:eastAsia="Arial" w:cs="Arial"/>
          <w:sz w:val="22"/>
          <w:szCs w:val="22"/>
        </w:rPr>
      </w:pPr>
      <w:r w:rsidRPr="01E0C363" w:rsidR="5C4520A7">
        <w:rPr>
          <w:rFonts w:ascii="Arial" w:hAnsi="Arial" w:eastAsia="Arial" w:cs="Arial"/>
          <w:sz w:val="22"/>
          <w:szCs w:val="22"/>
        </w:rPr>
        <w:t xml:space="preserve">NICE (2023) </w:t>
      </w:r>
      <w:r w:rsidRPr="01E0C363" w:rsidR="5C4520A7">
        <w:rPr>
          <w:rFonts w:ascii="Arial" w:hAnsi="Arial" w:eastAsia="Arial" w:cs="Arial"/>
          <w:i w:val="1"/>
          <w:iCs w:val="1"/>
          <w:sz w:val="22"/>
          <w:szCs w:val="22"/>
        </w:rPr>
        <w:t xml:space="preserve">Obesity prevention and </w:t>
      </w:r>
      <w:r w:rsidRPr="01E0C363" w:rsidR="5C4520A7">
        <w:rPr>
          <w:rFonts w:ascii="Arial" w:hAnsi="Arial" w:eastAsia="Arial" w:cs="Arial"/>
          <w:i w:val="1"/>
          <w:iCs w:val="1"/>
          <w:sz w:val="22"/>
          <w:szCs w:val="22"/>
        </w:rPr>
        <w:t>behaviour</w:t>
      </w:r>
      <w:r w:rsidRPr="01E0C363" w:rsidR="5C4520A7">
        <w:rPr>
          <w:rFonts w:ascii="Arial" w:hAnsi="Arial" w:eastAsia="Arial" w:cs="Arial"/>
          <w:i w:val="1"/>
          <w:iCs w:val="1"/>
          <w:sz w:val="22"/>
          <w:szCs w:val="22"/>
        </w:rPr>
        <w:t xml:space="preserve"> change guidelines</w:t>
      </w:r>
      <w:r w:rsidRPr="01E0C363" w:rsidR="5C4520A7">
        <w:rPr>
          <w:rFonts w:ascii="Arial" w:hAnsi="Arial" w:eastAsia="Arial" w:cs="Arial"/>
          <w:sz w:val="22"/>
          <w:szCs w:val="22"/>
        </w:rPr>
        <w:t>. London: National Institute for Health and Care Excellence.</w:t>
      </w:r>
    </w:p>
    <w:p w:rsidR="36A1DF8D" w:rsidP="781D23E8" w:rsidRDefault="5C4520A7" w14:paraId="3B6553D7" w14:textId="6D65D7CF">
      <w:pPr>
        <w:spacing w:before="240" w:after="240"/>
        <w:rPr>
          <w:rFonts w:ascii="Arial" w:hAnsi="Arial" w:eastAsia="Arial" w:cs="Arial"/>
          <w:sz w:val="22"/>
          <w:szCs w:val="22"/>
        </w:rPr>
      </w:pPr>
      <w:r w:rsidRPr="781D23E8">
        <w:rPr>
          <w:rFonts w:ascii="Arial" w:hAnsi="Arial" w:eastAsia="Arial" w:cs="Arial"/>
          <w:sz w:val="22"/>
          <w:szCs w:val="22"/>
        </w:rPr>
        <w:t xml:space="preserve">Noar, S.M., Harrington, N.G. &amp; Aldrich, R.S. (2009) ‘The role of message tailoring in the development of persuasive health communication messages’, </w:t>
      </w:r>
      <w:r w:rsidRPr="781D23E8">
        <w:rPr>
          <w:rFonts w:ascii="Arial" w:hAnsi="Arial" w:eastAsia="Arial" w:cs="Arial"/>
          <w:i/>
          <w:iCs/>
          <w:sz w:val="22"/>
          <w:szCs w:val="22"/>
        </w:rPr>
        <w:t>Annals of the International Communication Association</w:t>
      </w:r>
      <w:r w:rsidRPr="781D23E8">
        <w:rPr>
          <w:rFonts w:ascii="Arial" w:hAnsi="Arial" w:eastAsia="Arial" w:cs="Arial"/>
          <w:sz w:val="22"/>
          <w:szCs w:val="22"/>
        </w:rPr>
        <w:t>, 33(1), pp. 73–133.</w:t>
      </w:r>
    </w:p>
    <w:p w:rsidR="36A1DF8D" w:rsidP="781D23E8" w:rsidRDefault="5C4520A7" w14:paraId="068F44E5" w14:textId="6892C119">
      <w:pPr>
        <w:spacing w:before="240" w:after="240"/>
        <w:rPr>
          <w:rFonts w:ascii="Arial" w:hAnsi="Arial" w:eastAsia="Arial" w:cs="Arial"/>
          <w:sz w:val="22"/>
          <w:szCs w:val="22"/>
        </w:rPr>
      </w:pPr>
      <w:r w:rsidRPr="01E0C363" w:rsidR="5C4520A7">
        <w:rPr>
          <w:rFonts w:ascii="Arial" w:hAnsi="Arial" w:eastAsia="Arial" w:cs="Arial"/>
          <w:sz w:val="22"/>
          <w:szCs w:val="22"/>
        </w:rPr>
        <w:t xml:space="preserve">Public Health England (2023) </w:t>
      </w:r>
      <w:r w:rsidRPr="01E0C363" w:rsidR="5C4520A7">
        <w:rPr>
          <w:rFonts w:ascii="Arial" w:hAnsi="Arial" w:eastAsia="Arial" w:cs="Arial"/>
          <w:i w:val="1"/>
          <w:iCs w:val="1"/>
          <w:sz w:val="22"/>
          <w:szCs w:val="22"/>
        </w:rPr>
        <w:t>Obesity and the wider determinants of health</w:t>
      </w:r>
      <w:r w:rsidRPr="01E0C363" w:rsidR="21814F64">
        <w:rPr>
          <w:rFonts w:ascii="Arial" w:hAnsi="Arial" w:eastAsia="Arial" w:cs="Arial"/>
          <w:i w:val="1"/>
          <w:iCs w:val="1"/>
          <w:sz w:val="22"/>
          <w:szCs w:val="22"/>
        </w:rPr>
        <w:t>:</w:t>
      </w:r>
      <w:r w:rsidRPr="01E0C363" w:rsidR="5C4520A7">
        <w:rPr>
          <w:rFonts w:ascii="Arial" w:hAnsi="Arial" w:eastAsia="Arial" w:cs="Arial"/>
          <w:sz w:val="22"/>
          <w:szCs w:val="22"/>
        </w:rPr>
        <w:t xml:space="preserve"> London</w:t>
      </w:r>
    </w:p>
    <w:p w:rsidR="01E0C363" w:rsidP="01E0C363" w:rsidRDefault="01E0C363" w14:paraId="25F58A87" w14:textId="12720E2C">
      <w:pPr>
        <w:spacing w:before="240" w:after="240"/>
        <w:rPr>
          <w:rFonts w:ascii="Arial" w:hAnsi="Arial" w:eastAsia="Arial" w:cs="Arial"/>
          <w:sz w:val="22"/>
          <w:szCs w:val="22"/>
        </w:rPr>
      </w:pPr>
    </w:p>
    <w:p w:rsidR="36A1DF8D" w:rsidP="781D23E8" w:rsidRDefault="5C4520A7" w14:paraId="5BB31E85" w14:textId="43265DAC">
      <w:pPr>
        <w:spacing w:before="240" w:after="240"/>
        <w:rPr>
          <w:rFonts w:ascii="Arial" w:hAnsi="Arial" w:eastAsia="Arial" w:cs="Arial"/>
          <w:sz w:val="22"/>
          <w:szCs w:val="22"/>
        </w:rPr>
      </w:pPr>
      <w:r w:rsidRPr="01E0C363" w:rsidR="5C4520A7">
        <w:rPr>
          <w:rFonts w:ascii="Arial" w:hAnsi="Arial" w:eastAsia="Arial" w:cs="Arial"/>
          <w:sz w:val="22"/>
          <w:szCs w:val="22"/>
        </w:rPr>
        <w:t xml:space="preserve">Swinburn, B.A., Kraak, V.I., Allender, S., Atkins, V.J., Baker, P.I., Bogard, J.R. et al. (2019) ‘The global </w:t>
      </w:r>
      <w:r w:rsidRPr="01E0C363" w:rsidR="5C4520A7">
        <w:rPr>
          <w:rFonts w:ascii="Arial" w:hAnsi="Arial" w:eastAsia="Arial" w:cs="Arial"/>
          <w:sz w:val="22"/>
          <w:szCs w:val="22"/>
        </w:rPr>
        <w:t>syndemic</w:t>
      </w:r>
      <w:r w:rsidRPr="01E0C363" w:rsidR="5C4520A7">
        <w:rPr>
          <w:rFonts w:ascii="Arial" w:hAnsi="Arial" w:eastAsia="Arial" w:cs="Arial"/>
          <w:sz w:val="22"/>
          <w:szCs w:val="22"/>
        </w:rPr>
        <w:t xml:space="preserve"> of obesity, </w:t>
      </w:r>
      <w:r w:rsidRPr="01E0C363" w:rsidR="5C4520A7">
        <w:rPr>
          <w:rFonts w:ascii="Arial" w:hAnsi="Arial" w:eastAsia="Arial" w:cs="Arial"/>
          <w:sz w:val="22"/>
          <w:szCs w:val="22"/>
        </w:rPr>
        <w:t>undernutrition</w:t>
      </w:r>
      <w:r w:rsidRPr="01E0C363" w:rsidR="5C4520A7">
        <w:rPr>
          <w:rFonts w:ascii="Arial" w:hAnsi="Arial" w:eastAsia="Arial" w:cs="Arial"/>
          <w:sz w:val="22"/>
          <w:szCs w:val="22"/>
        </w:rPr>
        <w:t xml:space="preserve">, and climate change: The Lancet Commission report’, </w:t>
      </w:r>
      <w:r w:rsidRPr="01E0C363" w:rsidR="5C4520A7">
        <w:rPr>
          <w:rFonts w:ascii="Arial" w:hAnsi="Arial" w:eastAsia="Arial" w:cs="Arial"/>
          <w:i w:val="1"/>
          <w:iCs w:val="1"/>
          <w:sz w:val="22"/>
          <w:szCs w:val="22"/>
        </w:rPr>
        <w:t>The Lancet</w:t>
      </w:r>
      <w:r w:rsidRPr="01E0C363" w:rsidR="5C4520A7">
        <w:rPr>
          <w:rFonts w:ascii="Arial" w:hAnsi="Arial" w:eastAsia="Arial" w:cs="Arial"/>
          <w:sz w:val="22"/>
          <w:szCs w:val="22"/>
        </w:rPr>
        <w:t>, 393(10173), pp. 791–846.</w:t>
      </w:r>
    </w:p>
    <w:p w:rsidR="36A1DF8D" w:rsidP="781D23E8" w:rsidRDefault="5C4520A7" w14:paraId="47801E05" w14:textId="27C5B914">
      <w:pPr>
        <w:spacing w:before="240" w:after="240"/>
        <w:rPr>
          <w:rFonts w:ascii="Arial" w:hAnsi="Arial" w:eastAsia="Arial" w:cs="Arial"/>
          <w:sz w:val="22"/>
          <w:szCs w:val="22"/>
        </w:rPr>
      </w:pPr>
      <w:r w:rsidRPr="01E0C363" w:rsidR="5C4520A7">
        <w:rPr>
          <w:rFonts w:ascii="Arial" w:hAnsi="Arial" w:eastAsia="Arial" w:cs="Arial"/>
          <w:sz w:val="22"/>
          <w:szCs w:val="22"/>
        </w:rPr>
        <w:t>Waters, E., de Silva‑</w:t>
      </w:r>
      <w:r w:rsidRPr="01E0C363" w:rsidR="5C4520A7">
        <w:rPr>
          <w:rFonts w:ascii="Arial" w:hAnsi="Arial" w:eastAsia="Arial" w:cs="Arial"/>
          <w:sz w:val="22"/>
          <w:szCs w:val="22"/>
        </w:rPr>
        <w:t>Sanigorski</w:t>
      </w:r>
      <w:r w:rsidRPr="01E0C363" w:rsidR="5C4520A7">
        <w:rPr>
          <w:rFonts w:ascii="Arial" w:hAnsi="Arial" w:eastAsia="Arial" w:cs="Arial"/>
          <w:sz w:val="22"/>
          <w:szCs w:val="22"/>
        </w:rPr>
        <w:t xml:space="preserve">, A., Hall, B.J., Brown, T., Campbell, K.J., Gao, Y. et al. (2011) ‘Interventions for preventing obesity in children’, </w:t>
      </w:r>
      <w:r w:rsidRPr="01E0C363" w:rsidR="5C4520A7">
        <w:rPr>
          <w:rFonts w:ascii="Arial" w:hAnsi="Arial" w:eastAsia="Arial" w:cs="Arial"/>
          <w:i w:val="1"/>
          <w:iCs w:val="1"/>
          <w:sz w:val="22"/>
          <w:szCs w:val="22"/>
        </w:rPr>
        <w:t>Cochrane Database of Systematic Reviews</w:t>
      </w:r>
      <w:r w:rsidRPr="01E0C363" w:rsidR="5C4520A7">
        <w:rPr>
          <w:rFonts w:ascii="Arial" w:hAnsi="Arial" w:eastAsia="Arial" w:cs="Arial"/>
          <w:sz w:val="22"/>
          <w:szCs w:val="22"/>
        </w:rPr>
        <w:t>, Issue 12</w:t>
      </w:r>
      <w:r w:rsidRPr="01E0C363" w:rsidR="3949AD98">
        <w:rPr>
          <w:rFonts w:ascii="Arial" w:hAnsi="Arial" w:eastAsia="Arial" w:cs="Arial"/>
          <w:sz w:val="22"/>
          <w:szCs w:val="22"/>
        </w:rPr>
        <w:t>.</w:t>
      </w:r>
    </w:p>
    <w:p w:rsidR="01E0C363" w:rsidP="01E0C363" w:rsidRDefault="01E0C363" w14:paraId="318B6E03" w14:textId="5E0159A6">
      <w:pPr>
        <w:spacing w:before="240" w:after="240"/>
        <w:rPr>
          <w:b w:val="0"/>
          <w:bCs w:val="0"/>
          <w:sz w:val="22"/>
          <w:szCs w:val="22"/>
        </w:rPr>
      </w:pPr>
    </w:p>
    <w:p w:rsidR="01E0C363" w:rsidP="01E0C363" w:rsidRDefault="01E0C363" w14:paraId="64A1F25A" w14:textId="3C9C7551">
      <w:pPr>
        <w:spacing w:before="240" w:after="240"/>
        <w:rPr>
          <w:rFonts w:ascii="Arial" w:hAnsi="Arial" w:eastAsia="Arial" w:cs="Arial"/>
          <w:sz w:val="22"/>
          <w:szCs w:val="22"/>
        </w:rPr>
      </w:pPr>
    </w:p>
    <w:p w:rsidR="36A1DF8D" w:rsidP="781D23E8" w:rsidRDefault="36A1DF8D" w14:paraId="0F6F03FA" w14:textId="037EBE31">
      <w:pPr>
        <w:spacing w:before="240" w:after="240"/>
        <w:rPr>
          <w:rFonts w:ascii="Arial" w:hAnsi="Arial" w:eastAsia="Arial" w:cs="Arial"/>
          <w:color w:val="222222"/>
          <w:sz w:val="22"/>
          <w:szCs w:val="22"/>
        </w:rPr>
      </w:pPr>
    </w:p>
    <w:p w:rsidR="36A1DF8D" w:rsidP="781D23E8" w:rsidRDefault="36A1DF8D" w14:paraId="4891E4B7" w14:textId="295E0B81">
      <w:pPr>
        <w:spacing w:before="240" w:after="240"/>
        <w:rPr>
          <w:rFonts w:ascii="Arial" w:hAnsi="Arial" w:eastAsia="Arial" w:cs="Arial"/>
          <w:sz w:val="22"/>
          <w:szCs w:val="22"/>
        </w:rPr>
      </w:pPr>
    </w:p>
    <w:p w:rsidR="36A1DF8D" w:rsidP="781D23E8" w:rsidRDefault="36A1DF8D" w14:paraId="109D8E9F" w14:textId="11DF3289">
      <w:pPr>
        <w:spacing w:before="240" w:after="240"/>
        <w:rPr>
          <w:rFonts w:ascii="Arial" w:hAnsi="Arial" w:eastAsia="Arial" w:cs="Arial"/>
          <w:color w:val="222222"/>
          <w:sz w:val="22"/>
          <w:szCs w:val="22"/>
        </w:rPr>
      </w:pPr>
    </w:p>
    <w:p w:rsidR="36A1DF8D" w:rsidP="781D23E8" w:rsidRDefault="36A1DF8D" w14:paraId="77470969" w14:textId="14E26F46">
      <w:pPr>
        <w:spacing w:before="240" w:after="240"/>
        <w:rPr>
          <w:rFonts w:ascii="Arial Nova" w:hAnsi="Arial Nova" w:eastAsia="Arial Nova" w:cs="Arial Nova"/>
          <w:color w:val="000000" w:themeColor="text1"/>
          <w:sz w:val="22"/>
          <w:szCs w:val="22"/>
        </w:rPr>
      </w:pPr>
    </w:p>
    <w:p w:rsidR="36A1DF8D" w:rsidP="781D23E8" w:rsidRDefault="36A1DF8D" w14:paraId="033E761C" w14:textId="5A8CA222">
      <w:pPr>
        <w:spacing w:before="240" w:after="240"/>
        <w:rPr>
          <w:rFonts w:ascii="Arial Nova" w:hAnsi="Arial Nova" w:eastAsia="Arial Nova" w:cs="Arial Nova"/>
          <w:sz w:val="22"/>
          <w:szCs w:val="22"/>
        </w:rPr>
      </w:pPr>
    </w:p>
    <w:p w:rsidR="36A1DF8D" w:rsidP="01E0C363" w:rsidRDefault="36A1DF8D" w14:paraId="117A7F10" w14:textId="77DA912A">
      <w:pPr>
        <w:rPr>
          <w:sz w:val="22"/>
          <w:szCs w:val="22"/>
        </w:rPr>
      </w:pPr>
    </w:p>
    <w:p w:rsidR="36A1DF8D" w:rsidP="781D23E8" w:rsidRDefault="36A1DF8D" w14:paraId="1D2246DD" w14:textId="410D4395"/>
    <w:p w:rsidR="36A1DF8D" w:rsidP="781D23E8" w:rsidRDefault="36A1DF8D" w14:paraId="170F2F0B" w14:textId="62480043"/>
    <w:p w:rsidR="36A1DF8D" w:rsidP="755F26B7" w:rsidRDefault="36A1DF8D" w14:paraId="71314BE6" w14:textId="0701FE18">
      <w:r>
        <w:br w:type="column"/>
      </w:r>
    </w:p>
    <w:sectPr w:rsidR="36A1DF8D" w:rsidSect="00D27F6C">
      <w:type w:val="continuous"/>
      <w:pgSz w:w="12191" w:h="1587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cFtjWga1vcJa8K" int2:id="WTD46DKZ">
      <int2:state int2:value="Rejected" int2:type="spell"/>
    </int2:textHash>
    <int2:textHash int2:hashCode="SlYFDncvjWIs3o" int2:id="d8zanz6U">
      <int2:state int2:value="Rejected" int2:type="spell"/>
    </int2:textHash>
    <int2:textHash int2:hashCode="8LTZ8KejK/eOkE" int2:id="cywhaDIE">
      <int2:state int2:value="Rejected" int2:type="spell"/>
    </int2:textHash>
    <int2:textHash int2:hashCode="G2dkHKTg6vqdIN" int2:id="E8vdb7on">
      <int2:state int2:value="Rejected" int2:type="spell"/>
    </int2:textHash>
    <int2:textHash int2:hashCode="PLZtS9B8ew8ND3" int2:id="F8mGG7L5">
      <int2:state int2:value="Rejected" int2:type="spell"/>
    </int2:textHash>
    <int2:textHash int2:hashCode="OrtZNwJC/JiGrS" int2:id="hbf24XfV">
      <int2:state int2:value="Rejected" int2:type="spell"/>
    </int2:textHash>
    <int2:textHash int2:hashCode="hN6B5b8f/AaH/i" int2:id="ujyL8uwt">
      <int2:state int2:value="Rejected" int2:type="spell"/>
    </int2:textHash>
    <int2:textHash int2:hashCode="meDM71ItQvznyZ" int2:id="UNjGcd3I">
      <int2:state int2:value="Rejected" int2:type="spell"/>
    </int2:textHash>
    <int2:textHash int2:hashCode="gOigg3B4VG+1IR" int2:id="grdd6rdV">
      <int2:state int2:value="Rejected" int2:type="spell"/>
    </int2:textHash>
    <int2:textHash int2:hashCode="v3jXqOAVqWKVSe" int2:id="HZtKInxR">
      <int2:state int2:value="Rejected" int2:type="spell"/>
    </int2:textHash>
    <int2:textHash int2:hashCode="7OmYag+MLKaTRs" int2:id="jSMDm4vH">
      <int2:state int2:value="Rejected" int2:type="spell"/>
    </int2:textHash>
    <int2:textHash int2:hashCode="NT12h6See3qwhk" int2:id="gft7ePxd">
      <int2:state int2:value="Rejected" int2:type="spell"/>
    </int2:textHash>
    <int2:textHash int2:hashCode="XSUiEPxXFZ9tOg" int2:id="UIhDRkDc">
      <int2:state int2:value="Rejected" int2:type="spell"/>
    </int2:textHash>
    <int2:textHash int2:hashCode="BDdD/MnmSXF1jU" int2:id="ccSgmlsz">
      <int2:state int2:value="Rejected" int2:type="spell"/>
    </int2:textHash>
    <int2:bookmark int2:bookmarkName="_Int_cAI12bGq" int2:invalidationBookmarkName="" int2:hashCode="l+43qNX2ia81rM" int2:id="2c7cBPhf">
      <int2:state int2:value="Rejected" int2:type="gram"/>
    </int2:bookmark>
    <int2:bookmark int2:bookmarkName="_Int_13SzGoJ5" int2:invalidationBookmarkName="" int2:hashCode="RKQ9sJpxPzPV6V" int2:id="wh52LFbH">
      <int2:state int2:value="Rejected" int2:type="gram"/>
    </int2:bookmark>
    <int2:bookmark int2:bookmarkName="_Int_MvKcpH5G" int2:invalidationBookmarkName="" int2:hashCode="lu1cV4mxdKAVV3" int2:id="Va4Ir4H5">
      <int2:state int2:value="Rejected" int2:type="gram"/>
    </int2:bookmark>
    <int2:bookmark int2:bookmarkName="_Int_c6lBS6Im" int2:invalidationBookmarkName="" int2:hashCode="2WsEDRdWXKeoFe" int2:id="849aTuwP">
      <int2:state int2:value="Rejected" int2:type="gram"/>
    </int2:bookmark>
    <int2:bookmark int2:bookmarkName="_Int_DEhJ4JcG" int2:invalidationBookmarkName="" int2:hashCode="KklVnIgh0KfHsK" int2:id="FHMSvjqG">
      <int2:state int2:value="Rejected" int2:type="gram"/>
    </int2:bookmark>
    <int2:bookmark int2:bookmarkName="_Int_sfcIP4tu" int2:invalidationBookmarkName="" int2:hashCode="zQ0rnJvsxGRdMg" int2:id="14RIVPqN">
      <int2:state int2:value="Rejected" int2:type="gram"/>
    </int2:bookmark>
    <int2:bookmark int2:bookmarkName="_Int_vjbyyMDX" int2:invalidationBookmarkName="" int2:hashCode="yES6GYOD05ypj/" int2:id="AwAdyeK9">
      <int2:state int2:value="Rejected" int2:type="gram"/>
    </int2:bookmark>
    <int2:bookmark int2:bookmarkName="_Int_Mhcap7vf" int2:invalidationBookmarkName="" int2:hashCode="JOdFHfBe1c1M8Q" int2:id="cXJd1hwm">
      <int2:state int2:value="Rejected" int2:type="gram"/>
    </int2:bookmark>
    <int2:bookmark int2:bookmarkName="_Int_tChQvVdJ" int2:invalidationBookmarkName="" int2:hashCode="3TzykNileNZYKq" int2:id="hCneDvjG">
      <int2:state int2:value="Rejected" int2:type="gram"/>
    </int2:bookmark>
    <int2:bookmark int2:bookmarkName="_Int_7zE0nPm2" int2:invalidationBookmarkName="" int2:hashCode="QzMT3GlgjyER5o" int2:id="Ef5q5SgY">
      <int2:state int2:value="Rejected" int2:type="gram"/>
    </int2:bookmark>
    <int2:bookmark int2:bookmarkName="_Int_aUWkBdBF" int2:invalidationBookmarkName="" int2:hashCode="l+43qNX2ia81rM" int2:id="7QPQUDXm">
      <int2:state int2:value="Rejected" int2:type="gram"/>
    </int2:bookmark>
    <int2:bookmark int2:bookmarkName="_Int_eqnZkBWo" int2:invalidationBookmarkName="" int2:hashCode="1bdlHXXyvJ3Qt/" int2:id="WvQ0jNPw">
      <int2:state int2:value="Rejected" int2:type="gram"/>
    </int2:bookmark>
    <int2:bookmark int2:bookmarkName="_Int_JWhBgwb4" int2:invalidationBookmarkName="" int2:hashCode="sGJzreI1dB1Rwz" int2:id="EO2k1Kzw">
      <int2:state int2:value="Rejected" int2:type="gram"/>
    </int2:bookmark>
    <int2:bookmark int2:bookmarkName="_Int_cELRhrwO" int2:invalidationBookmarkName="" int2:hashCode="rJm3vQ0PVW1o4S" int2:id="ScMbbHEL">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254B0"/>
    <w:multiLevelType w:val="hybridMultilevel"/>
    <w:tmpl w:val="FFFFFFFF"/>
    <w:lvl w:ilvl="0" w:tplc="1CA2C658">
      <w:start w:val="1"/>
      <w:numFmt w:val="bullet"/>
      <w:lvlText w:val=""/>
      <w:lvlJc w:val="left"/>
      <w:pPr>
        <w:ind w:left="720" w:hanging="360"/>
      </w:pPr>
      <w:rPr>
        <w:rFonts w:hint="default" w:ascii="Symbol" w:hAnsi="Symbol"/>
      </w:rPr>
    </w:lvl>
    <w:lvl w:ilvl="1" w:tplc="98B25DDE">
      <w:start w:val="1"/>
      <w:numFmt w:val="bullet"/>
      <w:lvlText w:val="o"/>
      <w:lvlJc w:val="left"/>
      <w:pPr>
        <w:ind w:left="1440" w:hanging="360"/>
      </w:pPr>
      <w:rPr>
        <w:rFonts w:hint="default" w:ascii="Courier New" w:hAnsi="Courier New"/>
      </w:rPr>
    </w:lvl>
    <w:lvl w:ilvl="2" w:tplc="70AA9B98">
      <w:start w:val="1"/>
      <w:numFmt w:val="bullet"/>
      <w:lvlText w:val=""/>
      <w:lvlJc w:val="left"/>
      <w:pPr>
        <w:ind w:left="2160" w:hanging="360"/>
      </w:pPr>
      <w:rPr>
        <w:rFonts w:hint="default" w:ascii="Wingdings" w:hAnsi="Wingdings"/>
      </w:rPr>
    </w:lvl>
    <w:lvl w:ilvl="3" w:tplc="912229D6">
      <w:start w:val="1"/>
      <w:numFmt w:val="bullet"/>
      <w:lvlText w:val=""/>
      <w:lvlJc w:val="left"/>
      <w:pPr>
        <w:ind w:left="2880" w:hanging="360"/>
      </w:pPr>
      <w:rPr>
        <w:rFonts w:hint="default" w:ascii="Symbol" w:hAnsi="Symbol"/>
      </w:rPr>
    </w:lvl>
    <w:lvl w:ilvl="4" w:tplc="835A7E28">
      <w:start w:val="1"/>
      <w:numFmt w:val="bullet"/>
      <w:lvlText w:val="o"/>
      <w:lvlJc w:val="left"/>
      <w:pPr>
        <w:ind w:left="3600" w:hanging="360"/>
      </w:pPr>
      <w:rPr>
        <w:rFonts w:hint="default" w:ascii="Courier New" w:hAnsi="Courier New"/>
      </w:rPr>
    </w:lvl>
    <w:lvl w:ilvl="5" w:tplc="63424212">
      <w:start w:val="1"/>
      <w:numFmt w:val="bullet"/>
      <w:lvlText w:val=""/>
      <w:lvlJc w:val="left"/>
      <w:pPr>
        <w:ind w:left="4320" w:hanging="360"/>
      </w:pPr>
      <w:rPr>
        <w:rFonts w:hint="default" w:ascii="Wingdings" w:hAnsi="Wingdings"/>
      </w:rPr>
    </w:lvl>
    <w:lvl w:ilvl="6" w:tplc="112ADC5A">
      <w:start w:val="1"/>
      <w:numFmt w:val="bullet"/>
      <w:lvlText w:val=""/>
      <w:lvlJc w:val="left"/>
      <w:pPr>
        <w:ind w:left="5040" w:hanging="360"/>
      </w:pPr>
      <w:rPr>
        <w:rFonts w:hint="default" w:ascii="Symbol" w:hAnsi="Symbol"/>
      </w:rPr>
    </w:lvl>
    <w:lvl w:ilvl="7" w:tplc="1D768736">
      <w:start w:val="1"/>
      <w:numFmt w:val="bullet"/>
      <w:lvlText w:val="o"/>
      <w:lvlJc w:val="left"/>
      <w:pPr>
        <w:ind w:left="5760" w:hanging="360"/>
      </w:pPr>
      <w:rPr>
        <w:rFonts w:hint="default" w:ascii="Courier New" w:hAnsi="Courier New"/>
      </w:rPr>
    </w:lvl>
    <w:lvl w:ilvl="8" w:tplc="8766CD0A">
      <w:start w:val="1"/>
      <w:numFmt w:val="bullet"/>
      <w:lvlText w:val=""/>
      <w:lvlJc w:val="left"/>
      <w:pPr>
        <w:ind w:left="6480" w:hanging="360"/>
      </w:pPr>
      <w:rPr>
        <w:rFonts w:hint="default" w:ascii="Wingdings" w:hAnsi="Wingdings"/>
      </w:rPr>
    </w:lvl>
  </w:abstractNum>
  <w:abstractNum w:abstractNumId="1" w15:restartNumberingAfterBreak="0">
    <w:nsid w:val="34950625"/>
    <w:multiLevelType w:val="hybridMultilevel"/>
    <w:tmpl w:val="FFFFFFFF"/>
    <w:lvl w:ilvl="0" w:tplc="B3E4A75A">
      <w:start w:val="1"/>
      <w:numFmt w:val="bullet"/>
      <w:lvlText w:val=""/>
      <w:lvlJc w:val="left"/>
      <w:pPr>
        <w:ind w:left="720" w:hanging="360"/>
      </w:pPr>
      <w:rPr>
        <w:rFonts w:hint="default" w:ascii="Symbol" w:hAnsi="Symbol"/>
      </w:rPr>
    </w:lvl>
    <w:lvl w:ilvl="1" w:tplc="B8AC2FC4">
      <w:start w:val="1"/>
      <w:numFmt w:val="bullet"/>
      <w:lvlText w:val="o"/>
      <w:lvlJc w:val="left"/>
      <w:pPr>
        <w:ind w:left="1440" w:hanging="360"/>
      </w:pPr>
      <w:rPr>
        <w:rFonts w:hint="default" w:ascii="Courier New" w:hAnsi="Courier New"/>
      </w:rPr>
    </w:lvl>
    <w:lvl w:ilvl="2" w:tplc="DADE16EE">
      <w:start w:val="1"/>
      <w:numFmt w:val="bullet"/>
      <w:lvlText w:val=""/>
      <w:lvlJc w:val="left"/>
      <w:pPr>
        <w:ind w:left="2160" w:hanging="360"/>
      </w:pPr>
      <w:rPr>
        <w:rFonts w:hint="default" w:ascii="Wingdings" w:hAnsi="Wingdings"/>
      </w:rPr>
    </w:lvl>
    <w:lvl w:ilvl="3" w:tplc="EE7C8E0E">
      <w:start w:val="1"/>
      <w:numFmt w:val="bullet"/>
      <w:lvlText w:val=""/>
      <w:lvlJc w:val="left"/>
      <w:pPr>
        <w:ind w:left="2880" w:hanging="360"/>
      </w:pPr>
      <w:rPr>
        <w:rFonts w:hint="default" w:ascii="Symbol" w:hAnsi="Symbol"/>
      </w:rPr>
    </w:lvl>
    <w:lvl w:ilvl="4" w:tplc="5C6C2650">
      <w:start w:val="1"/>
      <w:numFmt w:val="bullet"/>
      <w:lvlText w:val="o"/>
      <w:lvlJc w:val="left"/>
      <w:pPr>
        <w:ind w:left="3600" w:hanging="360"/>
      </w:pPr>
      <w:rPr>
        <w:rFonts w:hint="default" w:ascii="Courier New" w:hAnsi="Courier New"/>
      </w:rPr>
    </w:lvl>
    <w:lvl w:ilvl="5" w:tplc="2C2E464E">
      <w:start w:val="1"/>
      <w:numFmt w:val="bullet"/>
      <w:lvlText w:val=""/>
      <w:lvlJc w:val="left"/>
      <w:pPr>
        <w:ind w:left="4320" w:hanging="360"/>
      </w:pPr>
      <w:rPr>
        <w:rFonts w:hint="default" w:ascii="Wingdings" w:hAnsi="Wingdings"/>
      </w:rPr>
    </w:lvl>
    <w:lvl w:ilvl="6" w:tplc="9E687E78">
      <w:start w:val="1"/>
      <w:numFmt w:val="bullet"/>
      <w:lvlText w:val=""/>
      <w:lvlJc w:val="left"/>
      <w:pPr>
        <w:ind w:left="5040" w:hanging="360"/>
      </w:pPr>
      <w:rPr>
        <w:rFonts w:hint="default" w:ascii="Symbol" w:hAnsi="Symbol"/>
      </w:rPr>
    </w:lvl>
    <w:lvl w:ilvl="7" w:tplc="2AD0D5F8">
      <w:start w:val="1"/>
      <w:numFmt w:val="bullet"/>
      <w:lvlText w:val="o"/>
      <w:lvlJc w:val="left"/>
      <w:pPr>
        <w:ind w:left="5760" w:hanging="360"/>
      </w:pPr>
      <w:rPr>
        <w:rFonts w:hint="default" w:ascii="Courier New" w:hAnsi="Courier New"/>
      </w:rPr>
    </w:lvl>
    <w:lvl w:ilvl="8" w:tplc="37A082AA">
      <w:start w:val="1"/>
      <w:numFmt w:val="bullet"/>
      <w:lvlText w:val=""/>
      <w:lvlJc w:val="left"/>
      <w:pPr>
        <w:ind w:left="6480" w:hanging="360"/>
      </w:pPr>
      <w:rPr>
        <w:rFonts w:hint="default" w:ascii="Wingdings" w:hAnsi="Wingdings"/>
      </w:rPr>
    </w:lvl>
  </w:abstractNum>
  <w:abstractNum w:abstractNumId="2" w15:restartNumberingAfterBreak="0">
    <w:nsid w:val="7E251C8E"/>
    <w:multiLevelType w:val="hybridMultilevel"/>
    <w:tmpl w:val="FFFFFFFF"/>
    <w:lvl w:ilvl="0" w:tplc="A26A4EA4">
      <w:start w:val="1"/>
      <w:numFmt w:val="bullet"/>
      <w:lvlText w:val=""/>
      <w:lvlJc w:val="left"/>
      <w:pPr>
        <w:ind w:left="720" w:hanging="360"/>
      </w:pPr>
      <w:rPr>
        <w:rFonts w:hint="default" w:ascii="Symbol" w:hAnsi="Symbol"/>
      </w:rPr>
    </w:lvl>
    <w:lvl w:ilvl="1" w:tplc="40125B38">
      <w:start w:val="1"/>
      <w:numFmt w:val="bullet"/>
      <w:lvlText w:val="o"/>
      <w:lvlJc w:val="left"/>
      <w:pPr>
        <w:ind w:left="1440" w:hanging="360"/>
      </w:pPr>
      <w:rPr>
        <w:rFonts w:hint="default" w:ascii="Courier New" w:hAnsi="Courier New"/>
      </w:rPr>
    </w:lvl>
    <w:lvl w:ilvl="2" w:tplc="FFA0394C">
      <w:start w:val="1"/>
      <w:numFmt w:val="bullet"/>
      <w:lvlText w:val=""/>
      <w:lvlJc w:val="left"/>
      <w:pPr>
        <w:ind w:left="2160" w:hanging="360"/>
      </w:pPr>
      <w:rPr>
        <w:rFonts w:hint="default" w:ascii="Wingdings" w:hAnsi="Wingdings"/>
      </w:rPr>
    </w:lvl>
    <w:lvl w:ilvl="3" w:tplc="60EC9FEA">
      <w:start w:val="1"/>
      <w:numFmt w:val="bullet"/>
      <w:lvlText w:val=""/>
      <w:lvlJc w:val="left"/>
      <w:pPr>
        <w:ind w:left="2880" w:hanging="360"/>
      </w:pPr>
      <w:rPr>
        <w:rFonts w:hint="default" w:ascii="Symbol" w:hAnsi="Symbol"/>
      </w:rPr>
    </w:lvl>
    <w:lvl w:ilvl="4" w:tplc="6FD82B5C">
      <w:start w:val="1"/>
      <w:numFmt w:val="bullet"/>
      <w:lvlText w:val="o"/>
      <w:lvlJc w:val="left"/>
      <w:pPr>
        <w:ind w:left="3600" w:hanging="360"/>
      </w:pPr>
      <w:rPr>
        <w:rFonts w:hint="default" w:ascii="Courier New" w:hAnsi="Courier New"/>
      </w:rPr>
    </w:lvl>
    <w:lvl w:ilvl="5" w:tplc="E5A0A856">
      <w:start w:val="1"/>
      <w:numFmt w:val="bullet"/>
      <w:lvlText w:val=""/>
      <w:lvlJc w:val="left"/>
      <w:pPr>
        <w:ind w:left="4320" w:hanging="360"/>
      </w:pPr>
      <w:rPr>
        <w:rFonts w:hint="default" w:ascii="Wingdings" w:hAnsi="Wingdings"/>
      </w:rPr>
    </w:lvl>
    <w:lvl w:ilvl="6" w:tplc="7FB0E794">
      <w:start w:val="1"/>
      <w:numFmt w:val="bullet"/>
      <w:lvlText w:val=""/>
      <w:lvlJc w:val="left"/>
      <w:pPr>
        <w:ind w:left="5040" w:hanging="360"/>
      </w:pPr>
      <w:rPr>
        <w:rFonts w:hint="default" w:ascii="Symbol" w:hAnsi="Symbol"/>
      </w:rPr>
    </w:lvl>
    <w:lvl w:ilvl="7" w:tplc="BDD4EFE0">
      <w:start w:val="1"/>
      <w:numFmt w:val="bullet"/>
      <w:lvlText w:val="o"/>
      <w:lvlJc w:val="left"/>
      <w:pPr>
        <w:ind w:left="5760" w:hanging="360"/>
      </w:pPr>
      <w:rPr>
        <w:rFonts w:hint="default" w:ascii="Courier New" w:hAnsi="Courier New"/>
      </w:rPr>
    </w:lvl>
    <w:lvl w:ilvl="8" w:tplc="01D81C9A">
      <w:start w:val="1"/>
      <w:numFmt w:val="bullet"/>
      <w:lvlText w:val=""/>
      <w:lvlJc w:val="left"/>
      <w:pPr>
        <w:ind w:left="6480" w:hanging="360"/>
      </w:pPr>
      <w:rPr>
        <w:rFonts w:hint="default" w:ascii="Wingdings" w:hAnsi="Wingdings"/>
      </w:rPr>
    </w:lvl>
  </w:abstractNum>
  <w:num w:numId="1" w16cid:durableId="1295256964">
    <w:abstractNumId w:val="1"/>
  </w:num>
  <w:num w:numId="2" w16cid:durableId="1268125905">
    <w:abstractNumId w:val="2"/>
  </w:num>
  <w:num w:numId="3" w16cid:durableId="1725177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0404C9"/>
    <w:rsid w:val="000C7718"/>
    <w:rsid w:val="00307B4F"/>
    <w:rsid w:val="00471E6B"/>
    <w:rsid w:val="00480A73"/>
    <w:rsid w:val="004B5A16"/>
    <w:rsid w:val="00526FB4"/>
    <w:rsid w:val="005F3333"/>
    <w:rsid w:val="006324CC"/>
    <w:rsid w:val="00780A10"/>
    <w:rsid w:val="00814FB0"/>
    <w:rsid w:val="00815C82"/>
    <w:rsid w:val="0083594B"/>
    <w:rsid w:val="00A61169"/>
    <w:rsid w:val="00AC10B6"/>
    <w:rsid w:val="00B036E3"/>
    <w:rsid w:val="00BC24B1"/>
    <w:rsid w:val="00BC7E7D"/>
    <w:rsid w:val="00C17629"/>
    <w:rsid w:val="00D27F6C"/>
    <w:rsid w:val="00DF6FF6"/>
    <w:rsid w:val="00EE64E0"/>
    <w:rsid w:val="00FF7A95"/>
    <w:rsid w:val="01E0C363"/>
    <w:rsid w:val="0215DD84"/>
    <w:rsid w:val="0238ECE7"/>
    <w:rsid w:val="033ABDB3"/>
    <w:rsid w:val="03AE9636"/>
    <w:rsid w:val="049DE9C0"/>
    <w:rsid w:val="05EA9335"/>
    <w:rsid w:val="0635166C"/>
    <w:rsid w:val="0B31D3E4"/>
    <w:rsid w:val="0BB44389"/>
    <w:rsid w:val="0C842B6B"/>
    <w:rsid w:val="0D53F109"/>
    <w:rsid w:val="0DE6E91C"/>
    <w:rsid w:val="0F870103"/>
    <w:rsid w:val="13C5685E"/>
    <w:rsid w:val="16FD5BD9"/>
    <w:rsid w:val="175D888C"/>
    <w:rsid w:val="17ED9988"/>
    <w:rsid w:val="18DBC8BF"/>
    <w:rsid w:val="1A3C5EC8"/>
    <w:rsid w:val="1B8E7E1D"/>
    <w:rsid w:val="1F343937"/>
    <w:rsid w:val="21814F64"/>
    <w:rsid w:val="23BA84B8"/>
    <w:rsid w:val="23CDF742"/>
    <w:rsid w:val="2492F205"/>
    <w:rsid w:val="24BBD3E0"/>
    <w:rsid w:val="24E55592"/>
    <w:rsid w:val="290E50D1"/>
    <w:rsid w:val="2A2FEDD0"/>
    <w:rsid w:val="2C74E2A2"/>
    <w:rsid w:val="2CF5D45C"/>
    <w:rsid w:val="2DCF8E4A"/>
    <w:rsid w:val="32575066"/>
    <w:rsid w:val="32B2CA06"/>
    <w:rsid w:val="335BE8D7"/>
    <w:rsid w:val="36A1DF8D"/>
    <w:rsid w:val="379F40EA"/>
    <w:rsid w:val="39371A02"/>
    <w:rsid w:val="3949AD98"/>
    <w:rsid w:val="3961A208"/>
    <w:rsid w:val="3C92D464"/>
    <w:rsid w:val="3D3F93AB"/>
    <w:rsid w:val="3DFBC5FD"/>
    <w:rsid w:val="3EA7EDEA"/>
    <w:rsid w:val="3ED61E48"/>
    <w:rsid w:val="3F7A4F16"/>
    <w:rsid w:val="41BD63B7"/>
    <w:rsid w:val="42CBC8A5"/>
    <w:rsid w:val="42CDE8CE"/>
    <w:rsid w:val="45673DC0"/>
    <w:rsid w:val="49AFFEF0"/>
    <w:rsid w:val="4B7B1106"/>
    <w:rsid w:val="4CA82F8F"/>
    <w:rsid w:val="4DC01F29"/>
    <w:rsid w:val="4E9E96D0"/>
    <w:rsid w:val="4EC6F27E"/>
    <w:rsid w:val="4ED60AD5"/>
    <w:rsid w:val="500A5B0C"/>
    <w:rsid w:val="5022B1FB"/>
    <w:rsid w:val="52A23339"/>
    <w:rsid w:val="54AC7130"/>
    <w:rsid w:val="57FB0E04"/>
    <w:rsid w:val="5B420307"/>
    <w:rsid w:val="5BF895D4"/>
    <w:rsid w:val="5C17034C"/>
    <w:rsid w:val="5C4520A7"/>
    <w:rsid w:val="5D7A01AB"/>
    <w:rsid w:val="5D93DCF1"/>
    <w:rsid w:val="5DE1B20E"/>
    <w:rsid w:val="5F1B1553"/>
    <w:rsid w:val="606D2526"/>
    <w:rsid w:val="60EBB597"/>
    <w:rsid w:val="61715CF7"/>
    <w:rsid w:val="67F6DCF9"/>
    <w:rsid w:val="684A12CA"/>
    <w:rsid w:val="68CD556A"/>
    <w:rsid w:val="696D83EA"/>
    <w:rsid w:val="698A3891"/>
    <w:rsid w:val="6A1AC92C"/>
    <w:rsid w:val="6D75F112"/>
    <w:rsid w:val="6EE3E43C"/>
    <w:rsid w:val="6F0404C9"/>
    <w:rsid w:val="71AB1413"/>
    <w:rsid w:val="7360B78B"/>
    <w:rsid w:val="7385DCAF"/>
    <w:rsid w:val="755F26B7"/>
    <w:rsid w:val="75FDABC4"/>
    <w:rsid w:val="7802632F"/>
    <w:rsid w:val="781D23E8"/>
    <w:rsid w:val="7E2FEDF3"/>
    <w:rsid w:val="7F076F1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404C9"/>
  <w15:chartTrackingRefBased/>
  <w15:docId w15:val="{0F538983-B821-4F7E-A483-76BABFAE2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C17629"/>
    <w:pPr>
      <w:ind w:left="720"/>
      <w:contextualSpacing/>
    </w:pPr>
  </w:style>
  <w:style w:type="character" w:styleId="Hyperlink">
    <w:name w:val="Hyperlink"/>
    <w:basedOn w:val="DefaultParagraphFont"/>
    <w:uiPriority w:val="99"/>
    <w:unhideWhenUsed/>
    <w:rsid w:val="00C1762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11"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img.rawpixel.com/s3fsprivate/rawpixel_images/website_content/271-pai1225-chim.jpg?w=800&amp;dpr=default&amp;crop=default&amp;auto=format&amp;fm=pjpg&amp;q=75&amp;vib=3&amp;con=3&amp;usm=15&amp;bg=F4F4F3&amp;ixlib=js.2.21&amp;s=15081388afa4c8dc644a80d8ced06e05" TargetMode="External" Id="Rfe05e0f4751e462b" /><Relationship Type="http://schemas.openxmlformats.org/officeDocument/2006/relationships/hyperlink" Target="https://digital.nhs.uk/data-and-information/publications/statistical/national-obesity-audit/national-obesity-audit-april-2024---june-2024" TargetMode="External" Id="R78ae721d0c044bdf" /><Relationship Type="http://schemas.openxmlformats.org/officeDocument/2006/relationships/hyperlink" Target="https://www.england.nhs.uk/ourwork/prevention/obesity/" TargetMode="External" Id="R35635cc4483b4065" /><Relationship Type="http://schemas.openxmlformats.org/officeDocument/2006/relationships/hyperlink" Target="https://www.gov.uk/government/statistics/update-to-the-obesity-profile-on-fingertips/obesity-profile-short-statistical-commentary-may-2024" TargetMode="External" Id="R9b906c56370648e3" /><Relationship Type="http://schemas.openxmlformats.org/officeDocument/2006/relationships/hyperlink" Target="https://www.nice.org.uk/guidance/ng246" TargetMode="External" Id="Rf5d09789681840ff" /><Relationship Type="http://schemas.openxmlformats.org/officeDocument/2006/relationships/hyperlink" Target="https://www.health.org.uk/evidence-hub/health-inequalities/inequalities-in-life-expectancy-and-healthy-life-expectancy" TargetMode="External" Id="R48f15d1ffd9049f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Kadija Ali (2333121)</dc:creator>
  <keywords/>
  <dc:description/>
  <lastModifiedBy>Kadija Ali (2333121)</lastModifiedBy>
  <revision>19</revision>
  <dcterms:created xsi:type="dcterms:W3CDTF">2025-11-22T22:09:00.0000000Z</dcterms:created>
  <dcterms:modified xsi:type="dcterms:W3CDTF">2025-11-23T00:49:02.6752965Z</dcterms:modified>
</coreProperties>
</file>