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center"/>
        <w:rPr>
          <w:rFonts w:ascii="Tahoma" w:hAnsi="Tahoma" w:cs="Tahoma" w:eastAsia="Tahoma"/>
          <w:b/>
          <w:color w:val="auto"/>
          <w:spacing w:val="0"/>
          <w:position w:val="0"/>
          <w:sz w:val="24"/>
          <w:u w:val="single"/>
          <w:shd w:fill="auto" w:val="clear"/>
        </w:rPr>
      </w:pPr>
    </w:p>
    <w:p>
      <w:pPr>
        <w:spacing w:before="0" w:after="0" w:line="240"/>
        <w:ind w:right="0" w:left="0" w:firstLine="0"/>
        <w:jc w:val="both"/>
        <w:rPr>
          <w:rFonts w:ascii="Tahoma" w:hAnsi="Tahoma" w:cs="Tahoma" w:eastAsia="Tahoma"/>
          <w:b/>
          <w:color w:val="auto"/>
          <w:spacing w:val="0"/>
          <w:position w:val="0"/>
          <w:sz w:val="24"/>
          <w:u w:val="single"/>
          <w:shd w:fill="auto" w:val="clear"/>
        </w:rPr>
      </w:pPr>
    </w:p>
    <w:p>
      <w:pPr>
        <w:spacing w:before="0" w:after="0" w:line="240"/>
        <w:ind w:right="0" w:left="0" w:firstLine="0"/>
        <w:jc w:val="both"/>
        <w:rPr>
          <w:rFonts w:ascii="Tahoma" w:hAnsi="Tahoma" w:cs="Tahoma" w:eastAsia="Tahoma"/>
          <w:b/>
          <w:color w:val="auto"/>
          <w:spacing w:val="0"/>
          <w:position w:val="0"/>
          <w:sz w:val="24"/>
          <w:u w:val="single"/>
          <w:shd w:fill="auto" w:val="clear"/>
        </w:rPr>
      </w:pPr>
    </w:p>
    <w:p>
      <w:pPr>
        <w:spacing w:before="0" w:after="0" w:line="240"/>
        <w:ind w:right="0" w:left="0" w:firstLine="0"/>
        <w:jc w:val="both"/>
        <w:rPr>
          <w:rFonts w:ascii="Tahoma" w:hAnsi="Tahoma" w:cs="Tahoma" w:eastAsia="Tahoma"/>
          <w:b/>
          <w:color w:val="auto"/>
          <w:spacing w:val="0"/>
          <w:position w:val="0"/>
          <w:sz w:val="24"/>
          <w:u w:val="single"/>
          <w:shd w:fill="auto" w:val="clear"/>
        </w:rPr>
      </w:pPr>
      <w:r>
        <w:rPr>
          <w:rFonts w:ascii="Tahoma" w:hAnsi="Tahoma" w:cs="Tahoma" w:eastAsia="Tahoma"/>
          <w:b/>
          <w:color w:val="auto"/>
          <w:spacing w:val="0"/>
          <w:position w:val="0"/>
          <w:sz w:val="24"/>
          <w:u w:val="single"/>
          <w:shd w:fill="auto" w:val="clear"/>
        </w:rPr>
        <w:t xml:space="preserve">LEVEL 4 </w:t>
      </w:r>
      <w:r>
        <w:rPr>
          <w:rFonts w:ascii="Tahoma" w:hAnsi="Tahoma" w:cs="Tahoma" w:eastAsia="Tahoma"/>
          <w:b/>
          <w:color w:val="auto"/>
          <w:spacing w:val="0"/>
          <w:position w:val="0"/>
          <w:sz w:val="24"/>
          <w:u w:val="single"/>
          <w:shd w:fill="auto" w:val="clear"/>
        </w:rPr>
        <w:t xml:space="preserve">–</w:t>
      </w:r>
      <w:r>
        <w:rPr>
          <w:rFonts w:ascii="Tahoma" w:hAnsi="Tahoma" w:cs="Tahoma" w:eastAsia="Tahoma"/>
          <w:b/>
          <w:color w:val="auto"/>
          <w:spacing w:val="0"/>
          <w:position w:val="0"/>
          <w:sz w:val="24"/>
          <w:u w:val="single"/>
          <w:shd w:fill="auto" w:val="clear"/>
        </w:rPr>
        <w:t xml:space="preserve"> Student Journal </w:t>
      </w:r>
    </w:p>
    <w:p>
      <w:pPr>
        <w:spacing w:before="0" w:after="0" w:line="240"/>
        <w:ind w:right="0" w:left="0" w:firstLine="0"/>
        <w:jc w:val="both"/>
        <w:rPr>
          <w:rFonts w:ascii="Tahoma" w:hAnsi="Tahoma" w:cs="Tahoma" w:eastAsia="Tahoma"/>
          <w:b/>
          <w:color w:val="auto"/>
          <w:spacing w:val="0"/>
          <w:position w:val="0"/>
          <w:sz w:val="24"/>
          <w:u w:val="single"/>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tbl>
      <w:tblPr/>
      <w:tblGrid>
        <w:gridCol w:w="3987"/>
        <w:gridCol w:w="7195"/>
      </w:tblGrid>
      <w:tr>
        <w:trPr>
          <w:trHeight w:val="1" w:hRule="atLeast"/>
          <w:jc w:val="left"/>
        </w:trPr>
        <w:tc>
          <w:tcPr>
            <w:tcW w:w="3987"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0"/>
                <w:shd w:fill="auto" w:val="clear"/>
              </w:rPr>
            </w:pPr>
            <w:r>
              <w:rPr>
                <w:rFonts w:ascii="Tahoma" w:hAnsi="Tahoma" w:cs="Tahoma" w:eastAsia="Tahoma"/>
                <w:b/>
                <w:color w:val="auto"/>
                <w:spacing w:val="0"/>
                <w:position w:val="0"/>
                <w:sz w:val="20"/>
                <w:shd w:fill="auto" w:val="clear"/>
              </w:rPr>
              <w:t xml:space="preserve">Student Name: Raluca Suciu</w:t>
            </w:r>
          </w:p>
          <w:p>
            <w:pPr>
              <w:spacing w:before="0" w:after="0" w:line="240"/>
              <w:ind w:right="0" w:left="0" w:firstLine="0"/>
              <w:jc w:val="left"/>
              <w:rPr>
                <w:rFonts w:ascii="Tahoma" w:hAnsi="Tahoma" w:cs="Tahoma" w:eastAsia="Tahoma"/>
                <w:b/>
                <w:color w:val="auto"/>
                <w:spacing w:val="0"/>
                <w:position w:val="0"/>
                <w:sz w:val="20"/>
                <w:shd w:fill="auto" w:val="clear"/>
              </w:rPr>
            </w:pPr>
          </w:p>
          <w:p>
            <w:pPr>
              <w:spacing w:before="0" w:after="0" w:line="240"/>
              <w:ind w:right="0" w:left="0" w:firstLine="0"/>
              <w:jc w:val="left"/>
              <w:rPr>
                <w:rFonts w:ascii="Tahoma" w:hAnsi="Tahoma" w:cs="Tahoma" w:eastAsia="Tahoma"/>
                <w:b/>
                <w:color w:val="auto"/>
                <w:spacing w:val="0"/>
                <w:position w:val="0"/>
                <w:sz w:val="20"/>
                <w:shd w:fill="auto" w:val="clear"/>
              </w:rPr>
            </w:pPr>
            <w:r>
              <w:rPr>
                <w:rFonts w:ascii="Tahoma" w:hAnsi="Tahoma" w:cs="Tahoma" w:eastAsia="Tahoma"/>
                <w:b/>
                <w:color w:val="auto"/>
                <w:spacing w:val="0"/>
                <w:position w:val="0"/>
                <w:sz w:val="20"/>
                <w:shd w:fill="auto" w:val="clear"/>
              </w:rPr>
              <w:t xml:space="preserve">Student Number: 2022597</w:t>
            </w:r>
          </w:p>
          <w:p>
            <w:pPr>
              <w:spacing w:before="0" w:after="0" w:line="240"/>
              <w:ind w:right="0" w:left="0" w:firstLine="0"/>
              <w:jc w:val="left"/>
              <w:rPr>
                <w:color w:val="auto"/>
                <w:spacing w:val="0"/>
                <w:position w:val="0"/>
                <w:shd w:fill="auto" w:val="clear"/>
              </w:rPr>
            </w:pPr>
          </w:p>
        </w:tc>
        <w:tc>
          <w:tcPr>
            <w:tcW w:w="7195"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0"/>
                <w:shd w:fill="auto" w:val="clear"/>
              </w:rPr>
            </w:pPr>
            <w:r>
              <w:rPr>
                <w:rFonts w:ascii="Tahoma" w:hAnsi="Tahoma" w:cs="Tahoma" w:eastAsia="Tahoma"/>
                <w:b/>
                <w:color w:val="auto"/>
                <w:spacing w:val="0"/>
                <w:position w:val="0"/>
                <w:sz w:val="20"/>
                <w:shd w:fill="auto" w:val="clear"/>
              </w:rPr>
              <w:t xml:space="preserve">Module: Food &amp; Beverage Operations</w:t>
            </w:r>
          </w:p>
          <w:p>
            <w:pPr>
              <w:spacing w:before="0" w:after="0" w:line="240"/>
              <w:ind w:right="0" w:left="0" w:firstLine="0"/>
              <w:jc w:val="left"/>
              <w:rPr>
                <w:rFonts w:ascii="Tahoma" w:hAnsi="Tahoma" w:cs="Tahoma" w:eastAsia="Tahoma"/>
                <w:b/>
                <w:color w:val="auto"/>
                <w:spacing w:val="0"/>
                <w:position w:val="0"/>
                <w:sz w:val="20"/>
                <w:shd w:fill="auto" w:val="clear"/>
              </w:rPr>
            </w:pPr>
          </w:p>
          <w:p>
            <w:pPr>
              <w:spacing w:before="0" w:after="0" w:line="240"/>
              <w:ind w:right="0" w:left="0" w:firstLine="0"/>
              <w:jc w:val="left"/>
              <w:rPr>
                <w:color w:val="auto"/>
                <w:spacing w:val="0"/>
                <w:position w:val="0"/>
                <w:shd w:fill="auto" w:val="clear"/>
              </w:rPr>
            </w:pPr>
            <w:r>
              <w:rPr>
                <w:rFonts w:ascii="Tahoma" w:hAnsi="Tahoma" w:cs="Tahoma" w:eastAsia="Tahoma"/>
                <w:b/>
                <w:color w:val="auto"/>
                <w:spacing w:val="0"/>
                <w:position w:val="0"/>
                <w:sz w:val="20"/>
                <w:shd w:fill="auto" w:val="clear"/>
              </w:rPr>
              <w:t xml:space="preserve">Lecturer: Ryan Peters, Kathryn Roberts, Samantha Birdsell</w:t>
            </w:r>
          </w:p>
        </w:tc>
      </w:tr>
    </w:tbl>
    <w:p>
      <w:pPr>
        <w:spacing w:before="0" w:after="0" w:line="240"/>
        <w:ind w:right="0" w:left="0" w:firstLine="0"/>
        <w:jc w:val="left"/>
        <w:rPr>
          <w:rFonts w:ascii="Tahoma" w:hAnsi="Tahoma" w:cs="Tahoma" w:eastAsia="Tahoma"/>
          <w:color w:val="auto"/>
          <w:spacing w:val="0"/>
          <w:position w:val="0"/>
          <w:sz w:val="20"/>
          <w:shd w:fill="auto" w:val="clear"/>
        </w:rPr>
      </w:pPr>
    </w:p>
    <w:tbl>
      <w:tblPr/>
      <w:tblGrid>
        <w:gridCol w:w="3983"/>
        <w:gridCol w:w="7199"/>
      </w:tblGrid>
      <w:tr>
        <w:trPr>
          <w:trHeight w:val="1" w:hRule="atLeast"/>
          <w:jc w:val="left"/>
        </w:trPr>
        <w:tc>
          <w:tcPr>
            <w:tcW w:w="3983"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ahoma" w:hAnsi="Tahoma" w:cs="Tahoma" w:eastAsia="Tahoma"/>
                <w:b/>
                <w:color w:val="auto"/>
                <w:spacing w:val="0"/>
                <w:position w:val="0"/>
                <w:sz w:val="20"/>
                <w:shd w:fill="auto" w:val="clear"/>
              </w:rPr>
              <w:t xml:space="preserve">Topic of choice: Food Safety Fundamentals (The 4 C’s)</w:t>
            </w:r>
          </w:p>
        </w:tc>
        <w:tc>
          <w:tcPr>
            <w:tcW w:w="7199"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0"/>
                <w:shd w:fill="auto" w:val="clear"/>
              </w:rPr>
            </w:pPr>
            <w:r>
              <w:rPr>
                <w:rFonts w:ascii="Tahoma" w:hAnsi="Tahoma" w:cs="Tahoma" w:eastAsia="Tahoma"/>
                <w:b/>
                <w:color w:val="auto"/>
                <w:spacing w:val="0"/>
                <w:position w:val="0"/>
                <w:sz w:val="20"/>
                <w:shd w:fill="auto" w:val="clear"/>
              </w:rPr>
              <w:t xml:space="preserve">Date Completed: 15</w:t>
            </w:r>
            <w:r>
              <w:rPr>
                <w:rFonts w:ascii="Tahoma" w:hAnsi="Tahoma" w:cs="Tahoma" w:eastAsia="Tahoma"/>
                <w:b/>
                <w:color w:val="auto"/>
                <w:spacing w:val="0"/>
                <w:position w:val="0"/>
                <w:sz w:val="20"/>
                <w:shd w:fill="auto" w:val="clear"/>
                <w:vertAlign w:val="superscript"/>
              </w:rPr>
              <w:t xml:space="preserve">th</w:t>
            </w:r>
            <w:r>
              <w:rPr>
                <w:rFonts w:ascii="Tahoma" w:hAnsi="Tahoma" w:cs="Tahoma" w:eastAsia="Tahoma"/>
                <w:b/>
                <w:color w:val="auto"/>
                <w:spacing w:val="0"/>
                <w:position w:val="0"/>
                <w:sz w:val="20"/>
                <w:shd w:fill="auto" w:val="clear"/>
              </w:rPr>
              <w:t xml:space="preserve"> October 2021</w:t>
            </w:r>
          </w:p>
          <w:p>
            <w:pPr>
              <w:spacing w:before="0" w:after="0" w:line="240"/>
              <w:ind w:right="0" w:left="0" w:firstLine="0"/>
              <w:jc w:val="center"/>
              <w:rPr>
                <w:rFonts w:ascii="Tahoma" w:hAnsi="Tahoma" w:cs="Tahoma" w:eastAsia="Tahoma"/>
                <w:b/>
                <w:color w:val="auto"/>
                <w:spacing w:val="0"/>
                <w:position w:val="0"/>
                <w:sz w:val="20"/>
                <w:shd w:fill="auto" w:val="clear"/>
              </w:rPr>
            </w:pPr>
          </w:p>
          <w:p>
            <w:pPr>
              <w:spacing w:before="0" w:after="0" w:line="240"/>
              <w:ind w:right="0" w:left="0" w:firstLine="0"/>
              <w:jc w:val="center"/>
              <w:rPr>
                <w:color w:val="auto"/>
                <w:spacing w:val="0"/>
                <w:position w:val="0"/>
                <w:shd w:fill="auto" w:val="clear"/>
              </w:rPr>
            </w:pPr>
          </w:p>
        </w:tc>
      </w:tr>
      <w:tr>
        <w:trPr>
          <w:trHeight w:val="2494" w:hRule="auto"/>
          <w:jc w:val="left"/>
        </w:trPr>
        <w:tc>
          <w:tcPr>
            <w:tcW w:w="11182"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topic of interest is Food Safety Fundamentals (The 4 C’s). I have learnt that there are four basic principles underlying food hygiene safety. In the hospitality industry, these principles are critical to ensuring optimal service delivery especially in terms of provision of foodstuff (Bartos, 2011). Adhering to the 4C’s is essential for hotels in upholding the safety and health of their customers. Firstly, cleaning refers to cleaning and tidying up of areas in which food is prepared to prevent the dispersion of pathogenic bacteria (Healey, 2016). Secondly, cooking refers to making sure that food is being cooked in an appropriate manner, that is, according to the specific methods that each type of food demands. Thirdly, cross-contamination refers to taking measures that prevent food poisoning from occurring such as through germs spreading from one unclean hand to another or from one unclean utensil to another (Lee, 2012). Employees in hotels ought to be thoroughly informed on the practices of excellent hygiene and how surfaces should be cleaned to reduce the possibility and risk of transference of pathogenic bacteria. The last of the 4C’s is chilling which refers to safe storage of leftover produce and cooked foods by using refrigerators. These four principles or the 4C’s are important in the hospitality industry since noncompliance may result in loss of reputation and brand value of hotels (Newslow, 2014). The advantages of following the 4C’s are that   hotels can ensure that their customers do not fall ill which leads to high customer satisfaction and also less food is likely to be wasted or spoiled leading to better profitability. One disadvantage of adhering to the 4C’s is that hotels may be required to invest a lot of resources in maintaining oversight of food safety hygiene in the kitchens.</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There were several discussions organized in class on Food Safety Fundamentals. To prepare for these discussions, I have perused numerous books and articles on the topic. Upon conducting research, I learnt a new skill which is taking the initiative to implementing safer food hygiene practices in the workplace. For example, in the kitchen workplace if certain food safety regulations which are not being complied with then employees should take the initiative to address this issue with their supervisors to ensure best practices are followed (Gizaw, 2019). Another skill I learnt regarding food safety is being attentive to the smallest details in the kitchen when preparing food. For example, when preparing food employees need to be aware of the basic safety precautions, they would need to perform prior to touching the food and even encourage their colleagues to follow suit (Manning and Soon, 2016). Furthermore, I have obtained some new knowledge from my research which includes the fact that the margin for error in food preparation in the hospitality industry is very small because the slightest of mistakes by employees could result in detrimental effect on the consumers. Hospitality organizations also frequently undergo audits conducted by governmental authorities like the Food Standards Agency (FSA) in the UK.</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the future, I will try to practically apply such new skills and knowledge in my workplace. For example, I will try to abide by the food safety regulations that are expected of me at my workplace when I am preparing a meal for a customer. If I find that any of my colleagues is not following the recommended practice then I would try to convince them about the importance of food hygiene. When conducting my research, I watched a TED Talk on food safety fundamentals by Apple Long titled “Food Safety”. Personally, I think the talk relates to the notion that hospitality organizations should prioritise food safety since it helps to establish long-term trusting relationships with the customers. Particularly, during the ongoing Covid-19 pandemic, customers are becoming more conscious about choosing services that adhere to the food safety fundamentals.</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summarize, the four fundamentals or the 4C’s of food safety are cleaning, cooking, cross-contamination, and chilling. I have learnt some new skills like taking the initiative and being attentive to details which I will try to apply in my own workplace. Upon personal reflection, food safety fundamentals have great currency during this ongoing Covid-19 pandemic and also regarding organic sourcing of such food. </w:t>
            </w: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rFonts w:ascii="Tahoma" w:hAnsi="Tahoma" w:cs="Tahoma" w:eastAsia="Tahoma"/>
                <w:color w:val="auto"/>
                <w:spacing w:val="0"/>
                <w:position w:val="0"/>
                <w:sz w:val="20"/>
                <w:shd w:fill="auto" w:val="clear"/>
              </w:rPr>
            </w:pPr>
          </w:p>
          <w:p>
            <w:pPr>
              <w:spacing w:before="0" w:after="0" w:line="240"/>
              <w:ind w:right="0" w:left="0" w:firstLine="0"/>
              <w:jc w:val="both"/>
              <w:rPr>
                <w:color w:val="auto"/>
                <w:spacing w:val="0"/>
                <w:position w:val="0"/>
                <w:shd w:fill="auto" w:val="clear"/>
              </w:rPr>
            </w:pPr>
          </w:p>
        </w:tc>
      </w:tr>
    </w:tbl>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tbl>
      <w:tblPr/>
      <w:tblGrid>
        <w:gridCol w:w="10910"/>
        <w:gridCol w:w="272"/>
      </w:tblGrid>
      <w:tr>
        <w:trPr>
          <w:trHeight w:val="1" w:hRule="atLeast"/>
          <w:jc w:val="left"/>
        </w:trPr>
        <w:tc>
          <w:tcPr>
            <w:tcW w:w="10910"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ahoma" w:hAnsi="Tahoma" w:cs="Tahoma" w:eastAsia="Tahoma"/>
                <w:b/>
                <w:color w:val="auto"/>
                <w:spacing w:val="0"/>
                <w:position w:val="0"/>
                <w:sz w:val="20"/>
                <w:shd w:fill="auto" w:val="clear"/>
              </w:rPr>
              <w:t xml:space="preserve">REFERENCE LIST </w:t>
            </w:r>
          </w:p>
        </w:tc>
        <w:tc>
          <w:tcPr>
            <w:tcW w:w="272"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center"/>
              <w:rPr>
                <w:rFonts w:ascii="Tahoma" w:hAnsi="Tahoma" w:cs="Tahoma" w:eastAsia="Tahoma"/>
                <w:b/>
                <w:color w:val="auto"/>
                <w:spacing w:val="0"/>
                <w:position w:val="0"/>
                <w:sz w:val="20"/>
                <w:shd w:fill="auto" w:val="clear"/>
              </w:rPr>
            </w:pPr>
          </w:p>
          <w:p>
            <w:pPr>
              <w:spacing w:before="0" w:after="0" w:line="240"/>
              <w:ind w:right="0" w:left="0" w:firstLine="0"/>
              <w:jc w:val="center"/>
              <w:rPr>
                <w:color w:val="auto"/>
                <w:spacing w:val="0"/>
                <w:position w:val="0"/>
                <w:shd w:fill="auto" w:val="clear"/>
              </w:rPr>
            </w:pPr>
          </w:p>
        </w:tc>
      </w:tr>
      <w:tr>
        <w:trPr>
          <w:trHeight w:val="2494" w:hRule="auto"/>
          <w:jc w:val="left"/>
        </w:trPr>
        <w:tc>
          <w:tcPr>
            <w:tcW w:w="11182"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40" w:line="360"/>
              <w:ind w:right="0" w:left="0" w:firstLine="0"/>
              <w:jc w:val="both"/>
              <w:rPr>
                <w:rFonts w:ascii="Arial" w:hAnsi="Arial" w:cs="Arial" w:eastAsia="Arial"/>
                <w:color w:val="000000"/>
                <w:spacing w:val="0"/>
                <w:position w:val="0"/>
                <w:sz w:val="24"/>
                <w:shd w:fill="FFFFFF" w:val="clear"/>
              </w:rPr>
            </w:pPr>
          </w:p>
          <w:p>
            <w:pPr>
              <w:spacing w:before="0" w:after="24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Bartos, J. (2011). </w:t>
            </w:r>
            <w:r>
              <w:rPr>
                <w:rFonts w:ascii="Arial" w:hAnsi="Arial" w:cs="Arial" w:eastAsia="Arial"/>
                <w:i/>
                <w:color w:val="000000"/>
                <w:spacing w:val="0"/>
                <w:position w:val="0"/>
                <w:sz w:val="24"/>
                <w:shd w:fill="FFFFFF" w:val="clear"/>
              </w:rPr>
              <w:t xml:space="preserve">Food safety</w:t>
            </w:r>
            <w:r>
              <w:rPr>
                <w:rFonts w:ascii="Arial" w:hAnsi="Arial" w:cs="Arial" w:eastAsia="Arial"/>
                <w:color w:val="000000"/>
                <w:spacing w:val="0"/>
                <w:position w:val="0"/>
                <w:sz w:val="24"/>
                <w:shd w:fill="FFFFFF" w:val="clear"/>
              </w:rPr>
              <w:t xml:space="preserve">. Detroit: Greenhaven Press.</w:t>
            </w:r>
          </w:p>
          <w:p>
            <w:pPr>
              <w:spacing w:before="0" w:after="24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Gizaw, Z. (2019). Public health risks related to food safety issues in the food market: a systematic literature review. </w:t>
            </w:r>
            <w:r>
              <w:rPr>
                <w:rFonts w:ascii="Arial" w:hAnsi="Arial" w:cs="Arial" w:eastAsia="Arial"/>
                <w:i/>
                <w:color w:val="000000"/>
                <w:spacing w:val="0"/>
                <w:position w:val="0"/>
                <w:sz w:val="24"/>
                <w:shd w:fill="FFFFFF" w:val="clear"/>
              </w:rPr>
              <w:t xml:space="preserve">Environmental Health and Preventive Medicine</w:t>
            </w:r>
            <w:r>
              <w:rPr>
                <w:rFonts w:ascii="Arial" w:hAnsi="Arial" w:cs="Arial" w:eastAsia="Arial"/>
                <w:color w:val="000000"/>
                <w:spacing w:val="0"/>
                <w:position w:val="0"/>
                <w:sz w:val="24"/>
                <w:shd w:fill="FFFFFF" w:val="clear"/>
              </w:rPr>
              <w:t xml:space="preserve">, [online] 24(1). Available at: </w:t>
            </w:r>
            <w:hyperlink xmlns:r="http://schemas.openxmlformats.org/officeDocument/2006/relationships" r:id="docRId0">
              <w:r>
                <w:rPr>
                  <w:rFonts w:ascii="Arial" w:hAnsi="Arial" w:cs="Arial" w:eastAsia="Arial"/>
                  <w:color w:val="000000"/>
                  <w:spacing w:val="0"/>
                  <w:position w:val="0"/>
                  <w:sz w:val="24"/>
                  <w:u w:val="single"/>
                  <w:shd w:fill="FFFFFF" w:val="clear"/>
                </w:rPr>
                <w:t xml:space="preserve">https://environhealthprevmed.biomedcentral.com/articles/10.1186/s12199-019-0825-5</w:t>
              </w:r>
            </w:hyperlink>
            <w:r>
              <w:rPr>
                <w:rFonts w:ascii="Arial" w:hAnsi="Arial" w:cs="Arial" w:eastAsia="Arial"/>
                <w:color w:val="000000"/>
                <w:spacing w:val="0"/>
                <w:position w:val="0"/>
                <w:sz w:val="24"/>
                <w:shd w:fill="FFFFFF" w:val="clear"/>
              </w:rPr>
              <w:t xml:space="preserve">.</w:t>
            </w:r>
          </w:p>
          <w:p>
            <w:pPr>
              <w:spacing w:before="0" w:after="24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Healey, J. (2016). </w:t>
            </w:r>
            <w:r>
              <w:rPr>
                <w:rFonts w:ascii="Arial" w:hAnsi="Arial" w:cs="Arial" w:eastAsia="Arial"/>
                <w:i/>
                <w:color w:val="000000"/>
                <w:spacing w:val="0"/>
                <w:position w:val="0"/>
                <w:sz w:val="24"/>
                <w:shd w:fill="FFFFFF" w:val="clear"/>
              </w:rPr>
              <w:t xml:space="preserve">Food safety</w:t>
            </w:r>
            <w:r>
              <w:rPr>
                <w:rFonts w:ascii="Arial" w:hAnsi="Arial" w:cs="Arial" w:eastAsia="Arial"/>
                <w:color w:val="000000"/>
                <w:spacing w:val="0"/>
                <w:position w:val="0"/>
                <w:sz w:val="24"/>
                <w:shd w:fill="FFFFFF" w:val="clear"/>
              </w:rPr>
              <w:t xml:space="preserve">. Thirroul, N.S.W.: The Spinney Press.</w:t>
            </w:r>
          </w:p>
          <w:p>
            <w:pPr>
              <w:spacing w:before="0" w:after="24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Lee, S. (2012). </w:t>
            </w:r>
            <w:r>
              <w:rPr>
                <w:rFonts w:ascii="Arial" w:hAnsi="Arial" w:cs="Arial" w:eastAsia="Arial"/>
                <w:i/>
                <w:color w:val="000000"/>
                <w:spacing w:val="0"/>
                <w:position w:val="0"/>
                <w:sz w:val="24"/>
                <w:shd w:fill="FFFFFF" w:val="clear"/>
              </w:rPr>
              <w:t xml:space="preserve">Food safety</w:t>
            </w:r>
            <w:r>
              <w:rPr>
                <w:rFonts w:ascii="Arial" w:hAnsi="Arial" w:cs="Arial" w:eastAsia="Arial"/>
                <w:color w:val="000000"/>
                <w:spacing w:val="0"/>
                <w:position w:val="0"/>
                <w:sz w:val="24"/>
                <w:shd w:fill="FFFFFF" w:val="clear"/>
              </w:rPr>
              <w:t xml:space="preserve">. North Mankato, Minn.: Capstone Press.</w:t>
            </w:r>
          </w:p>
          <w:p>
            <w:pPr>
              <w:spacing w:before="0" w:after="24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Manning, L. and Soon, J.M. (2016). Food Safety, Food Fraud, and Food Defense: A Fast Evolving Literature. </w:t>
            </w:r>
            <w:r>
              <w:rPr>
                <w:rFonts w:ascii="Arial" w:hAnsi="Arial" w:cs="Arial" w:eastAsia="Arial"/>
                <w:i/>
                <w:color w:val="000000"/>
                <w:spacing w:val="0"/>
                <w:position w:val="0"/>
                <w:sz w:val="24"/>
                <w:shd w:fill="FFFFFF" w:val="clear"/>
              </w:rPr>
              <w:t xml:space="preserve">Journal of Food Science</w:t>
            </w:r>
            <w:r>
              <w:rPr>
                <w:rFonts w:ascii="Arial" w:hAnsi="Arial" w:cs="Arial" w:eastAsia="Arial"/>
                <w:color w:val="000000"/>
                <w:spacing w:val="0"/>
                <w:position w:val="0"/>
                <w:sz w:val="24"/>
                <w:shd w:fill="FFFFFF" w:val="clear"/>
              </w:rPr>
              <w:t xml:space="preserve">, 81(4), pp.R823</w:t>
            </w:r>
            <w:r>
              <w:rPr>
                <w:rFonts w:ascii="Arial" w:hAnsi="Arial" w:cs="Arial" w:eastAsia="Arial"/>
                <w:color w:val="000000"/>
                <w:spacing w:val="0"/>
                <w:position w:val="0"/>
                <w:sz w:val="24"/>
                <w:shd w:fill="FFFFFF" w:val="clear"/>
              </w:rPr>
              <w:t xml:space="preserve">–</w:t>
            </w:r>
            <w:r>
              <w:rPr>
                <w:rFonts w:ascii="Arial" w:hAnsi="Arial" w:cs="Arial" w:eastAsia="Arial"/>
                <w:color w:val="000000"/>
                <w:spacing w:val="0"/>
                <w:position w:val="0"/>
                <w:sz w:val="24"/>
                <w:shd w:fill="FFFFFF" w:val="clear"/>
              </w:rPr>
              <w:t xml:space="preserve">R834.</w:t>
            </w:r>
          </w:p>
          <w:p>
            <w:pPr>
              <w:spacing w:before="0" w:after="24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Newslow, D. (2014). </w:t>
            </w:r>
            <w:r>
              <w:rPr>
                <w:rFonts w:ascii="Arial" w:hAnsi="Arial" w:cs="Arial" w:eastAsia="Arial"/>
                <w:i/>
                <w:color w:val="000000"/>
                <w:spacing w:val="0"/>
                <w:position w:val="0"/>
                <w:sz w:val="24"/>
                <w:shd w:fill="FFFFFF" w:val="clear"/>
              </w:rPr>
              <w:t xml:space="preserve">Food safety management programs : applications, best practices, and compliance</w:t>
            </w:r>
            <w:r>
              <w:rPr>
                <w:rFonts w:ascii="Arial" w:hAnsi="Arial" w:cs="Arial" w:eastAsia="Arial"/>
                <w:color w:val="000000"/>
                <w:spacing w:val="0"/>
                <w:position w:val="0"/>
                <w:sz w:val="24"/>
                <w:shd w:fill="FFFFFF" w:val="clear"/>
              </w:rPr>
              <w:t xml:space="preserve">. Boca Raton: Crc Press, Taylor &amp; Francis Group.</w:t>
            </w:r>
          </w:p>
          <w:p>
            <w:pPr>
              <w:spacing w:before="0" w:after="0" w:line="240"/>
              <w:ind w:right="0" w:left="0" w:firstLine="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left"/>
              <w:rPr>
                <w:spacing w:val="0"/>
                <w:position w:val="0"/>
              </w:rPr>
            </w:pPr>
          </w:p>
        </w:tc>
      </w:tr>
    </w:tbl>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environhealthprevmed.biomedcentral.com/articles/10.1186/s12199-019-0825-5" Id="docRId0" Type="http://schemas.openxmlformats.org/officeDocument/2006/relationships/hyperlink" /><Relationship Target="numbering.xml" Id="docRId1" Type="http://schemas.openxmlformats.org/officeDocument/2006/relationships/numbering" /><Relationship Target="styles.xml" Id="docRId2" Type="http://schemas.openxmlformats.org/officeDocument/2006/relationships/styles" /></Relationships>
</file>