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040714" w14:textId="73834370" w:rsidR="00467A47" w:rsidRPr="00797AAB" w:rsidRDefault="00467A47" w:rsidP="00467A47">
      <w:pPr>
        <w:spacing w:line="360" w:lineRule="auto"/>
        <w:jc w:val="both"/>
        <w:rPr>
          <w:b/>
          <w:bCs/>
          <w:sz w:val="30"/>
          <w:szCs w:val="30"/>
        </w:rPr>
      </w:pPr>
    </w:p>
    <w:p w14:paraId="4B904D07" w14:textId="77777777" w:rsidR="00467A47" w:rsidRPr="00797AAB" w:rsidRDefault="00467A47" w:rsidP="00467A47">
      <w:pPr>
        <w:spacing w:line="360" w:lineRule="auto"/>
        <w:jc w:val="both"/>
        <w:rPr>
          <w:b/>
          <w:bCs/>
          <w:sz w:val="30"/>
          <w:szCs w:val="30"/>
        </w:rPr>
      </w:pPr>
    </w:p>
    <w:p w14:paraId="79E7D94F" w14:textId="77777777" w:rsidR="00467A47" w:rsidRPr="00797AAB" w:rsidRDefault="00467A47" w:rsidP="00467A47">
      <w:pPr>
        <w:spacing w:line="360" w:lineRule="auto"/>
        <w:jc w:val="center"/>
        <w:rPr>
          <w:b/>
          <w:bCs/>
          <w:sz w:val="30"/>
          <w:szCs w:val="30"/>
        </w:rPr>
      </w:pPr>
    </w:p>
    <w:p w14:paraId="4E88AEC0" w14:textId="77777777" w:rsidR="00467A47" w:rsidRPr="00797AAB" w:rsidRDefault="00467A47" w:rsidP="00467A47">
      <w:pPr>
        <w:spacing w:line="360" w:lineRule="auto"/>
        <w:jc w:val="center"/>
        <w:rPr>
          <w:b/>
          <w:bCs/>
          <w:sz w:val="30"/>
          <w:szCs w:val="30"/>
        </w:rPr>
      </w:pPr>
      <w:r w:rsidRPr="00797AAB">
        <w:rPr>
          <w:b/>
          <w:bCs/>
          <w:sz w:val="30"/>
          <w:szCs w:val="30"/>
        </w:rPr>
        <w:t>Module Name: Introduction to Health and Social Care</w:t>
      </w:r>
    </w:p>
    <w:p w14:paraId="6CA4C9BF" w14:textId="77777777" w:rsidR="00467A47" w:rsidRPr="00797AAB" w:rsidRDefault="00467A47" w:rsidP="00467A47">
      <w:pPr>
        <w:spacing w:line="360" w:lineRule="auto"/>
        <w:jc w:val="center"/>
        <w:rPr>
          <w:b/>
          <w:bCs/>
          <w:sz w:val="30"/>
          <w:szCs w:val="30"/>
        </w:rPr>
      </w:pPr>
      <w:r w:rsidRPr="00797AAB">
        <w:rPr>
          <w:b/>
          <w:bCs/>
          <w:sz w:val="30"/>
          <w:szCs w:val="30"/>
        </w:rPr>
        <w:t>Module Code: LCHS4003</w:t>
      </w:r>
    </w:p>
    <w:p w14:paraId="08DCA7F7" w14:textId="2DCE24A8" w:rsidR="00467A47" w:rsidRPr="00797AAB" w:rsidRDefault="00467A47" w:rsidP="00467A47">
      <w:pPr>
        <w:spacing w:line="360" w:lineRule="auto"/>
        <w:jc w:val="center"/>
        <w:rPr>
          <w:i/>
          <w:iCs/>
          <w:sz w:val="30"/>
          <w:szCs w:val="30"/>
        </w:rPr>
      </w:pPr>
      <w:r w:rsidRPr="00797AAB">
        <w:rPr>
          <w:b/>
          <w:bCs/>
          <w:sz w:val="30"/>
          <w:szCs w:val="30"/>
        </w:rPr>
        <w:t xml:space="preserve">Title: </w:t>
      </w:r>
      <w:r w:rsidRPr="00797AAB">
        <w:rPr>
          <w:i/>
          <w:iCs/>
          <w:sz w:val="30"/>
          <w:szCs w:val="30"/>
        </w:rPr>
        <w:t>“Portfolio – Two Tasks: Evaluation of Pharmacy Services and Community disability services in the Context of UK Health Care Systems”</w:t>
      </w:r>
    </w:p>
    <w:p w14:paraId="142460B6" w14:textId="22CFC652" w:rsidR="00467A47" w:rsidRPr="00797AAB" w:rsidRDefault="00467A47" w:rsidP="00467A47">
      <w:pPr>
        <w:spacing w:line="360" w:lineRule="auto"/>
        <w:jc w:val="center"/>
        <w:rPr>
          <w:b/>
          <w:bCs/>
          <w:sz w:val="30"/>
          <w:szCs w:val="30"/>
        </w:rPr>
      </w:pPr>
      <w:r w:rsidRPr="00797AAB">
        <w:rPr>
          <w:b/>
          <w:bCs/>
          <w:sz w:val="30"/>
          <w:szCs w:val="30"/>
        </w:rPr>
        <w:t xml:space="preserve">Lecturer’s Name:  </w:t>
      </w:r>
      <w:r w:rsidR="00AF6CBA">
        <w:rPr>
          <w:b/>
          <w:bCs/>
          <w:sz w:val="30"/>
          <w:szCs w:val="30"/>
        </w:rPr>
        <w:t xml:space="preserve">Vivian </w:t>
      </w:r>
      <w:proofErr w:type="spellStart"/>
      <w:r w:rsidR="00AF6CBA">
        <w:rPr>
          <w:b/>
          <w:bCs/>
          <w:sz w:val="30"/>
          <w:szCs w:val="30"/>
        </w:rPr>
        <w:t>Osuchukwu</w:t>
      </w:r>
      <w:proofErr w:type="spellEnd"/>
    </w:p>
    <w:p w14:paraId="529EDF83" w14:textId="77777777" w:rsidR="00467A47" w:rsidRPr="00797AAB" w:rsidRDefault="00467A47" w:rsidP="00467A47">
      <w:pPr>
        <w:spacing w:line="360" w:lineRule="auto"/>
        <w:jc w:val="center"/>
        <w:rPr>
          <w:b/>
          <w:bCs/>
          <w:sz w:val="30"/>
          <w:szCs w:val="30"/>
        </w:rPr>
      </w:pPr>
      <w:r w:rsidRPr="00797AAB">
        <w:rPr>
          <w:b/>
          <w:bCs/>
          <w:sz w:val="30"/>
          <w:szCs w:val="30"/>
        </w:rPr>
        <w:t>Portfolio – Two Tasks</w:t>
      </w:r>
    </w:p>
    <w:p w14:paraId="33F183AD" w14:textId="1E46C81C" w:rsidR="00467A47" w:rsidRPr="00797AAB" w:rsidRDefault="00467A47" w:rsidP="00467A47">
      <w:pPr>
        <w:spacing w:line="360" w:lineRule="auto"/>
        <w:jc w:val="center"/>
        <w:rPr>
          <w:b/>
          <w:bCs/>
          <w:sz w:val="30"/>
          <w:szCs w:val="30"/>
        </w:rPr>
      </w:pPr>
      <w:r w:rsidRPr="00797AAB">
        <w:rPr>
          <w:b/>
          <w:bCs/>
          <w:sz w:val="30"/>
          <w:szCs w:val="30"/>
        </w:rPr>
        <w:t>Student Name:</w:t>
      </w:r>
      <w:r w:rsidR="00AF6CBA">
        <w:rPr>
          <w:b/>
          <w:bCs/>
          <w:sz w:val="30"/>
          <w:szCs w:val="30"/>
        </w:rPr>
        <w:t xml:space="preserve"> Laura-Victoria Nicolaescu</w:t>
      </w:r>
    </w:p>
    <w:p w14:paraId="53554A94" w14:textId="3C88124A" w:rsidR="00467A47" w:rsidRPr="00797AAB" w:rsidRDefault="00467A47" w:rsidP="00467A47">
      <w:pPr>
        <w:spacing w:line="360" w:lineRule="auto"/>
        <w:jc w:val="center"/>
        <w:rPr>
          <w:b/>
          <w:bCs/>
          <w:sz w:val="30"/>
          <w:szCs w:val="30"/>
        </w:rPr>
      </w:pPr>
      <w:r w:rsidRPr="00797AAB">
        <w:rPr>
          <w:b/>
          <w:bCs/>
          <w:sz w:val="30"/>
          <w:szCs w:val="30"/>
        </w:rPr>
        <w:t>Student ID:</w:t>
      </w:r>
      <w:r w:rsidR="00530306">
        <w:rPr>
          <w:b/>
          <w:bCs/>
          <w:sz w:val="30"/>
          <w:szCs w:val="30"/>
        </w:rPr>
        <w:t xml:space="preserve"> 2512067</w:t>
      </w:r>
    </w:p>
    <w:p w14:paraId="642454BD" w14:textId="77777777" w:rsidR="00467A47" w:rsidRPr="00797AAB" w:rsidRDefault="00467A47" w:rsidP="00467A47">
      <w:pPr>
        <w:spacing w:line="360" w:lineRule="auto"/>
        <w:rPr>
          <w:b/>
          <w:bCs/>
          <w:kern w:val="2"/>
          <w:sz w:val="28"/>
          <w:szCs w:val="28"/>
          <w:lang w:eastAsia="en-US"/>
          <w14:ligatures w14:val="standardContextual"/>
        </w:rPr>
      </w:pPr>
      <w:bookmarkStart w:id="0" w:name="_miuvk0xz9pjv" w:colFirst="0" w:colLast="0"/>
      <w:bookmarkEnd w:id="0"/>
      <w:r w:rsidRPr="00797AAB">
        <w:br w:type="page"/>
      </w:r>
    </w:p>
    <w:sdt>
      <w:sdtPr>
        <w:rPr>
          <w:rFonts w:ascii="Arial" w:eastAsia="Arial" w:hAnsi="Arial" w:cs="Arial"/>
          <w:color w:val="auto"/>
          <w:sz w:val="22"/>
          <w:szCs w:val="22"/>
          <w:lang w:val="en-GB" w:eastAsia="en-IN"/>
        </w:rPr>
        <w:id w:val="1683931155"/>
        <w:docPartObj>
          <w:docPartGallery w:val="Table of Contents"/>
          <w:docPartUnique/>
        </w:docPartObj>
      </w:sdtPr>
      <w:sdtEndPr>
        <w:rPr>
          <w:b/>
          <w:bCs/>
        </w:rPr>
      </w:sdtEndPr>
      <w:sdtContent>
        <w:p w14:paraId="49D8FDD6" w14:textId="5531CDDC" w:rsidR="00467A47" w:rsidRPr="00797AAB" w:rsidRDefault="00467A47" w:rsidP="00467A47">
          <w:pPr>
            <w:pStyle w:val="TOCHeading"/>
            <w:spacing w:before="0" w:line="360" w:lineRule="auto"/>
            <w:rPr>
              <w:lang w:val="en-GB"/>
            </w:rPr>
          </w:pPr>
          <w:r w:rsidRPr="00797AAB">
            <w:rPr>
              <w:lang w:val="en-GB"/>
            </w:rPr>
            <w:t>Table of Contents</w:t>
          </w:r>
        </w:p>
        <w:p w14:paraId="7DD33160" w14:textId="15828685" w:rsidR="00467A47" w:rsidRPr="00797AAB" w:rsidRDefault="00467A47">
          <w:pPr>
            <w:pStyle w:val="TOC1"/>
            <w:tabs>
              <w:tab w:val="right" w:leader="dot" w:pos="9350"/>
            </w:tabs>
            <w:rPr>
              <w:rFonts w:asciiTheme="minorHAnsi" w:eastAsiaTheme="minorEastAsia" w:hAnsiTheme="minorHAnsi" w:cstheme="minorBidi"/>
              <w:kern w:val="2"/>
              <w:sz w:val="24"/>
              <w:szCs w:val="24"/>
              <w14:ligatures w14:val="standardContextual"/>
            </w:rPr>
          </w:pPr>
          <w:r w:rsidRPr="00797AAB">
            <w:fldChar w:fldCharType="begin"/>
          </w:r>
          <w:r w:rsidRPr="00797AAB">
            <w:instrText xml:space="preserve"> TOC \o "1-3" \h \z \u </w:instrText>
          </w:r>
          <w:r w:rsidRPr="00797AAB">
            <w:fldChar w:fldCharType="separate"/>
          </w:r>
          <w:hyperlink w:anchor="_Toc232856587" w:history="1">
            <w:r w:rsidRPr="00797AAB">
              <w:rPr>
                <w:rStyle w:val="Hyperlink"/>
              </w:rPr>
              <w:t>Task 1</w:t>
            </w:r>
            <w:r w:rsidRPr="00797AAB">
              <w:rPr>
                <w:webHidden/>
              </w:rPr>
              <w:tab/>
            </w:r>
            <w:r w:rsidRPr="00797AAB">
              <w:rPr>
                <w:webHidden/>
              </w:rPr>
              <w:fldChar w:fldCharType="begin"/>
            </w:r>
            <w:r w:rsidRPr="00797AAB">
              <w:rPr>
                <w:webHidden/>
              </w:rPr>
              <w:instrText xml:space="preserve"> PAGEREF _Toc232856587 \h </w:instrText>
            </w:r>
            <w:r w:rsidRPr="00797AAB">
              <w:rPr>
                <w:webHidden/>
              </w:rPr>
            </w:r>
            <w:r w:rsidRPr="00797AAB">
              <w:rPr>
                <w:webHidden/>
              </w:rPr>
              <w:fldChar w:fldCharType="separate"/>
            </w:r>
            <w:r w:rsidRPr="00797AAB">
              <w:rPr>
                <w:webHidden/>
              </w:rPr>
              <w:t>5</w:t>
            </w:r>
            <w:r w:rsidRPr="00797AAB">
              <w:rPr>
                <w:webHidden/>
              </w:rPr>
              <w:fldChar w:fldCharType="end"/>
            </w:r>
          </w:hyperlink>
        </w:p>
        <w:p w14:paraId="2A1A3A6B" w14:textId="0A7437FB" w:rsidR="00467A47" w:rsidRPr="00797AAB" w:rsidRDefault="00467A47">
          <w:pPr>
            <w:pStyle w:val="TOC2"/>
            <w:tabs>
              <w:tab w:val="right" w:leader="dot" w:pos="9350"/>
            </w:tabs>
            <w:rPr>
              <w:rFonts w:asciiTheme="minorHAnsi" w:eastAsiaTheme="minorEastAsia" w:hAnsiTheme="minorHAnsi" w:cstheme="minorBidi"/>
              <w:kern w:val="2"/>
              <w:sz w:val="24"/>
              <w:szCs w:val="24"/>
              <w14:ligatures w14:val="standardContextual"/>
            </w:rPr>
          </w:pPr>
          <w:hyperlink w:anchor="_Toc232856588" w:history="1">
            <w:r w:rsidRPr="00797AAB">
              <w:rPr>
                <w:rStyle w:val="Hyperlink"/>
              </w:rPr>
              <w:t>Introduction</w:t>
            </w:r>
            <w:r w:rsidRPr="00797AAB">
              <w:rPr>
                <w:webHidden/>
              </w:rPr>
              <w:tab/>
            </w:r>
            <w:r w:rsidRPr="00797AAB">
              <w:rPr>
                <w:webHidden/>
              </w:rPr>
              <w:fldChar w:fldCharType="begin"/>
            </w:r>
            <w:r w:rsidRPr="00797AAB">
              <w:rPr>
                <w:webHidden/>
              </w:rPr>
              <w:instrText xml:space="preserve"> PAGEREF _Toc232856588 \h </w:instrText>
            </w:r>
            <w:r w:rsidRPr="00797AAB">
              <w:rPr>
                <w:webHidden/>
              </w:rPr>
            </w:r>
            <w:r w:rsidRPr="00797AAB">
              <w:rPr>
                <w:webHidden/>
              </w:rPr>
              <w:fldChar w:fldCharType="separate"/>
            </w:r>
            <w:r w:rsidRPr="00797AAB">
              <w:rPr>
                <w:webHidden/>
              </w:rPr>
              <w:t>5</w:t>
            </w:r>
            <w:r w:rsidRPr="00797AAB">
              <w:rPr>
                <w:webHidden/>
              </w:rPr>
              <w:fldChar w:fldCharType="end"/>
            </w:r>
          </w:hyperlink>
        </w:p>
        <w:p w14:paraId="4B3FEF2A" w14:textId="7D5898E2" w:rsidR="00467A47" w:rsidRPr="00797AAB" w:rsidRDefault="00467A47">
          <w:pPr>
            <w:pStyle w:val="TOC2"/>
            <w:tabs>
              <w:tab w:val="right" w:leader="dot" w:pos="9350"/>
            </w:tabs>
            <w:rPr>
              <w:rFonts w:asciiTheme="minorHAnsi" w:eastAsiaTheme="minorEastAsia" w:hAnsiTheme="minorHAnsi" w:cstheme="minorBidi"/>
              <w:kern w:val="2"/>
              <w:sz w:val="24"/>
              <w:szCs w:val="24"/>
              <w14:ligatures w14:val="standardContextual"/>
            </w:rPr>
          </w:pPr>
          <w:hyperlink w:anchor="_Toc232856589" w:history="1">
            <w:r w:rsidRPr="00797AAB">
              <w:rPr>
                <w:rStyle w:val="Hyperlink"/>
              </w:rPr>
              <w:t>Explanation of the healthcare service</w:t>
            </w:r>
            <w:r w:rsidRPr="00797AAB">
              <w:rPr>
                <w:webHidden/>
              </w:rPr>
              <w:tab/>
            </w:r>
            <w:r w:rsidRPr="00797AAB">
              <w:rPr>
                <w:webHidden/>
              </w:rPr>
              <w:fldChar w:fldCharType="begin"/>
            </w:r>
            <w:r w:rsidRPr="00797AAB">
              <w:rPr>
                <w:webHidden/>
              </w:rPr>
              <w:instrText xml:space="preserve"> PAGEREF _Toc232856589 \h </w:instrText>
            </w:r>
            <w:r w:rsidRPr="00797AAB">
              <w:rPr>
                <w:webHidden/>
              </w:rPr>
            </w:r>
            <w:r w:rsidRPr="00797AAB">
              <w:rPr>
                <w:webHidden/>
              </w:rPr>
              <w:fldChar w:fldCharType="separate"/>
            </w:r>
            <w:r w:rsidRPr="00797AAB">
              <w:rPr>
                <w:webHidden/>
              </w:rPr>
              <w:t>5</w:t>
            </w:r>
            <w:r w:rsidRPr="00797AAB">
              <w:rPr>
                <w:webHidden/>
              </w:rPr>
              <w:fldChar w:fldCharType="end"/>
            </w:r>
          </w:hyperlink>
        </w:p>
        <w:p w14:paraId="6EC7055B" w14:textId="2C7B4D42" w:rsidR="00467A47" w:rsidRPr="00797AAB" w:rsidRDefault="00467A47">
          <w:pPr>
            <w:pStyle w:val="TOC2"/>
            <w:tabs>
              <w:tab w:val="right" w:leader="dot" w:pos="9350"/>
            </w:tabs>
            <w:rPr>
              <w:rFonts w:asciiTheme="minorHAnsi" w:eastAsiaTheme="minorEastAsia" w:hAnsiTheme="minorHAnsi" w:cstheme="minorBidi"/>
              <w:kern w:val="2"/>
              <w:sz w:val="24"/>
              <w:szCs w:val="24"/>
              <w14:ligatures w14:val="standardContextual"/>
            </w:rPr>
          </w:pPr>
          <w:hyperlink w:anchor="_Toc232856590" w:history="1">
            <w:r w:rsidRPr="00797AAB">
              <w:rPr>
                <w:rStyle w:val="Hyperlink"/>
              </w:rPr>
              <w:t>A brief history of the service</w:t>
            </w:r>
            <w:r w:rsidRPr="00797AAB">
              <w:rPr>
                <w:webHidden/>
              </w:rPr>
              <w:tab/>
            </w:r>
            <w:r w:rsidRPr="00797AAB">
              <w:rPr>
                <w:webHidden/>
              </w:rPr>
              <w:fldChar w:fldCharType="begin"/>
            </w:r>
            <w:r w:rsidRPr="00797AAB">
              <w:rPr>
                <w:webHidden/>
              </w:rPr>
              <w:instrText xml:space="preserve"> PAGEREF _Toc232856590 \h </w:instrText>
            </w:r>
            <w:r w:rsidRPr="00797AAB">
              <w:rPr>
                <w:webHidden/>
              </w:rPr>
            </w:r>
            <w:r w:rsidRPr="00797AAB">
              <w:rPr>
                <w:webHidden/>
              </w:rPr>
              <w:fldChar w:fldCharType="separate"/>
            </w:r>
            <w:r w:rsidRPr="00797AAB">
              <w:rPr>
                <w:webHidden/>
              </w:rPr>
              <w:t>7</w:t>
            </w:r>
            <w:r w:rsidRPr="00797AAB">
              <w:rPr>
                <w:webHidden/>
              </w:rPr>
              <w:fldChar w:fldCharType="end"/>
            </w:r>
          </w:hyperlink>
        </w:p>
        <w:p w14:paraId="642571DC" w14:textId="36C40887" w:rsidR="00467A47" w:rsidRPr="00797AAB" w:rsidRDefault="00467A47">
          <w:pPr>
            <w:pStyle w:val="TOC2"/>
            <w:tabs>
              <w:tab w:val="right" w:leader="dot" w:pos="9350"/>
            </w:tabs>
            <w:rPr>
              <w:rFonts w:asciiTheme="minorHAnsi" w:eastAsiaTheme="minorEastAsia" w:hAnsiTheme="minorHAnsi" w:cstheme="minorBidi"/>
              <w:kern w:val="2"/>
              <w:sz w:val="24"/>
              <w:szCs w:val="24"/>
              <w14:ligatures w14:val="standardContextual"/>
            </w:rPr>
          </w:pPr>
          <w:hyperlink w:anchor="_Toc232856591" w:history="1">
            <w:r w:rsidRPr="00797AAB">
              <w:rPr>
                <w:rStyle w:val="Hyperlink"/>
              </w:rPr>
              <w:t>Current functioning of the service</w:t>
            </w:r>
            <w:r w:rsidRPr="00797AAB">
              <w:rPr>
                <w:webHidden/>
              </w:rPr>
              <w:tab/>
            </w:r>
            <w:r w:rsidRPr="00797AAB">
              <w:rPr>
                <w:webHidden/>
              </w:rPr>
              <w:fldChar w:fldCharType="begin"/>
            </w:r>
            <w:r w:rsidRPr="00797AAB">
              <w:rPr>
                <w:webHidden/>
              </w:rPr>
              <w:instrText xml:space="preserve"> PAGEREF _Toc232856591 \h </w:instrText>
            </w:r>
            <w:r w:rsidRPr="00797AAB">
              <w:rPr>
                <w:webHidden/>
              </w:rPr>
            </w:r>
            <w:r w:rsidRPr="00797AAB">
              <w:rPr>
                <w:webHidden/>
              </w:rPr>
              <w:fldChar w:fldCharType="separate"/>
            </w:r>
            <w:r w:rsidRPr="00797AAB">
              <w:rPr>
                <w:webHidden/>
              </w:rPr>
              <w:t>8</w:t>
            </w:r>
            <w:r w:rsidRPr="00797AAB">
              <w:rPr>
                <w:webHidden/>
              </w:rPr>
              <w:fldChar w:fldCharType="end"/>
            </w:r>
          </w:hyperlink>
        </w:p>
        <w:p w14:paraId="0B8E043B" w14:textId="0D17C8A7" w:rsidR="00467A47" w:rsidRPr="00797AAB" w:rsidRDefault="00467A47">
          <w:pPr>
            <w:pStyle w:val="TOC2"/>
            <w:tabs>
              <w:tab w:val="right" w:leader="dot" w:pos="9350"/>
            </w:tabs>
            <w:rPr>
              <w:rFonts w:asciiTheme="minorHAnsi" w:eastAsiaTheme="minorEastAsia" w:hAnsiTheme="minorHAnsi" w:cstheme="minorBidi"/>
              <w:kern w:val="2"/>
              <w:sz w:val="24"/>
              <w:szCs w:val="24"/>
              <w14:ligatures w14:val="standardContextual"/>
            </w:rPr>
          </w:pPr>
          <w:hyperlink w:anchor="_Toc232856592" w:history="1">
            <w:r w:rsidRPr="00797AAB">
              <w:rPr>
                <w:rStyle w:val="Hyperlink"/>
              </w:rPr>
              <w:t>Two challenges faced by the service</w:t>
            </w:r>
            <w:r w:rsidRPr="00797AAB">
              <w:rPr>
                <w:webHidden/>
              </w:rPr>
              <w:tab/>
            </w:r>
            <w:r w:rsidRPr="00797AAB">
              <w:rPr>
                <w:webHidden/>
              </w:rPr>
              <w:fldChar w:fldCharType="begin"/>
            </w:r>
            <w:r w:rsidRPr="00797AAB">
              <w:rPr>
                <w:webHidden/>
              </w:rPr>
              <w:instrText xml:space="preserve"> PAGEREF _Toc232856592 \h </w:instrText>
            </w:r>
            <w:r w:rsidRPr="00797AAB">
              <w:rPr>
                <w:webHidden/>
              </w:rPr>
            </w:r>
            <w:r w:rsidRPr="00797AAB">
              <w:rPr>
                <w:webHidden/>
              </w:rPr>
              <w:fldChar w:fldCharType="separate"/>
            </w:r>
            <w:r w:rsidRPr="00797AAB">
              <w:rPr>
                <w:webHidden/>
              </w:rPr>
              <w:t>9</w:t>
            </w:r>
            <w:r w:rsidRPr="00797AAB">
              <w:rPr>
                <w:webHidden/>
              </w:rPr>
              <w:fldChar w:fldCharType="end"/>
            </w:r>
          </w:hyperlink>
        </w:p>
        <w:p w14:paraId="6244EFD9" w14:textId="213B05A8" w:rsidR="00467A47" w:rsidRPr="00797AAB" w:rsidRDefault="00467A47">
          <w:pPr>
            <w:pStyle w:val="TOC2"/>
            <w:tabs>
              <w:tab w:val="right" w:leader="dot" w:pos="9350"/>
            </w:tabs>
            <w:rPr>
              <w:rFonts w:asciiTheme="minorHAnsi" w:eastAsiaTheme="minorEastAsia" w:hAnsiTheme="minorHAnsi" w:cstheme="minorBidi"/>
              <w:kern w:val="2"/>
              <w:sz w:val="24"/>
              <w:szCs w:val="24"/>
              <w14:ligatures w14:val="standardContextual"/>
            </w:rPr>
          </w:pPr>
          <w:hyperlink w:anchor="_Toc232856593" w:history="1">
            <w:r w:rsidRPr="00797AAB">
              <w:rPr>
                <w:rStyle w:val="Hyperlink"/>
              </w:rPr>
              <w:t>Conclusion</w:t>
            </w:r>
            <w:r w:rsidRPr="00797AAB">
              <w:rPr>
                <w:webHidden/>
              </w:rPr>
              <w:tab/>
            </w:r>
            <w:r w:rsidRPr="00797AAB">
              <w:rPr>
                <w:webHidden/>
              </w:rPr>
              <w:fldChar w:fldCharType="begin"/>
            </w:r>
            <w:r w:rsidRPr="00797AAB">
              <w:rPr>
                <w:webHidden/>
              </w:rPr>
              <w:instrText xml:space="preserve"> PAGEREF _Toc232856593 \h </w:instrText>
            </w:r>
            <w:r w:rsidRPr="00797AAB">
              <w:rPr>
                <w:webHidden/>
              </w:rPr>
            </w:r>
            <w:r w:rsidRPr="00797AAB">
              <w:rPr>
                <w:webHidden/>
              </w:rPr>
              <w:fldChar w:fldCharType="separate"/>
            </w:r>
            <w:r w:rsidRPr="00797AAB">
              <w:rPr>
                <w:webHidden/>
              </w:rPr>
              <w:t>10</w:t>
            </w:r>
            <w:r w:rsidRPr="00797AAB">
              <w:rPr>
                <w:webHidden/>
              </w:rPr>
              <w:fldChar w:fldCharType="end"/>
            </w:r>
          </w:hyperlink>
        </w:p>
        <w:p w14:paraId="09B23C51" w14:textId="7EF659B1" w:rsidR="00467A47" w:rsidRPr="00797AAB" w:rsidRDefault="00467A47">
          <w:pPr>
            <w:pStyle w:val="TOC1"/>
            <w:tabs>
              <w:tab w:val="right" w:leader="dot" w:pos="9350"/>
            </w:tabs>
            <w:rPr>
              <w:rFonts w:asciiTheme="minorHAnsi" w:eastAsiaTheme="minorEastAsia" w:hAnsiTheme="minorHAnsi" w:cstheme="minorBidi"/>
              <w:kern w:val="2"/>
              <w:sz w:val="24"/>
              <w:szCs w:val="24"/>
              <w14:ligatures w14:val="standardContextual"/>
            </w:rPr>
          </w:pPr>
          <w:hyperlink w:anchor="_Toc232856594" w:history="1">
            <w:r w:rsidRPr="00797AAB">
              <w:rPr>
                <w:rStyle w:val="Hyperlink"/>
              </w:rPr>
              <w:t>Task 2: Essay</w:t>
            </w:r>
            <w:r w:rsidRPr="00797AAB">
              <w:rPr>
                <w:webHidden/>
              </w:rPr>
              <w:tab/>
            </w:r>
            <w:r w:rsidRPr="00797AAB">
              <w:rPr>
                <w:webHidden/>
              </w:rPr>
              <w:fldChar w:fldCharType="begin"/>
            </w:r>
            <w:r w:rsidRPr="00797AAB">
              <w:rPr>
                <w:webHidden/>
              </w:rPr>
              <w:instrText xml:space="preserve"> PAGEREF _Toc232856594 \h </w:instrText>
            </w:r>
            <w:r w:rsidRPr="00797AAB">
              <w:rPr>
                <w:webHidden/>
              </w:rPr>
            </w:r>
            <w:r w:rsidRPr="00797AAB">
              <w:rPr>
                <w:webHidden/>
              </w:rPr>
              <w:fldChar w:fldCharType="separate"/>
            </w:r>
            <w:r w:rsidRPr="00797AAB">
              <w:rPr>
                <w:webHidden/>
              </w:rPr>
              <w:t>11</w:t>
            </w:r>
            <w:r w:rsidRPr="00797AAB">
              <w:rPr>
                <w:webHidden/>
              </w:rPr>
              <w:fldChar w:fldCharType="end"/>
            </w:r>
          </w:hyperlink>
        </w:p>
        <w:p w14:paraId="15C092CB" w14:textId="4DE52593" w:rsidR="00467A47" w:rsidRPr="00797AAB" w:rsidRDefault="00467A47">
          <w:pPr>
            <w:pStyle w:val="TOC1"/>
            <w:tabs>
              <w:tab w:val="right" w:leader="dot" w:pos="9350"/>
            </w:tabs>
            <w:rPr>
              <w:rFonts w:asciiTheme="minorHAnsi" w:eastAsiaTheme="minorEastAsia" w:hAnsiTheme="minorHAnsi" w:cstheme="minorBidi"/>
              <w:kern w:val="2"/>
              <w:sz w:val="24"/>
              <w:szCs w:val="24"/>
              <w14:ligatures w14:val="standardContextual"/>
            </w:rPr>
          </w:pPr>
          <w:hyperlink w:anchor="_Toc232856595" w:history="1">
            <w:r w:rsidRPr="00797AAB">
              <w:rPr>
                <w:rStyle w:val="Hyperlink"/>
              </w:rPr>
              <w:t>References</w:t>
            </w:r>
            <w:r w:rsidRPr="00797AAB">
              <w:rPr>
                <w:webHidden/>
              </w:rPr>
              <w:tab/>
            </w:r>
            <w:r w:rsidRPr="00797AAB">
              <w:rPr>
                <w:webHidden/>
              </w:rPr>
              <w:fldChar w:fldCharType="begin"/>
            </w:r>
            <w:r w:rsidRPr="00797AAB">
              <w:rPr>
                <w:webHidden/>
              </w:rPr>
              <w:instrText xml:space="preserve"> PAGEREF _Toc232856595 \h </w:instrText>
            </w:r>
            <w:r w:rsidRPr="00797AAB">
              <w:rPr>
                <w:webHidden/>
              </w:rPr>
            </w:r>
            <w:r w:rsidRPr="00797AAB">
              <w:rPr>
                <w:webHidden/>
              </w:rPr>
              <w:fldChar w:fldCharType="separate"/>
            </w:r>
            <w:r w:rsidRPr="00797AAB">
              <w:rPr>
                <w:webHidden/>
              </w:rPr>
              <w:t>13</w:t>
            </w:r>
            <w:r w:rsidRPr="00797AAB">
              <w:rPr>
                <w:webHidden/>
              </w:rPr>
              <w:fldChar w:fldCharType="end"/>
            </w:r>
          </w:hyperlink>
        </w:p>
        <w:p w14:paraId="248EE6CA" w14:textId="17CC4566" w:rsidR="00467A47" w:rsidRPr="00797AAB" w:rsidRDefault="00467A47" w:rsidP="00467A47">
          <w:pPr>
            <w:spacing w:line="360" w:lineRule="auto"/>
          </w:pPr>
          <w:r w:rsidRPr="00797AAB">
            <w:rPr>
              <w:b/>
              <w:bCs/>
            </w:rPr>
            <w:fldChar w:fldCharType="end"/>
          </w:r>
        </w:p>
      </w:sdtContent>
    </w:sdt>
    <w:p w14:paraId="351E250D" w14:textId="77777777" w:rsidR="00467A47" w:rsidRPr="00797AAB" w:rsidRDefault="00467A47" w:rsidP="00467A47">
      <w:pPr>
        <w:spacing w:line="360" w:lineRule="auto"/>
        <w:rPr>
          <w:b/>
          <w:bCs/>
          <w:kern w:val="2"/>
          <w:sz w:val="28"/>
          <w:szCs w:val="28"/>
          <w:lang w:eastAsia="en-US"/>
          <w14:ligatures w14:val="standardContextual"/>
        </w:rPr>
      </w:pPr>
      <w:r w:rsidRPr="00797AAB">
        <w:br w:type="page"/>
      </w:r>
    </w:p>
    <w:p w14:paraId="483291F1" w14:textId="77777777" w:rsidR="00467A47" w:rsidRPr="00797AAB" w:rsidRDefault="00467A47" w:rsidP="00467A47">
      <w:pPr>
        <w:spacing w:line="360" w:lineRule="auto"/>
        <w:jc w:val="center"/>
      </w:pPr>
      <w:r w:rsidRPr="00797AAB">
        <w:rPr>
          <w:noProof/>
        </w:rPr>
        <w:lastRenderedPageBreak/>
        <w:drawing>
          <wp:inline distT="114300" distB="114300" distL="114300" distR="114300" wp14:anchorId="55F5222B" wp14:editId="382CA7DC">
            <wp:extent cx="4365250" cy="7758113"/>
            <wp:effectExtent l="12700" t="12700" r="12700" b="127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4365250" cy="7758113"/>
                    </a:xfrm>
                    <a:prstGeom prst="rect">
                      <a:avLst/>
                    </a:prstGeom>
                    <a:ln w="12700">
                      <a:solidFill>
                        <a:srgbClr val="000000"/>
                      </a:solidFill>
                      <a:prstDash val="solid"/>
                    </a:ln>
                  </pic:spPr>
                </pic:pic>
              </a:graphicData>
            </a:graphic>
          </wp:inline>
        </w:drawing>
      </w:r>
    </w:p>
    <w:p w14:paraId="5715AC55" w14:textId="77777777" w:rsidR="00467A47" w:rsidRPr="00797AAB" w:rsidRDefault="00467A47" w:rsidP="00467A47">
      <w:pPr>
        <w:spacing w:line="360" w:lineRule="auto"/>
        <w:jc w:val="center"/>
      </w:pPr>
      <w:r w:rsidRPr="00797AAB">
        <w:rPr>
          <w:noProof/>
        </w:rPr>
        <w:lastRenderedPageBreak/>
        <w:drawing>
          <wp:inline distT="114300" distB="114300" distL="114300" distR="114300" wp14:anchorId="24306D67" wp14:editId="70E1D105">
            <wp:extent cx="4289652" cy="7615238"/>
            <wp:effectExtent l="12700" t="12700" r="12700" b="127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4289652" cy="7615238"/>
                    </a:xfrm>
                    <a:prstGeom prst="rect">
                      <a:avLst/>
                    </a:prstGeom>
                    <a:ln w="12700">
                      <a:solidFill>
                        <a:srgbClr val="000000"/>
                      </a:solidFill>
                      <a:prstDash val="solid"/>
                    </a:ln>
                  </pic:spPr>
                </pic:pic>
              </a:graphicData>
            </a:graphic>
          </wp:inline>
        </w:drawing>
      </w:r>
    </w:p>
    <w:p w14:paraId="38F7EBF6" w14:textId="7723ED86" w:rsidR="00467A47" w:rsidRPr="00797AAB" w:rsidRDefault="00467A47" w:rsidP="00467A47">
      <w:pPr>
        <w:pStyle w:val="Heading1"/>
        <w:spacing w:line="360" w:lineRule="auto"/>
        <w:jc w:val="both"/>
        <w:rPr>
          <w:lang w:val="en-GB"/>
        </w:rPr>
      </w:pPr>
      <w:bookmarkStart w:id="1" w:name="_weps5dy3x3mq" w:colFirst="0" w:colLast="0"/>
      <w:bookmarkStart w:id="2" w:name="_Toc232856587"/>
      <w:bookmarkEnd w:id="1"/>
      <w:r w:rsidRPr="00797AAB">
        <w:rPr>
          <w:lang w:val="en-GB"/>
        </w:rPr>
        <w:lastRenderedPageBreak/>
        <w:t>Task 1</w:t>
      </w:r>
      <w:bookmarkEnd w:id="2"/>
    </w:p>
    <w:p w14:paraId="7581144A" w14:textId="7B20EB83" w:rsidR="00467A47" w:rsidRPr="00797AAB" w:rsidRDefault="00467A47" w:rsidP="00467A47">
      <w:pPr>
        <w:pStyle w:val="Heading2"/>
        <w:spacing w:before="0" w:after="0" w:line="360" w:lineRule="auto"/>
      </w:pPr>
      <w:bookmarkStart w:id="3" w:name="_Toc232856588"/>
      <w:r w:rsidRPr="00797AAB">
        <w:t>Introduction</w:t>
      </w:r>
      <w:bookmarkEnd w:id="3"/>
      <w:r w:rsidRPr="00797AAB">
        <w:t xml:space="preserve"> </w:t>
      </w:r>
    </w:p>
    <w:p w14:paraId="73F44BCC" w14:textId="77777777" w:rsidR="00467A47" w:rsidRPr="00797AAB" w:rsidRDefault="00467A47" w:rsidP="00467A47">
      <w:pPr>
        <w:spacing w:line="360" w:lineRule="auto"/>
        <w:jc w:val="both"/>
      </w:pPr>
      <w:r w:rsidRPr="00797AAB">
        <w:t xml:space="preserve">The poster aims to analyse pharmacy services in the UK. A pharmacist provides expert medication dispensing, important clinical advice and consultations for common ailments while working on a walk-in basis. The assignment will evaluate a brief history of the healthcare service. Furthermore, it will share the current functioning of the service and two challenges that have been faced by the pharmacy service. </w:t>
      </w:r>
    </w:p>
    <w:p w14:paraId="7E0CC71E" w14:textId="77777777" w:rsidR="00467A47" w:rsidRPr="00797AAB" w:rsidRDefault="00467A47" w:rsidP="00467A47">
      <w:pPr>
        <w:pStyle w:val="Heading2"/>
        <w:spacing w:before="0" w:after="0" w:line="360" w:lineRule="auto"/>
      </w:pPr>
      <w:bookmarkStart w:id="4" w:name="_wm1a49sulwpt" w:colFirst="0" w:colLast="0"/>
      <w:bookmarkStart w:id="5" w:name="_Toc232856589"/>
      <w:bookmarkEnd w:id="4"/>
      <w:r w:rsidRPr="00797AAB">
        <w:t>Explanation of the healthcare service</w:t>
      </w:r>
      <w:bookmarkEnd w:id="5"/>
      <w:r w:rsidRPr="00797AAB">
        <w:t xml:space="preserve"> </w:t>
      </w:r>
    </w:p>
    <w:p w14:paraId="4B3FCD66" w14:textId="77777777" w:rsidR="00467A47" w:rsidRPr="00797AAB" w:rsidRDefault="00467A47" w:rsidP="00467A47">
      <w:pPr>
        <w:spacing w:line="360" w:lineRule="auto"/>
        <w:jc w:val="both"/>
      </w:pPr>
      <w:r w:rsidRPr="00797AAB">
        <w:t>Pharmacy healthcare in the UK is often referred to as a chemist, which is a highly accessible pillar of the national health service (NHS). The NHS empowers healthcare professionals to provide a huge range of services.</w:t>
      </w:r>
    </w:p>
    <w:p w14:paraId="69B79380" w14:textId="77777777" w:rsidR="00467A47" w:rsidRPr="00797AAB" w:rsidRDefault="00467A47" w:rsidP="00467A47">
      <w:pPr>
        <w:spacing w:line="360" w:lineRule="auto"/>
        <w:jc w:val="center"/>
      </w:pPr>
      <w:r w:rsidRPr="00797AAB">
        <w:rPr>
          <w:noProof/>
        </w:rPr>
        <w:drawing>
          <wp:inline distT="114300" distB="114300" distL="114300" distR="114300" wp14:anchorId="221CAD65" wp14:editId="4134C9D8">
            <wp:extent cx="4139544" cy="3462338"/>
            <wp:effectExtent l="12700" t="12700" r="12700" b="127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139544" cy="3462338"/>
                    </a:xfrm>
                    <a:prstGeom prst="rect">
                      <a:avLst/>
                    </a:prstGeom>
                    <a:ln w="12700">
                      <a:solidFill>
                        <a:srgbClr val="000000"/>
                      </a:solidFill>
                      <a:prstDash val="solid"/>
                    </a:ln>
                  </pic:spPr>
                </pic:pic>
              </a:graphicData>
            </a:graphic>
          </wp:inline>
        </w:drawing>
      </w:r>
    </w:p>
    <w:p w14:paraId="42A28059" w14:textId="340A59C6" w:rsidR="00467A47" w:rsidRPr="00797AAB" w:rsidRDefault="00467A47" w:rsidP="00467A47">
      <w:pPr>
        <w:spacing w:line="360" w:lineRule="auto"/>
        <w:jc w:val="center"/>
        <w:rPr>
          <w:b/>
          <w:bCs/>
        </w:rPr>
      </w:pPr>
      <w:r w:rsidRPr="00797AAB">
        <w:rPr>
          <w:b/>
          <w:bCs/>
        </w:rPr>
        <w:t>Figure: About Pharmacy</w:t>
      </w:r>
    </w:p>
    <w:p w14:paraId="6F22B0EB" w14:textId="0C22CAE3" w:rsidR="00467A47" w:rsidRPr="00797AAB" w:rsidRDefault="00467A47" w:rsidP="00467A47">
      <w:pPr>
        <w:spacing w:line="360" w:lineRule="auto"/>
        <w:jc w:val="center"/>
      </w:pPr>
      <w:r w:rsidRPr="00797AAB">
        <w:rPr>
          <w:b/>
          <w:bCs/>
        </w:rPr>
        <w:t xml:space="preserve">Source: </w:t>
      </w:r>
      <w:r w:rsidRPr="00797AAB">
        <w:t>(mkuh.nhs.uk, 2026)</w:t>
      </w:r>
    </w:p>
    <w:p w14:paraId="20EA185D" w14:textId="77777777" w:rsidR="00467A47" w:rsidRPr="00797AAB" w:rsidRDefault="00467A47" w:rsidP="00467A47">
      <w:pPr>
        <w:spacing w:line="360" w:lineRule="auto"/>
        <w:jc w:val="both"/>
      </w:pPr>
      <w:r w:rsidRPr="00797AAB">
        <w:rPr>
          <w:b/>
          <w:bCs/>
        </w:rPr>
        <w:t>Pharmacy First:</w:t>
      </w:r>
      <w:r w:rsidRPr="00797AAB">
        <w:t xml:space="preserve"> Pharmacists evaluate and directly supply medications for common conditions. This helps to reduce the burden on general practitioners (Baird, 2025). </w:t>
      </w:r>
    </w:p>
    <w:p w14:paraId="4FB57E54" w14:textId="77777777" w:rsidR="00467A47" w:rsidRPr="00797AAB" w:rsidRDefault="00467A47" w:rsidP="00467A47">
      <w:pPr>
        <w:spacing w:line="360" w:lineRule="auto"/>
        <w:jc w:val="both"/>
      </w:pPr>
      <w:r w:rsidRPr="00797AAB">
        <w:rPr>
          <w:b/>
          <w:bCs/>
        </w:rPr>
        <w:t>Minor ailments and advice:</w:t>
      </w:r>
      <w:r w:rsidRPr="00797AAB">
        <w:t xml:space="preserve"> Pharmacists provide confidential and expert advice and over-the-counter treatments for everyday health issues. They usually recommend non-prescription remedies for minor ailments and provide proper guidance on lifestyle changes. </w:t>
      </w:r>
    </w:p>
    <w:p w14:paraId="00BC2E7E" w14:textId="77777777" w:rsidR="00467A47" w:rsidRPr="00797AAB" w:rsidRDefault="00467A47" w:rsidP="00467A47">
      <w:pPr>
        <w:spacing w:line="360" w:lineRule="auto"/>
        <w:jc w:val="both"/>
      </w:pPr>
      <w:r w:rsidRPr="00797AAB">
        <w:rPr>
          <w:b/>
          <w:bCs/>
        </w:rPr>
        <w:lastRenderedPageBreak/>
        <w:t>Patient Counselling:</w:t>
      </w:r>
      <w:r w:rsidRPr="00797AAB">
        <w:t xml:space="preserve"> Pharmacists explain how to take medication properly and share its potential side effects and any shortage requirements.  Many pharmacists offer health screening and sister immunisations. The service includes blood pressure monitoring and flu vaccinations (Baird, 2025). </w:t>
      </w:r>
    </w:p>
    <w:p w14:paraId="4E50404F" w14:textId="0A3BD295" w:rsidR="00467A47" w:rsidRPr="00797AAB" w:rsidRDefault="00467A47" w:rsidP="00467A47">
      <w:pPr>
        <w:spacing w:line="360" w:lineRule="auto"/>
        <w:jc w:val="center"/>
      </w:pPr>
      <w:r w:rsidRPr="00797AAB">
        <w:rPr>
          <w:noProof/>
        </w:rPr>
        <w:drawing>
          <wp:inline distT="114300" distB="114300" distL="114300" distR="114300" wp14:anchorId="21302841" wp14:editId="4F8515B6">
            <wp:extent cx="5943600" cy="3020439"/>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b="8877"/>
                    <a:stretch>
                      <a:fillRect/>
                    </a:stretch>
                  </pic:blipFill>
                  <pic:spPr>
                    <a:xfrm>
                      <a:off x="0" y="0"/>
                      <a:ext cx="5943600" cy="3020439"/>
                    </a:xfrm>
                    <a:prstGeom prst="rect">
                      <a:avLst/>
                    </a:prstGeom>
                    <a:ln w="12700">
                      <a:solidFill>
                        <a:srgbClr val="000000"/>
                      </a:solidFill>
                      <a:prstDash val="solid"/>
                    </a:ln>
                  </pic:spPr>
                </pic:pic>
              </a:graphicData>
            </a:graphic>
          </wp:inline>
        </w:drawing>
      </w:r>
    </w:p>
    <w:p w14:paraId="77BFFACD" w14:textId="77777777" w:rsidR="00467A47" w:rsidRPr="00797AAB" w:rsidRDefault="00467A47" w:rsidP="00467A47">
      <w:pPr>
        <w:spacing w:line="360" w:lineRule="auto"/>
        <w:jc w:val="center"/>
        <w:rPr>
          <w:b/>
          <w:bCs/>
        </w:rPr>
      </w:pPr>
      <w:r w:rsidRPr="00797AAB">
        <w:rPr>
          <w:b/>
          <w:bCs/>
        </w:rPr>
        <w:t>Figure: Community pharmacy services</w:t>
      </w:r>
    </w:p>
    <w:p w14:paraId="1B05898E" w14:textId="77777777" w:rsidR="00467A47" w:rsidRPr="00797AAB" w:rsidRDefault="00467A47" w:rsidP="00467A47">
      <w:pPr>
        <w:spacing w:line="360" w:lineRule="auto"/>
        <w:jc w:val="center"/>
      </w:pPr>
      <w:r w:rsidRPr="00797AAB">
        <w:rPr>
          <w:b/>
          <w:bCs/>
        </w:rPr>
        <w:t xml:space="preserve">Source: </w:t>
      </w:r>
      <w:r w:rsidRPr="00797AAB">
        <w:t>(gov.wales, 2022)</w:t>
      </w:r>
    </w:p>
    <w:p w14:paraId="3E7AC276" w14:textId="77777777" w:rsidR="00467A47" w:rsidRPr="00797AAB" w:rsidRDefault="00467A47" w:rsidP="00467A47">
      <w:pPr>
        <w:spacing w:line="360" w:lineRule="auto"/>
        <w:jc w:val="both"/>
      </w:pPr>
      <w:r w:rsidRPr="00797AAB">
        <w:t xml:space="preserve">For example, Private consultation rooms are featured by most pharmacists for sensitive discussions. This decentralised model brings healthcare directly into the community. This helps to ensure over 89% of the population can reach a pharmacy within a 20-minute walk (ews-medical.net, 2026). </w:t>
      </w:r>
    </w:p>
    <w:p w14:paraId="0682F35A" w14:textId="77777777" w:rsidR="00467A47" w:rsidRPr="00797AAB" w:rsidRDefault="00467A47" w:rsidP="00467A47">
      <w:pPr>
        <w:pStyle w:val="Heading1"/>
        <w:spacing w:line="360" w:lineRule="auto"/>
        <w:jc w:val="both"/>
        <w:rPr>
          <w:lang w:val="en-GB"/>
        </w:rPr>
      </w:pPr>
      <w:bookmarkStart w:id="6" w:name="_dwub0i1h3ve" w:colFirst="0" w:colLast="0"/>
      <w:bookmarkEnd w:id="6"/>
      <w:r w:rsidRPr="00797AAB">
        <w:rPr>
          <w:lang w:val="en-GB"/>
        </w:rPr>
        <w:br w:type="page"/>
      </w:r>
    </w:p>
    <w:p w14:paraId="68BE65EF" w14:textId="77777777" w:rsidR="00467A47" w:rsidRPr="00797AAB" w:rsidRDefault="00467A47" w:rsidP="00467A47">
      <w:pPr>
        <w:pStyle w:val="Heading2"/>
        <w:spacing w:before="0" w:after="0" w:line="360" w:lineRule="auto"/>
      </w:pPr>
      <w:bookmarkStart w:id="7" w:name="_cevuacccgntq" w:colFirst="0" w:colLast="0"/>
      <w:bookmarkStart w:id="8" w:name="_Toc232856590"/>
      <w:bookmarkEnd w:id="7"/>
      <w:r w:rsidRPr="00797AAB">
        <w:lastRenderedPageBreak/>
        <w:t>A brief history of the service</w:t>
      </w:r>
      <w:bookmarkEnd w:id="8"/>
      <w:r w:rsidRPr="00797AAB">
        <w:t xml:space="preserve"> </w:t>
      </w:r>
    </w:p>
    <w:p w14:paraId="6B598266" w14:textId="77777777" w:rsidR="00467A47" w:rsidRPr="00797AAB" w:rsidRDefault="00467A47" w:rsidP="00467A47">
      <w:pPr>
        <w:spacing w:line="360" w:lineRule="auto"/>
        <w:jc w:val="both"/>
      </w:pPr>
      <w:r w:rsidRPr="00797AAB">
        <w:t xml:space="preserve">The UK pharmacy services profession evolved from mixing remedies into an integral pillar of the NHS that was established in 1948. The role of community and hospital pharmacists has transformed dramatically since the landmark Nuffield Report of 1986. This report advocated for a comprehensive clinical approach. Many pharmacists have moved from hospitals to patient wards and have begun to deliver public health services that include smoking cessation and health promotion. </w:t>
      </w:r>
    </w:p>
    <w:p w14:paraId="63EC7791" w14:textId="77777777" w:rsidR="00467A47" w:rsidRPr="00797AAB" w:rsidRDefault="00467A47" w:rsidP="00467A47">
      <w:pPr>
        <w:spacing w:line="360" w:lineRule="auto"/>
        <w:jc w:val="center"/>
      </w:pPr>
      <w:r w:rsidRPr="00797AAB">
        <w:rPr>
          <w:noProof/>
        </w:rPr>
        <w:drawing>
          <wp:inline distT="114300" distB="114300" distL="114300" distR="114300" wp14:anchorId="3F9EC7A0" wp14:editId="495D1D2A">
            <wp:extent cx="5943600" cy="3429000"/>
            <wp:effectExtent l="12700" t="12700" r="12700" b="127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b="6250"/>
                    <a:stretch>
                      <a:fillRect/>
                    </a:stretch>
                  </pic:blipFill>
                  <pic:spPr>
                    <a:xfrm>
                      <a:off x="0" y="0"/>
                      <a:ext cx="5943600" cy="3429000"/>
                    </a:xfrm>
                    <a:prstGeom prst="rect">
                      <a:avLst/>
                    </a:prstGeom>
                    <a:ln w="12700">
                      <a:solidFill>
                        <a:srgbClr val="000000"/>
                      </a:solidFill>
                      <a:prstDash val="solid"/>
                    </a:ln>
                  </pic:spPr>
                </pic:pic>
              </a:graphicData>
            </a:graphic>
          </wp:inline>
        </w:drawing>
      </w:r>
    </w:p>
    <w:p w14:paraId="01B3E0E7" w14:textId="77777777" w:rsidR="00467A47" w:rsidRPr="00797AAB" w:rsidRDefault="00467A47" w:rsidP="00467A47">
      <w:pPr>
        <w:spacing w:line="360" w:lineRule="auto"/>
        <w:jc w:val="center"/>
        <w:rPr>
          <w:b/>
          <w:bCs/>
        </w:rPr>
      </w:pPr>
      <w:r w:rsidRPr="00797AAB">
        <w:rPr>
          <w:b/>
          <w:bCs/>
        </w:rPr>
        <w:t>Figure: Pharmacy Evolution</w:t>
      </w:r>
    </w:p>
    <w:p w14:paraId="6CC7AE9E" w14:textId="77777777" w:rsidR="00467A47" w:rsidRPr="00797AAB" w:rsidRDefault="00467A47" w:rsidP="00467A47">
      <w:pPr>
        <w:spacing w:line="360" w:lineRule="auto"/>
        <w:jc w:val="center"/>
      </w:pPr>
      <w:r w:rsidRPr="00797AAB">
        <w:rPr>
          <w:b/>
          <w:bCs/>
        </w:rPr>
        <w:t>Source:</w:t>
      </w:r>
      <w:r w:rsidRPr="00797AAB">
        <w:t xml:space="preserve"> (raconteur, 2026)</w:t>
      </w:r>
    </w:p>
    <w:p w14:paraId="4382E627" w14:textId="77777777" w:rsidR="00467A47" w:rsidRPr="00797AAB" w:rsidRDefault="00467A47" w:rsidP="00467A47">
      <w:pPr>
        <w:spacing w:line="360" w:lineRule="auto"/>
        <w:jc w:val="both"/>
      </w:pPr>
      <w:r w:rsidRPr="00797AAB">
        <w:rPr>
          <w:b/>
          <w:bCs/>
        </w:rPr>
        <w:t xml:space="preserve">The Apothecaries Act of 1917: </w:t>
      </w:r>
      <w:r w:rsidRPr="00797AAB">
        <w:t xml:space="preserve">The Society of Pharmacists was formed to train practitioners and regulate the quality of drugs. </w:t>
      </w:r>
    </w:p>
    <w:p w14:paraId="0FC42F3A" w14:textId="77777777" w:rsidR="00467A47" w:rsidRPr="00797AAB" w:rsidRDefault="00467A47" w:rsidP="00467A47">
      <w:pPr>
        <w:spacing w:line="360" w:lineRule="auto"/>
        <w:jc w:val="both"/>
      </w:pPr>
      <w:r w:rsidRPr="00797AAB">
        <w:rPr>
          <w:b/>
          <w:bCs/>
        </w:rPr>
        <w:t xml:space="preserve">1841: </w:t>
      </w:r>
      <w:r w:rsidRPr="00797AAB">
        <w:t xml:space="preserve">The Pharmaceutical Society was established in this year to elevate the educational and professional standards of chemists and pharmacists. </w:t>
      </w:r>
    </w:p>
    <w:p w14:paraId="74547B5D" w14:textId="77777777" w:rsidR="00467A47" w:rsidRPr="00797AAB" w:rsidRDefault="00467A47" w:rsidP="00467A47">
      <w:pPr>
        <w:spacing w:line="360" w:lineRule="auto"/>
        <w:jc w:val="both"/>
      </w:pPr>
      <w:r w:rsidRPr="00797AAB">
        <w:rPr>
          <w:b/>
          <w:bCs/>
        </w:rPr>
        <w:t xml:space="preserve">1948: The </w:t>
      </w:r>
      <w:r w:rsidRPr="00797AAB">
        <w:t xml:space="preserve">NHS was established in this year when community pharmacists were included as an essential part of the NHS contractions. They are responsible for dispensing medication prescribed by doctors (express-scripts, 2026). </w:t>
      </w:r>
    </w:p>
    <w:p w14:paraId="680DA0EF" w14:textId="77777777" w:rsidR="00467A47" w:rsidRPr="00797AAB" w:rsidRDefault="00467A47" w:rsidP="00467A47">
      <w:pPr>
        <w:spacing w:line="360" w:lineRule="auto"/>
        <w:jc w:val="both"/>
      </w:pPr>
      <w:r w:rsidRPr="00797AAB">
        <w:rPr>
          <w:b/>
          <w:bCs/>
        </w:rPr>
        <w:t xml:space="preserve">1960s to 1980s: </w:t>
      </w:r>
      <w:r w:rsidRPr="00797AAB">
        <w:t xml:space="preserve">During this period, clinical pharmacies started to develop, and pharmacists transitioned from retail dispensaries to hospital wards. </w:t>
      </w:r>
    </w:p>
    <w:p w14:paraId="6DE3DE4B" w14:textId="77777777" w:rsidR="00467A47" w:rsidRPr="00797AAB" w:rsidRDefault="00467A47" w:rsidP="00467A47">
      <w:pPr>
        <w:spacing w:line="360" w:lineRule="auto"/>
        <w:jc w:val="both"/>
      </w:pPr>
      <w:r w:rsidRPr="00797AAB">
        <w:rPr>
          <w:b/>
          <w:bCs/>
        </w:rPr>
        <w:lastRenderedPageBreak/>
        <w:t xml:space="preserve">2003: </w:t>
      </w:r>
      <w:r w:rsidRPr="00797AAB">
        <w:t xml:space="preserve">The independent prescribing rights law was introduced in this year to help the trained pharmacist to prescribe medication </w:t>
      </w:r>
    </w:p>
    <w:p w14:paraId="59D3CB8C" w14:textId="77777777" w:rsidR="00467A47" w:rsidRPr="00797AAB" w:rsidRDefault="00467A47" w:rsidP="00467A47">
      <w:pPr>
        <w:spacing w:line="360" w:lineRule="auto"/>
        <w:jc w:val="both"/>
      </w:pPr>
      <w:r w:rsidRPr="00797AAB">
        <w:rPr>
          <w:b/>
          <w:bCs/>
        </w:rPr>
        <w:t xml:space="preserve">2024: </w:t>
      </w:r>
      <w:r w:rsidRPr="00797AAB">
        <w:t>In England, more than 90% of individuals started to go to pharmacists and treat themselves for common symptoms without a GP appointment (</w:t>
      </w:r>
      <w:r w:rsidRPr="00797AAB">
        <w:rPr>
          <w:highlight w:val="white"/>
        </w:rPr>
        <w:t>Cunha Leal et al., 2025)</w:t>
      </w:r>
      <w:r w:rsidRPr="00797AAB">
        <w:t xml:space="preserve">. </w:t>
      </w:r>
    </w:p>
    <w:p w14:paraId="2D348DB5" w14:textId="77777777" w:rsidR="00467A47" w:rsidRPr="00797AAB" w:rsidRDefault="00467A47" w:rsidP="00467A47">
      <w:pPr>
        <w:pStyle w:val="Heading2"/>
        <w:spacing w:before="0" w:after="0" w:line="360" w:lineRule="auto"/>
      </w:pPr>
      <w:bookmarkStart w:id="9" w:name="_6q8eeg1rb2zi" w:colFirst="0" w:colLast="0"/>
      <w:bookmarkStart w:id="10" w:name="_Toc232856591"/>
      <w:bookmarkEnd w:id="9"/>
      <w:r w:rsidRPr="00797AAB">
        <w:t>Current functioning of the service</w:t>
      </w:r>
      <w:bookmarkEnd w:id="10"/>
      <w:r w:rsidRPr="00797AAB">
        <w:t xml:space="preserve"> </w:t>
      </w:r>
    </w:p>
    <w:p w14:paraId="542D160B" w14:textId="77777777" w:rsidR="00467A47" w:rsidRPr="00797AAB" w:rsidRDefault="00467A47" w:rsidP="00467A47">
      <w:pPr>
        <w:spacing w:line="360" w:lineRule="auto"/>
        <w:jc w:val="center"/>
        <w:rPr>
          <w:b/>
          <w:bCs/>
        </w:rPr>
      </w:pPr>
      <w:r w:rsidRPr="00797AAB">
        <w:rPr>
          <w:b/>
          <w:bCs/>
          <w:noProof/>
        </w:rPr>
        <w:drawing>
          <wp:inline distT="114300" distB="114300" distL="114300" distR="114300" wp14:anchorId="1434BE82" wp14:editId="467D4A6E">
            <wp:extent cx="5943600" cy="35052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505200"/>
                    </a:xfrm>
                    <a:prstGeom prst="rect">
                      <a:avLst/>
                    </a:prstGeom>
                    <a:ln w="12700">
                      <a:solidFill>
                        <a:srgbClr val="000000"/>
                      </a:solidFill>
                      <a:prstDash val="solid"/>
                    </a:ln>
                  </pic:spPr>
                </pic:pic>
              </a:graphicData>
            </a:graphic>
          </wp:inline>
        </w:drawing>
      </w:r>
    </w:p>
    <w:p w14:paraId="60B39429" w14:textId="77777777" w:rsidR="00467A47" w:rsidRPr="00797AAB" w:rsidRDefault="00467A47" w:rsidP="00467A47">
      <w:pPr>
        <w:spacing w:line="360" w:lineRule="auto"/>
        <w:jc w:val="center"/>
        <w:rPr>
          <w:b/>
          <w:bCs/>
        </w:rPr>
      </w:pPr>
      <w:r w:rsidRPr="00797AAB">
        <w:rPr>
          <w:b/>
          <w:bCs/>
        </w:rPr>
        <w:t>Figure: The way Pharmacy Services Work</w:t>
      </w:r>
    </w:p>
    <w:p w14:paraId="6447E5DF" w14:textId="77777777" w:rsidR="00467A47" w:rsidRPr="00797AAB" w:rsidRDefault="00467A47" w:rsidP="00467A47">
      <w:pPr>
        <w:spacing w:line="360" w:lineRule="auto"/>
        <w:jc w:val="center"/>
      </w:pPr>
      <w:r w:rsidRPr="00797AAB">
        <w:rPr>
          <w:b/>
          <w:bCs/>
        </w:rPr>
        <w:t>Source:</w:t>
      </w:r>
      <w:r w:rsidRPr="00797AAB">
        <w:t xml:space="preserve"> (thefamilychemist, 2026)</w:t>
      </w:r>
    </w:p>
    <w:p w14:paraId="354A9B51" w14:textId="77777777" w:rsidR="00467A47" w:rsidRPr="00797AAB" w:rsidRDefault="00467A47" w:rsidP="00467A47">
      <w:pPr>
        <w:spacing w:line="360" w:lineRule="auto"/>
        <w:jc w:val="both"/>
      </w:pPr>
      <w:r w:rsidRPr="00797AAB">
        <w:t xml:space="preserve">The UK pharmacy services effectively operate as a decentralised clinical hub that shifts from traditional medicine dispensing to direct patient care under the NHS Pharmacy Services Framework. Community pharmacies effectively provide clinical consultations, prescribe for common ailments and deliver public health services to alleviate pressure in general practices. </w:t>
      </w:r>
    </w:p>
    <w:p w14:paraId="0A353D35" w14:textId="77777777" w:rsidR="00467A47" w:rsidRPr="00797AAB" w:rsidRDefault="00467A47" w:rsidP="00467A47">
      <w:pPr>
        <w:spacing w:line="360" w:lineRule="auto"/>
        <w:jc w:val="both"/>
      </w:pPr>
      <w:r w:rsidRPr="00797AAB">
        <w:t xml:space="preserve">This industry currently functions in pharmacy services through the following key pillars and recent reforms. </w:t>
      </w:r>
    </w:p>
    <w:p w14:paraId="3779D85F" w14:textId="77777777" w:rsidR="00467A47" w:rsidRPr="00797AAB" w:rsidRDefault="00467A47" w:rsidP="00467A47">
      <w:pPr>
        <w:spacing w:line="360" w:lineRule="auto"/>
        <w:jc w:val="both"/>
      </w:pPr>
      <w:r w:rsidRPr="00797AAB">
        <w:rPr>
          <w:b/>
          <w:bCs/>
          <w:i/>
          <w:iCs/>
        </w:rPr>
        <w:t>The Pharmacy First Scheme</w:t>
      </w:r>
      <w:r w:rsidRPr="00797AAB">
        <w:t>: This allows patients to receive clinical assessments and prescription-only medications directly from the pharmacy without a GP appointment for conditions like sinusitis, sore throat and uncomplicated UTIs (</w:t>
      </w:r>
      <w:r w:rsidRPr="00797AAB">
        <w:rPr>
          <w:color w:val="222222"/>
          <w:sz w:val="24"/>
          <w:szCs w:val="24"/>
          <w:highlight w:val="white"/>
        </w:rPr>
        <w:t>Cunha Leal et al., 2025)</w:t>
      </w:r>
      <w:r w:rsidRPr="00797AAB">
        <w:t xml:space="preserve">. This scheme effectively includes a major expansion, which brings newly trained independent prescribers into the sector and adds more common ailments to the clinical pathways. </w:t>
      </w:r>
    </w:p>
    <w:p w14:paraId="586E7E3D" w14:textId="77777777" w:rsidR="00467A47" w:rsidRPr="00797AAB" w:rsidRDefault="00467A47" w:rsidP="00467A47">
      <w:pPr>
        <w:spacing w:line="360" w:lineRule="auto"/>
        <w:jc w:val="both"/>
      </w:pPr>
      <w:r w:rsidRPr="00797AAB">
        <w:rPr>
          <w:b/>
          <w:bCs/>
          <w:i/>
          <w:iCs/>
        </w:rPr>
        <w:lastRenderedPageBreak/>
        <w:t>Clinical Services Integration:</w:t>
      </w:r>
      <w:r w:rsidRPr="00797AAB">
        <w:t xml:space="preserve"> the core dispensing is augmented by advanced services such as the NHS pharmacy Contraception Service and the new Medicines Services for long-term conditions. Workforce transformations: the landmark supervision legislation and the training reforms empower pharmacy technicians and give pharmacists formal prescribing rights upon qualification. </w:t>
      </w:r>
    </w:p>
    <w:p w14:paraId="21EDE02D" w14:textId="09CCCF34" w:rsidR="00467A47" w:rsidRPr="00797AAB" w:rsidRDefault="00467A47" w:rsidP="00467A47">
      <w:pPr>
        <w:spacing w:line="360" w:lineRule="auto"/>
        <w:jc w:val="both"/>
      </w:pPr>
      <w:r w:rsidRPr="00797AAB">
        <w:t>Funding and Change: Community pharmacies face intense financial and operational pressures. This helps to maintain affordability for patients. The standard NHS prescription charges are held at £9.90 per item (</w:t>
      </w:r>
      <w:proofErr w:type="spellStart"/>
      <w:r w:rsidRPr="00797AAB">
        <w:t>cpe</w:t>
      </w:r>
      <w:proofErr w:type="spellEnd"/>
      <w:r w:rsidRPr="00797AAB">
        <w:t xml:space="preserve">, </w:t>
      </w:r>
      <w:r w:rsidR="00DA3068" w:rsidRPr="00797AAB">
        <w:t>2026)</w:t>
      </w:r>
      <w:r w:rsidRPr="00797AAB">
        <w:t xml:space="preserve">. </w:t>
      </w:r>
    </w:p>
    <w:p w14:paraId="3DBDD50C" w14:textId="77777777" w:rsidR="00467A47" w:rsidRPr="00797AAB" w:rsidRDefault="00467A47" w:rsidP="00467A47">
      <w:pPr>
        <w:pStyle w:val="Heading2"/>
        <w:spacing w:before="0" w:after="0" w:line="360" w:lineRule="auto"/>
      </w:pPr>
      <w:bookmarkStart w:id="11" w:name="_8x9h9mfgt6xp" w:colFirst="0" w:colLast="0"/>
      <w:bookmarkStart w:id="12" w:name="_Toc232856592"/>
      <w:bookmarkEnd w:id="11"/>
      <w:r w:rsidRPr="00797AAB">
        <w:t>Two challenges faced by the service</w:t>
      </w:r>
      <w:bookmarkEnd w:id="12"/>
      <w:r w:rsidRPr="00797AAB">
        <w:t xml:space="preserve"> </w:t>
      </w:r>
    </w:p>
    <w:p w14:paraId="36A2F7C4" w14:textId="77777777" w:rsidR="00467A47" w:rsidRPr="00797AAB" w:rsidRDefault="00467A47" w:rsidP="00467A47">
      <w:pPr>
        <w:spacing w:line="360" w:lineRule="auto"/>
        <w:jc w:val="both"/>
      </w:pPr>
      <w:r w:rsidRPr="00797AAB">
        <w:t xml:space="preserve">The pharmacy services in the UK face two primary challenges, including several underperforming leading record closures and chronic workforce shortages. Together, these pressures limit patient access to care and place extreme strain on the will of pharmacy staff. </w:t>
      </w:r>
    </w:p>
    <w:p w14:paraId="2507DBD8" w14:textId="77777777" w:rsidR="00467A47" w:rsidRPr="00797AAB" w:rsidRDefault="00467A47" w:rsidP="00467A47">
      <w:pPr>
        <w:spacing w:line="360" w:lineRule="auto"/>
        <w:jc w:val="both"/>
        <w:rPr>
          <w:b/>
          <w:bCs/>
          <w:u w:val="single"/>
        </w:rPr>
      </w:pPr>
      <w:r w:rsidRPr="00797AAB">
        <w:rPr>
          <w:b/>
          <w:bCs/>
          <w:u w:val="single"/>
        </w:rPr>
        <w:t xml:space="preserve">Chronic Underfunding and Pharmacy Closures </w:t>
      </w:r>
    </w:p>
    <w:p w14:paraId="3989A571" w14:textId="77777777" w:rsidR="00467A47" w:rsidRPr="00797AAB" w:rsidRDefault="00467A47" w:rsidP="00467A47">
      <w:pPr>
        <w:spacing w:line="360" w:lineRule="auto"/>
        <w:jc w:val="both"/>
      </w:pPr>
      <w:r w:rsidRPr="00797AAB">
        <w:t xml:space="preserve">The community pharmacies have been pushed to their limits due to a historic rise in inflation and flatlining government funding. This impacts the services in an effective way, as hundreds of community pharmacies have permanently closed across the UK, resulting in pharmacy deserts that primarily hit the most deprived areas the hardest. </w:t>
      </w:r>
    </w:p>
    <w:p w14:paraId="709CADD3" w14:textId="77777777" w:rsidR="00467A47" w:rsidRPr="00797AAB" w:rsidRDefault="00467A47" w:rsidP="00467A47">
      <w:pPr>
        <w:spacing w:line="360" w:lineRule="auto"/>
        <w:jc w:val="both"/>
        <w:rPr>
          <w:b/>
          <w:bCs/>
          <w:u w:val="single"/>
        </w:rPr>
      </w:pPr>
      <w:r w:rsidRPr="00797AAB">
        <w:rPr>
          <w:b/>
          <w:bCs/>
          <w:u w:val="single"/>
        </w:rPr>
        <w:t>Workforce and Staffing Shortages</w:t>
      </w:r>
    </w:p>
    <w:p w14:paraId="45C56652" w14:textId="77777777" w:rsidR="00467A47" w:rsidRPr="00797AAB" w:rsidRDefault="00467A47" w:rsidP="00467A47">
      <w:pPr>
        <w:spacing w:line="360" w:lineRule="auto"/>
        <w:jc w:val="center"/>
        <w:rPr>
          <w:u w:val="single"/>
        </w:rPr>
      </w:pPr>
      <w:r w:rsidRPr="00797AAB">
        <w:rPr>
          <w:noProof/>
          <w:u w:val="single"/>
        </w:rPr>
        <w:drawing>
          <wp:inline distT="114300" distB="114300" distL="114300" distR="114300" wp14:anchorId="4F9D498F" wp14:editId="601BC67E">
            <wp:extent cx="5943600" cy="30480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048000"/>
                    </a:xfrm>
                    <a:prstGeom prst="rect">
                      <a:avLst/>
                    </a:prstGeom>
                    <a:ln/>
                  </pic:spPr>
                </pic:pic>
              </a:graphicData>
            </a:graphic>
          </wp:inline>
        </w:drawing>
      </w:r>
    </w:p>
    <w:p w14:paraId="40F33C91" w14:textId="77777777" w:rsidR="00467A47" w:rsidRPr="00797AAB" w:rsidRDefault="00467A47" w:rsidP="00467A47">
      <w:pPr>
        <w:spacing w:line="360" w:lineRule="auto"/>
        <w:jc w:val="center"/>
        <w:rPr>
          <w:b/>
          <w:bCs/>
        </w:rPr>
      </w:pPr>
      <w:r w:rsidRPr="00797AAB">
        <w:rPr>
          <w:b/>
          <w:bCs/>
        </w:rPr>
        <w:t>Figure: Workforce and Staffing Shortages</w:t>
      </w:r>
    </w:p>
    <w:p w14:paraId="4E676C47" w14:textId="77777777" w:rsidR="00467A47" w:rsidRPr="00797AAB" w:rsidRDefault="00467A47" w:rsidP="00467A47">
      <w:pPr>
        <w:spacing w:line="360" w:lineRule="auto"/>
        <w:jc w:val="center"/>
      </w:pPr>
      <w:r w:rsidRPr="00797AAB">
        <w:rPr>
          <w:b/>
          <w:bCs/>
        </w:rPr>
        <w:t>Source:</w:t>
      </w:r>
      <w:r w:rsidRPr="00797AAB">
        <w:t xml:space="preserve"> (cpe, 2024)</w:t>
      </w:r>
    </w:p>
    <w:p w14:paraId="70B1C551" w14:textId="77777777" w:rsidR="00467A47" w:rsidRPr="00797AAB" w:rsidRDefault="00467A47" w:rsidP="00467A47">
      <w:pPr>
        <w:spacing w:line="360" w:lineRule="auto"/>
        <w:jc w:val="both"/>
      </w:pPr>
      <w:r w:rsidRPr="00797AAB">
        <w:lastRenderedPageBreak/>
        <w:t xml:space="preserve">The number of full-time equivalent pharmacists has increased, doubling vacancy rates and causing the level of burnout. The NHS is trying to shift more critical responsibilities, including line management and independent prescribing. This has impacted community pharmacies to alleviate pressure on General physicians and led to a lack of personnel markets executing these expanded roles. Reports have stated that over 60% of pharmacy teams in the UK report experiencing significant staff shortages, causing over 20% to temporarily close and forcing others to scale back patient services (firstwordpharma, 2025).  </w:t>
      </w:r>
    </w:p>
    <w:p w14:paraId="6EEBB959" w14:textId="77777777" w:rsidR="00467A47" w:rsidRPr="00797AAB" w:rsidRDefault="00467A47" w:rsidP="00467A47">
      <w:pPr>
        <w:pStyle w:val="Heading2"/>
        <w:spacing w:before="0" w:after="0" w:line="360" w:lineRule="auto"/>
      </w:pPr>
      <w:bookmarkStart w:id="13" w:name="_r0c41k1mji4i" w:colFirst="0" w:colLast="0"/>
      <w:bookmarkStart w:id="14" w:name="_Toc232856593"/>
      <w:bookmarkEnd w:id="13"/>
      <w:r w:rsidRPr="00797AAB">
        <w:t>Conclusion</w:t>
      </w:r>
      <w:bookmarkEnd w:id="14"/>
      <w:r w:rsidRPr="00797AAB">
        <w:t xml:space="preserve"> </w:t>
      </w:r>
    </w:p>
    <w:p w14:paraId="64326E29" w14:textId="77777777" w:rsidR="00467A47" w:rsidRPr="00797AAB" w:rsidRDefault="00467A47" w:rsidP="00467A47">
      <w:pPr>
        <w:spacing w:line="360" w:lineRule="auto"/>
        <w:jc w:val="both"/>
      </w:pPr>
      <w:r w:rsidRPr="00797AAB">
        <w:t>The report has effectively analysed the effectiveness of pharmacy services in the healthcare industry in the UK. Pharmacy healthcare in the UK is often referred to as a chemist, which is a highly accessible pillar of the national health service (NHS). A pharmacist provides expert medication dispensing, important clinical advice and consultations for common ailments while working on a walk-in basis. The UK pharmacy services effectively operate as a decentralised clinical hub that shifts from traditional medicine dispensing to direct patient care under the NHS Pharmacy Services Framework. The pharmacy services in the UK face two primary challenges, including several underperforming leading record closures and chronic workforce shortages.</w:t>
      </w:r>
      <w:r w:rsidRPr="00797AAB">
        <w:br w:type="page"/>
      </w:r>
    </w:p>
    <w:p w14:paraId="7DB90B35" w14:textId="77777777" w:rsidR="00467A47" w:rsidRPr="00797AAB" w:rsidRDefault="00467A47" w:rsidP="00467A47">
      <w:pPr>
        <w:pStyle w:val="Heading1"/>
        <w:spacing w:line="360" w:lineRule="auto"/>
        <w:jc w:val="both"/>
        <w:rPr>
          <w:lang w:val="en-GB"/>
        </w:rPr>
      </w:pPr>
      <w:bookmarkStart w:id="15" w:name="_7p78pkoty7g8" w:colFirst="0" w:colLast="0"/>
      <w:bookmarkStart w:id="16" w:name="_Toc232856594"/>
      <w:bookmarkEnd w:id="15"/>
      <w:r w:rsidRPr="00797AAB">
        <w:rPr>
          <w:lang w:val="en-GB"/>
        </w:rPr>
        <w:lastRenderedPageBreak/>
        <w:t>Task 2: Essay</w:t>
      </w:r>
      <w:bookmarkEnd w:id="16"/>
      <w:r w:rsidRPr="00797AAB">
        <w:rPr>
          <w:lang w:val="en-GB"/>
        </w:rPr>
        <w:t xml:space="preserve">       </w:t>
      </w:r>
    </w:p>
    <w:p w14:paraId="3EEFFB2C" w14:textId="77777777" w:rsidR="00467A47" w:rsidRPr="00797AAB" w:rsidRDefault="00467A47" w:rsidP="00467A47">
      <w:pPr>
        <w:spacing w:line="360" w:lineRule="auto"/>
        <w:jc w:val="both"/>
        <w:rPr>
          <w:b/>
          <w:bCs/>
        </w:rPr>
      </w:pPr>
      <w:r w:rsidRPr="00797AAB">
        <w:rPr>
          <w:b/>
          <w:bCs/>
        </w:rPr>
        <w:t xml:space="preserve">Introduction </w:t>
      </w:r>
    </w:p>
    <w:p w14:paraId="178397D6" w14:textId="77777777" w:rsidR="00467A47" w:rsidRPr="00797AAB" w:rsidRDefault="00467A47" w:rsidP="00467A47">
      <w:pPr>
        <w:spacing w:line="360" w:lineRule="auto"/>
        <w:jc w:val="both"/>
      </w:pPr>
      <w:r w:rsidRPr="00797AAB">
        <w:t xml:space="preserve">The selected social care service is community disability services that help individuals focus on personal care and sensory impairments in a significant manner. The historical context of the service that has shaped its development will be analysed. The functioning of the service and its significance in enhancing the standard of living of service users will be evaluated through this essay. </w:t>
      </w:r>
    </w:p>
    <w:p w14:paraId="2E649FD8" w14:textId="77777777" w:rsidR="00467A47" w:rsidRPr="00797AAB" w:rsidRDefault="00467A47" w:rsidP="00467A47">
      <w:pPr>
        <w:spacing w:line="360" w:lineRule="auto"/>
        <w:jc w:val="both"/>
        <w:rPr>
          <w:b/>
          <w:bCs/>
        </w:rPr>
      </w:pPr>
      <w:r w:rsidRPr="00797AAB">
        <w:rPr>
          <w:b/>
          <w:bCs/>
        </w:rPr>
        <w:t>Investigation of the origin of the service</w:t>
      </w:r>
    </w:p>
    <w:p w14:paraId="6554F6A9" w14:textId="77777777" w:rsidR="00467A47" w:rsidRPr="00797AAB" w:rsidRDefault="00467A47" w:rsidP="00467A47">
      <w:pPr>
        <w:spacing w:line="360" w:lineRule="auto"/>
        <w:jc w:val="both"/>
      </w:pPr>
      <w:r w:rsidRPr="00797AAB">
        <w:t>The origin of the community disability services in the UK has evolved from the late 19th century, as the link with centralised care is being established in relation to mental handicap hotels (</w:t>
      </w:r>
      <w:r w:rsidRPr="00797AAB">
        <w:rPr>
          <w:highlight w:val="white"/>
        </w:rPr>
        <w:t>Becker et al., 2026)</w:t>
      </w:r>
      <w:r w:rsidRPr="00797AAB">
        <w:t>. Volunteers and residents have established a landmark, and the first supported living home of UK is being opened in Cathays. The Community Care Act was introduced in 1990, which created a sense of negotiation within their approach (</w:t>
      </w:r>
      <w:r w:rsidRPr="00797AAB">
        <w:rPr>
          <w:highlight w:val="white"/>
        </w:rPr>
        <w:t>Becker et al., 2026).</w:t>
      </w:r>
      <w:r w:rsidRPr="00797AAB">
        <w:t xml:space="preserve"> Legal responsibility for local authority services was established for the negotiation of requirements in relation to funds. </w:t>
      </w:r>
    </w:p>
    <w:p w14:paraId="07879F65" w14:textId="77777777" w:rsidR="00467A47" w:rsidRPr="00797AAB" w:rsidRDefault="00467A47" w:rsidP="00467A47">
      <w:pPr>
        <w:spacing w:line="360" w:lineRule="auto"/>
        <w:jc w:val="both"/>
        <w:rPr>
          <w:b/>
          <w:bCs/>
        </w:rPr>
      </w:pPr>
      <w:r w:rsidRPr="00797AAB">
        <w:rPr>
          <w:b/>
          <w:bCs/>
        </w:rPr>
        <w:t>Exploration of the historical context of the service that shaped its development</w:t>
      </w:r>
    </w:p>
    <w:p w14:paraId="78FA8BAD" w14:textId="77777777" w:rsidR="00467A47" w:rsidRPr="00797AAB" w:rsidRDefault="00467A47" w:rsidP="00467A47">
      <w:pPr>
        <w:spacing w:line="360" w:lineRule="auto"/>
        <w:jc w:val="both"/>
      </w:pPr>
      <w:r w:rsidRPr="00797AAB">
        <w:t>The historical context of the service that shaped its development is that the integration of the Poor Law in 1834 led to destitute the mentally ill (</w:t>
      </w:r>
      <w:r w:rsidRPr="00797AAB">
        <w:rPr>
          <w:highlight w:val="white"/>
        </w:rPr>
        <w:t>Collinge and Falcini, 2022)</w:t>
      </w:r>
      <w:r w:rsidRPr="00797AAB">
        <w:t>. The asylum system has contributed to occur from segregation of people in relation to permanent containment. The Mental Health Act of 1959 has facilitated the encouragement of community care, and issues of impairment are being addressed. Legislation and direct payments are established by providing funds for hiring personal assistants (</w:t>
      </w:r>
      <w:r w:rsidRPr="00797AAB">
        <w:rPr>
          <w:highlight w:val="white"/>
        </w:rPr>
        <w:t>Jones, 2023)</w:t>
      </w:r>
      <w:r w:rsidRPr="00797AAB">
        <w:t xml:space="preserve">. </w:t>
      </w:r>
    </w:p>
    <w:p w14:paraId="3ECD6F92" w14:textId="77777777" w:rsidR="00467A47" w:rsidRPr="00797AAB" w:rsidRDefault="00467A47" w:rsidP="00467A47">
      <w:pPr>
        <w:spacing w:line="360" w:lineRule="auto"/>
        <w:jc w:val="both"/>
        <w:rPr>
          <w:b/>
          <w:bCs/>
        </w:rPr>
      </w:pPr>
      <w:r w:rsidRPr="00797AAB">
        <w:rPr>
          <w:b/>
          <w:bCs/>
        </w:rPr>
        <w:t>Critical evaluation of how the service functions today</w:t>
      </w:r>
    </w:p>
    <w:p w14:paraId="6A3E1A77" w14:textId="77777777" w:rsidR="00467A47" w:rsidRPr="00797AAB" w:rsidRDefault="00467A47" w:rsidP="00467A47">
      <w:pPr>
        <w:spacing w:line="360" w:lineRule="auto"/>
        <w:jc w:val="both"/>
      </w:pPr>
      <w:r w:rsidRPr="00797AAB">
        <w:t xml:space="preserve">The community disability services in the UK function today as the issue of fund scarcity and long waiting lists are being faced by them. Transition challenges are being faced due to the presence of critical breakpoints. Institutional restraints are facilitated in relation to community settings that are restricted to align with the choice of disabled individuals. The restraints associated with generic care homes are faced due to a lack of control and flexibility in the line of standardised care. Career pathways are being focused on to align with effective coordination within clinical needs. Direct payments are utilised for empowering individuals that guide to manage their operations. Integrated facilities are being fostered to reduce the margin of disintegration that are being faced. </w:t>
      </w:r>
    </w:p>
    <w:p w14:paraId="6B8A2CAE" w14:textId="77777777" w:rsidR="00467A47" w:rsidRPr="00797AAB" w:rsidRDefault="00467A47" w:rsidP="00467A47">
      <w:pPr>
        <w:spacing w:line="360" w:lineRule="auto"/>
        <w:jc w:val="both"/>
      </w:pPr>
      <w:r w:rsidRPr="00797AAB">
        <w:rPr>
          <w:b/>
          <w:bCs/>
          <w:i/>
          <w:iCs/>
        </w:rPr>
        <w:t>Real world examples:</w:t>
      </w:r>
      <w:r w:rsidRPr="00797AAB">
        <w:t xml:space="preserve"> The National Health Service (NHS) is aligned with the integration of community learning disability teams through the combination of NHS and social workers. </w:t>
      </w:r>
      <w:r w:rsidRPr="00797AAB">
        <w:lastRenderedPageBreak/>
        <w:t>Personalised support and independent learning are fostered through the inclusion of vocational training (</w:t>
      </w:r>
      <w:r w:rsidRPr="00797AAB">
        <w:rPr>
          <w:color w:val="222222"/>
          <w:highlight w:val="white"/>
        </w:rPr>
        <w:t>Levell, 2022)</w:t>
      </w:r>
      <w:r w:rsidRPr="00797AAB">
        <w:t xml:space="preserve">. </w:t>
      </w:r>
    </w:p>
    <w:p w14:paraId="2EE10D2B" w14:textId="77777777" w:rsidR="00467A47" w:rsidRPr="00797AAB" w:rsidRDefault="00467A47" w:rsidP="00467A47">
      <w:pPr>
        <w:spacing w:line="360" w:lineRule="auto"/>
        <w:jc w:val="both"/>
        <w:rPr>
          <w:b/>
          <w:bCs/>
        </w:rPr>
      </w:pPr>
      <w:r w:rsidRPr="00797AAB">
        <w:rPr>
          <w:b/>
          <w:bCs/>
        </w:rPr>
        <w:t xml:space="preserve">Significance of the service in enhancing the quality of life of service users </w:t>
      </w:r>
    </w:p>
    <w:p w14:paraId="0AC2EB23" w14:textId="77777777" w:rsidR="00467A47" w:rsidRPr="00797AAB" w:rsidRDefault="00467A47" w:rsidP="00467A47">
      <w:pPr>
        <w:spacing w:line="360" w:lineRule="auto"/>
        <w:jc w:val="both"/>
      </w:pPr>
      <w:r w:rsidRPr="00797AAB">
        <w:t xml:space="preserve">The significance of the service in enhancing the quality of life of service users is that independence and empowerment are fostered through it. Education and employment are supported through the inclusion of community initiatives in the line of preventing the phase of isolation. The advocacy for health quality is managed through this service that guides to enhance the standard of life expectancy. Career respite is provided, and the protection of mental well-being is fostered on a large scale. This service guides to align with significant choices, and the availability of mental well-being is being focused. The issue of isolation is being addressed through establishing regular contact with peers. Preventive advocacy is facilitated through it, which guides to promote autonomy and own decisions are being made. The standard of self-esteem is being improved through developing confidence, as skills and capabilities are being nurtured. Personal identity is being supported, and choices of living arrangements are being made. This approach has helped to align with the facilitation of medical therapy, and mental health is being promoted. </w:t>
      </w:r>
    </w:p>
    <w:p w14:paraId="72C36040" w14:textId="77777777" w:rsidR="00467A47" w:rsidRPr="00797AAB" w:rsidRDefault="00467A47" w:rsidP="00467A47">
      <w:pPr>
        <w:spacing w:line="360" w:lineRule="auto"/>
        <w:jc w:val="both"/>
        <w:rPr>
          <w:b/>
          <w:bCs/>
        </w:rPr>
      </w:pPr>
      <w:r w:rsidRPr="00797AAB">
        <w:rPr>
          <w:b/>
          <w:bCs/>
        </w:rPr>
        <w:t xml:space="preserve">Conclusion </w:t>
      </w:r>
    </w:p>
    <w:p w14:paraId="4C505C7A" w14:textId="77777777" w:rsidR="00467A47" w:rsidRPr="00797AAB" w:rsidRDefault="00467A47" w:rsidP="00467A47">
      <w:pPr>
        <w:spacing w:line="360" w:lineRule="auto"/>
        <w:jc w:val="both"/>
      </w:pPr>
      <w:r w:rsidRPr="00797AAB">
        <w:t xml:space="preserve">This essay has evaluated aspects of community disability services in line with the link that is established with service users. Self-determination has been fostered, that helped to increase the standard of mobility. Empowerment has been provided through choice, which makes it easy to align with chronic health conditions. </w:t>
      </w:r>
      <w:r w:rsidRPr="00797AAB">
        <w:br w:type="page"/>
      </w:r>
    </w:p>
    <w:p w14:paraId="23CCFD94" w14:textId="5CB9D791" w:rsidR="00467A47" w:rsidRPr="00797AAB" w:rsidRDefault="00467A47" w:rsidP="00467A47">
      <w:pPr>
        <w:pStyle w:val="Heading1"/>
        <w:spacing w:line="360" w:lineRule="auto"/>
        <w:jc w:val="both"/>
        <w:rPr>
          <w:lang w:val="en-GB"/>
        </w:rPr>
      </w:pPr>
      <w:bookmarkStart w:id="17" w:name="_3rhid9quzqsr" w:colFirst="0" w:colLast="0"/>
      <w:bookmarkStart w:id="18" w:name="_Toc232856595"/>
      <w:bookmarkEnd w:id="17"/>
      <w:r w:rsidRPr="00797AAB">
        <w:rPr>
          <w:lang w:val="en-GB"/>
        </w:rPr>
        <w:lastRenderedPageBreak/>
        <w:t>References</w:t>
      </w:r>
      <w:bookmarkEnd w:id="18"/>
    </w:p>
    <w:p w14:paraId="26A39A29" w14:textId="77777777" w:rsidR="000F79D2" w:rsidRPr="00797AAB" w:rsidRDefault="000F79D2" w:rsidP="00467A47">
      <w:pPr>
        <w:spacing w:line="360" w:lineRule="auto"/>
        <w:jc w:val="both"/>
      </w:pPr>
      <w:r w:rsidRPr="00797AAB">
        <w:t xml:space="preserve">Baird, B., (2025). </w:t>
      </w:r>
      <w:r w:rsidRPr="00797AAB">
        <w:rPr>
          <w:i/>
          <w:iCs/>
        </w:rPr>
        <w:t xml:space="preserve">Community pharmacy explained. </w:t>
      </w:r>
      <w:r w:rsidRPr="00797AAB">
        <w:t xml:space="preserve">[Online] Available at: </w:t>
      </w:r>
      <w:hyperlink r:id="rId14">
        <w:r w:rsidRPr="00797AAB">
          <w:rPr>
            <w:color w:val="1155CC"/>
            <w:u w:val="single"/>
          </w:rPr>
          <w:t>https://www.kingsfund.org.uk/insight-and-analysis/long-reads/community-pharmacy-explained</w:t>
        </w:r>
      </w:hyperlink>
      <w:r w:rsidRPr="00797AAB">
        <w:rPr>
          <w:u w:val="single"/>
        </w:rPr>
        <w:t xml:space="preserve"> </w:t>
      </w:r>
      <w:r w:rsidRPr="00797AAB">
        <w:t>[Accessed 19 06 2026].</w:t>
      </w:r>
    </w:p>
    <w:p w14:paraId="6D5DDA8D" w14:textId="77777777" w:rsidR="000F79D2" w:rsidRPr="00797AAB" w:rsidRDefault="000F79D2" w:rsidP="00467A47">
      <w:pPr>
        <w:spacing w:line="360" w:lineRule="auto"/>
        <w:jc w:val="both"/>
      </w:pPr>
      <w:r w:rsidRPr="00797AAB">
        <w:t xml:space="preserve"> </w:t>
      </w:r>
      <w:r w:rsidRPr="00797AAB">
        <w:rPr>
          <w:highlight w:val="white"/>
        </w:rPr>
        <w:t xml:space="preserve">Becker, T., Weinmann, S., Ikkos, G., Fioritti, A. and Gühne, U., (2026). Ideas, Theories and Psychiatric Services: De-institutionalisation and Community Care in Italy, the UK and Germany Since 1960. In </w:t>
      </w:r>
      <w:r w:rsidRPr="00797AAB">
        <w:rPr>
          <w:i/>
          <w:iCs/>
          <w:highlight w:val="white"/>
        </w:rPr>
        <w:t>Psychiatry after Kraepelin: Ambition Images Practices 1926-2026</w:t>
      </w:r>
      <w:r w:rsidRPr="00797AAB">
        <w:rPr>
          <w:highlight w:val="white"/>
        </w:rPr>
        <w:t xml:space="preserve"> (pp. 333-365). Cham: Springer Nature Switzerland.</w:t>
      </w:r>
      <w:r w:rsidRPr="00797AAB">
        <w:t xml:space="preserve"> </w:t>
      </w:r>
    </w:p>
    <w:p w14:paraId="44965440" w14:textId="77777777" w:rsidR="000F79D2" w:rsidRPr="00797AAB" w:rsidRDefault="000F79D2" w:rsidP="00467A47">
      <w:pPr>
        <w:spacing w:line="360" w:lineRule="auto"/>
        <w:jc w:val="both"/>
      </w:pPr>
      <w:r w:rsidRPr="00797AAB">
        <w:rPr>
          <w:highlight w:val="white"/>
        </w:rPr>
        <w:t xml:space="preserve">Collinge, P. and Falcini, L., (2022). </w:t>
      </w:r>
      <w:r w:rsidRPr="00797AAB">
        <w:rPr>
          <w:i/>
          <w:iCs/>
          <w:highlight w:val="white"/>
        </w:rPr>
        <w:t>Providing for the Poor: The Old Poor Law, 1750–1834</w:t>
      </w:r>
      <w:r w:rsidRPr="00797AAB">
        <w:rPr>
          <w:highlight w:val="white"/>
        </w:rPr>
        <w:t xml:space="preserve"> (p. 224). University of London Press.</w:t>
      </w:r>
      <w:r w:rsidRPr="00797AAB">
        <w:t xml:space="preserve"> </w:t>
      </w:r>
    </w:p>
    <w:p w14:paraId="562AECFF" w14:textId="77777777" w:rsidR="000F79D2" w:rsidRPr="00797AAB" w:rsidRDefault="000F79D2" w:rsidP="00467A47">
      <w:pPr>
        <w:spacing w:line="360" w:lineRule="auto"/>
        <w:jc w:val="both"/>
      </w:pPr>
      <w:r w:rsidRPr="00797AAB">
        <w:t xml:space="preserve">cpe, (2024). </w:t>
      </w:r>
      <w:r w:rsidRPr="00797AAB">
        <w:rPr>
          <w:i/>
          <w:iCs/>
        </w:rPr>
        <w:t xml:space="preserve">Pharmacy Pressures Survey. </w:t>
      </w:r>
      <w:r w:rsidRPr="00797AAB">
        <w:t xml:space="preserve">[Online] Available at: </w:t>
      </w:r>
      <w:hyperlink r:id="rId15">
        <w:r w:rsidRPr="00797AAB">
          <w:rPr>
            <w:color w:val="1155CC"/>
            <w:u w:val="single"/>
          </w:rPr>
          <w:t>https://cpe.org.uk/wp-content/uploads/2024/10/Pharmacy-Pressures-Survey-2024-Staffing-and-Morale-Report-Final-Oct-2024.pdf</w:t>
        </w:r>
      </w:hyperlink>
      <w:r w:rsidRPr="00797AAB">
        <w:t xml:space="preserve"> [Accessed 18 06 2026].</w:t>
      </w:r>
    </w:p>
    <w:p w14:paraId="47D2D2FF" w14:textId="77777777" w:rsidR="000F79D2" w:rsidRPr="00797AAB" w:rsidRDefault="000F79D2" w:rsidP="00467A47">
      <w:pPr>
        <w:spacing w:line="360" w:lineRule="auto"/>
        <w:jc w:val="both"/>
      </w:pPr>
      <w:r w:rsidRPr="00797AAB">
        <w:t xml:space="preserve">cpe, (2026). </w:t>
      </w:r>
      <w:r w:rsidRPr="00797AAB">
        <w:rPr>
          <w:i/>
          <w:iCs/>
        </w:rPr>
        <w:t xml:space="preserve">NHS prescription charges remain at £9.90. </w:t>
      </w:r>
      <w:r w:rsidRPr="00797AAB">
        <w:t xml:space="preserve">[Online] Available at: </w:t>
      </w:r>
      <w:hyperlink r:id="rId16">
        <w:r w:rsidRPr="00797AAB">
          <w:rPr>
            <w:color w:val="1155CC"/>
            <w:u w:val="single"/>
          </w:rPr>
          <w:t>https://cpe.org.uk/our-news/nhs-prescription-charges-to-remain-at-9-90/</w:t>
        </w:r>
      </w:hyperlink>
      <w:r w:rsidRPr="00797AAB">
        <w:t xml:space="preserve"> [Accessed 18 06 2026].</w:t>
      </w:r>
    </w:p>
    <w:p w14:paraId="7DF54ABD" w14:textId="77777777" w:rsidR="000F79D2" w:rsidRPr="00797AAB" w:rsidRDefault="000F79D2" w:rsidP="00467A47">
      <w:pPr>
        <w:spacing w:line="360" w:lineRule="auto"/>
        <w:jc w:val="both"/>
      </w:pPr>
      <w:r w:rsidRPr="00797AAB">
        <w:rPr>
          <w:highlight w:val="white"/>
        </w:rPr>
        <w:t xml:space="preserve">Cunha Leal, M.L.G., Rodrigues, A.R., Bell, V. and Forrester, M., (2025), July. Exploring the evolving role of pharmaceutical services in community pharmacies: Insights from the USA, England, and Portugal. In </w:t>
      </w:r>
      <w:r w:rsidRPr="00797AAB">
        <w:rPr>
          <w:i/>
          <w:iCs/>
          <w:highlight w:val="white"/>
        </w:rPr>
        <w:t>Healthcare</w:t>
      </w:r>
      <w:r w:rsidRPr="00797AAB">
        <w:rPr>
          <w:highlight w:val="white"/>
        </w:rPr>
        <w:t xml:space="preserve"> (Vol. 13, No. 15, p. 1786). MDPI.</w:t>
      </w:r>
      <w:r w:rsidRPr="00797AAB">
        <w:t xml:space="preserve"> </w:t>
      </w:r>
    </w:p>
    <w:p w14:paraId="46412727" w14:textId="77777777" w:rsidR="000F79D2" w:rsidRPr="00797AAB" w:rsidRDefault="000F79D2" w:rsidP="00467A47">
      <w:pPr>
        <w:spacing w:line="360" w:lineRule="auto"/>
        <w:jc w:val="both"/>
      </w:pPr>
      <w:r w:rsidRPr="00797AAB">
        <w:t xml:space="preserve">ews-medical.net, (2026). </w:t>
      </w:r>
      <w:r w:rsidRPr="00797AAB">
        <w:rPr>
          <w:i/>
          <w:iCs/>
        </w:rPr>
        <w:t xml:space="preserve">Community Pharmacy. </w:t>
      </w:r>
      <w:r w:rsidRPr="00797AAB">
        <w:t xml:space="preserve">[Online] Available at: </w:t>
      </w:r>
      <w:hyperlink r:id="rId17">
        <w:r w:rsidRPr="00797AAB">
          <w:rPr>
            <w:color w:val="1155CC"/>
            <w:u w:val="single"/>
          </w:rPr>
          <w:t>https://www.news-medical.net/health/Community-Pharmacy.aspx</w:t>
        </w:r>
      </w:hyperlink>
      <w:r w:rsidRPr="00797AAB">
        <w:rPr>
          <w:u w:val="single"/>
        </w:rPr>
        <w:t xml:space="preserve"> </w:t>
      </w:r>
      <w:r w:rsidRPr="00797AAB">
        <w:t>[Accessed 18 06 2026].</w:t>
      </w:r>
    </w:p>
    <w:p w14:paraId="4C87CBA0" w14:textId="77777777" w:rsidR="000F79D2" w:rsidRPr="00797AAB" w:rsidRDefault="000F79D2" w:rsidP="00467A47">
      <w:pPr>
        <w:spacing w:line="360" w:lineRule="auto"/>
        <w:jc w:val="both"/>
      </w:pPr>
      <w:r w:rsidRPr="00797AAB">
        <w:t xml:space="preserve">express-scripts, (2026). </w:t>
      </w:r>
      <w:r w:rsidRPr="00797AAB">
        <w:rPr>
          <w:i/>
          <w:iCs/>
        </w:rPr>
        <w:t xml:space="preserve">The history of pharmacy. </w:t>
      </w:r>
      <w:r w:rsidRPr="00797AAB">
        <w:t xml:space="preserve">[Online] Available at: </w:t>
      </w:r>
      <w:hyperlink r:id="rId18">
        <w:r w:rsidRPr="00797AAB">
          <w:rPr>
            <w:color w:val="1155CC"/>
            <w:u w:val="single"/>
          </w:rPr>
          <w:t>https://www.express-scripts.com/pharmacy/blog/history-of-pharmacy</w:t>
        </w:r>
      </w:hyperlink>
      <w:r w:rsidRPr="00797AAB">
        <w:rPr>
          <w:u w:val="single"/>
        </w:rPr>
        <w:t xml:space="preserve"> </w:t>
      </w:r>
      <w:r w:rsidRPr="00797AAB">
        <w:t xml:space="preserve"> [Accessed 19 06 2026].</w:t>
      </w:r>
    </w:p>
    <w:p w14:paraId="109B8568" w14:textId="2927B4CA" w:rsidR="000F79D2" w:rsidRPr="00797AAB" w:rsidRDefault="000F79D2" w:rsidP="00467A47">
      <w:pPr>
        <w:spacing w:line="360" w:lineRule="auto"/>
        <w:jc w:val="both"/>
      </w:pPr>
      <w:r w:rsidRPr="00797AAB">
        <w:t xml:space="preserve">firstwordpharma, (2025). </w:t>
      </w:r>
      <w:r w:rsidRPr="00797AAB">
        <w:rPr>
          <w:i/>
          <w:iCs/>
        </w:rPr>
        <w:t xml:space="preserve">Morale at breaking point as pharmacy staffing crisis deepens. </w:t>
      </w:r>
      <w:r w:rsidRPr="00797AAB">
        <w:t xml:space="preserve">[Online] Available at: </w:t>
      </w:r>
      <w:hyperlink r:id="rId19">
        <w:r w:rsidRPr="00797AAB">
          <w:rPr>
            <w:color w:val="1155CC"/>
            <w:u w:val="single"/>
          </w:rPr>
          <w:t>https://firstwordpharma.com/story/6528349</w:t>
        </w:r>
      </w:hyperlink>
      <w:r w:rsidRPr="00797AAB">
        <w:t xml:space="preserve"> [Accessed 18 06 2026].</w:t>
      </w:r>
    </w:p>
    <w:p w14:paraId="395996D0" w14:textId="49BDD228" w:rsidR="000F79D2" w:rsidRPr="00797AAB" w:rsidRDefault="000F79D2" w:rsidP="00467A47">
      <w:pPr>
        <w:spacing w:line="360" w:lineRule="auto"/>
        <w:jc w:val="both"/>
      </w:pPr>
      <w:r w:rsidRPr="00797AAB">
        <w:t xml:space="preserve">gov.wales, </w:t>
      </w:r>
      <w:r w:rsidR="00797AAB">
        <w:t>(</w:t>
      </w:r>
      <w:r w:rsidRPr="00797AAB">
        <w:t>2022</w:t>
      </w:r>
      <w:r w:rsidR="00797AAB">
        <w:t>)</w:t>
      </w:r>
      <w:r w:rsidRPr="00797AAB">
        <w:t xml:space="preserve">. </w:t>
      </w:r>
      <w:r w:rsidRPr="00797AAB">
        <w:rPr>
          <w:i/>
          <w:iCs/>
        </w:rPr>
        <w:t xml:space="preserve">Community pharmacy services: April 2021 to March 2022. </w:t>
      </w:r>
      <w:r w:rsidRPr="00797AAB">
        <w:t xml:space="preserve">[Online] Available at: </w:t>
      </w:r>
      <w:hyperlink r:id="rId20">
        <w:r w:rsidRPr="00797AAB">
          <w:rPr>
            <w:color w:val="1155CC"/>
            <w:u w:val="single"/>
          </w:rPr>
          <w:t>https://www.gov.wales/community-pharmacy-services-april-2021-march-2022-html</w:t>
        </w:r>
      </w:hyperlink>
      <w:r w:rsidRPr="00797AAB">
        <w:rPr>
          <w:u w:val="single"/>
        </w:rPr>
        <w:t xml:space="preserve"> </w:t>
      </w:r>
      <w:r w:rsidRPr="00797AAB">
        <w:t xml:space="preserve"> [Accessed 18 06 2026].</w:t>
      </w:r>
    </w:p>
    <w:p w14:paraId="3CFB6D99" w14:textId="77777777" w:rsidR="000F79D2" w:rsidRPr="00797AAB" w:rsidRDefault="000F79D2" w:rsidP="00467A47">
      <w:pPr>
        <w:spacing w:line="360" w:lineRule="auto"/>
        <w:jc w:val="both"/>
      </w:pPr>
      <w:r w:rsidRPr="00797AAB">
        <w:rPr>
          <w:highlight w:val="white"/>
        </w:rPr>
        <w:t xml:space="preserve">Jones, K., (2023). </w:t>
      </w:r>
      <w:r w:rsidRPr="00797AAB">
        <w:rPr>
          <w:i/>
          <w:iCs/>
          <w:highlight w:val="white"/>
        </w:rPr>
        <w:t>A history of the mental health services</w:t>
      </w:r>
      <w:r w:rsidRPr="00797AAB">
        <w:rPr>
          <w:highlight w:val="white"/>
        </w:rPr>
        <w:t>. Routledge.</w:t>
      </w:r>
      <w:r w:rsidRPr="00797AAB">
        <w:t xml:space="preserve"> </w:t>
      </w:r>
    </w:p>
    <w:p w14:paraId="14A85DBA" w14:textId="77777777" w:rsidR="000F79D2" w:rsidRPr="00797AAB" w:rsidRDefault="000F79D2" w:rsidP="00467A47">
      <w:pPr>
        <w:spacing w:line="360" w:lineRule="auto"/>
        <w:jc w:val="both"/>
      </w:pPr>
      <w:r w:rsidRPr="00797AAB">
        <w:rPr>
          <w:color w:val="222222"/>
          <w:highlight w:val="white"/>
        </w:rPr>
        <w:t xml:space="preserve">Levell, N.J., (2022). NHS outpatient secondary care: a time of challenges and opportunities. </w:t>
      </w:r>
      <w:r w:rsidRPr="00797AAB">
        <w:rPr>
          <w:i/>
          <w:iCs/>
          <w:color w:val="222222"/>
          <w:highlight w:val="white"/>
        </w:rPr>
        <w:t>Future Healthcare Journal</w:t>
      </w:r>
      <w:r w:rsidRPr="00797AAB">
        <w:rPr>
          <w:color w:val="222222"/>
          <w:highlight w:val="white"/>
        </w:rPr>
        <w:t xml:space="preserve">, </w:t>
      </w:r>
      <w:r w:rsidRPr="00797AAB">
        <w:rPr>
          <w:i/>
          <w:iCs/>
          <w:color w:val="222222"/>
          <w:highlight w:val="white"/>
        </w:rPr>
        <w:t>9</w:t>
      </w:r>
      <w:r w:rsidRPr="00797AAB">
        <w:rPr>
          <w:color w:val="222222"/>
          <w:highlight w:val="white"/>
        </w:rPr>
        <w:t>(2), pp.106-112.</w:t>
      </w:r>
      <w:r w:rsidRPr="00797AAB">
        <w:t xml:space="preserve"> </w:t>
      </w:r>
    </w:p>
    <w:p w14:paraId="1A206591" w14:textId="77777777" w:rsidR="000F79D2" w:rsidRPr="00797AAB" w:rsidRDefault="000F79D2" w:rsidP="00467A47">
      <w:pPr>
        <w:spacing w:line="360" w:lineRule="auto"/>
        <w:jc w:val="both"/>
      </w:pPr>
      <w:r w:rsidRPr="00797AAB">
        <w:t xml:space="preserve">mkuh.nhs.uk, (2026). </w:t>
      </w:r>
      <w:r w:rsidRPr="00797AAB">
        <w:rPr>
          <w:i/>
          <w:iCs/>
        </w:rPr>
        <w:t xml:space="preserve">Pharmacy at MKUH. </w:t>
      </w:r>
      <w:r w:rsidRPr="00797AAB">
        <w:t xml:space="preserve">[Online] Available at: </w:t>
      </w:r>
      <w:hyperlink r:id="rId21">
        <w:r w:rsidRPr="00797AAB">
          <w:rPr>
            <w:color w:val="1155CC"/>
            <w:u w:val="single"/>
          </w:rPr>
          <w:t>https://www.mkuh.nhs.uk/pharmacy-at-mkuh</w:t>
        </w:r>
      </w:hyperlink>
      <w:r w:rsidRPr="00797AAB">
        <w:rPr>
          <w:u w:val="single"/>
        </w:rPr>
        <w:t xml:space="preserve"> </w:t>
      </w:r>
      <w:r w:rsidRPr="00797AAB">
        <w:t>[Accessed 19 06 2026].</w:t>
      </w:r>
    </w:p>
    <w:p w14:paraId="67E5199B" w14:textId="77777777" w:rsidR="000F79D2" w:rsidRPr="00797AAB" w:rsidRDefault="000F79D2" w:rsidP="00467A47">
      <w:pPr>
        <w:spacing w:line="360" w:lineRule="auto"/>
        <w:jc w:val="both"/>
      </w:pPr>
      <w:r w:rsidRPr="00797AAB">
        <w:t xml:space="preserve">raconteur, (2026). </w:t>
      </w:r>
      <w:r w:rsidRPr="00797AAB">
        <w:rPr>
          <w:i/>
          <w:iCs/>
        </w:rPr>
        <w:t xml:space="preserve">Pharmacy Evolution. </w:t>
      </w:r>
      <w:r w:rsidRPr="00797AAB">
        <w:t xml:space="preserve">[Online] Available at: </w:t>
      </w:r>
      <w:hyperlink r:id="rId22">
        <w:r w:rsidRPr="00797AAB">
          <w:rPr>
            <w:color w:val="1155CC"/>
            <w:u w:val="single"/>
          </w:rPr>
          <w:t>https://www.raconteur.net/infographics/pharmacy-evolution</w:t>
        </w:r>
      </w:hyperlink>
      <w:r w:rsidRPr="00797AAB">
        <w:rPr>
          <w:u w:val="single"/>
        </w:rPr>
        <w:t xml:space="preserve"> </w:t>
      </w:r>
      <w:r w:rsidRPr="00797AAB">
        <w:t>[Accessed 18 06 2026].</w:t>
      </w:r>
    </w:p>
    <w:p w14:paraId="5B143669" w14:textId="28D270ED" w:rsidR="000F79D2" w:rsidRDefault="000F79D2" w:rsidP="00467A47">
      <w:pPr>
        <w:spacing w:line="360" w:lineRule="auto"/>
        <w:jc w:val="both"/>
      </w:pPr>
      <w:r w:rsidRPr="00797AAB">
        <w:lastRenderedPageBreak/>
        <w:t xml:space="preserve">thefamilychemist, (2026). </w:t>
      </w:r>
      <w:r w:rsidRPr="00797AAB">
        <w:rPr>
          <w:i/>
          <w:iCs/>
        </w:rPr>
        <w:t xml:space="preserve">Introduction Our NHS-Funded Pharmacy First Service. </w:t>
      </w:r>
      <w:r w:rsidRPr="00797AAB">
        <w:t xml:space="preserve">[Online] Available at: </w:t>
      </w:r>
      <w:hyperlink r:id="rId23">
        <w:r w:rsidRPr="00797AAB">
          <w:rPr>
            <w:color w:val="1155CC"/>
            <w:u w:val="single"/>
          </w:rPr>
          <w:t>https://www.thefamilychemist.co.uk/introducing-our-nhs-funded-pharmacy-first-service/?srsltid=AfmBOorBaTd-Jl8OZlPyfA4Kone5WlfMkh5HOkmF2VVsIcLlppLBYdwa</w:t>
        </w:r>
      </w:hyperlink>
      <w:r w:rsidRPr="00797AAB">
        <w:t xml:space="preserve"> [Accessed 18 06 2026].</w:t>
      </w:r>
    </w:p>
    <w:sectPr w:rsidR="000F79D2" w:rsidSect="00467A47">
      <w:headerReference w:type="default" r:id="rId24"/>
      <w:footerReference w:type="default" r:id="rId2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709F4" w14:textId="77777777" w:rsidR="00503EAC" w:rsidRPr="00797AAB" w:rsidRDefault="00503EAC" w:rsidP="00467A47">
      <w:pPr>
        <w:spacing w:line="240" w:lineRule="auto"/>
      </w:pPr>
      <w:r w:rsidRPr="00797AAB">
        <w:separator/>
      </w:r>
    </w:p>
  </w:endnote>
  <w:endnote w:type="continuationSeparator" w:id="0">
    <w:p w14:paraId="4BDD6584" w14:textId="77777777" w:rsidR="00503EAC" w:rsidRPr="00797AAB" w:rsidRDefault="00503EAC" w:rsidP="00467A47">
      <w:pPr>
        <w:spacing w:line="240" w:lineRule="auto"/>
      </w:pPr>
      <w:r w:rsidRPr="00797AA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9611916"/>
      <w:docPartObj>
        <w:docPartGallery w:val="Page Numbers (Bottom of Page)"/>
        <w:docPartUnique/>
      </w:docPartObj>
    </w:sdtPr>
    <w:sdtContent>
      <w:sdt>
        <w:sdtPr>
          <w:id w:val="-1769616900"/>
          <w:docPartObj>
            <w:docPartGallery w:val="Page Numbers (Top of Page)"/>
            <w:docPartUnique/>
          </w:docPartObj>
        </w:sdtPr>
        <w:sdtContent>
          <w:p w14:paraId="6279B842" w14:textId="4C3CE405" w:rsidR="00467A47" w:rsidRPr="00797AAB" w:rsidRDefault="00467A47" w:rsidP="00B142E8">
            <w:pPr>
              <w:pStyle w:val="Footer"/>
              <w:jc w:val="right"/>
            </w:pPr>
            <w:r w:rsidRPr="00797AAB">
              <w:t xml:space="preserve">Page </w:t>
            </w:r>
            <w:r w:rsidRPr="00797AAB">
              <w:rPr>
                <w:b/>
                <w:bCs/>
                <w:sz w:val="24"/>
                <w:szCs w:val="24"/>
              </w:rPr>
              <w:fldChar w:fldCharType="begin"/>
            </w:r>
            <w:r w:rsidRPr="00797AAB">
              <w:rPr>
                <w:b/>
                <w:bCs/>
              </w:rPr>
              <w:instrText xml:space="preserve"> PAGE </w:instrText>
            </w:r>
            <w:r w:rsidRPr="00797AAB">
              <w:rPr>
                <w:b/>
                <w:bCs/>
                <w:sz w:val="24"/>
                <w:szCs w:val="24"/>
              </w:rPr>
              <w:fldChar w:fldCharType="separate"/>
            </w:r>
            <w:r w:rsidRPr="00797AAB">
              <w:rPr>
                <w:b/>
                <w:bCs/>
              </w:rPr>
              <w:t>2</w:t>
            </w:r>
            <w:r w:rsidRPr="00797AAB">
              <w:rPr>
                <w:b/>
                <w:bCs/>
                <w:sz w:val="24"/>
                <w:szCs w:val="24"/>
              </w:rPr>
              <w:fldChar w:fldCharType="end"/>
            </w:r>
            <w:r w:rsidRPr="00797AAB">
              <w:t xml:space="preserve"> of </w:t>
            </w:r>
            <w:r w:rsidRPr="00797AAB">
              <w:rPr>
                <w:b/>
                <w:bCs/>
                <w:sz w:val="24"/>
                <w:szCs w:val="24"/>
              </w:rPr>
              <w:fldChar w:fldCharType="begin"/>
            </w:r>
            <w:r w:rsidRPr="00797AAB">
              <w:rPr>
                <w:b/>
                <w:bCs/>
              </w:rPr>
              <w:instrText xml:space="preserve"> NUMPAGES  </w:instrText>
            </w:r>
            <w:r w:rsidRPr="00797AAB">
              <w:rPr>
                <w:b/>
                <w:bCs/>
                <w:sz w:val="24"/>
                <w:szCs w:val="24"/>
              </w:rPr>
              <w:fldChar w:fldCharType="separate"/>
            </w:r>
            <w:r w:rsidRPr="00797AAB">
              <w:rPr>
                <w:b/>
                <w:bCs/>
              </w:rPr>
              <w:t>2</w:t>
            </w:r>
            <w:r w:rsidRPr="00797AAB">
              <w:rPr>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FC4CC0" w14:textId="77777777" w:rsidR="00503EAC" w:rsidRPr="00797AAB" w:rsidRDefault="00503EAC" w:rsidP="00467A47">
      <w:pPr>
        <w:spacing w:line="240" w:lineRule="auto"/>
      </w:pPr>
      <w:r w:rsidRPr="00797AAB">
        <w:separator/>
      </w:r>
    </w:p>
  </w:footnote>
  <w:footnote w:type="continuationSeparator" w:id="0">
    <w:p w14:paraId="6EC65575" w14:textId="77777777" w:rsidR="00503EAC" w:rsidRPr="00797AAB" w:rsidRDefault="00503EAC" w:rsidP="00467A47">
      <w:pPr>
        <w:spacing w:line="240" w:lineRule="auto"/>
      </w:pPr>
      <w:r w:rsidRPr="00797AA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ABDEC" w14:textId="6E2C4CD7" w:rsidR="00467A47" w:rsidRPr="00797AAB" w:rsidRDefault="00467A47" w:rsidP="00467A47">
    <w:pPr>
      <w:jc w:val="right"/>
    </w:pPr>
    <w:r w:rsidRPr="00797AAB">
      <w:t>Introduction to Health and Social Care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0F0"/>
    <w:rsid w:val="00020E3A"/>
    <w:rsid w:val="00030832"/>
    <w:rsid w:val="00030BE5"/>
    <w:rsid w:val="000446F8"/>
    <w:rsid w:val="00054A1F"/>
    <w:rsid w:val="0008297E"/>
    <w:rsid w:val="000961BA"/>
    <w:rsid w:val="000C28C8"/>
    <w:rsid w:val="000C4B3D"/>
    <w:rsid w:val="000D1101"/>
    <w:rsid w:val="000D3FE4"/>
    <w:rsid w:val="000E0514"/>
    <w:rsid w:val="000E28E0"/>
    <w:rsid w:val="000E2EFE"/>
    <w:rsid w:val="000F3AF8"/>
    <w:rsid w:val="000F79D2"/>
    <w:rsid w:val="0011268C"/>
    <w:rsid w:val="00117F6C"/>
    <w:rsid w:val="00127288"/>
    <w:rsid w:val="001447DA"/>
    <w:rsid w:val="0015162D"/>
    <w:rsid w:val="00167003"/>
    <w:rsid w:val="00171766"/>
    <w:rsid w:val="001809F7"/>
    <w:rsid w:val="001A60CF"/>
    <w:rsid w:val="001B043B"/>
    <w:rsid w:val="001B4459"/>
    <w:rsid w:val="001D4EC8"/>
    <w:rsid w:val="001F11D3"/>
    <w:rsid w:val="002000D9"/>
    <w:rsid w:val="0020297B"/>
    <w:rsid w:val="0020348C"/>
    <w:rsid w:val="00223E55"/>
    <w:rsid w:val="00250C17"/>
    <w:rsid w:val="00257649"/>
    <w:rsid w:val="002606A3"/>
    <w:rsid w:val="00267506"/>
    <w:rsid w:val="00297EA2"/>
    <w:rsid w:val="002A246A"/>
    <w:rsid w:val="002B69B4"/>
    <w:rsid w:val="002E02A6"/>
    <w:rsid w:val="002E2B57"/>
    <w:rsid w:val="002E3D60"/>
    <w:rsid w:val="002E45DF"/>
    <w:rsid w:val="002E73A8"/>
    <w:rsid w:val="002F137B"/>
    <w:rsid w:val="002F326F"/>
    <w:rsid w:val="00315588"/>
    <w:rsid w:val="00323EFF"/>
    <w:rsid w:val="00324CE0"/>
    <w:rsid w:val="00327B24"/>
    <w:rsid w:val="00345BB6"/>
    <w:rsid w:val="003612EE"/>
    <w:rsid w:val="003673FB"/>
    <w:rsid w:val="00391004"/>
    <w:rsid w:val="003B265E"/>
    <w:rsid w:val="003B4630"/>
    <w:rsid w:val="003B63BC"/>
    <w:rsid w:val="003B7AE4"/>
    <w:rsid w:val="003C20F1"/>
    <w:rsid w:val="003D7484"/>
    <w:rsid w:val="00406CF3"/>
    <w:rsid w:val="00406E37"/>
    <w:rsid w:val="004074DD"/>
    <w:rsid w:val="00420F84"/>
    <w:rsid w:val="00423B27"/>
    <w:rsid w:val="00440AA1"/>
    <w:rsid w:val="0046061D"/>
    <w:rsid w:val="00465C48"/>
    <w:rsid w:val="00467A47"/>
    <w:rsid w:val="00480943"/>
    <w:rsid w:val="00480AA6"/>
    <w:rsid w:val="004B2493"/>
    <w:rsid w:val="004B2E36"/>
    <w:rsid w:val="004D7F56"/>
    <w:rsid w:val="004E548F"/>
    <w:rsid w:val="004E55A0"/>
    <w:rsid w:val="004E5A13"/>
    <w:rsid w:val="00500C60"/>
    <w:rsid w:val="00503EAC"/>
    <w:rsid w:val="005130EA"/>
    <w:rsid w:val="00514FE5"/>
    <w:rsid w:val="00520AFD"/>
    <w:rsid w:val="00530306"/>
    <w:rsid w:val="00530396"/>
    <w:rsid w:val="00531C6C"/>
    <w:rsid w:val="00536718"/>
    <w:rsid w:val="00554F8E"/>
    <w:rsid w:val="005667A4"/>
    <w:rsid w:val="0057457F"/>
    <w:rsid w:val="00577326"/>
    <w:rsid w:val="0058446F"/>
    <w:rsid w:val="005A4A8A"/>
    <w:rsid w:val="005C533E"/>
    <w:rsid w:val="005D25F6"/>
    <w:rsid w:val="005D5DCA"/>
    <w:rsid w:val="005E6999"/>
    <w:rsid w:val="0060398F"/>
    <w:rsid w:val="00622F9A"/>
    <w:rsid w:val="00654A43"/>
    <w:rsid w:val="00665AA3"/>
    <w:rsid w:val="006727A2"/>
    <w:rsid w:val="00690C4F"/>
    <w:rsid w:val="00696C2E"/>
    <w:rsid w:val="006B59EE"/>
    <w:rsid w:val="006B6812"/>
    <w:rsid w:val="006C0C07"/>
    <w:rsid w:val="006D7EA8"/>
    <w:rsid w:val="006E10F0"/>
    <w:rsid w:val="006F289E"/>
    <w:rsid w:val="006F2F1B"/>
    <w:rsid w:val="006F3BEE"/>
    <w:rsid w:val="006F5B63"/>
    <w:rsid w:val="0070526A"/>
    <w:rsid w:val="007137E6"/>
    <w:rsid w:val="007151FC"/>
    <w:rsid w:val="007207E7"/>
    <w:rsid w:val="00723835"/>
    <w:rsid w:val="007323BB"/>
    <w:rsid w:val="00766600"/>
    <w:rsid w:val="007773C0"/>
    <w:rsid w:val="0079113E"/>
    <w:rsid w:val="00797AAB"/>
    <w:rsid w:val="007A1345"/>
    <w:rsid w:val="007A4D60"/>
    <w:rsid w:val="007A6685"/>
    <w:rsid w:val="007C1BB5"/>
    <w:rsid w:val="007D5043"/>
    <w:rsid w:val="007F3486"/>
    <w:rsid w:val="007F3CFC"/>
    <w:rsid w:val="007F7E9B"/>
    <w:rsid w:val="00807E92"/>
    <w:rsid w:val="00807ED1"/>
    <w:rsid w:val="00812D34"/>
    <w:rsid w:val="0081726C"/>
    <w:rsid w:val="00824E2B"/>
    <w:rsid w:val="00854461"/>
    <w:rsid w:val="00871356"/>
    <w:rsid w:val="008A141F"/>
    <w:rsid w:val="008A166B"/>
    <w:rsid w:val="008A7E3F"/>
    <w:rsid w:val="008B132A"/>
    <w:rsid w:val="008B1759"/>
    <w:rsid w:val="008C747D"/>
    <w:rsid w:val="008E73BE"/>
    <w:rsid w:val="00912CA8"/>
    <w:rsid w:val="00913BBB"/>
    <w:rsid w:val="009150F8"/>
    <w:rsid w:val="00920F88"/>
    <w:rsid w:val="0092777D"/>
    <w:rsid w:val="00927D1A"/>
    <w:rsid w:val="00935BBD"/>
    <w:rsid w:val="0094589C"/>
    <w:rsid w:val="00964410"/>
    <w:rsid w:val="00967234"/>
    <w:rsid w:val="00972F77"/>
    <w:rsid w:val="009A2227"/>
    <w:rsid w:val="009B1D7F"/>
    <w:rsid w:val="009B74CC"/>
    <w:rsid w:val="009C2E83"/>
    <w:rsid w:val="009C510C"/>
    <w:rsid w:val="009D6EF7"/>
    <w:rsid w:val="009F01FC"/>
    <w:rsid w:val="009F741B"/>
    <w:rsid w:val="00A02D30"/>
    <w:rsid w:val="00A054BE"/>
    <w:rsid w:val="00A11CF8"/>
    <w:rsid w:val="00A33BA6"/>
    <w:rsid w:val="00A377C4"/>
    <w:rsid w:val="00A40085"/>
    <w:rsid w:val="00A47A0D"/>
    <w:rsid w:val="00A721C5"/>
    <w:rsid w:val="00A745FC"/>
    <w:rsid w:val="00A760BC"/>
    <w:rsid w:val="00A846A8"/>
    <w:rsid w:val="00A90A2B"/>
    <w:rsid w:val="00A95BDB"/>
    <w:rsid w:val="00AA1D5A"/>
    <w:rsid w:val="00AA36AF"/>
    <w:rsid w:val="00AA4177"/>
    <w:rsid w:val="00AA4F5B"/>
    <w:rsid w:val="00AD486F"/>
    <w:rsid w:val="00AE48BB"/>
    <w:rsid w:val="00AE579D"/>
    <w:rsid w:val="00AE68CF"/>
    <w:rsid w:val="00AF0CC4"/>
    <w:rsid w:val="00AF2DEA"/>
    <w:rsid w:val="00AF6CBA"/>
    <w:rsid w:val="00B00C48"/>
    <w:rsid w:val="00B04D0D"/>
    <w:rsid w:val="00B0690E"/>
    <w:rsid w:val="00B072A4"/>
    <w:rsid w:val="00B13BC3"/>
    <w:rsid w:val="00B142E8"/>
    <w:rsid w:val="00B15612"/>
    <w:rsid w:val="00B2040F"/>
    <w:rsid w:val="00B426EF"/>
    <w:rsid w:val="00B45BF0"/>
    <w:rsid w:val="00B50349"/>
    <w:rsid w:val="00B75CA6"/>
    <w:rsid w:val="00B76F3D"/>
    <w:rsid w:val="00B9272D"/>
    <w:rsid w:val="00B9584E"/>
    <w:rsid w:val="00BB4CC1"/>
    <w:rsid w:val="00BC34CA"/>
    <w:rsid w:val="00BC5D9F"/>
    <w:rsid w:val="00BD2C07"/>
    <w:rsid w:val="00BE7F02"/>
    <w:rsid w:val="00BF2ED6"/>
    <w:rsid w:val="00C01C05"/>
    <w:rsid w:val="00C103F3"/>
    <w:rsid w:val="00C14CBC"/>
    <w:rsid w:val="00C447F9"/>
    <w:rsid w:val="00C5075A"/>
    <w:rsid w:val="00C61C5A"/>
    <w:rsid w:val="00C64495"/>
    <w:rsid w:val="00C66A7C"/>
    <w:rsid w:val="00C73830"/>
    <w:rsid w:val="00C76F6E"/>
    <w:rsid w:val="00C9698C"/>
    <w:rsid w:val="00C97C9A"/>
    <w:rsid w:val="00C97DE8"/>
    <w:rsid w:val="00CA3786"/>
    <w:rsid w:val="00CB5F22"/>
    <w:rsid w:val="00CC0817"/>
    <w:rsid w:val="00CD6BBD"/>
    <w:rsid w:val="00CD6CBA"/>
    <w:rsid w:val="00CE2B6D"/>
    <w:rsid w:val="00CF6F30"/>
    <w:rsid w:val="00D232A8"/>
    <w:rsid w:val="00D26C1C"/>
    <w:rsid w:val="00D33BFA"/>
    <w:rsid w:val="00D3405D"/>
    <w:rsid w:val="00D371BD"/>
    <w:rsid w:val="00D37206"/>
    <w:rsid w:val="00D726DA"/>
    <w:rsid w:val="00D866FE"/>
    <w:rsid w:val="00D92173"/>
    <w:rsid w:val="00D96C0F"/>
    <w:rsid w:val="00DA3068"/>
    <w:rsid w:val="00DB1031"/>
    <w:rsid w:val="00DB502D"/>
    <w:rsid w:val="00DC2B1F"/>
    <w:rsid w:val="00DC49B0"/>
    <w:rsid w:val="00DC6C16"/>
    <w:rsid w:val="00DD1754"/>
    <w:rsid w:val="00DD2856"/>
    <w:rsid w:val="00DD53F0"/>
    <w:rsid w:val="00DD7E52"/>
    <w:rsid w:val="00DE7834"/>
    <w:rsid w:val="00E117D5"/>
    <w:rsid w:val="00E20CEA"/>
    <w:rsid w:val="00E628CC"/>
    <w:rsid w:val="00E66926"/>
    <w:rsid w:val="00EA1096"/>
    <w:rsid w:val="00EA35FB"/>
    <w:rsid w:val="00EA4493"/>
    <w:rsid w:val="00EA50A4"/>
    <w:rsid w:val="00EA7352"/>
    <w:rsid w:val="00EC2C56"/>
    <w:rsid w:val="00EC402F"/>
    <w:rsid w:val="00EF5814"/>
    <w:rsid w:val="00F41192"/>
    <w:rsid w:val="00F42559"/>
    <w:rsid w:val="00F50130"/>
    <w:rsid w:val="00F53662"/>
    <w:rsid w:val="00F61B0B"/>
    <w:rsid w:val="00F72C2F"/>
    <w:rsid w:val="00FA1173"/>
    <w:rsid w:val="00FA1AF4"/>
    <w:rsid w:val="00FA56FA"/>
    <w:rsid w:val="00FA7DFC"/>
    <w:rsid w:val="00FB0018"/>
    <w:rsid w:val="00FB31A6"/>
    <w:rsid w:val="00FB3CC4"/>
    <w:rsid w:val="00FC039B"/>
    <w:rsid w:val="00FC203C"/>
    <w:rsid w:val="00FC380A"/>
    <w:rsid w:val="00FC73F2"/>
    <w:rsid w:val="00FE31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5984C"/>
  <w15:chartTrackingRefBased/>
  <w15:docId w15:val="{228F132E-4D07-46AF-B0EC-F95EEC3EA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kern w:val="2"/>
        <w:sz w:val="22"/>
        <w:szCs w:val="22"/>
        <w:lang w:val="en-IN" w:eastAsia="en-US" w:bidi="ar-SA"/>
        <w14:ligatures w14:val="standardContextual"/>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A47"/>
    <w:rPr>
      <w:kern w:val="0"/>
      <w:lang w:val="en-GB" w:eastAsia="en-IN"/>
      <w14:ligatures w14:val="none"/>
    </w:rPr>
  </w:style>
  <w:style w:type="paragraph" w:styleId="Heading1">
    <w:name w:val="heading 1"/>
    <w:basedOn w:val="Normal"/>
    <w:next w:val="Normal"/>
    <w:link w:val="Heading1Char"/>
    <w:uiPriority w:val="9"/>
    <w:qFormat/>
    <w:rsid w:val="00FA56FA"/>
    <w:pPr>
      <w:keepNext/>
      <w:keepLines/>
      <w:outlineLvl w:val="0"/>
    </w:pPr>
    <w:rPr>
      <w:b/>
      <w:bCs/>
      <w:kern w:val="2"/>
      <w:sz w:val="28"/>
      <w:szCs w:val="28"/>
      <w:lang w:val="en-IN" w:eastAsia="en-US"/>
      <w14:ligatures w14:val="standardContextual"/>
    </w:rPr>
  </w:style>
  <w:style w:type="paragraph" w:styleId="Heading2">
    <w:name w:val="heading 2"/>
    <w:basedOn w:val="Normal"/>
    <w:next w:val="Normal"/>
    <w:link w:val="Heading2Char"/>
    <w:uiPriority w:val="9"/>
    <w:unhideWhenUsed/>
    <w:qFormat/>
    <w:rsid w:val="00FA56FA"/>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FA56FA"/>
    <w:pPr>
      <w:keepNext/>
      <w:keepLines/>
      <w:outlineLvl w:val="2"/>
    </w:pPr>
    <w:rPr>
      <w:rFonts w:cs="Times New Roman"/>
      <w:i/>
      <w:iCs/>
      <w:szCs w:val="24"/>
      <w:highlight w:val="white"/>
      <w:u w:val="single"/>
    </w:rPr>
  </w:style>
  <w:style w:type="paragraph" w:styleId="Heading4">
    <w:name w:val="heading 4"/>
    <w:basedOn w:val="Normal"/>
    <w:next w:val="Normal"/>
    <w:link w:val="Heading4Char"/>
    <w:uiPriority w:val="9"/>
    <w:semiHidden/>
    <w:unhideWhenUsed/>
    <w:qFormat/>
    <w:rsid w:val="006E10F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E10F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E10F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E10F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E10F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E10F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A56FA"/>
    <w:rPr>
      <w:b/>
      <w:kern w:val="0"/>
      <w:sz w:val="26"/>
      <w:szCs w:val="32"/>
      <w:lang w:val="en-GB" w:eastAsia="en-IN"/>
      <w14:ligatures w14:val="none"/>
    </w:rPr>
  </w:style>
  <w:style w:type="character" w:customStyle="1" w:styleId="Heading1Char">
    <w:name w:val="Heading 1 Char"/>
    <w:basedOn w:val="DefaultParagraphFont"/>
    <w:link w:val="Heading1"/>
    <w:uiPriority w:val="9"/>
    <w:rsid w:val="00FA56FA"/>
    <w:rPr>
      <w:rFonts w:ascii="Times New Roman" w:hAnsi="Times New Roman"/>
      <w:b/>
      <w:bCs/>
      <w:sz w:val="28"/>
      <w:szCs w:val="28"/>
    </w:rPr>
  </w:style>
  <w:style w:type="character" w:customStyle="1" w:styleId="Heading3Char">
    <w:name w:val="Heading 3 Char"/>
    <w:basedOn w:val="DefaultParagraphFont"/>
    <w:link w:val="Heading3"/>
    <w:uiPriority w:val="9"/>
    <w:rsid w:val="00FA56FA"/>
    <w:rPr>
      <w:rFonts w:ascii="Times New Roman" w:hAnsi="Times New Roman" w:cs="Times New Roman"/>
      <w:i/>
      <w:iCs/>
      <w:kern w:val="0"/>
      <w:sz w:val="24"/>
      <w:szCs w:val="24"/>
      <w:highlight w:val="white"/>
      <w:u w:val="single"/>
      <w:lang w:val="en-GB" w:eastAsia="en-IN"/>
      <w14:ligatures w14:val="none"/>
    </w:rPr>
  </w:style>
  <w:style w:type="character" w:customStyle="1" w:styleId="Heading4Char">
    <w:name w:val="Heading 4 Char"/>
    <w:basedOn w:val="DefaultParagraphFont"/>
    <w:link w:val="Heading4"/>
    <w:uiPriority w:val="9"/>
    <w:semiHidden/>
    <w:rsid w:val="006E10F0"/>
    <w:rPr>
      <w:rFonts w:asciiTheme="minorHAnsi" w:eastAsiaTheme="majorEastAsia" w:hAnsiTheme="minorHAnsi" w:cstheme="majorBidi"/>
      <w:i/>
      <w:iCs/>
      <w:color w:val="2F5496" w:themeColor="accent1" w:themeShade="BF"/>
      <w:kern w:val="0"/>
      <w:sz w:val="24"/>
      <w:lang w:val="en-GB" w:eastAsia="en-IN"/>
      <w14:ligatures w14:val="none"/>
    </w:rPr>
  </w:style>
  <w:style w:type="character" w:customStyle="1" w:styleId="Heading5Char">
    <w:name w:val="Heading 5 Char"/>
    <w:basedOn w:val="DefaultParagraphFont"/>
    <w:link w:val="Heading5"/>
    <w:uiPriority w:val="9"/>
    <w:semiHidden/>
    <w:rsid w:val="006E10F0"/>
    <w:rPr>
      <w:rFonts w:asciiTheme="minorHAnsi" w:eastAsiaTheme="majorEastAsia" w:hAnsiTheme="minorHAnsi" w:cstheme="majorBidi"/>
      <w:color w:val="2F5496" w:themeColor="accent1" w:themeShade="BF"/>
      <w:kern w:val="0"/>
      <w:sz w:val="24"/>
      <w:lang w:val="en-GB" w:eastAsia="en-IN"/>
      <w14:ligatures w14:val="none"/>
    </w:rPr>
  </w:style>
  <w:style w:type="character" w:customStyle="1" w:styleId="Heading6Char">
    <w:name w:val="Heading 6 Char"/>
    <w:basedOn w:val="DefaultParagraphFont"/>
    <w:link w:val="Heading6"/>
    <w:uiPriority w:val="9"/>
    <w:semiHidden/>
    <w:rsid w:val="006E10F0"/>
    <w:rPr>
      <w:rFonts w:asciiTheme="minorHAnsi" w:eastAsiaTheme="majorEastAsia" w:hAnsiTheme="minorHAnsi" w:cstheme="majorBidi"/>
      <w:i/>
      <w:iCs/>
      <w:color w:val="595959" w:themeColor="text1" w:themeTint="A6"/>
      <w:kern w:val="0"/>
      <w:sz w:val="24"/>
      <w:lang w:val="en-GB" w:eastAsia="en-IN"/>
      <w14:ligatures w14:val="none"/>
    </w:rPr>
  </w:style>
  <w:style w:type="character" w:customStyle="1" w:styleId="Heading7Char">
    <w:name w:val="Heading 7 Char"/>
    <w:basedOn w:val="DefaultParagraphFont"/>
    <w:link w:val="Heading7"/>
    <w:uiPriority w:val="9"/>
    <w:semiHidden/>
    <w:rsid w:val="006E10F0"/>
    <w:rPr>
      <w:rFonts w:asciiTheme="minorHAnsi" w:eastAsiaTheme="majorEastAsia" w:hAnsiTheme="minorHAnsi" w:cstheme="majorBidi"/>
      <w:color w:val="595959" w:themeColor="text1" w:themeTint="A6"/>
      <w:kern w:val="0"/>
      <w:sz w:val="24"/>
      <w:lang w:val="en-GB" w:eastAsia="en-IN"/>
      <w14:ligatures w14:val="none"/>
    </w:rPr>
  </w:style>
  <w:style w:type="character" w:customStyle="1" w:styleId="Heading8Char">
    <w:name w:val="Heading 8 Char"/>
    <w:basedOn w:val="DefaultParagraphFont"/>
    <w:link w:val="Heading8"/>
    <w:uiPriority w:val="9"/>
    <w:semiHidden/>
    <w:rsid w:val="006E10F0"/>
    <w:rPr>
      <w:rFonts w:asciiTheme="minorHAnsi" w:eastAsiaTheme="majorEastAsia" w:hAnsiTheme="minorHAnsi" w:cstheme="majorBidi"/>
      <w:i/>
      <w:iCs/>
      <w:color w:val="272727" w:themeColor="text1" w:themeTint="D8"/>
      <w:kern w:val="0"/>
      <w:sz w:val="24"/>
      <w:lang w:val="en-GB" w:eastAsia="en-IN"/>
      <w14:ligatures w14:val="none"/>
    </w:rPr>
  </w:style>
  <w:style w:type="character" w:customStyle="1" w:styleId="Heading9Char">
    <w:name w:val="Heading 9 Char"/>
    <w:basedOn w:val="DefaultParagraphFont"/>
    <w:link w:val="Heading9"/>
    <w:uiPriority w:val="9"/>
    <w:semiHidden/>
    <w:rsid w:val="006E10F0"/>
    <w:rPr>
      <w:rFonts w:asciiTheme="minorHAnsi" w:eastAsiaTheme="majorEastAsia" w:hAnsiTheme="minorHAnsi" w:cstheme="majorBidi"/>
      <w:color w:val="272727" w:themeColor="text1" w:themeTint="D8"/>
      <w:kern w:val="0"/>
      <w:sz w:val="24"/>
      <w:lang w:val="en-GB" w:eastAsia="en-IN"/>
      <w14:ligatures w14:val="none"/>
    </w:rPr>
  </w:style>
  <w:style w:type="paragraph" w:styleId="Title">
    <w:name w:val="Title"/>
    <w:basedOn w:val="Normal"/>
    <w:next w:val="Normal"/>
    <w:link w:val="TitleChar"/>
    <w:uiPriority w:val="10"/>
    <w:qFormat/>
    <w:rsid w:val="006E10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0F0"/>
    <w:rPr>
      <w:rFonts w:asciiTheme="majorHAnsi" w:eastAsiaTheme="majorEastAsia" w:hAnsiTheme="majorHAnsi" w:cstheme="majorBidi"/>
      <w:spacing w:val="-10"/>
      <w:kern w:val="28"/>
      <w:sz w:val="56"/>
      <w:szCs w:val="56"/>
      <w:lang w:val="en-GB" w:eastAsia="en-IN"/>
      <w14:ligatures w14:val="none"/>
    </w:rPr>
  </w:style>
  <w:style w:type="paragraph" w:styleId="Subtitle">
    <w:name w:val="Subtitle"/>
    <w:basedOn w:val="Normal"/>
    <w:next w:val="Normal"/>
    <w:link w:val="SubtitleChar"/>
    <w:uiPriority w:val="11"/>
    <w:qFormat/>
    <w:rsid w:val="006E10F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0F0"/>
    <w:rPr>
      <w:rFonts w:asciiTheme="minorHAnsi" w:eastAsiaTheme="majorEastAsia" w:hAnsiTheme="minorHAnsi" w:cstheme="majorBidi"/>
      <w:color w:val="595959" w:themeColor="text1" w:themeTint="A6"/>
      <w:spacing w:val="15"/>
      <w:kern w:val="0"/>
      <w:sz w:val="28"/>
      <w:szCs w:val="28"/>
      <w:lang w:val="en-GB" w:eastAsia="en-IN"/>
      <w14:ligatures w14:val="none"/>
    </w:rPr>
  </w:style>
  <w:style w:type="paragraph" w:styleId="Quote">
    <w:name w:val="Quote"/>
    <w:basedOn w:val="Normal"/>
    <w:next w:val="Normal"/>
    <w:link w:val="QuoteChar"/>
    <w:uiPriority w:val="29"/>
    <w:qFormat/>
    <w:rsid w:val="006E10F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10F0"/>
    <w:rPr>
      <w:rFonts w:ascii="Times New Roman" w:hAnsi="Times New Roman"/>
      <w:i/>
      <w:iCs/>
      <w:color w:val="404040" w:themeColor="text1" w:themeTint="BF"/>
      <w:kern w:val="0"/>
      <w:sz w:val="24"/>
      <w:lang w:val="en-GB" w:eastAsia="en-IN"/>
      <w14:ligatures w14:val="none"/>
    </w:rPr>
  </w:style>
  <w:style w:type="paragraph" w:styleId="ListParagraph">
    <w:name w:val="List Paragraph"/>
    <w:basedOn w:val="Normal"/>
    <w:uiPriority w:val="34"/>
    <w:qFormat/>
    <w:rsid w:val="006E10F0"/>
    <w:pPr>
      <w:ind w:left="720"/>
      <w:contextualSpacing/>
    </w:pPr>
  </w:style>
  <w:style w:type="character" w:styleId="IntenseEmphasis">
    <w:name w:val="Intense Emphasis"/>
    <w:basedOn w:val="DefaultParagraphFont"/>
    <w:uiPriority w:val="21"/>
    <w:qFormat/>
    <w:rsid w:val="006E10F0"/>
    <w:rPr>
      <w:i/>
      <w:iCs/>
      <w:color w:val="2F5496" w:themeColor="accent1" w:themeShade="BF"/>
    </w:rPr>
  </w:style>
  <w:style w:type="paragraph" w:styleId="IntenseQuote">
    <w:name w:val="Intense Quote"/>
    <w:basedOn w:val="Normal"/>
    <w:next w:val="Normal"/>
    <w:link w:val="IntenseQuoteChar"/>
    <w:uiPriority w:val="30"/>
    <w:qFormat/>
    <w:rsid w:val="006E10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E10F0"/>
    <w:rPr>
      <w:rFonts w:ascii="Times New Roman" w:hAnsi="Times New Roman"/>
      <w:i/>
      <w:iCs/>
      <w:color w:val="2F5496" w:themeColor="accent1" w:themeShade="BF"/>
      <w:kern w:val="0"/>
      <w:sz w:val="24"/>
      <w:lang w:val="en-GB" w:eastAsia="en-IN"/>
      <w14:ligatures w14:val="none"/>
    </w:rPr>
  </w:style>
  <w:style w:type="character" w:styleId="IntenseReference">
    <w:name w:val="Intense Reference"/>
    <w:basedOn w:val="DefaultParagraphFont"/>
    <w:uiPriority w:val="32"/>
    <w:qFormat/>
    <w:rsid w:val="006E10F0"/>
    <w:rPr>
      <w:b/>
      <w:bCs/>
      <w:smallCaps/>
      <w:color w:val="2F5496" w:themeColor="accent1" w:themeShade="BF"/>
      <w:spacing w:val="5"/>
    </w:rPr>
  </w:style>
  <w:style w:type="paragraph" w:styleId="TOCHeading">
    <w:name w:val="TOC Heading"/>
    <w:basedOn w:val="Heading1"/>
    <w:next w:val="Normal"/>
    <w:uiPriority w:val="39"/>
    <w:unhideWhenUsed/>
    <w:qFormat/>
    <w:rsid w:val="00467A47"/>
    <w:pPr>
      <w:spacing w:before="240" w:line="259" w:lineRule="auto"/>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67A47"/>
    <w:pPr>
      <w:spacing w:after="100"/>
    </w:pPr>
  </w:style>
  <w:style w:type="character" w:styleId="Hyperlink">
    <w:name w:val="Hyperlink"/>
    <w:basedOn w:val="DefaultParagraphFont"/>
    <w:uiPriority w:val="99"/>
    <w:unhideWhenUsed/>
    <w:rsid w:val="00467A47"/>
    <w:rPr>
      <w:color w:val="0563C1" w:themeColor="hyperlink"/>
      <w:u w:val="single"/>
    </w:rPr>
  </w:style>
  <w:style w:type="paragraph" w:styleId="Header">
    <w:name w:val="header"/>
    <w:basedOn w:val="Normal"/>
    <w:link w:val="HeaderChar"/>
    <w:uiPriority w:val="99"/>
    <w:unhideWhenUsed/>
    <w:rsid w:val="00467A47"/>
    <w:pPr>
      <w:tabs>
        <w:tab w:val="center" w:pos="4513"/>
        <w:tab w:val="right" w:pos="9026"/>
      </w:tabs>
      <w:spacing w:line="240" w:lineRule="auto"/>
    </w:pPr>
  </w:style>
  <w:style w:type="character" w:customStyle="1" w:styleId="HeaderChar">
    <w:name w:val="Header Char"/>
    <w:basedOn w:val="DefaultParagraphFont"/>
    <w:link w:val="Header"/>
    <w:uiPriority w:val="99"/>
    <w:rsid w:val="00467A47"/>
    <w:rPr>
      <w:kern w:val="0"/>
      <w:lang w:val="en-GB" w:eastAsia="en-IN"/>
      <w14:ligatures w14:val="none"/>
    </w:rPr>
  </w:style>
  <w:style w:type="paragraph" w:styleId="Footer">
    <w:name w:val="footer"/>
    <w:basedOn w:val="Normal"/>
    <w:link w:val="FooterChar"/>
    <w:uiPriority w:val="99"/>
    <w:unhideWhenUsed/>
    <w:rsid w:val="00467A47"/>
    <w:pPr>
      <w:tabs>
        <w:tab w:val="center" w:pos="4513"/>
        <w:tab w:val="right" w:pos="9026"/>
      </w:tabs>
      <w:spacing w:line="240" w:lineRule="auto"/>
    </w:pPr>
  </w:style>
  <w:style w:type="character" w:customStyle="1" w:styleId="FooterChar">
    <w:name w:val="Footer Char"/>
    <w:basedOn w:val="DefaultParagraphFont"/>
    <w:link w:val="Footer"/>
    <w:uiPriority w:val="99"/>
    <w:rsid w:val="00467A47"/>
    <w:rPr>
      <w:kern w:val="0"/>
      <w:lang w:val="en-GB" w:eastAsia="en-IN"/>
      <w14:ligatures w14:val="none"/>
    </w:rPr>
  </w:style>
  <w:style w:type="paragraph" w:styleId="TOC2">
    <w:name w:val="toc 2"/>
    <w:basedOn w:val="Normal"/>
    <w:next w:val="Normal"/>
    <w:autoRedefine/>
    <w:uiPriority w:val="39"/>
    <w:unhideWhenUsed/>
    <w:rsid w:val="00467A4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express-scripts.com/pharmacy/blog/history-of-pharmac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kuh.nhs.uk/pharmacy-at-mkuh"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ews-medical.net/health/Community-Pharmacy.aspx"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pe.org.uk/our-news/nhs-prescription-charges-to-remain-at-9-90/" TargetMode="External"/><Relationship Id="rId20" Type="http://schemas.openxmlformats.org/officeDocument/2006/relationships/hyperlink" Target="https://www.gov.wales/community-pharmacy-services-april-2021-march-2022-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cpe.org.uk/wp-content/uploads/2024/10/Pharmacy-Pressures-Survey-2024-Staffing-and-Morale-Report-Final-Oct-2024.pdf" TargetMode="External"/><Relationship Id="rId23" Type="http://schemas.openxmlformats.org/officeDocument/2006/relationships/hyperlink" Target="https://www.thefamilychemist.co.uk/introducing-our-nhs-funded-pharmacy-first-service/?srsltid=AfmBOorBaTd-Jl8OZlPyfA4Kone5WlfMkh5HOkmF2VVsIcLlppLBYdwa" TargetMode="External"/><Relationship Id="rId10" Type="http://schemas.openxmlformats.org/officeDocument/2006/relationships/image" Target="media/image4.png"/><Relationship Id="rId19" Type="http://schemas.openxmlformats.org/officeDocument/2006/relationships/hyperlink" Target="https://firstwordpharma.com/story/652834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kingsfund.org.uk/insight-and-analysis/long-reads/community-pharmacy-explained" TargetMode="External"/><Relationship Id="rId22" Type="http://schemas.openxmlformats.org/officeDocument/2006/relationships/hyperlink" Target="https://www.raconteur.net/infographics/pharmacy-evoluti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29B846-1A02-45ED-ACEF-36419C58D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1</Pages>
  <Words>2434</Words>
  <Characters>13880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Laura Nicolaescu (2512067)</cp:lastModifiedBy>
  <cp:revision>3</cp:revision>
  <dcterms:created xsi:type="dcterms:W3CDTF">2026-06-18T06:20:00Z</dcterms:created>
  <dcterms:modified xsi:type="dcterms:W3CDTF">2026-06-21T19:47:00Z</dcterms:modified>
</cp:coreProperties>
</file>