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theme/theme1.xml" ContentType="application/vnd.openxmlformats-officedocument.theme+xml"/>
  <Override PartName="/word/header1.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360"/>
        <w:jc w:val="center"/>
        <w:rPr>
          <w:rFonts w:ascii="Arial" w:hAnsi="Arial"/>
          <w:b/>
          <w:b/>
          <w:bCs/>
          <w:sz w:val="20"/>
          <w:szCs w:val="20"/>
          <w:u w:val="single"/>
          <w:lang w:val="en-GB" w:eastAsia="en-US" w:bidi="en-US"/>
        </w:rPr>
      </w:pPr>
      <w:r>
        <w:rPr/>
      </w:r>
    </w:p>
    <w:p>
      <w:pPr>
        <w:pStyle w:val="Normal"/>
        <w:spacing w:lineRule="auto" w:line="360"/>
        <w:jc w:val="center"/>
        <w:rPr/>
      </w:pPr>
      <w:r>
        <w:rPr>
          <w:rFonts w:ascii="Arial" w:hAnsi="Arial"/>
          <w:b/>
          <w:bCs/>
          <w:sz w:val="20"/>
          <w:szCs w:val="20"/>
          <w:u w:val="single"/>
          <w:lang w:val="en-GB" w:eastAsia="en-US" w:bidi="en-US"/>
        </w:rPr>
        <w:t>Creative Research</w:t>
      </w:r>
      <w:r>
        <w:rPr>
          <w:rFonts w:ascii="Arial" w:hAnsi="Arial"/>
          <w:b/>
          <w:bCs/>
          <w:sz w:val="20"/>
          <w:szCs w:val="20"/>
          <w:u w:val="single"/>
          <w:lang w:val="en-GB" w:eastAsia="en-US" w:bidi="en-US"/>
        </w:rPr>
        <w:t xml:space="preserve"> (M5X01599) </w:t>
      </w:r>
      <w:r>
        <w:rPr>
          <w:rFonts w:ascii="Arial" w:hAnsi="Arial"/>
          <w:b/>
          <w:bCs/>
          <w:sz w:val="20"/>
          <w:szCs w:val="20"/>
          <w:u w:val="single"/>
          <w:lang w:val="en-GB" w:eastAsia="en-US" w:bidi="en-US"/>
        </w:rPr>
        <w:t>Essay</w:t>
      </w:r>
    </w:p>
    <w:p>
      <w:pPr>
        <w:pStyle w:val="Normal"/>
        <w:spacing w:lineRule="auto" w:line="360"/>
        <w:jc w:val="center"/>
        <w:rPr/>
      </w:pPr>
      <w:r>
        <w:rPr>
          <w:rFonts w:ascii="Arial" w:hAnsi="Arial"/>
          <w:b/>
          <w:bCs/>
          <w:sz w:val="20"/>
          <w:szCs w:val="20"/>
          <w:u w:val="single"/>
          <w:lang w:val="en-GB" w:eastAsia="en-US" w:bidi="en-US"/>
        </w:rPr>
        <w:t>The Effects of Technology on High Culture and Low Culture and their Relevance Today</w:t>
      </w:r>
    </w:p>
    <w:p>
      <w:pPr>
        <w:pStyle w:val="Normal"/>
        <w:spacing w:lineRule="auto" w:line="360"/>
        <w:jc w:val="center"/>
        <w:rPr>
          <w:rFonts w:ascii="Arial" w:hAnsi="Arial"/>
          <w:b w:val="false"/>
          <w:b w:val="false"/>
          <w:i w:val="false"/>
          <w:i w:val="false"/>
          <w:caps w:val="false"/>
          <w:smallCaps w:val="false"/>
          <w:strike w:val="false"/>
          <w:dstrike w:val="false"/>
          <w:color w:val="000000"/>
          <w:sz w:val="20"/>
          <w:szCs w:val="20"/>
          <w:u w:val="none"/>
          <w:effect w:val="none"/>
          <w:lang w:val="en-GB" w:eastAsia="en-US" w:bidi="en-US"/>
        </w:rPr>
      </w:pPr>
      <w:r>
        <w:rPr>
          <w:rFonts w:ascii="Arial" w:hAnsi="Arial"/>
          <w:b w:val="false"/>
          <w:i w:val="false"/>
          <w:caps w:val="false"/>
          <w:smallCaps w:val="false"/>
          <w:strike w:val="false"/>
          <w:dstrike w:val="false"/>
          <w:color w:val="000000"/>
          <w:sz w:val="20"/>
          <w:szCs w:val="20"/>
          <w:u w:val="none"/>
          <w:effect w:val="none"/>
          <w:lang w:val="en-GB" w:eastAsia="en-US" w:bidi="en-US"/>
        </w:rPr>
      </w:r>
    </w:p>
    <w:p>
      <w:pPr>
        <w:pStyle w:val="Normal"/>
        <w:spacing w:lineRule="auto" w:line="360"/>
        <w:jc w:val="center"/>
        <w:rPr>
          <w:rFonts w:ascii="Arial" w:hAnsi="Arial"/>
          <w:b w:val="false"/>
          <w:b w:val="false"/>
          <w:i w:val="false"/>
          <w:i w:val="false"/>
          <w:caps w:val="false"/>
          <w:smallCaps w:val="false"/>
          <w:strike w:val="false"/>
          <w:dstrike w:val="false"/>
          <w:color w:val="000000"/>
          <w:sz w:val="20"/>
          <w:szCs w:val="20"/>
          <w:u w:val="none"/>
          <w:effect w:val="none"/>
          <w:lang w:val="en-GB" w:eastAsia="en-US" w:bidi="en-US"/>
        </w:rPr>
      </w:pPr>
      <w:r>
        <w:rPr>
          <w:rFonts w:ascii="Arial" w:hAnsi="Arial"/>
          <w:b w:val="false"/>
          <w:i w:val="false"/>
          <w:caps w:val="false"/>
          <w:smallCaps w:val="false"/>
          <w:strike w:val="false"/>
          <w:dstrike w:val="false"/>
          <w:color w:val="000000"/>
          <w:sz w:val="20"/>
          <w:szCs w:val="20"/>
          <w:u w:val="none"/>
          <w:effect w:val="none"/>
          <w:lang w:val="en-GB" w:eastAsia="en-US" w:bidi="en-US"/>
        </w:rPr>
      </w:r>
    </w:p>
    <w:p>
      <w:pPr>
        <w:pStyle w:val="TextBody"/>
        <w:bidi w:val="0"/>
        <w:spacing w:lineRule="auto" w:line="360" w:before="0" w:after="0"/>
        <w:jc w:val="left"/>
        <w:rPr/>
      </w:pPr>
      <w:r>
        <w:rPr>
          <w:rFonts w:ascii="Arial" w:hAnsi="Arial"/>
          <w:b w:val="false"/>
          <w:i w:val="false"/>
          <w:caps w:val="false"/>
          <w:smallCaps w:val="false"/>
          <w:strike w:val="false"/>
          <w:dstrike w:val="false"/>
          <w:color w:val="000000"/>
          <w:sz w:val="20"/>
          <w:szCs w:val="20"/>
          <w:u w:val="none"/>
          <w:effect w:val="none"/>
          <w:lang w:val="en-GB" w:eastAsia="en-US" w:bidi="en-US"/>
        </w:rPr>
        <w:tab/>
      </w:r>
      <w:bookmarkStart w:id="0" w:name="__DdeLink__1156_1119614091"/>
      <w:bookmarkEnd w:id="0"/>
      <w:r>
        <w:rPr>
          <w:rFonts w:ascii="Arial" w:hAnsi="Arial"/>
          <w:b w:val="false"/>
          <w:i w:val="false"/>
          <w:caps w:val="false"/>
          <w:smallCaps w:val="false"/>
          <w:strike w:val="false"/>
          <w:dstrike w:val="false"/>
          <w:color w:val="000000"/>
          <w:sz w:val="20"/>
          <w:szCs w:val="20"/>
          <w:u w:val="none"/>
          <w:effect w:val="none"/>
          <w:lang w:val="en-GB" w:eastAsia="en-US" w:bidi="en-US"/>
        </w:rPr>
        <w:t>The concept of a divide between so called “High Culture” and “Low Culture” has existed for centuries, but in recent years this division has become less and less apparent with many experts now claiming that this High-Low divide can no longer be argued to exist (Brottman, 2005). Despite this the terminology remains in common parlance, particularly in fields such as art where the clash between High and Low Culture has been well illustrated by artists such Warhol and Lichtenstein (Rawlinson, 2009). Recognising this we will discuss why the High-Low Culture divide remains important today, but also look at how technological and social changes have drastically altered the nature of this cultural division.</w:t>
      </w:r>
    </w:p>
    <w:p>
      <w:pPr>
        <w:pStyle w:val="TextBody"/>
        <w:bidi w:val="0"/>
        <w:spacing w:lineRule="auto" w:line="360" w:before="0" w:after="0"/>
        <w:jc w:val="left"/>
        <w:rPr/>
      </w:pPr>
      <w:r>
        <w:rPr>
          <w:rFonts w:ascii="Arial" w:hAnsi="Arial"/>
          <w:b w:val="false"/>
          <w:i w:val="false"/>
          <w:caps w:val="false"/>
          <w:smallCaps w:val="false"/>
          <w:strike w:val="false"/>
          <w:dstrike w:val="false"/>
          <w:color w:val="000000"/>
          <w:sz w:val="20"/>
          <w:szCs w:val="20"/>
          <w:u w:val="none"/>
          <w:effect w:val="none"/>
          <w:lang w:val="en-GB" w:eastAsia="en-US" w:bidi="en-US"/>
        </w:rPr>
        <w:tab/>
        <w:t xml:space="preserve">The terms High Culture and Low Culture first arose after culture, originally meaning simply to cultivate, came into usage describing civilisations, representing way of life </w:t>
      </w:r>
      <w:r>
        <w:rPr>
          <w:rFonts w:ascii="Arial" w:hAnsi="Arial"/>
          <w:b w:val="false"/>
          <w:i w:val="false"/>
          <w:caps w:val="false"/>
          <w:smallCaps w:val="false"/>
          <w:strike w:val="false"/>
          <w:dstrike w:val="false"/>
          <w:color w:val="000000"/>
          <w:sz w:val="20"/>
          <w:szCs w:val="20"/>
          <w:u w:val="none"/>
          <w:effect w:val="none"/>
          <w:lang w:val="en-GB" w:eastAsia="en-US" w:bidi="en-US"/>
        </w:rPr>
        <w:t>regarding</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a particular social construct as well as the practises and products of their intellectual works and </w:t>
      </w:r>
      <w:r>
        <w:rPr>
          <w:rFonts w:ascii="Arial" w:hAnsi="Arial"/>
          <w:b w:val="false"/>
          <w:i w:val="false"/>
          <w:caps w:val="false"/>
          <w:smallCaps w:val="false"/>
          <w:strike w:val="false"/>
          <w:dstrike w:val="false"/>
          <w:color w:val="000000"/>
          <w:sz w:val="20"/>
          <w:szCs w:val="20"/>
          <w:u w:val="none"/>
          <w:effect w:val="none"/>
          <w:lang w:val="en-GB" w:eastAsia="en-US" w:bidi="en-US"/>
        </w:rPr>
        <w:t>a</w:t>
      </w:r>
      <w:r>
        <w:rPr>
          <w:rFonts w:ascii="Arial" w:hAnsi="Arial"/>
          <w:b w:val="false"/>
          <w:i w:val="false"/>
          <w:caps w:val="false"/>
          <w:smallCaps w:val="false"/>
          <w:strike w:val="false"/>
          <w:dstrike w:val="false"/>
          <w:color w:val="000000"/>
          <w:sz w:val="20"/>
          <w:szCs w:val="20"/>
          <w:u w:val="none"/>
          <w:effect w:val="none"/>
          <w:lang w:val="en-GB" w:eastAsia="en-US" w:bidi="en-US"/>
        </w:rPr>
        <w:t>rts (Williams, 1974). At this time High Culture was the domain of the upper classes, restricted to those activities and practi</w:t>
      </w:r>
      <w:r>
        <w:rPr>
          <w:rFonts w:ascii="Arial" w:hAnsi="Arial"/>
          <w:b w:val="false"/>
          <w:i w:val="false"/>
          <w:caps w:val="false"/>
          <w:smallCaps w:val="false"/>
          <w:strike w:val="false"/>
          <w:dstrike w:val="false"/>
          <w:color w:val="000000"/>
          <w:sz w:val="20"/>
          <w:szCs w:val="20"/>
          <w:u w:val="none"/>
          <w:effect w:val="none"/>
          <w:lang w:val="en-GB" w:eastAsia="en-US" w:bidi="en-US"/>
        </w:rPr>
        <w:t>s</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es which were considered exclusive of High Society such as the appreciation and understanding of the </w:t>
      </w:r>
      <w:r>
        <w:rPr>
          <w:rFonts w:ascii="Arial" w:hAnsi="Arial"/>
          <w:b w:val="false"/>
          <w:i w:val="false"/>
          <w:caps w:val="false"/>
          <w:smallCaps w:val="false"/>
          <w:strike w:val="false"/>
          <w:dstrike w:val="false"/>
          <w:color w:val="000000"/>
          <w:sz w:val="20"/>
          <w:szCs w:val="20"/>
          <w:u w:val="none"/>
          <w:effect w:val="none"/>
          <w:lang w:val="en-GB" w:eastAsia="en-US" w:bidi="en-US"/>
        </w:rPr>
        <w:t>a</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rts (Fisher, 2013). Then, in the nineteenth century, American preachers, educators and critics attempted to discern differences between what they considered the better and baser kinds of art and culture. Following the civil war this division was then greatly accelerated as a new commercial elite formed a tightly knit social class with their own institutions in a manner echoing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the upper classes, and newly rising business elite, in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many </w:t>
      </w:r>
      <w:r>
        <w:rPr>
          <w:rFonts w:ascii="Arial" w:hAnsi="Arial"/>
          <w:b w:val="false"/>
          <w:i w:val="false"/>
          <w:caps w:val="false"/>
          <w:smallCaps w:val="false"/>
          <w:strike w:val="false"/>
          <w:dstrike w:val="false"/>
          <w:color w:val="000000"/>
          <w:sz w:val="20"/>
          <w:szCs w:val="20"/>
          <w:u w:val="none"/>
          <w:effect w:val="none"/>
          <w:lang w:val="en-GB" w:eastAsia="en-US" w:bidi="en-US"/>
        </w:rPr>
        <w:t>other</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prominent countries globally (DiMaggio, 1987).  These institutions could then take their pick of works to appreciate, create and disseminate while excluding those outside their borders. Brottman (2005) writes that something becomes High Culture because it is recognised as such in the current conditions and climate, and the environment created by these institutions resulted in a body of work and skills no longer understood by those excluded from such institutions,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and thus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almost universally recognised as High Culture. As expressed by Cohen (1993) High Culture is that which connects with a few, while Low Culture consists of that which is excluded from High Culture and connects with the many. </w:t>
      </w:r>
      <w:r>
        <w:rPr>
          <w:rFonts w:ascii="Arial" w:hAnsi="Arial"/>
          <w:b w:val="false"/>
          <w:i w:val="false"/>
          <w:caps w:val="false"/>
          <w:smallCaps w:val="false"/>
          <w:strike w:val="false"/>
          <w:dstrike w:val="false"/>
          <w:color w:val="000000"/>
          <w:sz w:val="20"/>
          <w:szCs w:val="20"/>
          <w:u w:val="none"/>
          <w:effect w:val="none"/>
          <w:lang w:val="en-GB" w:eastAsia="en-US" w:bidi="en-US"/>
        </w:rPr>
        <w:t>As such by restricting certain skills and works to the domain of the upper classes through these institutions, those skills and works simply became defined as High Culture.</w:t>
      </w:r>
    </w:p>
    <w:p>
      <w:pPr>
        <w:pStyle w:val="TextBody"/>
        <w:bidi w:val="0"/>
        <w:spacing w:lineRule="auto" w:line="360" w:before="0" w:after="0"/>
        <w:jc w:val="left"/>
        <w:rPr/>
      </w:pPr>
      <w:r>
        <w:rPr>
          <w:rFonts w:ascii="Arial" w:hAnsi="Arial"/>
          <w:b w:val="false"/>
          <w:i w:val="false"/>
          <w:caps w:val="false"/>
          <w:smallCaps w:val="false"/>
          <w:strike w:val="false"/>
          <w:dstrike w:val="false"/>
          <w:color w:val="000000"/>
          <w:sz w:val="20"/>
          <w:szCs w:val="20"/>
          <w:u w:val="none"/>
          <w:effect w:val="none"/>
          <w:lang w:val="en-GB" w:eastAsia="en-US" w:bidi="en-US"/>
        </w:rPr>
        <w:tab/>
        <w:t xml:space="preserve">While this helps us understand what High Culture and Low Culture are and how the divide arose, it doesn’t </w:t>
      </w:r>
      <w:r>
        <w:rPr>
          <w:rFonts w:ascii="Arial" w:hAnsi="Arial"/>
          <w:b w:val="false"/>
          <w:i w:val="false"/>
          <w:caps w:val="false"/>
          <w:smallCaps w:val="false"/>
          <w:strike w:val="false"/>
          <w:dstrike w:val="false"/>
          <w:color w:val="000000"/>
          <w:sz w:val="20"/>
          <w:szCs w:val="20"/>
          <w:u w:val="none"/>
          <w:effect w:val="none"/>
          <w:lang w:val="en-GB" w:eastAsia="en-US" w:bidi="en-US"/>
        </w:rPr>
        <w:t>explain</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why th</w:t>
      </w:r>
      <w:r>
        <w:rPr>
          <w:rFonts w:ascii="Arial" w:hAnsi="Arial"/>
          <w:b w:val="false"/>
          <w:i w:val="false"/>
          <w:caps w:val="false"/>
          <w:smallCaps w:val="false"/>
          <w:strike w:val="false"/>
          <w:dstrike w:val="false"/>
          <w:color w:val="000000"/>
          <w:sz w:val="20"/>
          <w:szCs w:val="20"/>
          <w:u w:val="none"/>
          <w:effect w:val="none"/>
          <w:lang w:val="en-GB" w:eastAsia="en-US" w:bidi="en-US"/>
        </w:rPr>
        <w:t>is</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divide occurs. There are two principle reasons for this. The first, according to Fisher (2013) is our tendency to grade the levels of character and cognition necessary for the appreciation of certain cultural aspects. As a society we have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a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predisposition towards making judgements and assumptions about people based off their beliefs, actions and capabilities. This can be seen in most aspects of social interaction throughout our lives, and as such it is no surprise that we tend to associate certain skill sets and areas of knowledge with a particular class or social group. For example as stated by Spencer (2008) rap is still seen as primarily associated with black culture. In a similar way, it’s not surprising that we come to attribute certain things </w:t>
      </w:r>
      <w:r>
        <w:rPr>
          <w:rFonts w:ascii="Arial" w:hAnsi="Arial"/>
          <w:b w:val="false"/>
          <w:i w:val="false"/>
          <w:caps w:val="false"/>
          <w:smallCaps w:val="false"/>
          <w:strike w:val="false"/>
          <w:dstrike w:val="false"/>
          <w:color w:val="000000"/>
          <w:sz w:val="20"/>
          <w:szCs w:val="20"/>
          <w:u w:val="none"/>
          <w:effect w:val="none"/>
          <w:lang w:val="en-GB" w:eastAsia="en-US" w:bidi="en-US"/>
        </w:rPr>
        <w:t>to</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High Culture. The second, and in my opinion far more significant, reason is that High Culture has huge value as cultural capital (DiMaggio, 1987). By raising the topic of scarce and exclusive cultural goods in conversation, one can immediately make an assessment of the social groups from which a conversation</w:t>
      </w:r>
      <w:r>
        <w:rPr>
          <w:rFonts w:ascii="Arial" w:hAnsi="Arial"/>
          <w:b w:val="false"/>
          <w:i w:val="false"/>
          <w:caps w:val="false"/>
          <w:smallCaps w:val="false"/>
          <w:strike w:val="false"/>
          <w:dstrike w:val="false"/>
          <w:color w:val="000000"/>
          <w:sz w:val="20"/>
          <w:szCs w:val="20"/>
          <w:u w:val="none"/>
          <w:effect w:val="none"/>
          <w:lang w:val="en-GB" w:eastAsia="en-US" w:bidi="en-US"/>
        </w:rPr>
        <w:t>al</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partner hails, allowing one to converse and bind with those who can reciprocate on topics of High Culture and immediately revealing as outsiders those who cannot. In this way, taste becomes a means of creating and facilitating social interactions as well as reinforcing the concept that Low Culture is incapable of withstanding the same complex and intellectual analysis as its counterpart (Brottman, 2005). This in turn allows a certain kind of elitist class divide to be continuously and subtly reinforced, as those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that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lack the necessary cultural knowledge are unable to enjoy and engage with High Culture activities </w:t>
      </w:r>
      <w:r>
        <w:rPr>
          <w:rFonts w:ascii="Arial" w:hAnsi="Arial"/>
          <w:b w:val="false"/>
          <w:i w:val="false"/>
          <w:caps w:val="false"/>
          <w:smallCaps w:val="false"/>
          <w:strike w:val="false"/>
          <w:dstrike w:val="false"/>
          <w:color w:val="000000"/>
          <w:sz w:val="20"/>
          <w:szCs w:val="20"/>
          <w:u w:val="none"/>
          <w:effect w:val="none"/>
          <w:lang w:val="en-GB" w:eastAsia="en-US" w:bidi="en-US"/>
        </w:rPr>
        <w:t>thus</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maintaining the exclusivity of such events. This facilitates two further things as stated by DiMaggio (1987), firstly it leads to the consumption of High Culture being directly associated with status and secondly it allows for High Culture itself to facilitate further mobility and advance</w:t>
      </w:r>
      <w:r>
        <w:rPr>
          <w:rFonts w:ascii="Arial" w:hAnsi="Arial"/>
          <w:b w:val="false"/>
          <w:i w:val="false"/>
          <w:caps w:val="false"/>
          <w:smallCaps w:val="false"/>
          <w:strike w:val="false"/>
          <w:dstrike w:val="false"/>
          <w:color w:val="000000"/>
          <w:sz w:val="20"/>
          <w:szCs w:val="20"/>
          <w:u w:val="none"/>
          <w:effect w:val="none"/>
          <w:lang w:val="en-GB" w:eastAsia="en-US" w:bidi="en-US"/>
        </w:rPr>
        <w:t>ment</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for those involved due to direct association with a more wealthy, elite clientele. High Culture </w:t>
      </w:r>
      <w:r>
        <w:rPr>
          <w:rFonts w:ascii="Arial" w:hAnsi="Arial"/>
          <w:b w:val="false"/>
          <w:i w:val="false"/>
          <w:caps w:val="false"/>
          <w:smallCaps w:val="false"/>
          <w:strike w:val="false"/>
          <w:dstrike w:val="false"/>
          <w:color w:val="000000"/>
          <w:sz w:val="20"/>
          <w:szCs w:val="20"/>
          <w:u w:val="none"/>
          <w:effect w:val="none"/>
          <w:lang w:val="en-GB" w:eastAsia="en-US" w:bidi="en-US"/>
        </w:rPr>
        <w:t>effectively becomes the entry barrier for interactions with high society and the upper classes</w:t>
      </w:r>
      <w:r>
        <w:rPr>
          <w:rFonts w:ascii="Arial" w:hAnsi="Arial"/>
          <w:b w:val="false"/>
          <w:i w:val="false"/>
          <w:caps w:val="false"/>
          <w:smallCaps w:val="false"/>
          <w:strike w:val="false"/>
          <w:dstrike w:val="false"/>
          <w:color w:val="000000"/>
          <w:sz w:val="20"/>
          <w:szCs w:val="20"/>
          <w:u w:val="none"/>
          <w:effect w:val="none"/>
          <w:lang w:val="en-GB" w:eastAsia="en-US" w:bidi="en-US"/>
        </w:rPr>
        <w:t>.</w:t>
      </w:r>
    </w:p>
    <w:p>
      <w:pPr>
        <w:pStyle w:val="TextBody"/>
        <w:bidi w:val="0"/>
        <w:spacing w:lineRule="auto" w:line="360" w:before="0" w:after="0"/>
        <w:jc w:val="left"/>
        <w:rPr/>
      </w:pPr>
      <w:r>
        <w:rPr>
          <w:rFonts w:ascii="Arial" w:hAnsi="Arial"/>
          <w:b w:val="false"/>
          <w:i w:val="false"/>
          <w:caps w:val="false"/>
          <w:smallCaps w:val="false"/>
          <w:strike w:val="false"/>
          <w:dstrike w:val="false"/>
          <w:color w:val="000000"/>
          <w:sz w:val="20"/>
          <w:szCs w:val="20"/>
          <w:u w:val="none"/>
          <w:effect w:val="none"/>
          <w:lang w:val="en-GB" w:eastAsia="en-US" w:bidi="en-US"/>
        </w:rPr>
        <w:tab/>
        <w:t xml:space="preserve">However this no longer holds true in the same way today. Technological advancements, particularly within the last few decades, have significantly altered the ways in which we consume and interact with both High and Low Culture. As stated by Benjamin (2008) widespread changes in technological conditions have a huge impact on cultural development. One of the most significant changes is to that of consumerism and the class system, with Rawlinson (2009) stating there is a now a divide between culture and commerce rather than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between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High and Low. While in previous generations typically only the upper classes had </w:t>
      </w:r>
      <w:r>
        <w:rPr>
          <w:rFonts w:ascii="Arial" w:hAnsi="Arial"/>
          <w:b w:val="false"/>
          <w:i w:val="false"/>
          <w:caps w:val="false"/>
          <w:smallCaps w:val="false"/>
          <w:strike w:val="false"/>
          <w:dstrike w:val="false"/>
          <w:color w:val="000000"/>
          <w:sz w:val="20"/>
          <w:szCs w:val="20"/>
          <w:u w:val="none"/>
          <w:effect w:val="none"/>
          <w:lang w:val="en-GB" w:eastAsia="en-US" w:bidi="en-US"/>
        </w:rPr>
        <w:t>notable levels of</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disposable income, </w:t>
      </w:r>
      <w:r>
        <w:rPr>
          <w:rFonts w:ascii="Arial" w:hAnsi="Arial"/>
          <w:b w:val="false"/>
          <w:i w:val="false"/>
          <w:caps w:val="false"/>
          <w:smallCaps w:val="false"/>
          <w:strike w:val="false"/>
          <w:dstrike w:val="false"/>
          <w:color w:val="000000"/>
          <w:sz w:val="20"/>
          <w:szCs w:val="20"/>
          <w:u w:val="none"/>
          <w:effect w:val="none"/>
          <w:lang w:val="en-GB" w:eastAsia="en-US" w:bidi="en-US"/>
        </w:rPr>
        <w:t>acting as the majority market when it came to commercial consumerism,</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today the biggest market is that targeting the lower and middle classes, primarily consumers of what was once Low Culture. This can clearly be seen in music for example, with the entrance of indie artists (Spencer, 2008) and the overwhelming dominance of popular music in comparison to genres typically considered High Culture, such as classical. In fact, this effect is so dominant that Low Culture has now become synonymous with the term “Popular Culture”,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with most experts today agreeing that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it is now in no way inferior to its High Culture counterpart and instead stands as an alternative </w:t>
      </w:r>
      <w:r>
        <w:rPr>
          <w:rFonts w:ascii="Arial" w:hAnsi="Arial"/>
          <w:b w:val="false"/>
          <w:i w:val="false"/>
          <w:caps w:val="false"/>
          <w:smallCaps w:val="false"/>
          <w:strike w:val="false"/>
          <w:dstrike w:val="false"/>
          <w:color w:val="000000"/>
          <w:sz w:val="20"/>
          <w:szCs w:val="20"/>
          <w:u w:val="none"/>
          <w:effect w:val="none"/>
          <w:lang w:val="en-GB" w:eastAsia="en-US" w:bidi="en-US"/>
        </w:rPr>
        <w:t>(Fisher, 2013)</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In this way </w:t>
      </w:r>
      <w:r>
        <w:rPr>
          <w:rFonts w:ascii="Arial" w:hAnsi="Arial"/>
          <w:b w:val="false"/>
          <w:i w:val="false"/>
          <w:caps w:val="false"/>
          <w:smallCaps w:val="false"/>
          <w:strike w:val="false"/>
          <w:dstrike w:val="false"/>
          <w:color w:val="000000"/>
          <w:sz w:val="20"/>
          <w:szCs w:val="20"/>
          <w:u w:val="none"/>
          <w:effect w:val="none"/>
          <w:lang w:val="en-GB" w:eastAsia="en-US" w:bidi="en-US"/>
        </w:rPr>
        <w:t>commercial</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involvement with High Culture is drastically less important than it was for previous generations, as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skilled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artists and craftsman are no longer forced to </w:t>
      </w:r>
      <w:r>
        <w:rPr>
          <w:rFonts w:ascii="Arial" w:hAnsi="Arial"/>
          <w:b w:val="false"/>
          <w:i w:val="false"/>
          <w:caps w:val="false"/>
          <w:smallCaps w:val="false"/>
          <w:strike w:val="false"/>
          <w:dstrike w:val="false"/>
          <w:color w:val="000000"/>
          <w:sz w:val="20"/>
          <w:szCs w:val="20"/>
          <w:u w:val="none"/>
          <w:effect w:val="none"/>
          <w:lang w:val="en-GB" w:eastAsia="en-US" w:bidi="en-US"/>
        </w:rPr>
        <w:t>aim for</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that market and can instead make items aimed </w:t>
      </w:r>
      <w:r>
        <w:rPr>
          <w:rFonts w:ascii="Arial" w:hAnsi="Arial"/>
          <w:b w:val="false"/>
          <w:i w:val="false"/>
          <w:caps w:val="false"/>
          <w:smallCaps w:val="false"/>
          <w:strike w:val="false"/>
          <w:dstrike w:val="false"/>
          <w:color w:val="000000"/>
          <w:sz w:val="20"/>
          <w:szCs w:val="20"/>
          <w:u w:val="none"/>
          <w:effect w:val="none"/>
          <w:lang w:val="en-GB" w:eastAsia="en-US" w:bidi="en-US"/>
        </w:rPr>
        <w:t>at</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mass consumerism. New technologies are directly responsible for this a huge number of ways, most notably methods of mass reproduction and distribution which have not only made many elements once exclusive to High Culture readily available but also radically reduced the cost</w:t>
      </w:r>
      <w:r>
        <w:rPr>
          <w:rFonts w:ascii="Arial" w:hAnsi="Arial"/>
          <w:b w:val="false"/>
          <w:i w:val="false"/>
          <w:caps w:val="false"/>
          <w:smallCaps w:val="false"/>
          <w:strike w:val="false"/>
          <w:dstrike w:val="false"/>
          <w:color w:val="000000"/>
          <w:sz w:val="20"/>
          <w:szCs w:val="20"/>
          <w:u w:val="none"/>
          <w:effect w:val="none"/>
          <w:lang w:val="en-GB" w:eastAsia="en-US" w:bidi="en-US"/>
        </w:rPr>
        <w:t>s of production and purchase</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(Kholeif, 2016). Even more significantly, technologies such as the radio, television and the internet have created methods of mass advertising, meaning the common populace is exposed to nearly endless amounts of cultural products and informatio</w:t>
      </w:r>
      <w:r>
        <w:rPr>
          <w:rFonts w:ascii="Arial" w:hAnsi="Arial"/>
          <w:b w:val="false"/>
          <w:i w:val="false"/>
          <w:caps w:val="false"/>
          <w:smallCaps w:val="false"/>
          <w:strike w:val="false"/>
          <w:dstrike w:val="false"/>
          <w:color w:val="000000"/>
          <w:sz w:val="20"/>
          <w:szCs w:val="20"/>
          <w:u w:val="none"/>
          <w:effect w:val="none"/>
          <w:lang w:val="en-GB" w:eastAsia="en-US" w:bidi="en-US"/>
        </w:rPr>
        <w:t>n</w:t>
      </w:r>
      <w:r>
        <w:rPr>
          <w:rFonts w:ascii="Arial" w:hAnsi="Arial"/>
          <w:b w:val="false"/>
          <w:i w:val="false"/>
          <w:caps w:val="false"/>
          <w:smallCaps w:val="false"/>
          <w:strike w:val="false"/>
          <w:dstrike w:val="false"/>
          <w:color w:val="000000"/>
          <w:sz w:val="20"/>
          <w:szCs w:val="20"/>
          <w:u w:val="none"/>
          <w:effect w:val="none"/>
          <w:lang w:val="en-GB" w:eastAsia="en-US" w:bidi="en-US"/>
        </w:rPr>
        <w:t>. Lovejoy (2004) states</w:t>
      </w:r>
      <w:bookmarkStart w:id="1" w:name="docs-internal-guid-ce56637f-528a-cc25-909b-ca4e46c54685"/>
      <w:bookmarkEnd w:id="1"/>
      <w:r>
        <w:rPr>
          <w:rFonts w:ascii="Arial" w:hAnsi="Arial"/>
          <w:b w:val="false"/>
          <w:i w:val="false"/>
          <w:caps w:val="false"/>
          <w:smallCaps w:val="false"/>
          <w:strike w:val="false"/>
          <w:dstrike w:val="false"/>
          <w:color w:val="000000"/>
          <w:sz w:val="20"/>
          <w:szCs w:val="20"/>
          <w:u w:val="none"/>
          <w:effect w:val="none"/>
          <w:lang w:val="en-GB" w:eastAsia="en-US" w:bidi="en-US"/>
        </w:rPr>
        <w:t xml:space="preserve"> “Technological tools such as video and the computer can blur the lines between the production of fine-art works and commercial and design production” and the effect of this is clearly evident here.</w:t>
      </w:r>
    </w:p>
    <w:p>
      <w:pPr>
        <w:pStyle w:val="TextBody"/>
        <w:bidi w:val="0"/>
        <w:spacing w:lineRule="auto" w:line="360" w:before="0" w:after="0"/>
        <w:jc w:val="left"/>
        <w:rPr/>
      </w:pPr>
      <w:r>
        <w:rPr>
          <w:rFonts w:ascii="Arial" w:hAnsi="Arial"/>
          <w:b w:val="false"/>
          <w:i w:val="false"/>
          <w:caps w:val="false"/>
          <w:smallCaps w:val="false"/>
          <w:strike w:val="false"/>
          <w:dstrike w:val="false"/>
          <w:color w:val="000000"/>
          <w:sz w:val="20"/>
          <w:szCs w:val="20"/>
          <w:u w:val="none"/>
          <w:effect w:val="none"/>
          <w:lang w:val="en-GB" w:eastAsia="en-US" w:bidi="en-US"/>
        </w:rPr>
        <w:tab/>
      </w:r>
      <w:r>
        <w:rPr>
          <w:rFonts w:ascii="Arial" w:hAnsi="Arial"/>
          <w:b w:val="false"/>
          <w:i w:val="false"/>
          <w:caps w:val="false"/>
          <w:smallCaps w:val="false"/>
          <w:strike w:val="false"/>
          <w:dstrike w:val="false"/>
          <w:color w:val="000000"/>
          <w:sz w:val="20"/>
          <w:szCs w:val="20"/>
          <w:u w:val="none"/>
          <w:effect w:val="none"/>
          <w:lang w:val="en-GB" w:eastAsia="en-US" w:bidi="en-US"/>
        </w:rPr>
        <w:t xml:space="preserve">The aforementioned new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technologies, the radio, television and especially the internet, have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also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hugely impacted the level of information that people may easily access. Whereas once access to specialist institutions such as libraries, museums, galleries and universities was required to learn about High Culture, </w:t>
      </w:r>
      <w:r>
        <w:rPr>
          <w:rFonts w:ascii="Arial" w:hAnsi="Arial"/>
          <w:b w:val="false"/>
          <w:i w:val="false"/>
          <w:caps w:val="false"/>
          <w:smallCaps w:val="false"/>
          <w:strike w:val="false"/>
          <w:dstrike w:val="false"/>
          <w:color w:val="000000"/>
          <w:sz w:val="20"/>
          <w:szCs w:val="20"/>
          <w:u w:val="none"/>
          <w:effect w:val="none"/>
          <w:lang w:val="en-GB" w:eastAsia="en-US" w:bidi="en-US"/>
        </w:rPr>
        <w:t>surpassing the high entry requirements</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necessary to properly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produce,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understand and </w:t>
      </w:r>
      <w:r>
        <w:rPr>
          <w:rFonts w:ascii="Arial" w:hAnsi="Arial"/>
          <w:b w:val="false"/>
          <w:i w:val="false"/>
          <w:caps w:val="false"/>
          <w:smallCaps w:val="false"/>
          <w:strike w:val="false"/>
          <w:dstrike w:val="false"/>
          <w:color w:val="000000"/>
          <w:sz w:val="20"/>
          <w:szCs w:val="20"/>
          <w:u w:val="none"/>
          <w:effect w:val="none"/>
          <w:lang w:val="en-GB" w:eastAsia="en-US" w:bidi="en-US"/>
        </w:rPr>
        <w:t>appraise</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it, today such information may be readily gained without leaving the home (Kromm and Bakewell, 2010). Indeed, Droitcour (2014) talks of how audiences for art, who are </w:t>
      </w:r>
      <w:r>
        <w:rPr>
          <w:rFonts w:ascii="Arial" w:hAnsi="Arial"/>
          <w:b w:val="false"/>
          <w:i w:val="false"/>
          <w:caps w:val="false"/>
          <w:smallCaps w:val="false"/>
          <w:strike w:val="false"/>
          <w:dstrike w:val="false"/>
          <w:color w:val="000000"/>
          <w:sz w:val="20"/>
          <w:szCs w:val="20"/>
          <w:u w:val="none"/>
          <w:effect w:val="none"/>
          <w:lang w:val="en-GB" w:eastAsia="en-US" w:bidi="en-US"/>
        </w:rPr>
        <w:t>often</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required to have a base level of knowledge to properly appreciate certain works, were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once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required to take trips to art institutions or receive formal schooling. Now however he claims artists can use online platforming to disrupt this model and reach viewers who would previously be put off by the high entry requirements of the artistic world. While there are certainly downsides to this, such as the fact that such readily available access often provides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basic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information rather than </w:t>
      </w:r>
      <w:r>
        <w:rPr>
          <w:rFonts w:ascii="Arial" w:hAnsi="Arial"/>
          <w:b w:val="false"/>
          <w:i w:val="false"/>
          <w:caps w:val="false"/>
          <w:smallCaps w:val="false"/>
          <w:strike w:val="false"/>
          <w:dstrike w:val="false"/>
          <w:color w:val="000000"/>
          <w:sz w:val="20"/>
          <w:szCs w:val="20"/>
          <w:u w:val="none"/>
          <w:effect w:val="none"/>
          <w:lang w:val="en-GB" w:eastAsia="en-US" w:bidi="en-US"/>
        </w:rPr>
        <w:t>actually providing any real education or knowledge</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w:t>
      </w:r>
      <w:bookmarkStart w:id="2" w:name="docs-internal-guid-ce56637f-52a1-b8d8-72e0-85265ea6f12c"/>
      <w:bookmarkEnd w:id="2"/>
      <w:r>
        <w:rPr>
          <w:rFonts w:ascii="Arial" w:hAnsi="Arial"/>
          <w:b w:val="false"/>
          <w:i w:val="false"/>
          <w:caps w:val="false"/>
          <w:smallCaps w:val="false"/>
          <w:strike w:val="false"/>
          <w:dstrike w:val="false"/>
          <w:color w:val="000000"/>
          <w:sz w:val="20"/>
          <w:szCs w:val="20"/>
          <w:u w:val="none"/>
          <w:effect w:val="none"/>
          <w:lang w:val="en-GB" w:eastAsia="en-US" w:bidi="en-US"/>
        </w:rPr>
        <w:t xml:space="preserve">Bentkowska-Kafel et al., 2005), and while a High-Low divide still most certainly exists, what this has done is level the playing field. While most still cannot properly appreciate or </w:t>
      </w:r>
      <w:r>
        <w:rPr>
          <w:rFonts w:ascii="Arial" w:hAnsi="Arial"/>
          <w:b w:val="false"/>
          <w:i w:val="false"/>
          <w:caps w:val="false"/>
          <w:smallCaps w:val="false"/>
          <w:strike w:val="false"/>
          <w:dstrike w:val="false"/>
          <w:color w:val="000000"/>
          <w:sz w:val="20"/>
          <w:szCs w:val="20"/>
          <w:u w:val="none"/>
          <w:effect w:val="none"/>
          <w:lang w:val="en-GB" w:eastAsia="en-US" w:bidi="en-US"/>
        </w:rPr>
        <w:t>appraise</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High Culture, those </w:t>
      </w:r>
      <w:r>
        <w:rPr>
          <w:rFonts w:ascii="Arial" w:hAnsi="Arial"/>
          <w:b w:val="false"/>
          <w:i w:val="false"/>
          <w:caps w:val="false"/>
          <w:smallCaps w:val="false"/>
          <w:strike w:val="false"/>
          <w:dstrike w:val="false"/>
          <w:color w:val="000000"/>
          <w:sz w:val="20"/>
          <w:szCs w:val="20"/>
          <w:u w:val="none"/>
          <w:effect w:val="none"/>
          <w:lang w:val="en-GB" w:eastAsia="en-US" w:bidi="en-US"/>
        </w:rPr>
        <w:t>that</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can are no longer limited to those </w:t>
      </w:r>
      <w:r>
        <w:rPr>
          <w:rFonts w:ascii="Arial" w:hAnsi="Arial"/>
          <w:b w:val="false"/>
          <w:i w:val="false"/>
          <w:caps w:val="false"/>
          <w:smallCaps w:val="false"/>
          <w:strike w:val="false"/>
          <w:dstrike w:val="false"/>
          <w:color w:val="000000"/>
          <w:sz w:val="20"/>
          <w:szCs w:val="20"/>
          <w:u w:val="none"/>
          <w:effect w:val="none"/>
          <w:lang w:val="en-GB" w:eastAsia="en-US" w:bidi="en-US"/>
        </w:rPr>
        <w:t>granted</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access to the previously requi</w:t>
      </w:r>
      <w:r>
        <w:rPr>
          <w:rFonts w:ascii="Arial" w:hAnsi="Arial"/>
          <w:b w:val="false"/>
          <w:i w:val="false"/>
          <w:caps w:val="false"/>
          <w:smallCaps w:val="false"/>
          <w:strike w:val="false"/>
          <w:dstrike w:val="false"/>
          <w:color w:val="000000"/>
          <w:sz w:val="20"/>
          <w:szCs w:val="20"/>
          <w:u w:val="none"/>
          <w:effect w:val="none"/>
          <w:lang w:val="en-GB" w:eastAsia="en-US" w:bidi="en-US"/>
        </w:rPr>
        <w:t>site</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institutions and education. Potentially anyone can learn almost anything, provided they put in the effort to do </w:t>
      </w:r>
      <w:r>
        <w:rPr>
          <w:rFonts w:ascii="Arial" w:hAnsi="Arial"/>
          <w:b w:val="false"/>
          <w:i w:val="false"/>
          <w:caps w:val="false"/>
          <w:smallCaps w:val="false"/>
          <w:strike w:val="false"/>
          <w:dstrike w:val="false"/>
          <w:color w:val="000000"/>
          <w:sz w:val="20"/>
          <w:szCs w:val="20"/>
          <w:u w:val="none"/>
          <w:effect w:val="none"/>
          <w:lang w:val="en-GB" w:eastAsia="en-US" w:bidi="en-US"/>
        </w:rPr>
        <w:t>so</w:t>
      </w:r>
      <w:r>
        <w:rPr>
          <w:rFonts w:ascii="Arial" w:hAnsi="Arial"/>
          <w:b w:val="false"/>
          <w:i w:val="false"/>
          <w:caps w:val="false"/>
          <w:smallCaps w:val="false"/>
          <w:strike w:val="false"/>
          <w:dstrike w:val="false"/>
          <w:color w:val="000000"/>
          <w:sz w:val="20"/>
          <w:szCs w:val="20"/>
          <w:u w:val="none"/>
          <w:effect w:val="none"/>
          <w:lang w:val="en-GB" w:eastAsia="en-US" w:bidi="en-US"/>
        </w:rPr>
        <w:t>, and as such High Culture is no longer intrinsically linked to high society and elitism in the way it once was.</w:t>
      </w:r>
    </w:p>
    <w:p>
      <w:pPr>
        <w:pStyle w:val="TextBody"/>
        <w:bidi w:val="0"/>
        <w:spacing w:lineRule="auto" w:line="360" w:before="0" w:after="0"/>
        <w:jc w:val="left"/>
        <w:rPr/>
      </w:pPr>
      <w:r>
        <w:rPr>
          <w:rFonts w:ascii="Arial" w:hAnsi="Arial"/>
          <w:b w:val="false"/>
          <w:i w:val="false"/>
          <w:caps w:val="false"/>
          <w:smallCaps w:val="false"/>
          <w:strike w:val="false"/>
          <w:dstrike w:val="false"/>
          <w:color w:val="000000"/>
          <w:sz w:val="20"/>
          <w:szCs w:val="20"/>
          <w:u w:val="none"/>
          <w:effect w:val="none"/>
          <w:lang w:val="en-GB" w:eastAsia="en-US" w:bidi="en-US"/>
        </w:rPr>
        <w:tab/>
        <w:t xml:space="preserve">Finally, what this new technology has also brought about is a transition to a mass society. Almost every person in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a </w:t>
      </w:r>
      <w:r>
        <w:rPr>
          <w:rFonts w:ascii="Arial" w:hAnsi="Arial"/>
          <w:b w:val="false"/>
          <w:i w:val="false"/>
          <w:caps w:val="false"/>
          <w:smallCaps w:val="false"/>
          <w:strike w:val="false"/>
          <w:dstrike w:val="false"/>
          <w:color w:val="000000"/>
          <w:sz w:val="20"/>
          <w:szCs w:val="20"/>
          <w:u w:val="none"/>
          <w:effect w:val="none"/>
          <w:lang w:val="en-GB" w:eastAsia="en-US" w:bidi="en-US"/>
        </w:rPr>
        <w:t>first world countr</w:t>
      </w:r>
      <w:r>
        <w:rPr>
          <w:rFonts w:ascii="Arial" w:hAnsi="Arial"/>
          <w:b w:val="false"/>
          <w:i w:val="false"/>
          <w:caps w:val="false"/>
          <w:smallCaps w:val="false"/>
          <w:strike w:val="false"/>
          <w:dstrike w:val="false"/>
          <w:color w:val="000000"/>
          <w:sz w:val="20"/>
          <w:szCs w:val="20"/>
          <w:u w:val="none"/>
          <w:effect w:val="none"/>
          <w:lang w:val="en-GB" w:eastAsia="en-US" w:bidi="en-US"/>
        </w:rPr>
        <w:t>y</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today has near permanent access to the internet, allowing them to be globally connected on a massive scale. This has massively affected how we think as a society. Buechler (2013) states that a mass society is one that lacks social insulation, different social groups easily able to directly act upon and influence each other. And in this world in which information is shared instantaneously, we influence and act upon each other constantly. Brottman (2005) talks of how High Culture has been undermined by mass society, as carefully considered values are flooded by a host of collective opinion, right or wrong, </w:t>
      </w:r>
      <w:r>
        <w:rPr>
          <w:rFonts w:ascii="Arial" w:hAnsi="Arial"/>
          <w:b w:val="false"/>
          <w:i w:val="false"/>
          <w:caps w:val="false"/>
          <w:smallCaps w:val="false"/>
          <w:strike w:val="false"/>
          <w:dstrike w:val="false"/>
          <w:color w:val="000000"/>
          <w:sz w:val="20"/>
          <w:szCs w:val="20"/>
          <w:u w:val="none"/>
          <w:effect w:val="none"/>
          <w:lang w:val="en-GB" w:eastAsia="en-US" w:bidi="en-US"/>
        </w:rPr>
        <w:t>and</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freely shared and spread </w:t>
      </w:r>
      <w:r>
        <w:rPr>
          <w:rFonts w:ascii="Arial" w:hAnsi="Arial"/>
          <w:b w:val="false"/>
          <w:i w:val="false"/>
          <w:caps w:val="false"/>
          <w:smallCaps w:val="false"/>
          <w:strike w:val="false"/>
          <w:dstrike w:val="false"/>
          <w:color w:val="000000"/>
          <w:sz w:val="20"/>
          <w:szCs w:val="20"/>
          <w:u w:val="none"/>
          <w:effect w:val="none"/>
          <w:lang w:val="en-GB" w:eastAsia="en-US" w:bidi="en-US"/>
        </w:rPr>
        <w:t>with</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misconstrued meaning and context.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We live now in a society where we often simply follow the thoughts of strangers, joining the surge of mass opinion online, rather than taking the time to discern our own response.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Meanwhile seeing the latest artistic work in person becomes unnecessary in light of its immediate mass exposure online </w:t>
      </w:r>
      <w:r>
        <w:rPr>
          <w:rFonts w:ascii="Arial" w:hAnsi="Arial"/>
          <w:b w:val="false"/>
          <w:i w:val="false"/>
          <w:caps w:val="false"/>
          <w:smallCaps w:val="false"/>
          <w:strike w:val="false"/>
          <w:dstrike w:val="false"/>
          <w:color w:val="000000"/>
          <w:sz w:val="20"/>
          <w:szCs w:val="20"/>
          <w:u w:val="none"/>
          <w:effect w:val="none"/>
          <w:lang w:val="en-GB" w:eastAsia="en-US" w:bidi="en-US"/>
        </w:rPr>
        <w:t>and as such we rarely find the opportunity to appreciate something fresh, immediately influenced by the opinions of others regarding that topic,</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this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fundamentally </w:t>
      </w:r>
      <w:r>
        <w:rPr>
          <w:rFonts w:ascii="Arial" w:hAnsi="Arial"/>
          <w:b w:val="false"/>
          <w:i w:val="false"/>
          <w:caps w:val="false"/>
          <w:smallCaps w:val="false"/>
          <w:strike w:val="false"/>
          <w:dstrike w:val="false"/>
          <w:color w:val="000000"/>
          <w:sz w:val="20"/>
          <w:szCs w:val="20"/>
          <w:u w:val="none"/>
          <w:effect w:val="none"/>
          <w:lang w:val="en-GB" w:eastAsia="en-US" w:bidi="en-US"/>
        </w:rPr>
        <w:t>changing</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the way in which cultural works are approached (Droitcour, 2014). In this new world our minds are a melting pot (Brottman, 2005) as we tend towards conformity and mass opinion rather </w:t>
      </w:r>
      <w:r>
        <w:rPr>
          <w:rFonts w:ascii="Arial" w:hAnsi="Arial"/>
          <w:b w:val="false"/>
          <w:i w:val="false"/>
          <w:caps w:val="false"/>
          <w:smallCaps w:val="false"/>
          <w:strike w:val="false"/>
          <w:dstrike w:val="false"/>
          <w:color w:val="000000"/>
          <w:sz w:val="20"/>
          <w:szCs w:val="20"/>
          <w:u w:val="none"/>
          <w:effect w:val="none"/>
          <w:lang w:val="en-GB" w:eastAsia="en-US" w:bidi="en-US"/>
        </w:rPr>
        <w:t>than</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individual expression, deriving many of </w:t>
      </w:r>
      <w:r>
        <w:rPr>
          <w:rFonts w:ascii="Arial" w:hAnsi="Arial"/>
          <w:b w:val="false"/>
          <w:i w:val="false"/>
          <w:caps w:val="false"/>
          <w:smallCaps w:val="false"/>
          <w:strike w:val="false"/>
          <w:dstrike w:val="false"/>
          <w:color w:val="000000"/>
          <w:sz w:val="20"/>
          <w:szCs w:val="20"/>
          <w:u w:val="none"/>
          <w:effect w:val="none"/>
          <w:lang w:val="en-GB" w:eastAsia="en-US" w:bidi="en-US"/>
        </w:rPr>
        <w:t>our</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views on life and the world from how things are presented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to us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on television and the internet (Lovejoy, 2004). </w:t>
      </w:r>
      <w:r>
        <w:rPr>
          <w:rFonts w:ascii="Arial" w:hAnsi="Arial"/>
          <w:b w:val="false"/>
          <w:i w:val="false"/>
          <w:caps w:val="false"/>
          <w:smallCaps w:val="false"/>
          <w:strike w:val="false"/>
          <w:dstrike w:val="false"/>
          <w:color w:val="000000"/>
          <w:sz w:val="20"/>
          <w:szCs w:val="20"/>
          <w:u w:val="none"/>
          <w:effect w:val="none"/>
          <w:lang w:val="en-GB" w:eastAsia="en-US" w:bidi="en-US"/>
        </w:rPr>
        <w:t>This is a dangerous thing, with Williams (1974) claiming that the more authentic and varied voices, which are the true discourse of humanity, may become lost in the crowd.</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w:t>
      </w:r>
      <w:r>
        <w:rPr>
          <w:rFonts w:ascii="Arial" w:hAnsi="Arial"/>
          <w:b w:val="false"/>
          <w:i w:val="false"/>
          <w:caps w:val="false"/>
          <w:smallCaps w:val="false"/>
          <w:strike w:val="false"/>
          <w:dstrike w:val="false"/>
          <w:color w:val="000000"/>
          <w:sz w:val="20"/>
          <w:szCs w:val="20"/>
          <w:u w:val="none"/>
          <w:effect w:val="none"/>
          <w:lang w:val="en-GB" w:eastAsia="en-US" w:bidi="en-US"/>
        </w:rPr>
        <w:t>What’s more</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w:t>
      </w:r>
      <w:r>
        <w:rPr>
          <w:rFonts w:ascii="Arial" w:hAnsi="Arial"/>
          <w:b w:val="false"/>
          <w:i w:val="false"/>
          <w:caps w:val="false"/>
          <w:smallCaps w:val="false"/>
          <w:strike w:val="false"/>
          <w:dstrike w:val="false"/>
          <w:color w:val="000000"/>
          <w:sz w:val="20"/>
          <w:szCs w:val="20"/>
          <w:u w:val="none"/>
          <w:effect w:val="none"/>
          <w:lang w:val="en-GB" w:eastAsia="en-US" w:bidi="en-US"/>
        </w:rPr>
        <w:t>w</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e have become one </w:t>
      </w:r>
      <w:r>
        <w:rPr>
          <w:rFonts w:ascii="Arial" w:hAnsi="Arial"/>
          <w:b w:val="false"/>
          <w:i w:val="false"/>
          <w:caps w:val="false"/>
          <w:smallCaps w:val="false"/>
          <w:strike w:val="false"/>
          <w:dstrike w:val="false"/>
          <w:color w:val="000000"/>
          <w:sz w:val="20"/>
          <w:szCs w:val="20"/>
          <w:u w:val="none"/>
          <w:effect w:val="none"/>
          <w:lang w:val="en-GB" w:eastAsia="en-US" w:bidi="en-US"/>
        </w:rPr>
        <w:t>interconnected</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society and, as culture both High and Low is specific to society, this has a resulted in a far more universal definition of what is considered High Culture and what is considered Low Culture. </w:t>
      </w:r>
      <w:r>
        <w:rPr>
          <w:rFonts w:ascii="Arial" w:hAnsi="Arial"/>
          <w:b w:val="false"/>
          <w:i w:val="false"/>
          <w:caps w:val="false"/>
          <w:smallCaps w:val="false"/>
          <w:strike w:val="false"/>
          <w:dstrike w:val="false"/>
          <w:color w:val="000000"/>
          <w:sz w:val="20"/>
          <w:szCs w:val="20"/>
          <w:u w:val="none"/>
          <w:effect w:val="none"/>
          <w:lang w:val="en-GB" w:eastAsia="en-US" w:bidi="en-US"/>
        </w:rPr>
        <w:t>This in turn has hugely impacted the variety of works produced, as cultural tastes have begun to blend globally resulting in a near universal conformity of taste.</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As Williams (1974) says, “we are beyond the stage of influential interaction between different cultures”, </w:t>
      </w:r>
      <w:r>
        <w:rPr>
          <w:rFonts w:ascii="Arial" w:hAnsi="Arial"/>
          <w:b w:val="false"/>
          <w:i w:val="false"/>
          <w:caps w:val="false"/>
          <w:smallCaps w:val="false"/>
          <w:strike w:val="false"/>
          <w:dstrike w:val="false"/>
          <w:color w:val="000000"/>
          <w:sz w:val="20"/>
          <w:szCs w:val="20"/>
          <w:u w:val="none"/>
          <w:effect w:val="none"/>
          <w:lang w:val="en-GB" w:eastAsia="en-US" w:bidi="en-US"/>
        </w:rPr>
        <w:t>which is a very sad thing indeed.</w:t>
      </w:r>
    </w:p>
    <w:p>
      <w:pPr>
        <w:pStyle w:val="TextBody"/>
        <w:bidi w:val="0"/>
        <w:spacing w:lineRule="auto" w:line="360" w:before="0" w:after="0"/>
        <w:jc w:val="left"/>
        <w:rPr/>
      </w:pPr>
      <w:r>
        <w:rPr>
          <w:rFonts w:ascii="Arial" w:hAnsi="Arial"/>
          <w:b w:val="false"/>
          <w:i w:val="false"/>
          <w:caps w:val="false"/>
          <w:smallCaps w:val="false"/>
          <w:strike w:val="false"/>
          <w:dstrike w:val="false"/>
          <w:color w:val="000000"/>
          <w:sz w:val="20"/>
          <w:szCs w:val="20"/>
          <w:u w:val="none"/>
          <w:effect w:val="none"/>
          <w:lang w:val="en-GB" w:eastAsia="en-US" w:bidi="en-US"/>
        </w:rPr>
        <w:tab/>
      </w:r>
      <w:bookmarkStart w:id="3" w:name="__DdeLink__221_1882499890"/>
      <w:bookmarkEnd w:id="3"/>
      <w:r>
        <w:rPr>
          <w:rFonts w:ascii="Arial" w:hAnsi="Arial"/>
          <w:b w:val="false"/>
          <w:i w:val="false"/>
          <w:caps w:val="false"/>
          <w:smallCaps w:val="false"/>
          <w:strike w:val="false"/>
          <w:dstrike w:val="false"/>
          <w:color w:val="000000"/>
          <w:sz w:val="20"/>
          <w:szCs w:val="20"/>
          <w:u w:val="none"/>
          <w:effect w:val="none"/>
          <w:lang w:val="en-GB" w:eastAsia="en-US" w:bidi="en-US"/>
        </w:rPr>
        <w:t>So in conclusion, we can see that new advancements in technolog</w:t>
      </w:r>
      <w:r>
        <w:rPr>
          <w:rFonts w:ascii="Arial" w:hAnsi="Arial"/>
          <w:b w:val="false"/>
          <w:i w:val="false"/>
          <w:caps w:val="false"/>
          <w:smallCaps w:val="false"/>
          <w:strike w:val="false"/>
          <w:dstrike w:val="false"/>
          <w:color w:val="000000"/>
          <w:sz w:val="20"/>
          <w:szCs w:val="20"/>
          <w:u w:val="none"/>
          <w:effect w:val="none"/>
          <w:lang w:val="en-GB" w:eastAsia="en-US" w:bidi="en-US"/>
        </w:rPr>
        <w:t>y</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have affected concepts of High and Low </w:t>
      </w:r>
      <w:r>
        <w:rPr>
          <w:rFonts w:ascii="Arial" w:hAnsi="Arial"/>
          <w:b w:val="false"/>
          <w:i w:val="false"/>
          <w:caps w:val="false"/>
          <w:smallCaps w:val="false"/>
          <w:strike w:val="false"/>
          <w:dstrike w:val="false"/>
          <w:color w:val="000000"/>
          <w:sz w:val="20"/>
          <w:szCs w:val="20"/>
          <w:u w:val="none"/>
          <w:effect w:val="none"/>
          <w:lang w:val="en-GB" w:eastAsia="en-US" w:bidi="en-US"/>
        </w:rPr>
        <w:t>C</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ulture in a variety of ways though by no means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have the terms been made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redundant. Low Culture has very much transformed into Popular Culture, driven by consumerism created from our transition to a mass society, while the creation and widespread usage of new technologies such as the internet have removed the necessity of elitist education and institutions </w:t>
      </w:r>
      <w:r>
        <w:rPr>
          <w:rFonts w:ascii="Arial" w:hAnsi="Arial"/>
          <w:b w:val="false"/>
          <w:i w:val="false"/>
          <w:caps w:val="false"/>
          <w:smallCaps w:val="false"/>
          <w:strike w:val="false"/>
          <w:dstrike w:val="false"/>
          <w:color w:val="000000"/>
          <w:sz w:val="20"/>
          <w:szCs w:val="20"/>
          <w:u w:val="none"/>
          <w:effect w:val="none"/>
          <w:lang w:val="en-GB" w:eastAsia="en-US" w:bidi="en-US"/>
        </w:rPr>
        <w:t>in gaining</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 access to High Culture,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thus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levelling the playing field. As a mass society our individual cultures have merged creating a far more universal definition of High and Low Culture while we as individuals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now </w:t>
      </w:r>
      <w:r>
        <w:rPr>
          <w:rFonts w:ascii="Arial" w:hAnsi="Arial"/>
          <w:b w:val="false"/>
          <w:i w:val="false"/>
          <w:caps w:val="false"/>
          <w:smallCaps w:val="false"/>
          <w:strike w:val="false"/>
          <w:dstrike w:val="false"/>
          <w:color w:val="000000"/>
          <w:sz w:val="20"/>
          <w:szCs w:val="20"/>
          <w:u w:val="none"/>
          <w:effect w:val="none"/>
          <w:lang w:val="en-GB" w:eastAsia="en-US" w:bidi="en-US"/>
        </w:rPr>
        <w:t xml:space="preserve">tend to derive our opinions directly from the information presented to us, rather than taking the time to form our own, leading to conformity and mass opinion. </w:t>
      </w:r>
      <w:r>
        <w:rPr>
          <w:rFonts w:ascii="Arial" w:hAnsi="Arial"/>
          <w:b w:val="false"/>
          <w:i w:val="false"/>
          <w:caps w:val="false"/>
          <w:smallCaps w:val="false"/>
          <w:strike w:val="false"/>
          <w:dstrike w:val="false"/>
          <w:color w:val="000000"/>
          <w:sz w:val="20"/>
          <w:szCs w:val="20"/>
          <w:u w:val="none"/>
          <w:effect w:val="none"/>
          <w:lang w:val="en-GB" w:eastAsia="en-US" w:bidi="en-US"/>
        </w:rPr>
        <w:t>As a result of these changes, High Culture retains its status as well as the skills and crafts associated with it but has become far more accessible. Meanwhile Popular Culture can no longer be claimed to be a low, trivial version of High Culture (Brottman, 2005) but it could be argued that it is now overly influenced by mass society. The division has blurred, but the relevance of the terms remains.</w:t>
      </w:r>
    </w:p>
    <w:p>
      <w:pPr>
        <w:pStyle w:val="TextBody"/>
        <w:bidi w:val="0"/>
        <w:spacing w:lineRule="auto" w:line="360" w:before="0" w:after="0"/>
        <w:jc w:val="left"/>
        <w:rPr>
          <w:rFonts w:ascii="Arial" w:hAnsi="Arial"/>
          <w:b w:val="false"/>
          <w:b w:val="false"/>
          <w:i w:val="false"/>
          <w:i w:val="false"/>
          <w:caps w:val="false"/>
          <w:smallCaps w:val="false"/>
          <w:strike w:val="false"/>
          <w:dstrike w:val="false"/>
          <w:color w:val="000000"/>
          <w:sz w:val="20"/>
          <w:szCs w:val="20"/>
          <w:u w:val="none"/>
          <w:effect w:val="none"/>
          <w:lang w:val="en-GB" w:eastAsia="en-US" w:bidi="en-US"/>
        </w:rPr>
      </w:pPr>
      <w:r>
        <w:rPr/>
      </w:r>
    </w:p>
    <w:p>
      <w:pPr>
        <w:pStyle w:val="TextBody"/>
        <w:bidi w:val="0"/>
        <w:spacing w:lineRule="auto" w:line="360" w:before="0" w:after="0"/>
        <w:jc w:val="left"/>
        <w:rPr>
          <w:rFonts w:ascii="Arial" w:hAnsi="Arial"/>
          <w:b w:val="false"/>
          <w:b w:val="false"/>
          <w:i w:val="false"/>
          <w:i w:val="false"/>
          <w:caps w:val="false"/>
          <w:smallCaps w:val="false"/>
          <w:strike w:val="false"/>
          <w:dstrike w:val="false"/>
          <w:color w:val="000000"/>
          <w:sz w:val="20"/>
          <w:szCs w:val="20"/>
          <w:u w:val="none"/>
          <w:effect w:val="none"/>
          <w:lang w:val="en-GB" w:eastAsia="en-US" w:bidi="en-US"/>
        </w:rPr>
      </w:pPr>
      <w:r>
        <w:rPr/>
      </w:r>
    </w:p>
    <w:p>
      <w:pPr>
        <w:pStyle w:val="TextBody"/>
        <w:bidi w:val="0"/>
        <w:spacing w:lineRule="auto" w:line="360" w:before="0" w:after="0"/>
        <w:jc w:val="left"/>
        <w:rPr>
          <w:rFonts w:ascii="Arial" w:hAnsi="Arial"/>
          <w:b w:val="false"/>
          <w:b w:val="false"/>
          <w:i w:val="false"/>
          <w:i w:val="false"/>
          <w:caps w:val="false"/>
          <w:smallCaps w:val="false"/>
          <w:strike w:val="false"/>
          <w:dstrike w:val="false"/>
          <w:color w:val="000000"/>
          <w:sz w:val="20"/>
          <w:szCs w:val="20"/>
          <w:u w:val="none"/>
          <w:effect w:val="none"/>
          <w:lang w:val="en-GB" w:eastAsia="en-US" w:bidi="en-US"/>
        </w:rPr>
      </w:pPr>
      <w:r>
        <w:rPr/>
      </w:r>
    </w:p>
    <w:p>
      <w:pPr>
        <w:pStyle w:val="Normal"/>
        <w:spacing w:lineRule="auto" w:line="360"/>
        <w:jc w:val="center"/>
        <w:rPr/>
      </w:pPr>
      <w:r>
        <w:rPr>
          <w:rFonts w:ascii="Arial" w:hAnsi="Arial"/>
          <w:b/>
          <w:bCs/>
          <w:i w:val="false"/>
          <w:iCs w:val="false"/>
          <w:sz w:val="24"/>
          <w:szCs w:val="24"/>
          <w:lang w:val="en-GB" w:eastAsia="en-US" w:bidi="en-US"/>
        </w:rPr>
        <w:t>References</w:t>
      </w:r>
    </w:p>
    <w:p>
      <w:pPr>
        <w:pStyle w:val="Normal"/>
        <w:spacing w:lineRule="auto" w:line="360"/>
        <w:jc w:val="center"/>
        <w:rPr>
          <w:rFonts w:ascii="Arial" w:hAnsi="Arial"/>
          <w:b/>
          <w:b/>
          <w:bCs/>
          <w:i w:val="false"/>
          <w:i w:val="false"/>
          <w:iCs w:val="false"/>
          <w:sz w:val="24"/>
          <w:szCs w:val="24"/>
          <w:lang w:val="en-GB" w:eastAsia="en-US" w:bidi="en-US"/>
        </w:rPr>
      </w:pPr>
      <w:r>
        <w:rPr/>
      </w:r>
    </w:p>
    <w:p>
      <w:pPr>
        <w:pStyle w:val="Normal"/>
        <w:spacing w:lineRule="auto" w:line="360"/>
        <w:ind w:right="0" w:hanging="0"/>
        <w:jc w:val="left"/>
        <w:rPr/>
      </w:pPr>
      <w:r>
        <w:rPr>
          <w:rFonts w:ascii="Arial" w:hAnsi="Arial"/>
          <w:i w:val="false"/>
          <w:iCs w:val="false"/>
          <w:sz w:val="20"/>
          <w:szCs w:val="20"/>
          <w:lang w:val="en-GB" w:eastAsia="en-US" w:bidi="en-US"/>
        </w:rPr>
        <w:t xml:space="preserve">Bentkowska-Kafel, A., Cashen, T. and Gardiner, H. (2005). </w:t>
      </w:r>
      <w:r>
        <w:rPr>
          <w:rFonts w:ascii="Arial" w:hAnsi="Arial"/>
          <w:i/>
          <w:iCs/>
          <w:sz w:val="20"/>
          <w:szCs w:val="20"/>
          <w:lang w:val="en-GB" w:eastAsia="en-US" w:bidi="en-US"/>
        </w:rPr>
        <w:t>Digital Art History</w:t>
      </w:r>
      <w:r>
        <w:rPr>
          <w:rFonts w:ascii="Arial" w:hAnsi="Arial"/>
          <w:i w:val="false"/>
          <w:iCs w:val="false"/>
          <w:sz w:val="20"/>
          <w:szCs w:val="20"/>
          <w:lang w:val="en-GB" w:eastAsia="en-US" w:bidi="en-US"/>
        </w:rPr>
        <w:t>. Bristol, Intellect Books.</w:t>
      </w:r>
    </w:p>
    <w:p>
      <w:pPr>
        <w:pStyle w:val="Normal"/>
        <w:spacing w:lineRule="auto" w:line="360"/>
        <w:ind w:left="850" w:right="0" w:hanging="850"/>
        <w:jc w:val="left"/>
        <w:rPr>
          <w:rFonts w:ascii="Arial" w:hAnsi="Arial"/>
          <w:i w:val="false"/>
          <w:i w:val="false"/>
          <w:iCs w:val="false"/>
          <w:sz w:val="20"/>
          <w:szCs w:val="20"/>
          <w:lang w:val="en-GB" w:eastAsia="en-US" w:bidi="en-US"/>
        </w:rPr>
      </w:pPr>
      <w:r>
        <w:rPr/>
      </w:r>
    </w:p>
    <w:p>
      <w:pPr>
        <w:pStyle w:val="Normal"/>
        <w:spacing w:lineRule="auto" w:line="360"/>
        <w:ind w:left="850" w:right="0" w:hanging="850"/>
        <w:jc w:val="left"/>
        <w:rPr/>
      </w:pPr>
      <w:r>
        <w:rPr>
          <w:rFonts w:ascii="Arial" w:hAnsi="Arial"/>
          <w:i w:val="false"/>
          <w:iCs w:val="false"/>
          <w:sz w:val="20"/>
          <w:szCs w:val="20"/>
          <w:lang w:val="en-GB" w:eastAsia="en-US" w:bidi="en-US"/>
        </w:rPr>
        <w:t xml:space="preserve">Brottman, M. (2005). </w:t>
      </w:r>
      <w:r>
        <w:rPr>
          <w:rFonts w:ascii="Arial" w:hAnsi="Arial"/>
          <w:i/>
          <w:iCs/>
          <w:sz w:val="20"/>
          <w:szCs w:val="20"/>
          <w:lang w:val="en-GB" w:eastAsia="en-US" w:bidi="en-US"/>
        </w:rPr>
        <w:t>High Theory/Low Culture</w:t>
      </w:r>
      <w:r>
        <w:rPr>
          <w:rFonts w:ascii="Arial" w:hAnsi="Arial"/>
          <w:i w:val="false"/>
          <w:iCs w:val="false"/>
          <w:sz w:val="20"/>
          <w:szCs w:val="20"/>
          <w:lang w:val="en-GB" w:eastAsia="en-US" w:bidi="en-US"/>
        </w:rPr>
        <w:t>. New York, Palgrave Macmillan.</w:t>
      </w:r>
    </w:p>
    <w:p>
      <w:pPr>
        <w:pStyle w:val="Normal"/>
        <w:spacing w:lineRule="auto" w:line="360"/>
        <w:ind w:left="850" w:right="0" w:hanging="850"/>
        <w:jc w:val="left"/>
        <w:rPr>
          <w:rFonts w:ascii="Arial" w:hAnsi="Arial"/>
          <w:i w:val="false"/>
          <w:i w:val="false"/>
          <w:iCs w:val="false"/>
          <w:sz w:val="20"/>
          <w:szCs w:val="20"/>
          <w:lang w:val="en-GB" w:eastAsia="en-US" w:bidi="en-US"/>
        </w:rPr>
      </w:pPr>
      <w:r>
        <w:rPr/>
      </w:r>
    </w:p>
    <w:p>
      <w:pPr>
        <w:pStyle w:val="Normal"/>
        <w:spacing w:lineRule="auto" w:line="360"/>
        <w:ind w:left="850" w:right="0" w:hanging="850"/>
        <w:jc w:val="left"/>
        <w:rPr/>
      </w:pPr>
      <w:r>
        <w:rPr>
          <w:rFonts w:ascii="Arial" w:hAnsi="Arial"/>
          <w:i w:val="false"/>
          <w:iCs w:val="false"/>
          <w:sz w:val="20"/>
          <w:szCs w:val="20"/>
          <w:lang w:val="en-GB" w:eastAsia="en-US" w:bidi="en-US"/>
        </w:rPr>
        <w:t xml:space="preserve">Buechler, S. (2013). </w:t>
      </w:r>
      <w:r>
        <w:rPr>
          <w:rFonts w:ascii="Arial" w:hAnsi="Arial"/>
          <w:i/>
          <w:iCs/>
          <w:sz w:val="20"/>
          <w:szCs w:val="20"/>
          <w:lang w:val="en-GB" w:eastAsia="en-US" w:bidi="en-US"/>
        </w:rPr>
        <w:t>Mass Society Theory. The Wiley-Blackwell Encyclopedia of Social and Political Movements</w:t>
      </w:r>
      <w:r>
        <w:rPr>
          <w:rFonts w:ascii="Arial" w:hAnsi="Arial"/>
          <w:i w:val="false"/>
          <w:iCs w:val="false"/>
          <w:sz w:val="20"/>
          <w:szCs w:val="20"/>
          <w:lang w:val="en-GB" w:eastAsia="en-US" w:bidi="en-US"/>
        </w:rPr>
        <w:t xml:space="preserve">. Published Online, Blackwell Publishing Ltd. Available at: </w:t>
      </w:r>
      <w:hyperlink r:id="rId2">
        <w:r>
          <w:rPr>
            <w:rStyle w:val="InternetLink"/>
            <w:rFonts w:ascii="Arial" w:hAnsi="Arial"/>
            <w:i w:val="false"/>
            <w:iCs w:val="false"/>
            <w:sz w:val="20"/>
            <w:szCs w:val="20"/>
            <w:lang w:val="en-GB" w:eastAsia="en-US" w:bidi="en-US"/>
          </w:rPr>
          <w:t>http://onlinelibrary.wiley.com/doi/10.1002/9780470674871.wbespm473/full</w:t>
        </w:r>
      </w:hyperlink>
      <w:r>
        <w:rPr>
          <w:rFonts w:ascii="Arial" w:hAnsi="Arial"/>
          <w:i w:val="false"/>
          <w:iCs w:val="false"/>
          <w:sz w:val="20"/>
          <w:szCs w:val="20"/>
          <w:lang w:val="en-GB" w:eastAsia="en-US" w:bidi="en-US"/>
        </w:rPr>
        <w:t xml:space="preserve"> (Accessed: 13 December 2017)</w:t>
      </w:r>
    </w:p>
    <w:p>
      <w:pPr>
        <w:pStyle w:val="Normal"/>
        <w:spacing w:lineRule="auto" w:line="360"/>
        <w:ind w:left="850" w:right="0" w:hanging="850"/>
        <w:jc w:val="left"/>
        <w:rPr>
          <w:rFonts w:ascii="Arial" w:hAnsi="Arial"/>
          <w:i w:val="false"/>
          <w:i w:val="false"/>
          <w:iCs w:val="false"/>
          <w:sz w:val="20"/>
          <w:szCs w:val="20"/>
          <w:lang w:val="en-GB" w:eastAsia="en-US" w:bidi="en-US"/>
        </w:rPr>
      </w:pPr>
      <w:r>
        <w:rPr/>
      </w:r>
    </w:p>
    <w:p>
      <w:pPr>
        <w:pStyle w:val="Normal"/>
        <w:spacing w:lineRule="auto" w:line="360"/>
        <w:ind w:left="850" w:right="0" w:hanging="850"/>
        <w:jc w:val="left"/>
        <w:rPr/>
      </w:pPr>
      <w:r>
        <w:rPr>
          <w:rFonts w:ascii="Arial" w:hAnsi="Arial"/>
          <w:i w:val="false"/>
          <w:iCs w:val="false"/>
          <w:sz w:val="20"/>
          <w:szCs w:val="20"/>
          <w:lang w:val="en-GB" w:eastAsia="en-US" w:bidi="en-US"/>
        </w:rPr>
        <w:t xml:space="preserve">Cohen, T. (1993). High and Low Thinking about High and Low Art. </w:t>
      </w:r>
      <w:r>
        <w:rPr>
          <w:rFonts w:ascii="Arial" w:hAnsi="Arial"/>
          <w:i/>
          <w:iCs/>
          <w:sz w:val="20"/>
          <w:szCs w:val="20"/>
          <w:lang w:val="en-GB" w:eastAsia="en-US" w:bidi="en-US"/>
        </w:rPr>
        <w:t>The Journal of Aesthetic and Art Criticism</w:t>
      </w:r>
      <w:r>
        <w:rPr>
          <w:rFonts w:ascii="Arial" w:hAnsi="Arial"/>
          <w:i w:val="false"/>
          <w:iCs w:val="false"/>
          <w:sz w:val="20"/>
          <w:szCs w:val="20"/>
          <w:lang w:val="en-GB" w:eastAsia="en-US" w:bidi="en-US"/>
        </w:rPr>
        <w:t xml:space="preserve">, [online] Volume 51 (2), 151-156. Available at: </w:t>
      </w:r>
      <w:hyperlink r:id="rId3">
        <w:r>
          <w:rPr>
            <w:rStyle w:val="InternetLink"/>
            <w:rFonts w:ascii="Arial" w:hAnsi="Arial"/>
            <w:i w:val="false"/>
            <w:iCs w:val="false"/>
            <w:sz w:val="20"/>
            <w:szCs w:val="20"/>
            <w:lang w:val="en-GB" w:eastAsia="en-US" w:bidi="en-US"/>
          </w:rPr>
          <w:t>http://www.jstor.org/stable/431380</w:t>
        </w:r>
      </w:hyperlink>
      <w:r>
        <w:rPr>
          <w:rFonts w:ascii="Arial" w:hAnsi="Arial"/>
          <w:i w:val="false"/>
          <w:iCs w:val="false"/>
          <w:sz w:val="20"/>
          <w:szCs w:val="20"/>
          <w:lang w:val="en-GB" w:eastAsia="en-US" w:bidi="en-US"/>
        </w:rPr>
        <w:t xml:space="preserve"> </w:t>
      </w:r>
      <w:r>
        <w:rPr>
          <w:rFonts w:ascii="Arial" w:hAnsi="Arial"/>
          <w:i w:val="false"/>
          <w:iCs w:val="false"/>
          <w:sz w:val="20"/>
          <w:szCs w:val="20"/>
          <w:lang w:val="en-GB" w:eastAsia="en-US" w:bidi="en-US"/>
        </w:rPr>
        <w:t>(Accessed: 13 December 2017)</w:t>
      </w:r>
    </w:p>
    <w:p>
      <w:pPr>
        <w:pStyle w:val="Normal"/>
        <w:spacing w:lineRule="auto" w:line="360"/>
        <w:ind w:left="850" w:right="0" w:hanging="850"/>
        <w:jc w:val="left"/>
        <w:rPr>
          <w:rFonts w:ascii="Arial" w:hAnsi="Arial"/>
          <w:i w:val="false"/>
          <w:i w:val="false"/>
          <w:iCs w:val="false"/>
          <w:sz w:val="20"/>
          <w:szCs w:val="20"/>
          <w:lang w:val="en-GB" w:eastAsia="en-US" w:bidi="en-US"/>
        </w:rPr>
      </w:pPr>
      <w:r>
        <w:rPr/>
      </w:r>
    </w:p>
    <w:p>
      <w:pPr>
        <w:pStyle w:val="Normal"/>
        <w:spacing w:lineRule="auto" w:line="360"/>
        <w:ind w:left="850" w:right="0" w:hanging="850"/>
        <w:jc w:val="left"/>
        <w:rPr/>
      </w:pPr>
      <w:r>
        <w:rPr>
          <w:rFonts w:ascii="Arial" w:hAnsi="Arial"/>
          <w:i w:val="false"/>
          <w:iCs w:val="false"/>
          <w:sz w:val="20"/>
          <w:szCs w:val="20"/>
          <w:lang w:val="en-GB" w:eastAsia="en-US" w:bidi="en-US"/>
        </w:rPr>
        <w:t xml:space="preserve">DiMaggio, P. (1987). Classification in Art. </w:t>
      </w:r>
      <w:r>
        <w:rPr>
          <w:rFonts w:ascii="Arial" w:hAnsi="Arial"/>
          <w:i/>
          <w:iCs/>
          <w:sz w:val="20"/>
          <w:szCs w:val="20"/>
          <w:lang w:val="en-GB" w:eastAsia="en-US" w:bidi="en-US"/>
        </w:rPr>
        <w:t>American Sociological Review</w:t>
      </w:r>
      <w:r>
        <w:rPr>
          <w:rFonts w:ascii="Arial" w:hAnsi="Arial"/>
          <w:i w:val="false"/>
          <w:iCs w:val="false"/>
          <w:sz w:val="20"/>
          <w:szCs w:val="20"/>
          <w:lang w:val="en-GB" w:eastAsia="en-US" w:bidi="en-US"/>
        </w:rPr>
        <w:t xml:space="preserve">, [online] Volume 52 (4), 440-455. Available at: </w:t>
      </w:r>
      <w:hyperlink r:id="rId4">
        <w:r>
          <w:rPr>
            <w:rStyle w:val="InternetLink"/>
            <w:rFonts w:ascii="Arial" w:hAnsi="Arial"/>
            <w:i w:val="false"/>
            <w:iCs w:val="false"/>
            <w:sz w:val="20"/>
            <w:szCs w:val="20"/>
            <w:lang w:val="en-GB" w:eastAsia="en-US" w:bidi="en-US"/>
          </w:rPr>
          <w:t>http://www.jstor.org/stable/2095290</w:t>
        </w:r>
      </w:hyperlink>
      <w:r>
        <w:rPr>
          <w:rFonts w:ascii="Arial" w:hAnsi="Arial"/>
          <w:i w:val="false"/>
          <w:iCs w:val="false"/>
          <w:sz w:val="20"/>
          <w:szCs w:val="20"/>
          <w:lang w:val="en-GB" w:eastAsia="en-US" w:bidi="en-US"/>
        </w:rPr>
        <w:t xml:space="preserve"> </w:t>
      </w:r>
      <w:r>
        <w:rPr>
          <w:rFonts w:ascii="Arial" w:hAnsi="Arial"/>
          <w:i w:val="false"/>
          <w:iCs w:val="false"/>
          <w:sz w:val="20"/>
          <w:szCs w:val="20"/>
          <w:lang w:val="en-GB" w:eastAsia="en-US" w:bidi="en-US"/>
        </w:rPr>
        <w:t>(Accessed: 13 December 2017)</w:t>
      </w:r>
    </w:p>
    <w:p>
      <w:pPr>
        <w:pStyle w:val="Normal"/>
        <w:spacing w:lineRule="auto" w:line="360"/>
        <w:ind w:left="850" w:right="0" w:hanging="850"/>
        <w:jc w:val="left"/>
        <w:rPr>
          <w:rFonts w:ascii="Arial" w:hAnsi="Arial"/>
          <w:i w:val="false"/>
          <w:i w:val="false"/>
          <w:iCs w:val="false"/>
          <w:sz w:val="20"/>
          <w:szCs w:val="20"/>
          <w:lang w:val="en-GB" w:eastAsia="en-US" w:bidi="en-US"/>
        </w:rPr>
      </w:pPr>
      <w:r>
        <w:rPr/>
      </w:r>
    </w:p>
    <w:p>
      <w:pPr>
        <w:pStyle w:val="Normal"/>
        <w:spacing w:lineRule="auto" w:line="360"/>
        <w:ind w:left="850" w:right="0" w:hanging="850"/>
        <w:jc w:val="left"/>
        <w:rPr/>
      </w:pPr>
      <w:r>
        <w:rPr>
          <w:rFonts w:ascii="Arial" w:hAnsi="Arial"/>
          <w:i w:val="false"/>
          <w:iCs w:val="false"/>
          <w:sz w:val="20"/>
          <w:szCs w:val="20"/>
          <w:lang w:val="en-GB" w:eastAsia="en-US" w:bidi="en-US"/>
        </w:rPr>
        <w:t xml:space="preserve">Droitcour, B. (2014). The Perils of Post-Internet Art. </w:t>
      </w:r>
      <w:r>
        <w:rPr>
          <w:rFonts w:ascii="Arial" w:hAnsi="Arial"/>
          <w:i/>
          <w:iCs/>
          <w:sz w:val="20"/>
          <w:szCs w:val="20"/>
          <w:lang w:val="en-GB" w:eastAsia="en-US" w:bidi="en-US"/>
        </w:rPr>
        <w:t>Art in America,</w:t>
      </w:r>
      <w:r>
        <w:rPr>
          <w:rFonts w:ascii="Arial" w:hAnsi="Arial"/>
          <w:i w:val="false"/>
          <w:iCs w:val="false"/>
          <w:sz w:val="20"/>
          <w:szCs w:val="20"/>
          <w:lang w:val="en-GB" w:eastAsia="en-US" w:bidi="en-US"/>
        </w:rPr>
        <w:t xml:space="preserve"> [online] Nov. 2014 Issue. Available at: </w:t>
      </w:r>
      <w:hyperlink r:id="rId5">
        <w:r>
          <w:rPr>
            <w:rStyle w:val="InternetLink"/>
            <w:rFonts w:ascii="Arial" w:hAnsi="Arial"/>
            <w:i w:val="false"/>
            <w:iCs w:val="false"/>
            <w:sz w:val="20"/>
            <w:szCs w:val="20"/>
            <w:lang w:val="en-GB" w:eastAsia="en-US" w:bidi="en-US"/>
          </w:rPr>
          <w:t>http://dept.dawsoncollege.qc.ca/finearts/Faculty/AManniste/Text/PerilsofPost-InternetArt.pdf</w:t>
        </w:r>
      </w:hyperlink>
      <w:hyperlink r:id="rId6">
        <w:r>
          <w:rPr>
            <w:rFonts w:ascii="Arial" w:hAnsi="Arial"/>
            <w:i w:val="false"/>
            <w:iCs w:val="false"/>
            <w:sz w:val="20"/>
            <w:szCs w:val="20"/>
            <w:lang w:val="en-GB" w:eastAsia="en-US" w:bidi="en-US"/>
          </w:rPr>
          <w:t xml:space="preserve"> (Accessed: 13 December 2017)</w:t>
        </w:r>
      </w:hyperlink>
    </w:p>
    <w:p>
      <w:pPr>
        <w:pStyle w:val="Normal"/>
        <w:spacing w:lineRule="auto" w:line="360"/>
        <w:ind w:left="850" w:right="0" w:hanging="850"/>
        <w:jc w:val="left"/>
        <w:rPr>
          <w:rFonts w:ascii="Arial" w:hAnsi="Arial"/>
          <w:i w:val="false"/>
          <w:i w:val="false"/>
          <w:iCs w:val="false"/>
          <w:sz w:val="20"/>
          <w:szCs w:val="20"/>
          <w:lang w:val="en-GB" w:eastAsia="en-US" w:bidi="en-US"/>
        </w:rPr>
      </w:pPr>
      <w:r>
        <w:rPr/>
      </w:r>
    </w:p>
    <w:p>
      <w:pPr>
        <w:pStyle w:val="Normal"/>
        <w:spacing w:lineRule="auto" w:line="360"/>
        <w:ind w:left="850" w:right="0" w:hanging="850"/>
        <w:jc w:val="left"/>
        <w:rPr/>
      </w:pPr>
      <w:r>
        <w:rPr>
          <w:rFonts w:ascii="Arial" w:hAnsi="Arial"/>
          <w:i w:val="false"/>
          <w:iCs w:val="false"/>
          <w:sz w:val="20"/>
          <w:szCs w:val="20"/>
          <w:lang w:val="en-GB" w:eastAsia="en-US" w:bidi="en-US"/>
        </w:rPr>
        <w:t xml:space="preserve">Fisher, J. (2013). </w:t>
      </w:r>
      <w:r>
        <w:rPr>
          <w:rFonts w:ascii="Arial" w:hAnsi="Arial"/>
          <w:i/>
          <w:iCs/>
          <w:sz w:val="20"/>
          <w:szCs w:val="20"/>
          <w:lang w:val="en-GB" w:eastAsia="en-US" w:bidi="en-US"/>
        </w:rPr>
        <w:t>High Art Versus Low Art</w:t>
      </w:r>
      <w:r>
        <w:rPr>
          <w:rFonts w:ascii="Arial" w:hAnsi="Arial"/>
          <w:i w:val="false"/>
          <w:iCs w:val="false"/>
          <w:sz w:val="20"/>
          <w:szCs w:val="20"/>
          <w:lang w:val="en-GB" w:eastAsia="en-US" w:bidi="en-US"/>
        </w:rPr>
        <w:t xml:space="preserve">. Available at: </w:t>
      </w:r>
      <w:hyperlink r:id="rId7">
        <w:r>
          <w:rPr>
            <w:rStyle w:val="InternetLink"/>
            <w:rFonts w:ascii="Arial" w:hAnsi="Arial"/>
            <w:i w:val="false"/>
            <w:iCs w:val="false"/>
            <w:sz w:val="20"/>
            <w:szCs w:val="20"/>
            <w:lang w:val="en-GB" w:eastAsia="en-US" w:bidi="en-US"/>
          </w:rPr>
          <w:t>http://spot.colorado.edu/~jafisher/OnLine%20papers/Fisher%20High%20Art%20vs%20Low%20Art.pdf</w:t>
        </w:r>
      </w:hyperlink>
      <w:r>
        <w:rPr>
          <w:rFonts w:ascii="Arial" w:hAnsi="Arial"/>
          <w:i w:val="false"/>
          <w:iCs w:val="false"/>
          <w:sz w:val="20"/>
          <w:szCs w:val="20"/>
          <w:lang w:val="en-GB" w:eastAsia="en-US" w:bidi="en-US"/>
        </w:rPr>
        <w:t xml:space="preserve"> (Accessed: 13 December, 2017)</w:t>
      </w:r>
    </w:p>
    <w:p>
      <w:pPr>
        <w:pStyle w:val="Normal"/>
        <w:spacing w:lineRule="auto" w:line="360"/>
        <w:ind w:left="850" w:right="0" w:hanging="850"/>
        <w:jc w:val="left"/>
        <w:rPr>
          <w:rFonts w:ascii="Arial" w:hAnsi="Arial"/>
          <w:i w:val="false"/>
          <w:i w:val="false"/>
          <w:iCs w:val="false"/>
          <w:sz w:val="20"/>
          <w:szCs w:val="20"/>
          <w:lang w:val="en-GB" w:eastAsia="en-US" w:bidi="en-US"/>
        </w:rPr>
      </w:pPr>
      <w:r>
        <w:rPr/>
      </w:r>
    </w:p>
    <w:p>
      <w:pPr>
        <w:pStyle w:val="Normal"/>
        <w:spacing w:lineRule="auto" w:line="360"/>
        <w:ind w:left="850" w:right="0" w:hanging="850"/>
        <w:jc w:val="left"/>
        <w:rPr/>
      </w:pPr>
      <w:r>
        <w:rPr>
          <w:rFonts w:ascii="Arial" w:hAnsi="Arial"/>
          <w:i w:val="false"/>
          <w:iCs w:val="false"/>
          <w:sz w:val="20"/>
          <w:szCs w:val="20"/>
          <w:lang w:val="en-GB" w:eastAsia="en-US" w:bidi="en-US"/>
        </w:rPr>
        <w:t xml:space="preserve">Giddings, S. and Lister, M. (2011). </w:t>
      </w:r>
      <w:r>
        <w:rPr>
          <w:rFonts w:ascii="Arial" w:hAnsi="Arial"/>
          <w:i/>
          <w:iCs/>
          <w:sz w:val="20"/>
          <w:szCs w:val="20"/>
          <w:lang w:val="en-GB" w:eastAsia="en-US" w:bidi="en-US"/>
        </w:rPr>
        <w:t>The New Media and Technocultures Reader</w:t>
      </w:r>
      <w:r>
        <w:rPr>
          <w:rFonts w:ascii="Arial" w:hAnsi="Arial"/>
          <w:i w:val="false"/>
          <w:iCs w:val="false"/>
          <w:sz w:val="20"/>
          <w:szCs w:val="20"/>
          <w:lang w:val="en-GB" w:eastAsia="en-US" w:bidi="en-US"/>
        </w:rPr>
        <w:t>. Oxon, Routledge.</w:t>
      </w:r>
    </w:p>
    <w:p>
      <w:pPr>
        <w:pStyle w:val="Normal"/>
        <w:spacing w:lineRule="auto" w:line="360"/>
        <w:ind w:left="850" w:right="0" w:hanging="850"/>
        <w:jc w:val="left"/>
        <w:rPr>
          <w:rFonts w:ascii="Arial" w:hAnsi="Arial"/>
          <w:i w:val="false"/>
          <w:i w:val="false"/>
          <w:iCs w:val="false"/>
          <w:sz w:val="20"/>
          <w:szCs w:val="20"/>
          <w:lang w:val="en-GB" w:eastAsia="en-US" w:bidi="en-US"/>
        </w:rPr>
      </w:pPr>
      <w:r>
        <w:rPr/>
      </w:r>
    </w:p>
    <w:p>
      <w:pPr>
        <w:pStyle w:val="Normal"/>
        <w:spacing w:lineRule="auto" w:line="360"/>
        <w:ind w:left="850" w:right="0" w:hanging="850"/>
        <w:jc w:val="left"/>
        <w:rPr/>
      </w:pPr>
      <w:r>
        <w:rPr>
          <w:rFonts w:ascii="Arial" w:hAnsi="Arial"/>
          <w:i w:val="false"/>
          <w:iCs w:val="false"/>
          <w:sz w:val="20"/>
          <w:szCs w:val="20"/>
          <w:lang w:val="en-GB" w:eastAsia="en-US" w:bidi="en-US"/>
        </w:rPr>
        <w:t xml:space="preserve">Kholeif, O. (2016). </w:t>
      </w:r>
      <w:r>
        <w:rPr>
          <w:rFonts w:ascii="Arial" w:hAnsi="Arial"/>
          <w:i/>
          <w:iCs/>
          <w:sz w:val="20"/>
          <w:szCs w:val="20"/>
          <w:lang w:val="en-GB" w:eastAsia="en-US" w:bidi="en-US"/>
        </w:rPr>
        <w:t>Electronic Superhighway: From Experiments in Art and Technology to Art After the Internet</w:t>
      </w:r>
      <w:r>
        <w:rPr>
          <w:rFonts w:ascii="Arial" w:hAnsi="Arial"/>
          <w:i w:val="false"/>
          <w:iCs w:val="false"/>
          <w:sz w:val="20"/>
          <w:szCs w:val="20"/>
          <w:lang w:val="en-GB" w:eastAsia="en-US" w:bidi="en-US"/>
        </w:rPr>
        <w:t>. London, Whitechapel Gallery.</w:t>
      </w:r>
    </w:p>
    <w:p>
      <w:pPr>
        <w:pStyle w:val="Normal"/>
        <w:spacing w:lineRule="auto" w:line="360"/>
        <w:ind w:left="850" w:right="0" w:hanging="850"/>
        <w:jc w:val="left"/>
        <w:rPr>
          <w:rFonts w:ascii="Arial" w:hAnsi="Arial"/>
          <w:i w:val="false"/>
          <w:i w:val="false"/>
          <w:iCs w:val="false"/>
          <w:sz w:val="20"/>
          <w:szCs w:val="20"/>
          <w:lang w:val="en-GB" w:eastAsia="en-US" w:bidi="en-US"/>
        </w:rPr>
      </w:pPr>
      <w:r>
        <w:rPr/>
      </w:r>
    </w:p>
    <w:p>
      <w:pPr>
        <w:pStyle w:val="Normal"/>
        <w:spacing w:lineRule="auto" w:line="360"/>
        <w:ind w:left="850" w:right="0" w:hanging="850"/>
        <w:jc w:val="left"/>
        <w:rPr/>
      </w:pPr>
      <w:r>
        <w:rPr>
          <w:rFonts w:ascii="Arial" w:hAnsi="Arial"/>
          <w:i w:val="false"/>
          <w:iCs w:val="false"/>
          <w:sz w:val="20"/>
          <w:szCs w:val="20"/>
          <w:lang w:val="en-GB" w:eastAsia="en-US" w:bidi="en-US"/>
        </w:rPr>
        <w:t xml:space="preserve">Kromm, J. and Bakewell, S. (2010). </w:t>
      </w:r>
      <w:r>
        <w:rPr>
          <w:rFonts w:ascii="Arial" w:hAnsi="Arial"/>
          <w:i/>
          <w:iCs/>
          <w:sz w:val="20"/>
          <w:szCs w:val="20"/>
          <w:lang w:val="en-GB" w:eastAsia="en-US" w:bidi="en-US"/>
        </w:rPr>
        <w:t>A History of Visual Culture, Western Civilisation from the 18</w:t>
      </w:r>
      <w:r>
        <w:rPr>
          <w:rFonts w:ascii="Arial" w:hAnsi="Arial"/>
          <w:i/>
          <w:iCs/>
          <w:sz w:val="20"/>
          <w:szCs w:val="20"/>
          <w:vertAlign w:val="superscript"/>
          <w:lang w:val="en-GB" w:eastAsia="en-US" w:bidi="en-US"/>
        </w:rPr>
        <w:t>th</w:t>
      </w:r>
      <w:r>
        <w:rPr>
          <w:rFonts w:ascii="Arial" w:hAnsi="Arial"/>
          <w:i/>
          <w:iCs/>
          <w:sz w:val="20"/>
          <w:szCs w:val="20"/>
          <w:lang w:val="en-GB" w:eastAsia="en-US" w:bidi="en-US"/>
        </w:rPr>
        <w:t xml:space="preserve"> to the 21</w:t>
      </w:r>
      <w:r>
        <w:rPr>
          <w:rFonts w:ascii="Arial" w:hAnsi="Arial"/>
          <w:i/>
          <w:iCs/>
          <w:sz w:val="20"/>
          <w:szCs w:val="20"/>
          <w:vertAlign w:val="superscript"/>
          <w:lang w:val="en-GB" w:eastAsia="en-US" w:bidi="en-US"/>
        </w:rPr>
        <w:t>st</w:t>
      </w:r>
      <w:r>
        <w:rPr>
          <w:rFonts w:ascii="Arial" w:hAnsi="Arial"/>
          <w:i/>
          <w:iCs/>
          <w:sz w:val="20"/>
          <w:szCs w:val="20"/>
          <w:lang w:val="en-GB" w:eastAsia="en-US" w:bidi="en-US"/>
        </w:rPr>
        <w:t xml:space="preserve"> Century</w:t>
      </w:r>
      <w:r>
        <w:rPr>
          <w:rFonts w:ascii="Arial" w:hAnsi="Arial"/>
          <w:i w:val="false"/>
          <w:iCs w:val="false"/>
          <w:sz w:val="20"/>
          <w:szCs w:val="20"/>
          <w:lang w:val="en-GB" w:eastAsia="en-US" w:bidi="en-US"/>
        </w:rPr>
        <w:t>. Oxford, Berg.</w:t>
      </w:r>
    </w:p>
    <w:p>
      <w:pPr>
        <w:pStyle w:val="Normal"/>
        <w:spacing w:lineRule="auto" w:line="360"/>
        <w:ind w:left="850" w:right="0" w:hanging="850"/>
        <w:jc w:val="left"/>
        <w:rPr>
          <w:rFonts w:ascii="Arial" w:hAnsi="Arial"/>
          <w:i w:val="false"/>
          <w:i w:val="false"/>
          <w:iCs w:val="false"/>
          <w:sz w:val="20"/>
          <w:szCs w:val="20"/>
          <w:lang w:val="en-GB" w:eastAsia="en-US" w:bidi="en-US"/>
        </w:rPr>
      </w:pPr>
      <w:r>
        <w:rPr/>
      </w:r>
    </w:p>
    <w:p>
      <w:pPr>
        <w:pStyle w:val="Normal"/>
        <w:spacing w:lineRule="auto" w:line="360"/>
        <w:ind w:left="850" w:right="0" w:hanging="850"/>
        <w:jc w:val="left"/>
        <w:rPr/>
      </w:pPr>
      <w:r>
        <w:rPr>
          <w:rFonts w:ascii="Arial" w:hAnsi="Arial"/>
          <w:i w:val="false"/>
          <w:iCs w:val="false"/>
          <w:sz w:val="20"/>
          <w:szCs w:val="20"/>
          <w:lang w:val="en-GB" w:eastAsia="en-US" w:bidi="en-US"/>
        </w:rPr>
        <w:t xml:space="preserve">Lovejoy, M. (2004). </w:t>
      </w:r>
      <w:r>
        <w:rPr>
          <w:rFonts w:ascii="Arial" w:hAnsi="Arial"/>
          <w:i/>
          <w:iCs/>
          <w:sz w:val="20"/>
          <w:szCs w:val="20"/>
          <w:lang w:val="en-GB" w:eastAsia="en-US" w:bidi="en-US"/>
        </w:rPr>
        <w:t>Digital Currents: Art in the Electronic Age</w:t>
      </w:r>
      <w:r>
        <w:rPr>
          <w:rFonts w:ascii="Arial" w:hAnsi="Arial"/>
          <w:i w:val="false"/>
          <w:iCs w:val="false"/>
          <w:sz w:val="20"/>
          <w:szCs w:val="20"/>
          <w:lang w:val="en-GB" w:eastAsia="en-US" w:bidi="en-US"/>
        </w:rPr>
        <w:t>. New York, Routledge.</w:t>
      </w:r>
    </w:p>
    <w:p>
      <w:pPr>
        <w:pStyle w:val="Normal"/>
        <w:spacing w:lineRule="auto" w:line="360"/>
        <w:ind w:left="850" w:right="0" w:hanging="850"/>
        <w:jc w:val="left"/>
        <w:rPr>
          <w:rFonts w:ascii="Arial" w:hAnsi="Arial"/>
          <w:i w:val="false"/>
          <w:i w:val="false"/>
          <w:iCs w:val="false"/>
          <w:sz w:val="20"/>
          <w:szCs w:val="20"/>
          <w:lang w:val="en-GB" w:eastAsia="en-US" w:bidi="en-US"/>
        </w:rPr>
      </w:pPr>
      <w:r>
        <w:rPr/>
      </w:r>
    </w:p>
    <w:p>
      <w:pPr>
        <w:pStyle w:val="Normal"/>
        <w:spacing w:lineRule="auto" w:line="360"/>
        <w:ind w:left="850" w:right="0" w:hanging="850"/>
        <w:jc w:val="left"/>
        <w:rPr/>
      </w:pPr>
      <w:r>
        <w:rPr>
          <w:rFonts w:ascii="Arial" w:hAnsi="Arial"/>
          <w:i w:val="false"/>
          <w:iCs w:val="false"/>
          <w:sz w:val="20"/>
          <w:szCs w:val="20"/>
          <w:lang w:val="en-GB" w:eastAsia="en-US" w:bidi="en-US"/>
        </w:rPr>
        <w:t xml:space="preserve">Mey, K. (2007). </w:t>
      </w:r>
      <w:r>
        <w:rPr>
          <w:rFonts w:ascii="Arial" w:hAnsi="Arial"/>
          <w:i/>
          <w:iCs/>
          <w:sz w:val="20"/>
          <w:szCs w:val="20"/>
          <w:lang w:val="en-GB" w:eastAsia="en-US" w:bidi="en-US"/>
        </w:rPr>
        <w:t>Art &amp; Obscenity</w:t>
      </w:r>
      <w:r>
        <w:rPr>
          <w:rFonts w:ascii="Arial" w:hAnsi="Arial"/>
          <w:i w:val="false"/>
          <w:iCs w:val="false"/>
          <w:sz w:val="20"/>
          <w:szCs w:val="20"/>
          <w:lang w:val="en-GB" w:eastAsia="en-US" w:bidi="en-US"/>
        </w:rPr>
        <w:t>. London, L.B.Tauris &amp; Co Ltd.</w:t>
      </w:r>
    </w:p>
    <w:p>
      <w:pPr>
        <w:pStyle w:val="Normal"/>
        <w:spacing w:lineRule="auto" w:line="360"/>
        <w:ind w:left="850" w:right="0" w:hanging="850"/>
        <w:jc w:val="left"/>
        <w:rPr>
          <w:rFonts w:ascii="Arial" w:hAnsi="Arial"/>
          <w:i w:val="false"/>
          <w:i w:val="false"/>
          <w:iCs w:val="false"/>
          <w:sz w:val="20"/>
          <w:szCs w:val="20"/>
          <w:lang w:val="en-GB" w:eastAsia="en-US" w:bidi="en-US"/>
        </w:rPr>
      </w:pPr>
      <w:r>
        <w:rPr/>
      </w:r>
    </w:p>
    <w:p>
      <w:pPr>
        <w:pStyle w:val="Normal"/>
        <w:spacing w:lineRule="auto" w:line="360"/>
        <w:ind w:left="850" w:right="0" w:hanging="850"/>
        <w:jc w:val="left"/>
        <w:rPr/>
      </w:pPr>
      <w:r>
        <w:rPr>
          <w:rFonts w:ascii="Arial" w:hAnsi="Arial"/>
          <w:i w:val="false"/>
          <w:iCs w:val="false"/>
          <w:sz w:val="20"/>
          <w:szCs w:val="20"/>
          <w:lang w:val="en-GB" w:eastAsia="en-US" w:bidi="en-US"/>
        </w:rPr>
        <w:t xml:space="preserve">Rawlinson, M. (2009). </w:t>
      </w:r>
      <w:r>
        <w:rPr>
          <w:rFonts w:ascii="Arial" w:hAnsi="Arial"/>
          <w:i/>
          <w:iCs/>
          <w:sz w:val="20"/>
          <w:szCs w:val="20"/>
          <w:lang w:val="en-GB" w:eastAsia="en-US" w:bidi="en-US"/>
        </w:rPr>
        <w:t>American Visual Culture</w:t>
      </w:r>
      <w:r>
        <w:rPr>
          <w:rFonts w:ascii="Arial" w:hAnsi="Arial"/>
          <w:i w:val="false"/>
          <w:iCs w:val="false"/>
          <w:sz w:val="20"/>
          <w:szCs w:val="20"/>
          <w:lang w:val="en-GB" w:eastAsia="en-US" w:bidi="en-US"/>
        </w:rPr>
        <w:t xml:space="preserve">. </w:t>
      </w:r>
      <w:r>
        <w:rPr>
          <w:rFonts w:ascii="Arial" w:hAnsi="Arial"/>
          <w:i w:val="false"/>
          <w:iCs w:val="false"/>
          <w:sz w:val="20"/>
          <w:szCs w:val="20"/>
          <w:lang w:val="en-GB" w:eastAsia="en-US" w:bidi="en-US"/>
        </w:rPr>
        <w:t>Oxford</w:t>
      </w:r>
      <w:r>
        <w:rPr>
          <w:rFonts w:ascii="Arial" w:hAnsi="Arial"/>
          <w:i w:val="false"/>
          <w:iCs w:val="false"/>
          <w:sz w:val="20"/>
          <w:szCs w:val="20"/>
          <w:lang w:val="en-GB" w:eastAsia="en-US" w:bidi="en-US"/>
        </w:rPr>
        <w:t>, Berg.</w:t>
      </w:r>
    </w:p>
    <w:p>
      <w:pPr>
        <w:pStyle w:val="Normal"/>
        <w:spacing w:lineRule="auto" w:line="360"/>
        <w:ind w:left="850" w:right="0" w:hanging="850"/>
        <w:jc w:val="left"/>
        <w:rPr>
          <w:rFonts w:ascii="Arial" w:hAnsi="Arial"/>
          <w:i w:val="false"/>
          <w:i w:val="false"/>
          <w:iCs w:val="false"/>
          <w:sz w:val="20"/>
          <w:szCs w:val="20"/>
          <w:lang w:val="en-GB" w:eastAsia="en-US" w:bidi="en-US"/>
        </w:rPr>
      </w:pPr>
      <w:r>
        <w:rPr/>
      </w:r>
    </w:p>
    <w:p>
      <w:pPr>
        <w:pStyle w:val="Normal"/>
        <w:spacing w:lineRule="auto" w:line="360"/>
        <w:ind w:left="850" w:right="0" w:hanging="850"/>
        <w:jc w:val="left"/>
        <w:rPr/>
      </w:pPr>
      <w:r>
        <w:rPr>
          <w:rFonts w:ascii="Arial" w:hAnsi="Arial"/>
          <w:i w:val="false"/>
          <w:iCs w:val="false"/>
          <w:sz w:val="20"/>
          <w:szCs w:val="20"/>
          <w:lang w:val="en-GB" w:eastAsia="en-US" w:bidi="en-US"/>
        </w:rPr>
        <w:t xml:space="preserve">Raymond, W. (1974). </w:t>
      </w:r>
      <w:r>
        <w:rPr>
          <w:rFonts w:ascii="Arial" w:hAnsi="Arial"/>
          <w:i/>
          <w:iCs/>
          <w:sz w:val="20"/>
          <w:szCs w:val="20"/>
          <w:lang w:val="en-GB" w:eastAsia="en-US" w:bidi="en-US"/>
        </w:rPr>
        <w:t>On High and Popular Culture.</w:t>
      </w:r>
      <w:r>
        <w:rPr>
          <w:rFonts w:ascii="Arial" w:hAnsi="Arial"/>
          <w:i w:val="false"/>
          <w:iCs w:val="false"/>
          <w:sz w:val="20"/>
          <w:szCs w:val="20"/>
          <w:lang w:val="en-GB" w:eastAsia="en-US" w:bidi="en-US"/>
        </w:rPr>
        <w:t xml:space="preserve"> Available at: </w:t>
      </w:r>
      <w:hyperlink r:id="rId8">
        <w:r>
          <w:rPr>
            <w:rStyle w:val="InternetLink"/>
            <w:rFonts w:ascii="Arial" w:hAnsi="Arial"/>
            <w:i w:val="false"/>
            <w:iCs w:val="false"/>
            <w:sz w:val="20"/>
            <w:szCs w:val="20"/>
            <w:lang w:val="en-GB" w:eastAsia="en-US" w:bidi="en-US"/>
          </w:rPr>
          <w:t>https://newrepublic.com/article/79269/high-and-popular-culture</w:t>
        </w:r>
      </w:hyperlink>
      <w:r>
        <w:rPr>
          <w:rFonts w:ascii="Arial" w:hAnsi="Arial"/>
          <w:i w:val="false"/>
          <w:iCs w:val="false"/>
          <w:sz w:val="20"/>
          <w:szCs w:val="20"/>
          <w:lang w:val="en-GB" w:eastAsia="en-US" w:bidi="en-US"/>
        </w:rPr>
        <w:t xml:space="preserve"> (Accessed: 13 December 2017)</w:t>
      </w:r>
    </w:p>
    <w:p>
      <w:pPr>
        <w:pStyle w:val="Normal"/>
        <w:spacing w:lineRule="auto" w:line="360"/>
        <w:ind w:left="850" w:right="0" w:hanging="850"/>
        <w:jc w:val="left"/>
        <w:rPr>
          <w:rFonts w:ascii="Arial" w:hAnsi="Arial"/>
          <w:i w:val="false"/>
          <w:i w:val="false"/>
          <w:iCs w:val="false"/>
          <w:sz w:val="20"/>
          <w:szCs w:val="20"/>
          <w:lang w:val="en-GB" w:eastAsia="en-US" w:bidi="en-US"/>
        </w:rPr>
      </w:pPr>
      <w:r>
        <w:rPr/>
      </w:r>
    </w:p>
    <w:p>
      <w:pPr>
        <w:pStyle w:val="Normal"/>
        <w:spacing w:lineRule="auto" w:line="360"/>
        <w:ind w:left="850" w:right="0" w:hanging="850"/>
        <w:jc w:val="left"/>
        <w:rPr/>
      </w:pPr>
      <w:r>
        <w:rPr>
          <w:rFonts w:ascii="Arial" w:hAnsi="Arial"/>
          <w:i w:val="false"/>
          <w:iCs w:val="false"/>
          <w:sz w:val="20"/>
          <w:szCs w:val="20"/>
          <w:lang w:val="en-GB" w:eastAsia="en-US" w:bidi="en-US"/>
        </w:rPr>
        <w:t xml:space="preserve">Spencer, A. (2008). </w:t>
      </w:r>
      <w:r>
        <w:rPr>
          <w:rFonts w:ascii="Arial" w:hAnsi="Arial"/>
          <w:i/>
          <w:iCs/>
          <w:sz w:val="20"/>
          <w:szCs w:val="20"/>
          <w:lang w:val="en-GB" w:eastAsia="en-US" w:bidi="en-US"/>
        </w:rPr>
        <w:t>DIY The Rise of LO-FI Culture</w:t>
      </w:r>
      <w:r>
        <w:rPr>
          <w:rFonts w:ascii="Arial" w:hAnsi="Arial"/>
          <w:i w:val="false"/>
          <w:iCs w:val="false"/>
          <w:sz w:val="20"/>
          <w:szCs w:val="20"/>
          <w:lang w:val="en-GB" w:eastAsia="en-US" w:bidi="en-US"/>
        </w:rPr>
        <w:t>. London, Marion Boyars Publishers Ltd.</w:t>
      </w:r>
    </w:p>
    <w:p>
      <w:pPr>
        <w:pStyle w:val="Normal"/>
        <w:spacing w:lineRule="auto" w:line="360"/>
        <w:ind w:left="850" w:right="0" w:hanging="850"/>
        <w:jc w:val="left"/>
        <w:rPr>
          <w:rFonts w:ascii="Arial" w:hAnsi="Arial"/>
          <w:i w:val="false"/>
          <w:i w:val="false"/>
          <w:iCs w:val="false"/>
          <w:sz w:val="20"/>
          <w:szCs w:val="20"/>
          <w:lang w:val="en-GB" w:eastAsia="en-US" w:bidi="en-US"/>
        </w:rPr>
      </w:pPr>
      <w:r>
        <w:rPr/>
      </w:r>
    </w:p>
    <w:p>
      <w:pPr>
        <w:pStyle w:val="Normal"/>
        <w:spacing w:lineRule="auto" w:line="360"/>
        <w:ind w:left="850" w:right="0" w:hanging="850"/>
        <w:jc w:val="left"/>
        <w:rPr/>
      </w:pPr>
      <w:r>
        <w:rPr>
          <w:rFonts w:ascii="Arial" w:hAnsi="Arial"/>
          <w:i w:val="false"/>
          <w:iCs w:val="false"/>
          <w:sz w:val="20"/>
          <w:szCs w:val="20"/>
          <w:lang w:val="en-GB" w:eastAsia="en-US" w:bidi="en-US"/>
        </w:rPr>
        <w:t>Walter, B. (</w:t>
      </w:r>
      <w:r>
        <w:rPr>
          <w:rFonts w:ascii="Arial" w:hAnsi="Arial"/>
          <w:i w:val="false"/>
          <w:iCs w:val="false"/>
          <w:sz w:val="20"/>
          <w:szCs w:val="20"/>
          <w:lang w:val="en-GB" w:eastAsia="en-US" w:bidi="en-US"/>
        </w:rPr>
        <w:t xml:space="preserve">2008). </w:t>
      </w:r>
      <w:r>
        <w:rPr>
          <w:rFonts w:ascii="Arial" w:hAnsi="Arial"/>
          <w:i/>
          <w:iCs/>
          <w:sz w:val="20"/>
          <w:szCs w:val="20"/>
          <w:lang w:val="en-GB" w:eastAsia="en-US" w:bidi="en-US"/>
        </w:rPr>
        <w:t>The Work of Art in the Age of its Technological Reproductability and Other Writings on Media</w:t>
      </w:r>
      <w:r>
        <w:rPr>
          <w:rFonts w:ascii="Arial" w:hAnsi="Arial"/>
          <w:i w:val="false"/>
          <w:iCs w:val="false"/>
          <w:sz w:val="20"/>
          <w:szCs w:val="20"/>
          <w:lang w:val="en-GB" w:eastAsia="en-US" w:bidi="en-US"/>
        </w:rPr>
        <w:t>. Cambridge, Harvard University Press.</w:t>
      </w:r>
    </w:p>
    <w:p>
      <w:pPr>
        <w:pStyle w:val="Normal"/>
        <w:spacing w:lineRule="auto" w:line="360"/>
        <w:ind w:left="850" w:right="0" w:hanging="850"/>
        <w:jc w:val="left"/>
        <w:rPr>
          <w:rFonts w:ascii="Arial" w:hAnsi="Arial"/>
          <w:i w:val="false"/>
          <w:i w:val="false"/>
          <w:iCs w:val="false"/>
          <w:sz w:val="20"/>
          <w:szCs w:val="20"/>
          <w:lang w:val="en-GB" w:eastAsia="en-US" w:bidi="en-US"/>
        </w:rPr>
      </w:pPr>
      <w:r>
        <w:rPr/>
      </w:r>
    </w:p>
    <w:p>
      <w:pPr>
        <w:pStyle w:val="Normal"/>
        <w:spacing w:lineRule="auto" w:line="360"/>
        <w:ind w:left="850" w:right="0" w:hanging="850"/>
        <w:jc w:val="left"/>
        <w:rPr/>
      </w:pPr>
      <w:r>
        <w:rPr>
          <w:rFonts w:ascii="Arial" w:hAnsi="Arial"/>
          <w:i w:val="false"/>
          <w:iCs w:val="false"/>
          <w:sz w:val="20"/>
          <w:szCs w:val="20"/>
          <w:lang w:val="en-GB" w:eastAsia="en-US" w:bidi="en-US"/>
        </w:rPr>
        <w:t xml:space="preserve">Wands, B. (2006). </w:t>
      </w:r>
      <w:r>
        <w:rPr>
          <w:rFonts w:ascii="Arial" w:hAnsi="Arial"/>
          <w:i/>
          <w:iCs/>
          <w:sz w:val="20"/>
          <w:szCs w:val="20"/>
          <w:lang w:val="en-GB" w:eastAsia="en-US" w:bidi="en-US"/>
        </w:rPr>
        <w:t>Art of the Digital Age</w:t>
      </w:r>
      <w:r>
        <w:rPr>
          <w:rFonts w:ascii="Arial" w:hAnsi="Arial"/>
          <w:i w:val="false"/>
          <w:iCs w:val="false"/>
          <w:sz w:val="20"/>
          <w:szCs w:val="20"/>
          <w:lang w:val="en-GB" w:eastAsia="en-US" w:bidi="en-US"/>
        </w:rPr>
        <w:t>. London, Thames &amp; Hudson Ltd.</w:t>
      </w:r>
    </w:p>
    <w:sectPr>
      <w:headerReference w:type="default" r:id="rId9"/>
      <w:footerReference w:type="default" r:id="rId10"/>
      <w:type w:val="nextPage"/>
      <w:pgSz w:w="11906" w:h="16838"/>
      <w:pgMar w:left="1134" w:right="1134" w:header="1134" w:top="1693" w:footer="1134" w:bottom="1693" w:gutter="0"/>
      <w:pgNumType w:fmt="decimal"/>
      <w:formProt w:val="false"/>
      <w:textDirection w:val="lrTb"/>
      <w:docGrid w:type="default" w:linePitch="24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Arial">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center"/>
      <w:rPr/>
    </w:pPr>
    <w:r>
      <w:rPr/>
      <w:fldChar w:fldCharType="begin"/>
    </w:r>
    <w:r>
      <w:instrText> PAGE </w:instrText>
    </w:r>
    <w:r>
      <w:fldChar w:fldCharType="separate"/>
    </w:r>
    <w:r>
      <w:t>5</w:t>
    </w:r>
    <w:r>
      <w:fldChar w:fldCharType="end"/>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jc w:val="right"/>
      <w:rPr/>
    </w:pPr>
    <w:r>
      <w:rPr>
        <w:rFonts w:ascii="Arial" w:hAnsi="Arial"/>
        <w:sz w:val="16"/>
        <w:szCs w:val="16"/>
      </w:rPr>
      <w:t xml:space="preserve">Harley Piers Morgan, </w:t>
    </w:r>
    <w:r>
      <w:rPr>
        <w:rFonts w:ascii="Arial" w:hAnsi="Arial"/>
        <w:sz w:val="16"/>
        <w:szCs w:val="16"/>
      </w:rPr>
      <w:t>Student Number P143529</w:t>
    </w:r>
  </w:p>
  <w:p>
    <w:pPr>
      <w:pStyle w:val="Header"/>
      <w:jc w:val="right"/>
      <w:rPr/>
    </w:pPr>
    <w:r>
      <w:rPr>
        <w:rFonts w:ascii="Arial" w:hAnsi="Arial"/>
        <w:sz w:val="16"/>
        <w:szCs w:val="16"/>
      </w:rPr>
      <w:t>Fine Art, Year 2</w:t>
    </w:r>
  </w:p>
</w:hdr>
</file>

<file path=word/settings.xml><?xml version="1.0" encoding="utf-8"?>
<w:settings xmlns:w="http://schemas.openxmlformats.org/wordprocessingml/2006/main">
  <w:zoom w:percent="100"/>
  <w:defaultTabStop w:val="706"/>
  <w:compat>
    <w:compatSetting w:name="compatibilityMode" w:uri="http://schemas.microsoft.com/office/word" w:val="12"/>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Andale Sans UI" w:cs="Tahoma"/>
        <w:szCs w:val="24"/>
        <w:lang w:val="en-US" w:eastAsia="en-US" w:bidi="en-US"/>
      </w:rPr>
    </w:rPrDefault>
    <w:pPrDefault>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val="false"/>
      <w:overflowPunct w:val="false"/>
      <w:bidi w:val="0"/>
      <w:jc w:val="left"/>
    </w:pPr>
    <w:rPr>
      <w:rFonts w:ascii="Times New Roman" w:hAnsi="Times New Roman" w:eastAsia="Andale Sans UI" w:cs="Tahoma"/>
      <w:color w:val="00000A"/>
      <w:kern w:val="0"/>
      <w:sz w:val="24"/>
      <w:szCs w:val="24"/>
      <w:lang w:val="en-US" w:eastAsia="en-US" w:bidi="en-US"/>
    </w:rPr>
  </w:style>
  <w:style w:type="paragraph" w:styleId="Heading1">
    <w:name w:val="Heading 1"/>
    <w:basedOn w:val="Heading"/>
    <w:next w:val="TextBody"/>
    <w:qFormat/>
    <w:pPr>
      <w:spacing w:before="240" w:after="120"/>
      <w:outlineLvl w:val="0"/>
    </w:pPr>
    <w:rPr>
      <w:rFonts w:ascii="Liberation Serif" w:hAnsi="Liberation Serif" w:eastAsia="Segoe UI" w:cs="Tahoma"/>
      <w:b/>
      <w:bCs/>
      <w:sz w:val="48"/>
      <w:szCs w:val="48"/>
    </w:rPr>
  </w:style>
  <w:style w:type="character" w:styleId="DefaultParagraphFont" w:default="1">
    <w:name w:val="Default Paragraph Font"/>
    <w:uiPriority w:val="1"/>
    <w:semiHidden/>
    <w:unhideWhenUsed/>
    <w:qFormat/>
    <w:rPr/>
  </w:style>
  <w:style w:type="character" w:styleId="Emphasis">
    <w:name w:val="Emphasis"/>
    <w:qFormat/>
    <w:rPr>
      <w:i/>
      <w:iCs/>
    </w:rPr>
  </w:style>
  <w:style w:type="character" w:styleId="InternetLink">
    <w:name w:val="Internet Link"/>
    <w:rPr>
      <w:color w:val="000080"/>
      <w:u w:val="single"/>
      <w:lang w:val="zxx" w:eastAsia="zxx" w:bidi="zxx"/>
    </w:rPr>
  </w:style>
  <w:style w:type="character" w:styleId="NumberingSymbols">
    <w:name w:val="Numbering Symbols"/>
    <w:qFormat/>
    <w:rPr/>
  </w:style>
  <w:style w:type="character" w:styleId="VisitedInternetLink">
    <w:name w:val="Visited Internet Link"/>
    <w:rPr>
      <w:color w:val="800000"/>
      <w:u w:val="single"/>
      <w:lang w:val="zxx" w:eastAsia="zxx" w:bidi="zxx"/>
    </w:rPr>
  </w:style>
  <w:style w:type="paragraph" w:styleId="Heading" w:customStyle="1">
    <w:name w:val="Heading"/>
    <w:basedOn w:val="Normal"/>
    <w:next w:val="TextBody"/>
    <w:qFormat/>
    <w:pPr>
      <w:keepNext w:val="true"/>
      <w:spacing w:before="240" w:after="120"/>
    </w:pPr>
    <w:rPr>
      <w:rFonts w:ascii="Arial" w:hAnsi="Arial"/>
      <w:sz w:val="28"/>
      <w:szCs w:val="28"/>
    </w:rPr>
  </w:style>
  <w:style w:type="paragraph" w:styleId="TextBody">
    <w:name w:val="Body Text"/>
    <w:basedOn w:val="Normal"/>
    <w:pPr>
      <w:spacing w:before="0" w:after="120"/>
    </w:pPr>
    <w:rPr/>
  </w:style>
  <w:style w:type="paragraph" w:styleId="List">
    <w:name w:val="List"/>
    <w:basedOn w:val="TextBody"/>
    <w:pPr/>
    <w:rPr/>
  </w:style>
  <w:style w:type="paragraph" w:styleId="Caption">
    <w:name w:val="Caption"/>
    <w:basedOn w:val="Normal"/>
    <w:qFormat/>
    <w:pPr>
      <w:suppressLineNumbers/>
      <w:spacing w:before="120" w:after="120"/>
    </w:pPr>
    <w:rPr>
      <w:rFonts w:cs="Arial"/>
      <w:i/>
      <w:iCs/>
      <w:sz w:val="24"/>
      <w:szCs w:val="24"/>
    </w:rPr>
  </w:style>
  <w:style w:type="paragraph" w:styleId="Index" w:customStyle="1">
    <w:name w:val="Index"/>
    <w:basedOn w:val="Normal"/>
    <w:qFormat/>
    <w:pPr>
      <w:suppressLineNumbers/>
    </w:pPr>
    <w:rPr/>
  </w:style>
  <w:style w:type="paragraph" w:styleId="Caption1">
    <w:name w:val="caption"/>
    <w:basedOn w:val="Normal"/>
    <w:qFormat/>
    <w:pPr>
      <w:suppressLineNumbers/>
      <w:spacing w:before="120" w:after="120"/>
    </w:pPr>
    <w:rPr>
      <w:i/>
      <w:iCs/>
    </w:rPr>
  </w:style>
  <w:style w:type="paragraph" w:styleId="Header">
    <w:name w:val="Header"/>
    <w:basedOn w:val="Normal"/>
    <w:pPr/>
    <w:rPr/>
  </w:style>
  <w:style w:type="paragraph" w:styleId="Footer">
    <w:name w:val="Footer"/>
    <w:basedOn w:val="Normal"/>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onlinelibrary.wiley.com/doi/10.1002/9780470674871.wbespm473/full" TargetMode="External"/><Relationship Id="rId3" Type="http://schemas.openxmlformats.org/officeDocument/2006/relationships/hyperlink" Target="http://www.jstor.org/stable/431380" TargetMode="External"/><Relationship Id="rId4" Type="http://schemas.openxmlformats.org/officeDocument/2006/relationships/hyperlink" Target="http://www.jstor.org/stable/2095290" TargetMode="External"/><Relationship Id="rId5" Type="http://schemas.openxmlformats.org/officeDocument/2006/relationships/hyperlink" Target="http://dept.dawsoncollege.qc.ca/finearts/Faculty/AManniste/Text/PerilsofPost-InternetArt.pdf" TargetMode="External"/><Relationship Id="rId6" Type="http://schemas.openxmlformats.org/officeDocument/2006/relationships/hyperlink" Target="" TargetMode="External"/><Relationship Id="rId7" Type="http://schemas.openxmlformats.org/officeDocument/2006/relationships/hyperlink" Target="http://spot.colorado.edu/~jafisher/OnLine papers/Fisher High Art vs Low Art.pdf" TargetMode="External"/><Relationship Id="rId8" Type="http://schemas.openxmlformats.org/officeDocument/2006/relationships/hyperlink" Target="https://newrepublic.com/article/79269/high-and-popular-culture" TargetMode="External"/><Relationship Id="rId9" Type="http://schemas.openxmlformats.org/officeDocument/2006/relationships/header" Target="header1.xml"/><Relationship Id="rId10" Type="http://schemas.openxmlformats.org/officeDocument/2006/relationships/footer" Target="footer1.xml"/><Relationship Id="rId11" Type="http://schemas.openxmlformats.org/officeDocument/2006/relationships/fontTable" Target="fontTable.xml"/><Relationship Id="rId12" Type="http://schemas.openxmlformats.org/officeDocument/2006/relationships/settings" Target="settings.xml"/><Relationship Id="rId13"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1456</TotalTime>
  <Application>LibreOffice/5.4.3.2$Windows_X86_64 LibreOffice_project/92a7159f7e4af62137622921e809f8546db437e5</Application>
  <Pages>5</Pages>
  <Words>2308</Words>
  <Characters>12610</Characters>
  <CharactersWithSpaces>14896</CharactersWithSpaces>
  <Paragraphs>30</Paragraphs>
  <Company>University of Wales Trinity Saint David</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2009-04-16T11:32:00Z</dcterms:created>
  <dc:creator/>
  <dc:description/>
  <dc:language>en-GB</dc:language>
  <cp:lastModifiedBy/>
  <dcterms:modified xsi:type="dcterms:W3CDTF">2017-12-14T10:17:55Z</dcterms:modified>
  <cp:revision>116</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Company">
    <vt:lpwstr>University of Wales Trinity Saint David</vt:lpwstr>
  </property>
  <property fmtid="{D5CDD505-2E9C-101B-9397-08002B2CF9AE}" pid="4" name="DocSecurity">
    <vt:i4>0</vt:i4>
  </property>
  <property fmtid="{D5CDD505-2E9C-101B-9397-08002B2CF9AE}" pid="5" name="HyperlinksChanged">
    <vt:bool>0</vt:bool>
  </property>
  <property fmtid="{D5CDD505-2E9C-101B-9397-08002B2CF9AE}" pid="6" name="Info 1">
    <vt:lpwstr/>
  </property>
  <property fmtid="{D5CDD505-2E9C-101B-9397-08002B2CF9AE}" pid="7" name="Info 2">
    <vt:lpwstr/>
  </property>
  <property fmtid="{D5CDD505-2E9C-101B-9397-08002B2CF9AE}" pid="8" name="Info 3">
    <vt:lpwstr/>
  </property>
  <property fmtid="{D5CDD505-2E9C-101B-9397-08002B2CF9AE}" pid="9" name="Info 4">
    <vt:lpwstr/>
  </property>
  <property fmtid="{D5CDD505-2E9C-101B-9397-08002B2CF9AE}" pid="10" name="LinksUpToDate">
    <vt:bool>0</vt:bool>
  </property>
  <property fmtid="{D5CDD505-2E9C-101B-9397-08002B2CF9AE}" pid="11" name="ScaleCrop">
    <vt:bool>0</vt:bool>
  </property>
  <property fmtid="{D5CDD505-2E9C-101B-9397-08002B2CF9AE}" pid="12" name="ShareDoc">
    <vt:bool>0</vt:bool>
  </property>
</Properties>
</file>