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5F0F9B" w14:textId="16232130" w:rsidR="00116691" w:rsidRPr="00116691" w:rsidRDefault="00116691" w:rsidP="00116691">
      <w:pPr>
        <w:jc w:val="center"/>
        <w:rPr>
          <w:b/>
          <w:bCs/>
          <w:sz w:val="36"/>
          <w:szCs w:val="36"/>
        </w:rPr>
      </w:pPr>
      <w:r w:rsidRPr="00116691">
        <w:rPr>
          <w:b/>
          <w:bCs/>
          <w:sz w:val="36"/>
          <w:szCs w:val="36"/>
        </w:rPr>
        <w:t>Reference List for Quiz</w:t>
      </w:r>
    </w:p>
    <w:p w14:paraId="4E82F504" w14:textId="4AD9872A" w:rsidR="00116691" w:rsidRPr="00116691" w:rsidRDefault="00116691" w:rsidP="00116691">
      <w:pPr>
        <w:rPr>
          <w:sz w:val="24"/>
          <w:szCs w:val="24"/>
        </w:rPr>
      </w:pPr>
      <w:r w:rsidRPr="00116691">
        <w:rPr>
          <w:sz w:val="24"/>
          <w:szCs w:val="24"/>
        </w:rPr>
        <w:t>Bloom, S.L. (2013) Creating Sanctuary: Toward the Evolution of Sane Societies. New York: Routledge.</w:t>
      </w:r>
    </w:p>
    <w:p w14:paraId="0CC032EC" w14:textId="52B6D36B" w:rsidR="00116691" w:rsidRPr="00116691" w:rsidRDefault="00116691" w:rsidP="00116691">
      <w:pPr>
        <w:rPr>
          <w:sz w:val="24"/>
          <w:szCs w:val="24"/>
        </w:rPr>
      </w:pPr>
      <w:proofErr w:type="spellStart"/>
      <w:r w:rsidRPr="00116691">
        <w:rPr>
          <w:sz w:val="24"/>
          <w:szCs w:val="24"/>
          <w:lang w:val="fr-FR"/>
        </w:rPr>
        <w:t>Bryson</w:t>
      </w:r>
      <w:proofErr w:type="spellEnd"/>
      <w:r w:rsidRPr="00116691">
        <w:rPr>
          <w:sz w:val="24"/>
          <w:szCs w:val="24"/>
          <w:lang w:val="fr-FR"/>
        </w:rPr>
        <w:t xml:space="preserve">, S.A. et al. </w:t>
      </w:r>
      <w:r w:rsidRPr="00116691">
        <w:rPr>
          <w:sz w:val="24"/>
          <w:szCs w:val="24"/>
        </w:rPr>
        <w:t>(2017) ‘Implementing trauma-informed care in youth services’, International Journal of Child and Adolescent Resilience, 5(1), pp. 124–142.</w:t>
      </w:r>
    </w:p>
    <w:p w14:paraId="53D11910" w14:textId="267E34A8" w:rsidR="00116691" w:rsidRPr="00116691" w:rsidRDefault="00116691" w:rsidP="00116691">
      <w:pPr>
        <w:rPr>
          <w:sz w:val="24"/>
          <w:szCs w:val="24"/>
        </w:rPr>
      </w:pPr>
      <w:r w:rsidRPr="00116691">
        <w:rPr>
          <w:sz w:val="24"/>
          <w:szCs w:val="24"/>
        </w:rPr>
        <w:t xml:space="preserve">Cicchetti, D. &amp; </w:t>
      </w:r>
      <w:proofErr w:type="spellStart"/>
      <w:r w:rsidRPr="00116691">
        <w:rPr>
          <w:sz w:val="24"/>
          <w:szCs w:val="24"/>
        </w:rPr>
        <w:t>Rogosch</w:t>
      </w:r>
      <w:proofErr w:type="spellEnd"/>
      <w:r w:rsidRPr="00116691">
        <w:rPr>
          <w:sz w:val="24"/>
          <w:szCs w:val="24"/>
        </w:rPr>
        <w:t>, F.A. (2002) ‘A developmental psychopathology perspective on adolescence’, Journal of Consulting and Clinical Psychology, 70(1), pp. 6–20.</w:t>
      </w:r>
    </w:p>
    <w:p w14:paraId="0C4EB271" w14:textId="5E275895" w:rsidR="00116691" w:rsidRPr="00116691" w:rsidRDefault="00116691" w:rsidP="00116691">
      <w:pPr>
        <w:rPr>
          <w:sz w:val="24"/>
          <w:szCs w:val="24"/>
        </w:rPr>
      </w:pPr>
      <w:r w:rsidRPr="00116691">
        <w:rPr>
          <w:sz w:val="24"/>
          <w:szCs w:val="24"/>
        </w:rPr>
        <w:t>Esaki, N. et al. (2013) ‘The Sanctuary Model’, Therapeutic Communities, 34(1), pp. 1–12.</w:t>
      </w:r>
    </w:p>
    <w:p w14:paraId="6D32DC8E" w14:textId="7BBB5E8E" w:rsidR="00116691" w:rsidRPr="00116691" w:rsidRDefault="00116691" w:rsidP="00116691">
      <w:pPr>
        <w:rPr>
          <w:sz w:val="24"/>
          <w:szCs w:val="24"/>
        </w:rPr>
      </w:pPr>
      <w:r w:rsidRPr="00116691">
        <w:rPr>
          <w:sz w:val="24"/>
          <w:szCs w:val="24"/>
        </w:rPr>
        <w:t xml:space="preserve">Howe, D. (2011) Attachment Across the </w:t>
      </w:r>
      <w:proofErr w:type="spellStart"/>
      <w:r w:rsidRPr="00116691">
        <w:rPr>
          <w:sz w:val="24"/>
          <w:szCs w:val="24"/>
        </w:rPr>
        <w:t>Lifecourse</w:t>
      </w:r>
      <w:proofErr w:type="spellEnd"/>
      <w:r w:rsidRPr="00116691">
        <w:rPr>
          <w:sz w:val="24"/>
          <w:szCs w:val="24"/>
        </w:rPr>
        <w:t>: A Brief Introduction. Basingstoke: Palgrave Macmillan.</w:t>
      </w:r>
    </w:p>
    <w:p w14:paraId="79E2A55E" w14:textId="16CE19AA" w:rsidR="00116691" w:rsidRPr="00116691" w:rsidRDefault="00116691" w:rsidP="00116691">
      <w:pPr>
        <w:rPr>
          <w:sz w:val="24"/>
          <w:szCs w:val="24"/>
        </w:rPr>
      </w:pPr>
      <w:r w:rsidRPr="00116691">
        <w:rPr>
          <w:sz w:val="24"/>
          <w:szCs w:val="24"/>
        </w:rPr>
        <w:t>Levenson, J. (2017) ‘Trauma-informed social work practice’, Social Work, 62(2), pp. 105–113.</w:t>
      </w:r>
    </w:p>
    <w:p w14:paraId="1C0AED3C" w14:textId="5665B498" w:rsidR="00116691" w:rsidRPr="00116691" w:rsidRDefault="00116691" w:rsidP="00116691">
      <w:pPr>
        <w:rPr>
          <w:sz w:val="24"/>
          <w:szCs w:val="24"/>
        </w:rPr>
      </w:pPr>
      <w:r w:rsidRPr="00116691">
        <w:rPr>
          <w:sz w:val="24"/>
          <w:szCs w:val="24"/>
        </w:rPr>
        <w:t>Perry, B.D. (2006) ‘Applying principles of neurodevelopment to clinical work with maltreated and traumatized children’, in Boyd Webb, N. (ed.) Working with Traumatized Youth in Child Welfare. New York: Guilford Press, pp. 27–52.</w:t>
      </w:r>
    </w:p>
    <w:p w14:paraId="13A34768" w14:textId="166C5E2D" w:rsidR="00116691" w:rsidRPr="00116691" w:rsidRDefault="00116691" w:rsidP="00116691">
      <w:pPr>
        <w:rPr>
          <w:sz w:val="24"/>
          <w:szCs w:val="24"/>
        </w:rPr>
      </w:pPr>
      <w:r w:rsidRPr="00116691">
        <w:rPr>
          <w:sz w:val="24"/>
          <w:szCs w:val="24"/>
          <w:lang w:val="fr-FR"/>
        </w:rPr>
        <w:t xml:space="preserve">Rivard, J.C. et al. </w:t>
      </w:r>
      <w:r w:rsidRPr="00116691">
        <w:rPr>
          <w:sz w:val="24"/>
          <w:szCs w:val="24"/>
        </w:rPr>
        <w:t>(2005) ‘Implementing a trauma recovery framework’, Child and Adolescent Social Work Journal, 22(4), pp. 347–369.</w:t>
      </w:r>
    </w:p>
    <w:p w14:paraId="41E60996" w14:textId="79F711A2" w:rsidR="008116CE" w:rsidRPr="00116691" w:rsidRDefault="00116691" w:rsidP="00116691">
      <w:pPr>
        <w:rPr>
          <w:sz w:val="24"/>
          <w:szCs w:val="24"/>
        </w:rPr>
      </w:pPr>
      <w:r w:rsidRPr="00116691">
        <w:rPr>
          <w:sz w:val="24"/>
          <w:szCs w:val="24"/>
        </w:rPr>
        <w:t>SAMHSA (2014) SAMHSA’s Concept of Trauma and Guidance for a Trauma-Informed Approach. Rockville, MD: SAMHSA.</w:t>
      </w:r>
    </w:p>
    <w:sectPr w:rsidR="008116CE" w:rsidRPr="001166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691"/>
    <w:rsid w:val="00116691"/>
    <w:rsid w:val="001A7B09"/>
    <w:rsid w:val="00352F70"/>
    <w:rsid w:val="0063521D"/>
    <w:rsid w:val="008116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DDFEB0"/>
  <w15:chartTrackingRefBased/>
  <w15:docId w15:val="{9EC5DA0E-9A1A-42AE-A166-7E26C630DB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66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66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669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66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669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66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66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66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66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669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669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669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669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669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66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66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66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66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66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66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66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66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66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66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66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669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669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669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6691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179</Words>
  <Characters>1025</Characters>
  <Application>Microsoft Office Word</Application>
  <DocSecurity>0</DocSecurity>
  <Lines>8</Lines>
  <Paragraphs>2</Paragraphs>
  <ScaleCrop>false</ScaleCrop>
  <Company/>
  <LinksUpToDate>false</LinksUpToDate>
  <CharactersWithSpaces>1202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hart</dc:creator>
  <cp:keywords/>
  <dc:description/>
  <cp:lastModifiedBy>sophie hart</cp:lastModifiedBy>
  <cp:revision>1</cp:revision>
  <dcterms:created xsi:type="dcterms:W3CDTF">2025-12-09T22:18:00Z</dcterms:created>
  <dcterms:modified xsi:type="dcterms:W3CDTF">2025-12-09T22:20:00Z</dcterms:modified>
</cp:coreProperties>
</file>