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0B4F9" w14:textId="17570146" w:rsidR="0046412F" w:rsidRDefault="0046412F" w:rsidP="00FB18B8">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 Roxana-Maria Burlacu (2014302)</w:t>
      </w:r>
    </w:p>
    <w:p w14:paraId="7FD8A222" w14:textId="075C749D" w:rsidR="0046412F" w:rsidRDefault="0046412F" w:rsidP="00FB18B8">
      <w:pPr>
        <w:spacing w:line="480" w:lineRule="auto"/>
        <w:jc w:val="center"/>
        <w:rPr>
          <w:rFonts w:ascii="Times New Roman" w:hAnsi="Times New Roman" w:cs="Times New Roman"/>
          <w:sz w:val="24"/>
          <w:szCs w:val="24"/>
        </w:rPr>
      </w:pPr>
      <w:r>
        <w:rPr>
          <w:rFonts w:ascii="Times New Roman" w:hAnsi="Times New Roman" w:cs="Times New Roman"/>
          <w:sz w:val="24"/>
          <w:szCs w:val="24"/>
        </w:rPr>
        <w:t>Module</w:t>
      </w:r>
      <w:r w:rsidR="0062739D">
        <w:rPr>
          <w:rFonts w:ascii="Times New Roman" w:hAnsi="Times New Roman" w:cs="Times New Roman"/>
          <w:sz w:val="24"/>
          <w:szCs w:val="24"/>
        </w:rPr>
        <w:t xml:space="preserve">: </w:t>
      </w:r>
      <w:r w:rsidR="00067006">
        <w:rPr>
          <w:rFonts w:ascii="Times New Roman" w:hAnsi="Times New Roman" w:cs="Times New Roman"/>
          <w:sz w:val="24"/>
          <w:szCs w:val="24"/>
        </w:rPr>
        <w:t>Tort Law (BMLW5008</w:t>
      </w:r>
      <w:r w:rsidR="00AD5779">
        <w:rPr>
          <w:rFonts w:ascii="Times New Roman" w:hAnsi="Times New Roman" w:cs="Times New Roman"/>
          <w:sz w:val="24"/>
          <w:szCs w:val="24"/>
        </w:rPr>
        <w:t>)</w:t>
      </w:r>
    </w:p>
    <w:p w14:paraId="291B2128" w14:textId="77777777" w:rsidR="0046412F" w:rsidRDefault="0046412F" w:rsidP="00FB18B8">
      <w:pPr>
        <w:spacing w:line="480" w:lineRule="auto"/>
        <w:jc w:val="center"/>
        <w:rPr>
          <w:rFonts w:ascii="Times New Roman" w:hAnsi="Times New Roman" w:cs="Times New Roman"/>
          <w:sz w:val="24"/>
          <w:szCs w:val="24"/>
        </w:rPr>
      </w:pPr>
    </w:p>
    <w:p w14:paraId="2588D5E9" w14:textId="77777777" w:rsidR="0046412F" w:rsidRDefault="0046412F" w:rsidP="00FB18B8">
      <w:pPr>
        <w:spacing w:line="480" w:lineRule="auto"/>
        <w:jc w:val="center"/>
        <w:rPr>
          <w:rFonts w:ascii="Times New Roman" w:hAnsi="Times New Roman" w:cs="Times New Roman"/>
          <w:sz w:val="24"/>
          <w:szCs w:val="24"/>
        </w:rPr>
      </w:pPr>
    </w:p>
    <w:p w14:paraId="0ABB8203" w14:textId="10D3B9BA" w:rsidR="00FB18B8" w:rsidRDefault="00FB18B8" w:rsidP="00FB18B8">
      <w:pPr>
        <w:spacing w:line="480" w:lineRule="auto"/>
        <w:jc w:val="center"/>
        <w:rPr>
          <w:rFonts w:ascii="Times New Roman" w:hAnsi="Times New Roman" w:cs="Times New Roman"/>
          <w:sz w:val="24"/>
          <w:szCs w:val="24"/>
        </w:rPr>
      </w:pPr>
      <w:r>
        <w:rPr>
          <w:rFonts w:ascii="Times New Roman" w:hAnsi="Times New Roman" w:cs="Times New Roman"/>
          <w:sz w:val="24"/>
          <w:szCs w:val="24"/>
        </w:rPr>
        <w:t>Standard of Care</w:t>
      </w:r>
    </w:p>
    <w:p w14:paraId="5677607D" w14:textId="77777777" w:rsidR="00FB18B8" w:rsidRPr="00FB18B8" w:rsidRDefault="00FB18B8" w:rsidP="00DD5DD8">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t xml:space="preserve">A defendant is said to be negligent when his actions fall bellow the standard of care required in a particular situation to protect others from any unreasonable risk or harm. The standard of care is determined on the defendant’s position while carrying out the specific circumstance (Slesser, n.d). Therefore, for one to fall below the standard of care, they have to breach the duty of care by not protecting others from unreasonable risk. In this case, breach of care is defined as the failing to meet the applicable standard of care resulting to harming others. The duty of care is a concept that has been decided on by several cases. </w:t>
      </w:r>
      <w:r w:rsidR="00D751BC">
        <w:rPr>
          <w:rFonts w:ascii="Times New Roman" w:hAnsi="Times New Roman" w:cs="Times New Roman"/>
          <w:sz w:val="24"/>
          <w:szCs w:val="24"/>
        </w:rPr>
        <w:t>The</w:t>
      </w:r>
      <w:r w:rsidRPr="00FB18B8">
        <w:rPr>
          <w:rFonts w:ascii="Times New Roman" w:hAnsi="Times New Roman" w:cs="Times New Roman"/>
          <w:sz w:val="24"/>
          <w:szCs w:val="24"/>
        </w:rPr>
        <w:t xml:space="preserve"> case of Anns v. Merton (LBC) (1978) expounded the liability under Donoghue by bringing two considerations for a two-part test. Particularly, the court must consider whether a duty of care by assessing </w:t>
      </w:r>
      <w:r w:rsidR="00575933" w:rsidRPr="00FB18B8">
        <w:rPr>
          <w:rFonts w:ascii="Times New Roman" w:hAnsi="Times New Roman" w:cs="Times New Roman"/>
          <w:sz w:val="24"/>
          <w:szCs w:val="24"/>
        </w:rPr>
        <w:t>whether</w:t>
      </w:r>
      <w:r w:rsidRPr="00FB18B8">
        <w:rPr>
          <w:rFonts w:ascii="Times New Roman" w:hAnsi="Times New Roman" w:cs="Times New Roman"/>
          <w:sz w:val="24"/>
          <w:szCs w:val="24"/>
        </w:rPr>
        <w:t xml:space="preserve"> </w:t>
      </w:r>
      <w:r w:rsidR="00575933" w:rsidRPr="00FB18B8">
        <w:rPr>
          <w:rFonts w:ascii="Times New Roman" w:hAnsi="Times New Roman" w:cs="Times New Roman"/>
          <w:sz w:val="24"/>
          <w:szCs w:val="24"/>
        </w:rPr>
        <w:t>there</w:t>
      </w:r>
      <w:r w:rsidRPr="00FB18B8">
        <w:rPr>
          <w:rFonts w:ascii="Times New Roman" w:hAnsi="Times New Roman" w:cs="Times New Roman"/>
          <w:sz w:val="24"/>
          <w:szCs w:val="24"/>
        </w:rPr>
        <w:t xml:space="preserve"> was sufficient </w:t>
      </w:r>
      <w:r w:rsidR="00575933" w:rsidRPr="00FB18B8">
        <w:rPr>
          <w:rFonts w:ascii="Times New Roman" w:hAnsi="Times New Roman" w:cs="Times New Roman"/>
          <w:sz w:val="24"/>
          <w:szCs w:val="24"/>
        </w:rPr>
        <w:t>proximity</w:t>
      </w:r>
      <w:r w:rsidRPr="00FB18B8">
        <w:rPr>
          <w:rFonts w:ascii="Times New Roman" w:hAnsi="Times New Roman" w:cs="Times New Roman"/>
          <w:sz w:val="24"/>
          <w:szCs w:val="24"/>
        </w:rPr>
        <w:t xml:space="preserve"> between the defendant and </w:t>
      </w:r>
      <w:r w:rsidR="00575933">
        <w:rPr>
          <w:rFonts w:ascii="Times New Roman" w:hAnsi="Times New Roman" w:cs="Times New Roman"/>
          <w:sz w:val="24"/>
          <w:szCs w:val="24"/>
        </w:rPr>
        <w:t>claimant</w:t>
      </w:r>
      <w:r w:rsidRPr="00FB18B8">
        <w:rPr>
          <w:rFonts w:ascii="Times New Roman" w:hAnsi="Times New Roman" w:cs="Times New Roman"/>
          <w:sz w:val="24"/>
          <w:szCs w:val="24"/>
        </w:rPr>
        <w:t xml:space="preserve">. Further, the court should consider any situation that out to be considered which negates, reduces or limits the duty of care. As a result, the issue of the standard of care arises to help in establishing whether the defendant was in any circumstance that might negate the duty or breach of duty of care. </w:t>
      </w:r>
    </w:p>
    <w:p w14:paraId="3CBD8C7A" w14:textId="77777777" w:rsidR="007C40B7" w:rsidRDefault="00E33188" w:rsidP="0032635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court</w:t>
      </w:r>
      <w:r w:rsidR="00DF211E">
        <w:rPr>
          <w:rFonts w:ascii="Times New Roman" w:hAnsi="Times New Roman" w:cs="Times New Roman"/>
          <w:sz w:val="24"/>
          <w:szCs w:val="24"/>
        </w:rPr>
        <w:t xml:space="preserve"> should use the</w:t>
      </w:r>
      <w:r w:rsidR="002A45B3">
        <w:rPr>
          <w:rFonts w:ascii="Times New Roman" w:hAnsi="Times New Roman" w:cs="Times New Roman"/>
          <w:sz w:val="24"/>
          <w:szCs w:val="24"/>
        </w:rPr>
        <w:t xml:space="preserve"> two</w:t>
      </w:r>
      <w:r w:rsidR="00DF211E">
        <w:rPr>
          <w:rFonts w:ascii="Times New Roman" w:hAnsi="Times New Roman" w:cs="Times New Roman"/>
          <w:sz w:val="24"/>
          <w:szCs w:val="24"/>
        </w:rPr>
        <w:t xml:space="preserve">-test stages </w:t>
      </w:r>
      <w:r w:rsidR="00084413">
        <w:rPr>
          <w:rFonts w:ascii="Times New Roman" w:hAnsi="Times New Roman" w:cs="Times New Roman"/>
          <w:sz w:val="24"/>
          <w:szCs w:val="24"/>
        </w:rPr>
        <w:t>of</w:t>
      </w:r>
      <w:r w:rsidR="002A45B3">
        <w:rPr>
          <w:rFonts w:ascii="Times New Roman" w:hAnsi="Times New Roman" w:cs="Times New Roman"/>
          <w:sz w:val="24"/>
          <w:szCs w:val="24"/>
        </w:rPr>
        <w:t xml:space="preserve"> analyzing whether the defendant’s actions are within the standard of care. The first stage is analyzing how much care </w:t>
      </w:r>
      <w:r w:rsidR="0032635D">
        <w:rPr>
          <w:rFonts w:ascii="Times New Roman" w:hAnsi="Times New Roman" w:cs="Times New Roman"/>
          <w:sz w:val="24"/>
          <w:szCs w:val="24"/>
        </w:rPr>
        <w:t>a reasonable person needs to put to protect others from harm (standard of care). The second stage is to establish whether the defendant’s actions fell below the standard of care</w:t>
      </w:r>
      <w:r w:rsidR="00286106">
        <w:rPr>
          <w:rFonts w:ascii="Times New Roman" w:hAnsi="Times New Roman" w:cs="Times New Roman"/>
          <w:sz w:val="24"/>
          <w:szCs w:val="24"/>
        </w:rPr>
        <w:t xml:space="preserve"> (Chiungi, 2019)</w:t>
      </w:r>
      <w:r w:rsidR="0032635D">
        <w:rPr>
          <w:rFonts w:ascii="Times New Roman" w:hAnsi="Times New Roman" w:cs="Times New Roman"/>
          <w:sz w:val="24"/>
          <w:szCs w:val="24"/>
        </w:rPr>
        <w:t xml:space="preserve">. </w:t>
      </w:r>
      <w:r w:rsidR="0032635D" w:rsidRPr="00FB18B8">
        <w:rPr>
          <w:rFonts w:ascii="Times New Roman" w:hAnsi="Times New Roman" w:cs="Times New Roman"/>
          <w:sz w:val="24"/>
          <w:szCs w:val="24"/>
        </w:rPr>
        <w:t>In that, th</w:t>
      </w:r>
      <w:r w:rsidR="0066458F">
        <w:rPr>
          <w:rFonts w:ascii="Times New Roman" w:hAnsi="Times New Roman" w:cs="Times New Roman"/>
          <w:sz w:val="24"/>
          <w:szCs w:val="24"/>
        </w:rPr>
        <w:t>e</w:t>
      </w:r>
      <w:r w:rsidR="0032635D" w:rsidRPr="00FB18B8">
        <w:rPr>
          <w:rFonts w:ascii="Times New Roman" w:hAnsi="Times New Roman" w:cs="Times New Roman"/>
          <w:sz w:val="24"/>
          <w:szCs w:val="24"/>
        </w:rPr>
        <w:t xml:space="preserve"> court needs to assess the standard of care based on the acts of an ordinary reasonable person that holds </w:t>
      </w:r>
      <w:r w:rsidR="0032635D" w:rsidRPr="00FB18B8">
        <w:rPr>
          <w:rFonts w:ascii="Times New Roman" w:hAnsi="Times New Roman" w:cs="Times New Roman"/>
          <w:sz w:val="24"/>
          <w:szCs w:val="24"/>
        </w:rPr>
        <w:lastRenderedPageBreak/>
        <w:t xml:space="preserve">themselves to such skills or judgments. Particularly, individuals are treated to have the skills or knowledge or judgment of an ordinary reasonable person of same characteristics. For example, learner drivers are held liable based on the skills and expertise of a qualified and experienced driver. In the case of Nettleship v. Weston [1971] 3 WLR 370 Court of Appeal, as a learner driver, the defendant was involved in an accident that resulted to injuries to the plaintiff. The defendant was taking lessons from a friend who had checked her insurance to ensure that she was covered for passengers before accepting to teach her. While driving through a bend, the plaintiff requested the defendant to straighten the wheel but due to panic she failed to do so leading to the accident. The defendant claimed that the standard of care should be lowered as she was a learner driver and the plaintiff had voluntarily agreed to teach her. Therefore, the defendant used the defence of </w:t>
      </w:r>
      <w:r w:rsidR="0032635D" w:rsidRPr="00FB18B8">
        <w:rPr>
          <w:rFonts w:ascii="Times New Roman" w:hAnsi="Times New Roman" w:cs="Times New Roman"/>
          <w:i/>
          <w:sz w:val="24"/>
          <w:szCs w:val="24"/>
        </w:rPr>
        <w:t xml:space="preserve">volenti </w:t>
      </w:r>
      <w:r w:rsidR="002816AE" w:rsidRPr="00FB18B8">
        <w:rPr>
          <w:rFonts w:ascii="Times New Roman" w:hAnsi="Times New Roman" w:cs="Times New Roman"/>
          <w:i/>
          <w:sz w:val="24"/>
          <w:szCs w:val="24"/>
        </w:rPr>
        <w:t>non-fit</w:t>
      </w:r>
      <w:r w:rsidR="0032635D" w:rsidRPr="00FB18B8">
        <w:rPr>
          <w:rFonts w:ascii="Times New Roman" w:hAnsi="Times New Roman" w:cs="Times New Roman"/>
          <w:i/>
          <w:sz w:val="24"/>
          <w:szCs w:val="24"/>
        </w:rPr>
        <w:t xml:space="preserve"> injuria</w:t>
      </w:r>
      <w:r w:rsidR="0032635D" w:rsidRPr="00FB18B8">
        <w:rPr>
          <w:rFonts w:ascii="Times New Roman" w:hAnsi="Times New Roman" w:cs="Times New Roman"/>
          <w:sz w:val="24"/>
          <w:szCs w:val="24"/>
        </w:rPr>
        <w:t xml:space="preserve"> to show that the plaintiff had assumed the risk of harm voluntary as he knew she was a learner driver. According to the court, a learner driver should be held liable based on the skills and experience of a reasonable qualified and competent driver. Additionally, the plaintiff did not assume the risk of harm voluntarily as he checked the insurance cover before agreeing to teach the defendant and did not wave his compensation rights. Additionally, in the case of Willsher v. Essex Area Health Authority [1988] 1 AC 1074 in the house of Lords, the defendant who was a junior doctor was held liable for breach duty after he gave a premature baby too much oxygen. The decision was based on the skills and judgment of an ordinary reasonable doctor. In this case, the junior doctor had the same standard of care of an experienced and qualified doctor and it could not be lowered based the defendant being an inexperienced physician. Furthermore, the duty of care of professionals or person with particular skills is based on their practices, standards and procedures (Cooke et al., 2017). In the case of Whitehouse v. Jordan [1981] 1 All ER 267, the House of Lords held that the standard of care of the doctor was not below that of a reasonable doctor in such a situation. The defendant was a </w:t>
      </w:r>
      <w:r w:rsidR="0032635D" w:rsidRPr="00FB18B8">
        <w:rPr>
          <w:rFonts w:ascii="Times New Roman" w:hAnsi="Times New Roman" w:cs="Times New Roman"/>
          <w:sz w:val="24"/>
          <w:szCs w:val="24"/>
        </w:rPr>
        <w:lastRenderedPageBreak/>
        <w:t>senior hospital registrar that was involved in supervising delivery of a high-risk pregnancy. After a long labor period of almost 22 hours, the doctor advised the use of forceps to help in the delivery resulting to the brain damage to the baby.</w:t>
      </w:r>
    </w:p>
    <w:p w14:paraId="4EC301D5" w14:textId="77777777" w:rsidR="0032635D" w:rsidRDefault="0032635D" w:rsidP="0032635D">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t>However, in some circumstance the court might hold the defendant liable for breach of duty if the opinions of the reasonable person do not make logic. In the case of Balitho v. City &amp; Hackney Health Authority [1997] 3 WLR 1151, the defendant had failed to intubate a baby that was admitted to the hospital experiencing breathing difficulties. The reason of lack on intubation was that his bleep was not functioning due to low battery and thus could not attend to the child. Another doctor was called in court to give his opinion on the situation and he indicated that he could not intubate the child if he was in the position of the defendant. Using the Bolam test, the trial court held that the defendant did not breach the duty of care (Von Batten, 2017). However, the House Lords on appeal held that the defendant breached the duty of care as he or the other doctor did not provide enough evidence or reasons on why they could not intubate the child. In this case, the standard of care could not be lowered or removed based on the opinion of an ordinary reasonable person of similar skills or judgment.</w:t>
      </w:r>
      <w:r w:rsidR="00E53131">
        <w:rPr>
          <w:rFonts w:ascii="Times New Roman" w:hAnsi="Times New Roman" w:cs="Times New Roman"/>
          <w:sz w:val="24"/>
          <w:szCs w:val="24"/>
        </w:rPr>
        <w:t xml:space="preserve"> The standard of care in this case needed be to be established based on the defence and logical opinion of a professional body. </w:t>
      </w:r>
    </w:p>
    <w:p w14:paraId="2A2A163B" w14:textId="77777777" w:rsidR="00FB18B8" w:rsidRPr="00FB18B8" w:rsidRDefault="007C40B7" w:rsidP="00FB18B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 </w:t>
      </w:r>
      <w:r w:rsidR="00FB18B8" w:rsidRPr="00FB18B8">
        <w:rPr>
          <w:rFonts w:ascii="Times New Roman" w:hAnsi="Times New Roman" w:cs="Times New Roman"/>
          <w:sz w:val="24"/>
          <w:szCs w:val="24"/>
        </w:rPr>
        <w:t xml:space="preserve">the court’s judgment should not be influenced by what ought to have been done during the incident but the knowledge of the risk by the defendant. In the case of Roe v. Minister of Health [1954] 2 QB 66, the court held that the defendants did not breach the duty of care owed to the </w:t>
      </w:r>
      <w:r w:rsidR="00FE6CE9">
        <w:rPr>
          <w:rFonts w:ascii="Times New Roman" w:hAnsi="Times New Roman" w:cs="Times New Roman"/>
          <w:sz w:val="24"/>
          <w:szCs w:val="24"/>
        </w:rPr>
        <w:t xml:space="preserve">claimant </w:t>
      </w:r>
      <w:r w:rsidR="00FB18B8" w:rsidRPr="00FB18B8">
        <w:rPr>
          <w:rFonts w:ascii="Times New Roman" w:hAnsi="Times New Roman" w:cs="Times New Roman"/>
          <w:sz w:val="24"/>
          <w:szCs w:val="24"/>
        </w:rPr>
        <w:t xml:space="preserve">has they became aware of the risk after the incident. In this case, the </w:t>
      </w:r>
      <w:r w:rsidR="009970BB">
        <w:rPr>
          <w:rFonts w:ascii="Times New Roman" w:hAnsi="Times New Roman" w:cs="Times New Roman"/>
          <w:sz w:val="24"/>
          <w:szCs w:val="24"/>
        </w:rPr>
        <w:t>claimants</w:t>
      </w:r>
      <w:r w:rsidR="00FB18B8" w:rsidRPr="00FB18B8">
        <w:rPr>
          <w:rFonts w:ascii="Times New Roman" w:hAnsi="Times New Roman" w:cs="Times New Roman"/>
          <w:sz w:val="24"/>
          <w:szCs w:val="24"/>
        </w:rPr>
        <w:t xml:space="preserve"> got paralyzed after being treated with anesthetic that had been contaminated by disinfectant where it was stored. The contamination occurred after the disinfectant transpired to the ampoules through minute cracks that were not identified before or detectable by the human eye. The risk became apparent after the incident and thus the defendants were not held liable for breach of </w:t>
      </w:r>
      <w:r w:rsidR="00FB18B8" w:rsidRPr="00FB18B8">
        <w:rPr>
          <w:rFonts w:ascii="Times New Roman" w:hAnsi="Times New Roman" w:cs="Times New Roman"/>
          <w:sz w:val="24"/>
          <w:szCs w:val="24"/>
        </w:rPr>
        <w:lastRenderedPageBreak/>
        <w:t xml:space="preserve">duty of care as their actions did not fall below the standard of care (Mullis &amp; Oliphant, 2011). </w:t>
      </w:r>
      <w:r w:rsidR="0036683F">
        <w:rPr>
          <w:rFonts w:ascii="Times New Roman" w:hAnsi="Times New Roman" w:cs="Times New Roman"/>
          <w:sz w:val="24"/>
          <w:szCs w:val="24"/>
        </w:rPr>
        <w:t xml:space="preserve">The defendants had stored the treatment based on the common practices and only came aware of the contamination afterwards. </w:t>
      </w:r>
      <w:r w:rsidR="005F6070">
        <w:rPr>
          <w:rFonts w:ascii="Times New Roman" w:hAnsi="Times New Roman" w:cs="Times New Roman"/>
          <w:sz w:val="24"/>
          <w:szCs w:val="24"/>
        </w:rPr>
        <w:t xml:space="preserve">If they had been aware of the contamination prior to the treatment of the claimants and went ahead to use it, then their actions could have fallen below the standard of care. </w:t>
      </w:r>
      <w:r w:rsidR="00FB18B8" w:rsidRPr="00FB18B8">
        <w:rPr>
          <w:rFonts w:ascii="Times New Roman" w:hAnsi="Times New Roman" w:cs="Times New Roman"/>
          <w:sz w:val="24"/>
          <w:szCs w:val="24"/>
        </w:rPr>
        <w:t xml:space="preserve">Further, this was the case in Mansfield v. Weetabix (1997) EWCA Civ 1352 Court of Appeal, whereby the court held that the defendant was not in breach of duty of care as he was not aware of his condition when he crashed into the shop owned by the </w:t>
      </w:r>
      <w:r w:rsidR="00E079CC">
        <w:rPr>
          <w:rFonts w:ascii="Times New Roman" w:hAnsi="Times New Roman" w:cs="Times New Roman"/>
          <w:sz w:val="24"/>
          <w:szCs w:val="24"/>
        </w:rPr>
        <w:t>Claimant</w:t>
      </w:r>
      <w:r w:rsidR="00FB18B8" w:rsidRPr="00FB18B8">
        <w:rPr>
          <w:rFonts w:ascii="Times New Roman" w:hAnsi="Times New Roman" w:cs="Times New Roman"/>
          <w:sz w:val="24"/>
          <w:szCs w:val="24"/>
        </w:rPr>
        <w:t>. Leggatt LJ stated as follows;</w:t>
      </w:r>
    </w:p>
    <w:p w14:paraId="2BA3A4B6" w14:textId="77777777" w:rsidR="00FB18B8" w:rsidRDefault="00FB18B8" w:rsidP="00FB18B8">
      <w:pPr>
        <w:spacing w:line="480" w:lineRule="auto"/>
        <w:ind w:left="720"/>
        <w:rPr>
          <w:rFonts w:ascii="Times New Roman" w:hAnsi="Times New Roman" w:cs="Times New Roman"/>
          <w:i/>
          <w:sz w:val="24"/>
          <w:szCs w:val="24"/>
        </w:rPr>
      </w:pPr>
      <w:r w:rsidRPr="00FB18B8">
        <w:rPr>
          <w:rFonts w:ascii="Times New Roman" w:hAnsi="Times New Roman" w:cs="Times New Roman"/>
          <w:i/>
          <w:sz w:val="24"/>
          <w:szCs w:val="24"/>
        </w:rPr>
        <w:t xml:space="preserve">"In my judgment the standard of care that Mr. Tarleton was obliged to show in these circumstances was that which is to be expected of a reasonably competent driver unaware that he is or may be suffering from a condition that impairs his ability to drive. To apply an objective standard in a way that did not take account of Mr. Tarleton’s condition would be to impose strict liability. But that is not the law” </w:t>
      </w:r>
      <w:r w:rsidRPr="00FB18B8">
        <w:rPr>
          <w:rFonts w:ascii="Times New Roman" w:hAnsi="Times New Roman" w:cs="Times New Roman"/>
          <w:sz w:val="24"/>
          <w:szCs w:val="24"/>
        </w:rPr>
        <w:t>(Mullis &amp; Oliphant, 2011)</w:t>
      </w:r>
      <w:r w:rsidRPr="00FB18B8">
        <w:rPr>
          <w:rFonts w:ascii="Times New Roman" w:hAnsi="Times New Roman" w:cs="Times New Roman"/>
          <w:i/>
          <w:sz w:val="24"/>
          <w:szCs w:val="24"/>
        </w:rPr>
        <w:t>.</w:t>
      </w:r>
    </w:p>
    <w:p w14:paraId="3FF29456" w14:textId="77777777" w:rsidR="002D0F70" w:rsidRPr="002D0F70" w:rsidRDefault="002D0F70" w:rsidP="002D0F7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case shows that if a driver is aware of their health condition prior to carrying out an action like mental health issues and goes on to drive, the person will be held liable of their actions based on </w:t>
      </w:r>
      <w:r w:rsidR="00D77E63">
        <w:rPr>
          <w:rFonts w:ascii="Times New Roman" w:hAnsi="Times New Roman" w:cs="Times New Roman"/>
          <w:sz w:val="24"/>
          <w:szCs w:val="24"/>
        </w:rPr>
        <w:t>a reasonable competent driver aware of their suffering from a condition that might impair their ability to drive</w:t>
      </w:r>
      <w:r w:rsidR="00CC03BE">
        <w:rPr>
          <w:rFonts w:ascii="Times New Roman" w:hAnsi="Times New Roman" w:cs="Times New Roman"/>
          <w:sz w:val="24"/>
          <w:szCs w:val="24"/>
        </w:rPr>
        <w:t xml:space="preserve"> (</w:t>
      </w:r>
      <w:r w:rsidR="00CC03BE" w:rsidRPr="00286106">
        <w:rPr>
          <w:rFonts w:ascii="Times New Roman" w:hAnsi="Times New Roman" w:cs="Times New Roman"/>
          <w:sz w:val="24"/>
          <w:szCs w:val="24"/>
        </w:rPr>
        <w:t>Calnan, 2020)</w:t>
      </w:r>
      <w:r w:rsidR="00D77E63">
        <w:rPr>
          <w:rFonts w:ascii="Times New Roman" w:hAnsi="Times New Roman" w:cs="Times New Roman"/>
          <w:sz w:val="24"/>
          <w:szCs w:val="24"/>
        </w:rPr>
        <w:t xml:space="preserve">. </w:t>
      </w:r>
      <w:r w:rsidR="005101AE">
        <w:rPr>
          <w:rFonts w:ascii="Times New Roman" w:hAnsi="Times New Roman" w:cs="Times New Roman"/>
          <w:sz w:val="24"/>
          <w:szCs w:val="24"/>
        </w:rPr>
        <w:t>Looking at the case of Ne</w:t>
      </w:r>
      <w:r w:rsidR="00094CF0">
        <w:rPr>
          <w:rFonts w:ascii="Times New Roman" w:hAnsi="Times New Roman" w:cs="Times New Roman"/>
          <w:sz w:val="24"/>
          <w:szCs w:val="24"/>
        </w:rPr>
        <w:t>ttleship v. Weston, it differs from Mansfield as the defendant was aware she was a learner and she needed to carry out reasonable steps like a competent driver to protect others.</w:t>
      </w:r>
    </w:p>
    <w:p w14:paraId="58318640" w14:textId="77777777" w:rsidR="00FB18B8" w:rsidRPr="00FB18B8" w:rsidRDefault="00FB18B8" w:rsidP="00FB18B8">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t xml:space="preserve">Further, the standard of care has to be established based on the likelihood of the harm occurring as well as its seriousness. An individual might breach the duty of care but his actions do not fall below the standard of care. In the case of Bolton v. Stone (1951) it was decided that if </w:t>
      </w:r>
      <w:r w:rsidRPr="00FB18B8">
        <w:rPr>
          <w:rFonts w:ascii="Times New Roman" w:hAnsi="Times New Roman" w:cs="Times New Roman"/>
          <w:sz w:val="24"/>
          <w:szCs w:val="24"/>
        </w:rPr>
        <w:lastRenderedPageBreak/>
        <w:t xml:space="preserve">a risk of harm is unlikely to occurs but occurs from the actions of the person, it is unlikely that it will be a breach of duty. For example, in the case of Bolam v. Friern Hospital Management Committee [1957] 1 WLR 583, the House of Lords developed the Bolam test whereby they stated </w:t>
      </w:r>
      <w:r w:rsidRPr="00FB18B8">
        <w:rPr>
          <w:rFonts w:ascii="Times New Roman" w:hAnsi="Times New Roman" w:cs="Times New Roman"/>
          <w:i/>
          <w:sz w:val="24"/>
          <w:szCs w:val="24"/>
        </w:rPr>
        <w:t xml:space="preserve">“a medical professional is not guilty of negligence if he acted accordance with a practice accepted a proper by a responsible body of medical men skilled in that particular art… Putting it the other way round, a man is not negligent, if he is acting in accordance with such a practice, merely because there is a body of opinion who would take a contrary view </w:t>
      </w:r>
      <w:r w:rsidRPr="00FB18B8">
        <w:rPr>
          <w:rFonts w:ascii="Times New Roman" w:hAnsi="Times New Roman" w:cs="Times New Roman"/>
          <w:sz w:val="24"/>
          <w:szCs w:val="24"/>
        </w:rPr>
        <w:t>(Von Batten, 2017)</w:t>
      </w:r>
      <w:r w:rsidRPr="00FB18B8">
        <w:rPr>
          <w:rFonts w:ascii="Times New Roman" w:hAnsi="Times New Roman" w:cs="Times New Roman"/>
          <w:i/>
          <w:sz w:val="24"/>
          <w:szCs w:val="24"/>
        </w:rPr>
        <w:t>.”</w:t>
      </w:r>
      <w:r w:rsidRPr="00FB18B8">
        <w:rPr>
          <w:rFonts w:ascii="Times New Roman" w:hAnsi="Times New Roman" w:cs="Times New Roman"/>
          <w:sz w:val="24"/>
          <w:szCs w:val="24"/>
        </w:rPr>
        <w:t xml:space="preserve"> In this case, the Defendant did not use relaxant drugs while treating the Plaintiff with electro convulsive therapy for his mental illness. As a consequence, he suffered a serious fractured. There was no conclusive opinion on whether relaxant drugs should be provided in such a case as there is a small risk of death if they are given and a small risk of fractures if not administered. In this instance, the chances of a patient suffering from fractures if the relaxant drugs are not administered are minimal and thus the defendant was not in breach of the duty of care. Additionally, the seriousness of harm to the plaintiff needs to be identified while deciding on the breach of duty by the defendant. In the case of Paris v. Stapney LBC (1951), the court found that the defendant needs to take measures to protect others when there is a likelihood that the Plaintiff will receive serious injuries. In the case, the Plaintiff had only one good eye as he was blind on the other. As he was working on the vehicle of his employer, he injured his good eye. The House of Lords held that the employer’s actions of not providing the employee with googles or protective garments, fell below the standard of care based on the seriousness of harm on the plaintiff’s good eye as the harm was far greater than for employees that had two good and functioning eyes.</w:t>
      </w:r>
    </w:p>
    <w:p w14:paraId="7EF82B60" w14:textId="77777777" w:rsidR="00FB18B8" w:rsidRPr="00FB18B8" w:rsidRDefault="00FB18B8" w:rsidP="00FB18B8">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t xml:space="preserve">The flexibility and practicality of the standard of care can be established through the serious of harm to another based on foreseeability rather than knowledge of the risk. The </w:t>
      </w:r>
      <w:r w:rsidRPr="00FB18B8">
        <w:rPr>
          <w:rFonts w:ascii="Times New Roman" w:hAnsi="Times New Roman" w:cs="Times New Roman"/>
          <w:sz w:val="24"/>
          <w:szCs w:val="24"/>
        </w:rPr>
        <w:lastRenderedPageBreak/>
        <w:t xml:space="preserve">defendants must take all precautions to avoid harming others when a harm is foreseeable. In this case, if the </w:t>
      </w:r>
      <w:r w:rsidR="0059638D">
        <w:rPr>
          <w:rFonts w:ascii="Times New Roman" w:hAnsi="Times New Roman" w:cs="Times New Roman"/>
          <w:sz w:val="24"/>
          <w:szCs w:val="24"/>
        </w:rPr>
        <w:t>claimant</w:t>
      </w:r>
      <w:r w:rsidRPr="00FB18B8">
        <w:rPr>
          <w:rFonts w:ascii="Times New Roman" w:hAnsi="Times New Roman" w:cs="Times New Roman"/>
          <w:sz w:val="24"/>
          <w:szCs w:val="24"/>
        </w:rPr>
        <w:t xml:space="preserve"> is injured based on the negligence of the defendant to take measures to avoid a foreseeable harm, the defendant’s action falls below the standard of care. For example, in Haley v. London Electricity Board (1965) AC 778, the defendant was held liable for breach of duty by not taking precautions to protect all individuals that might be affected by their actions. In this case, the </w:t>
      </w:r>
      <w:r w:rsidR="00D751BC">
        <w:rPr>
          <w:rFonts w:ascii="Times New Roman" w:hAnsi="Times New Roman" w:cs="Times New Roman"/>
          <w:sz w:val="24"/>
          <w:szCs w:val="24"/>
        </w:rPr>
        <w:t>claimant</w:t>
      </w:r>
      <w:r w:rsidRPr="00FB18B8">
        <w:rPr>
          <w:rFonts w:ascii="Times New Roman" w:hAnsi="Times New Roman" w:cs="Times New Roman"/>
          <w:sz w:val="24"/>
          <w:szCs w:val="24"/>
        </w:rPr>
        <w:t xml:space="preserve"> was a blind man that had tripped on the punner that was left at a trench to protect pedestrians from falling into it. The blind man fell and hit his head resulting to his deafness. According to the defendant, he had taken reasonable steps to protect pedestrians walking on that pavement and did not foresee a blind man walking without aid down the street. However, the court indicated that, it was reasonable for a blind person to walk down the street without any aid and thus needed appropriate protection from any risk of harm.</w:t>
      </w:r>
      <w:r w:rsidR="009E3CCE">
        <w:rPr>
          <w:rFonts w:ascii="Times New Roman" w:hAnsi="Times New Roman" w:cs="Times New Roman"/>
          <w:sz w:val="24"/>
          <w:szCs w:val="24"/>
        </w:rPr>
        <w:t xml:space="preserve"> Therefore, the defendant had not taken reasonable steps to protect all individuals that might have walked through the pavement down the streets. He ignored or neglected to care for blind people that could not see the signs put around the </w:t>
      </w:r>
      <w:r w:rsidR="00316266">
        <w:rPr>
          <w:rFonts w:ascii="Times New Roman" w:hAnsi="Times New Roman" w:cs="Times New Roman"/>
          <w:sz w:val="24"/>
          <w:szCs w:val="24"/>
        </w:rPr>
        <w:t>trench to warn the public.</w:t>
      </w:r>
    </w:p>
    <w:p w14:paraId="11A4F1D2" w14:textId="77777777" w:rsidR="00FB18B8" w:rsidRPr="00FB18B8" w:rsidRDefault="00FB18B8" w:rsidP="00FB18B8">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t xml:space="preserve">Moreover, the court considers the burden that the defendant has to use to eliminate the risk of harm to protect others while lowering or increasing the standard of care. The Compensation Act 2006 and the Social Action Responsibility and case laws require the defendant to take reasonable steps to remove certain risks and not all the dangers. In the case of Watt v. Hertfordshire [1954] 1 WLR 835, the court held that the defendant had taken precautions to save the life of the woman that was trapped underneath a lorry and due to the emergency of the situation could not take precautions to protect everyone. Therefore, he did not breach the duty of care to the claimant was seriously hurt when the jack fell on his leg. In the case of Latimer v. AEC [1953] AC 643, the House Lords held that the defendant was not in breach of duty as he had taken precautions to minimize and protect the risk of harm to others and he could </w:t>
      </w:r>
      <w:r w:rsidRPr="00FB18B8">
        <w:rPr>
          <w:rFonts w:ascii="Times New Roman" w:hAnsi="Times New Roman" w:cs="Times New Roman"/>
          <w:sz w:val="24"/>
          <w:szCs w:val="24"/>
        </w:rPr>
        <w:lastRenderedPageBreak/>
        <w:t>not close the factor to take extra measures. Taking such actions of closing the factory to eliminate the risk was extreme and expensive.</w:t>
      </w:r>
    </w:p>
    <w:p w14:paraId="7FDDC726" w14:textId="77777777" w:rsidR="00FB18B8" w:rsidRPr="00FB18B8" w:rsidRDefault="00FB18B8" w:rsidP="00FB18B8">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t>The standard of care for professionals is higher than that for the ordinary or layperson. The standard of care is established in the cases of Bolam v. Friern Hospital and Montgomery v Lanarkshire Health (Brown, 2021). In the former case the standard of care is based on the skills and care of a reasonable similar professional while on the latter the test should be based on the practice application, relevance of industry opinion and “acceptable range” for liability assessment in that particular professional based on the expert evidence (Cooke et al., 2017). Therefore, professionals have the duty to warn the plaintiff if any and use of skills and care to protect their clients. For example, the Montgomery case showed that professionals such as medical experts need to take reasonable care to provide adequate and sufficient information to help the patient make informed decision on the services. Further, the court will also lower or increase the standard of care in stances of particular activities</w:t>
      </w:r>
      <w:r w:rsidR="00CC03BE">
        <w:rPr>
          <w:rFonts w:ascii="Times New Roman" w:hAnsi="Times New Roman" w:cs="Times New Roman"/>
          <w:sz w:val="24"/>
          <w:szCs w:val="24"/>
        </w:rPr>
        <w:t xml:space="preserve"> (</w:t>
      </w:r>
      <w:r w:rsidR="00CC03BE" w:rsidRPr="00CA7BB6">
        <w:rPr>
          <w:rFonts w:ascii="Times New Roman" w:hAnsi="Times New Roman" w:cs="Times New Roman"/>
          <w:sz w:val="24"/>
          <w:szCs w:val="24"/>
        </w:rPr>
        <w:t>Oberdiek, 2021)</w:t>
      </w:r>
      <w:r w:rsidRPr="00FB18B8">
        <w:rPr>
          <w:rFonts w:ascii="Times New Roman" w:hAnsi="Times New Roman" w:cs="Times New Roman"/>
          <w:sz w:val="24"/>
          <w:szCs w:val="24"/>
        </w:rPr>
        <w:t>. If the defendant is involved in risky activities like certain sports like “horseplay,” the standard of care will be analyzed on a case basis as was held in the case of Wooldridge v. Summer (Nolan, 2013). In the case of Blake v Galloway, the Court of Appeal held that the test of duty of care for certain activities like horseplay should involve “a very high degree of careless,” and indicated that the players owed each other reasonable care for protection. Therefore, any injury cause by “very high degree of carelessness” results to breach of duty. In some circumstances, the court will also look at the defendant’s actions if they benefit the society or of goodness as was in the case of Watt v. Hertfordshire [1954] 1 WLR 835 where the court held that the conduct of the defendant was to save a life and thus outweighed the responsibility of taking precautions to protect the defendant.</w:t>
      </w:r>
    </w:p>
    <w:p w14:paraId="7A2DF00B" w14:textId="77777777" w:rsidR="00FB18B8" w:rsidRPr="00FB18B8" w:rsidRDefault="00FB18B8" w:rsidP="00FB18B8">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lastRenderedPageBreak/>
        <w:t>Through the analysis of the different scenarios and case laws, it is clear that the standard of care is flexible and fair for both the claimants and the defendants. It considers of the particular circumstance to ensure that no party is punished for the mistake that they could not avoid in different situations. Therefore, the standard of care cannot be used to benefit or punish a party unfairly.</w:t>
      </w:r>
    </w:p>
    <w:p w14:paraId="4F5EBDEC" w14:textId="77777777" w:rsidR="00FB18B8" w:rsidRPr="00FB18B8" w:rsidRDefault="00FB18B8" w:rsidP="00FB18B8">
      <w:pPr>
        <w:spacing w:line="480" w:lineRule="auto"/>
        <w:ind w:firstLine="720"/>
        <w:rPr>
          <w:rFonts w:ascii="Times New Roman" w:hAnsi="Times New Roman" w:cs="Times New Roman"/>
          <w:sz w:val="24"/>
          <w:szCs w:val="24"/>
        </w:rPr>
      </w:pPr>
      <w:r w:rsidRPr="00FB18B8">
        <w:rPr>
          <w:rFonts w:ascii="Times New Roman" w:hAnsi="Times New Roman" w:cs="Times New Roman"/>
          <w:sz w:val="24"/>
          <w:szCs w:val="24"/>
        </w:rPr>
        <w:br w:type="page"/>
      </w:r>
    </w:p>
    <w:p w14:paraId="00A8DE2E" w14:textId="77777777" w:rsidR="00FB18B8" w:rsidRPr="00FB18B8" w:rsidRDefault="00FB18B8" w:rsidP="00FB18B8">
      <w:pPr>
        <w:spacing w:line="480" w:lineRule="auto"/>
        <w:jc w:val="center"/>
        <w:rPr>
          <w:rFonts w:ascii="Times New Roman" w:hAnsi="Times New Roman" w:cs="Times New Roman"/>
          <w:sz w:val="24"/>
          <w:szCs w:val="24"/>
        </w:rPr>
      </w:pPr>
      <w:r w:rsidRPr="00FB18B8">
        <w:rPr>
          <w:rFonts w:ascii="Times New Roman" w:hAnsi="Times New Roman" w:cs="Times New Roman"/>
          <w:sz w:val="24"/>
          <w:szCs w:val="24"/>
        </w:rPr>
        <w:lastRenderedPageBreak/>
        <w:t>References</w:t>
      </w:r>
    </w:p>
    <w:p w14:paraId="69603D36" w14:textId="77777777" w:rsidR="00FB18B8" w:rsidRDefault="00FB18B8" w:rsidP="00FB18B8">
      <w:pPr>
        <w:spacing w:line="480" w:lineRule="auto"/>
        <w:ind w:left="720" w:hanging="720"/>
        <w:rPr>
          <w:rFonts w:ascii="Times New Roman" w:hAnsi="Times New Roman" w:cs="Times New Roman"/>
          <w:sz w:val="24"/>
          <w:szCs w:val="24"/>
        </w:rPr>
      </w:pPr>
      <w:r w:rsidRPr="00FB18B8">
        <w:rPr>
          <w:rFonts w:ascii="Times New Roman" w:hAnsi="Times New Roman" w:cs="Times New Roman"/>
          <w:sz w:val="24"/>
          <w:szCs w:val="24"/>
        </w:rPr>
        <w:t>Brown, J. (2021). Obligations, consent and contracts in Scots law: re-analysing the basis of medical malpractice liability in light of Montgomery v Lanarkshire Health Board. </w:t>
      </w:r>
      <w:r w:rsidRPr="00FB18B8">
        <w:rPr>
          <w:rFonts w:ascii="Times New Roman" w:hAnsi="Times New Roman" w:cs="Times New Roman"/>
          <w:i/>
          <w:iCs/>
          <w:sz w:val="24"/>
          <w:szCs w:val="24"/>
        </w:rPr>
        <w:t>Legal Studies</w:t>
      </w:r>
      <w:r w:rsidRPr="00FB18B8">
        <w:rPr>
          <w:rFonts w:ascii="Times New Roman" w:hAnsi="Times New Roman" w:cs="Times New Roman"/>
          <w:sz w:val="24"/>
          <w:szCs w:val="24"/>
        </w:rPr>
        <w:t>, </w:t>
      </w:r>
      <w:r w:rsidRPr="00FB18B8">
        <w:rPr>
          <w:rFonts w:ascii="Times New Roman" w:hAnsi="Times New Roman" w:cs="Times New Roman"/>
          <w:i/>
          <w:iCs/>
          <w:sz w:val="24"/>
          <w:szCs w:val="24"/>
        </w:rPr>
        <w:t>41</w:t>
      </w:r>
      <w:r w:rsidRPr="00FB18B8">
        <w:rPr>
          <w:rFonts w:ascii="Times New Roman" w:hAnsi="Times New Roman" w:cs="Times New Roman"/>
          <w:sz w:val="24"/>
          <w:szCs w:val="24"/>
        </w:rPr>
        <w:t>(1), 156-176.</w:t>
      </w:r>
    </w:p>
    <w:p w14:paraId="2C192ACB" w14:textId="77777777" w:rsidR="00286106" w:rsidRDefault="00286106" w:rsidP="00FB18B8">
      <w:pPr>
        <w:spacing w:line="480" w:lineRule="auto"/>
        <w:ind w:left="720" w:hanging="720"/>
        <w:rPr>
          <w:rFonts w:ascii="Times New Roman" w:hAnsi="Times New Roman" w:cs="Times New Roman"/>
          <w:sz w:val="24"/>
          <w:szCs w:val="24"/>
        </w:rPr>
      </w:pPr>
      <w:r w:rsidRPr="00286106">
        <w:rPr>
          <w:rFonts w:ascii="Times New Roman" w:hAnsi="Times New Roman" w:cs="Times New Roman"/>
          <w:sz w:val="24"/>
          <w:szCs w:val="24"/>
        </w:rPr>
        <w:t>Calnan, A. (2020). Holistic Tort Theory. </w:t>
      </w:r>
      <w:r w:rsidRPr="00286106">
        <w:rPr>
          <w:rFonts w:ascii="Times New Roman" w:hAnsi="Times New Roman" w:cs="Times New Roman"/>
          <w:i/>
          <w:iCs/>
          <w:sz w:val="24"/>
          <w:szCs w:val="24"/>
        </w:rPr>
        <w:t>Sw. L. Rev.</w:t>
      </w:r>
      <w:r w:rsidRPr="00286106">
        <w:rPr>
          <w:rFonts w:ascii="Times New Roman" w:hAnsi="Times New Roman" w:cs="Times New Roman"/>
          <w:sz w:val="24"/>
          <w:szCs w:val="24"/>
        </w:rPr>
        <w:t>, </w:t>
      </w:r>
      <w:r w:rsidRPr="00286106">
        <w:rPr>
          <w:rFonts w:ascii="Times New Roman" w:hAnsi="Times New Roman" w:cs="Times New Roman"/>
          <w:i/>
          <w:iCs/>
          <w:sz w:val="24"/>
          <w:szCs w:val="24"/>
        </w:rPr>
        <w:t>49</w:t>
      </w:r>
      <w:r w:rsidRPr="00286106">
        <w:rPr>
          <w:rFonts w:ascii="Times New Roman" w:hAnsi="Times New Roman" w:cs="Times New Roman"/>
          <w:sz w:val="24"/>
          <w:szCs w:val="24"/>
        </w:rPr>
        <w:t>, 362.</w:t>
      </w:r>
    </w:p>
    <w:p w14:paraId="5C8B7B72" w14:textId="77777777" w:rsidR="00D809B9" w:rsidRPr="00FB18B8" w:rsidRDefault="00D809B9" w:rsidP="00FB18B8">
      <w:pPr>
        <w:spacing w:line="480" w:lineRule="auto"/>
        <w:ind w:left="720" w:hanging="720"/>
        <w:rPr>
          <w:rFonts w:ascii="Times New Roman" w:hAnsi="Times New Roman" w:cs="Times New Roman"/>
          <w:sz w:val="24"/>
          <w:szCs w:val="24"/>
        </w:rPr>
      </w:pPr>
      <w:r w:rsidRPr="00D809B9">
        <w:rPr>
          <w:rFonts w:ascii="Times New Roman" w:hAnsi="Times New Roman" w:cs="Times New Roman"/>
          <w:sz w:val="24"/>
          <w:szCs w:val="24"/>
        </w:rPr>
        <w:t>Chiangi, M. A. (2019). Principles of Medical Negligence: An Overview of the Legal Standard of Care for Medical Practitioners in Civil Cases. </w:t>
      </w:r>
      <w:r w:rsidRPr="00D809B9">
        <w:rPr>
          <w:rFonts w:ascii="Times New Roman" w:hAnsi="Times New Roman" w:cs="Times New Roman"/>
          <w:i/>
          <w:iCs/>
          <w:sz w:val="24"/>
          <w:szCs w:val="24"/>
        </w:rPr>
        <w:t>Miyetti Quarterly Law Review</w:t>
      </w:r>
      <w:r w:rsidRPr="00D809B9">
        <w:rPr>
          <w:rFonts w:ascii="Times New Roman" w:hAnsi="Times New Roman" w:cs="Times New Roman"/>
          <w:sz w:val="24"/>
          <w:szCs w:val="24"/>
        </w:rPr>
        <w:t>, </w:t>
      </w:r>
      <w:r w:rsidRPr="00D809B9">
        <w:rPr>
          <w:rFonts w:ascii="Times New Roman" w:hAnsi="Times New Roman" w:cs="Times New Roman"/>
          <w:i/>
          <w:iCs/>
          <w:sz w:val="24"/>
          <w:szCs w:val="24"/>
        </w:rPr>
        <w:t>4</w:t>
      </w:r>
      <w:r w:rsidRPr="00D809B9">
        <w:rPr>
          <w:rFonts w:ascii="Times New Roman" w:hAnsi="Times New Roman" w:cs="Times New Roman"/>
          <w:sz w:val="24"/>
          <w:szCs w:val="24"/>
        </w:rPr>
        <w:t>(4), 41-63.</w:t>
      </w:r>
    </w:p>
    <w:p w14:paraId="6E0BAC1D" w14:textId="77777777" w:rsidR="00FB18B8" w:rsidRPr="00FB18B8" w:rsidRDefault="00FB18B8" w:rsidP="00FB18B8">
      <w:pPr>
        <w:spacing w:line="480" w:lineRule="auto"/>
        <w:ind w:left="720" w:hanging="720"/>
        <w:rPr>
          <w:rFonts w:ascii="Times New Roman" w:hAnsi="Times New Roman" w:cs="Times New Roman"/>
          <w:sz w:val="24"/>
          <w:szCs w:val="24"/>
        </w:rPr>
      </w:pPr>
      <w:r w:rsidRPr="00FB18B8">
        <w:rPr>
          <w:rFonts w:ascii="Times New Roman" w:hAnsi="Times New Roman" w:cs="Times New Roman"/>
          <w:sz w:val="24"/>
          <w:szCs w:val="24"/>
        </w:rPr>
        <w:t>Cooke, B. K., Worsham, E., &amp; Reisfield, G. M. (2017). The elusive standard of care. </w:t>
      </w:r>
      <w:r w:rsidRPr="00FB18B8">
        <w:rPr>
          <w:rFonts w:ascii="Times New Roman" w:hAnsi="Times New Roman" w:cs="Times New Roman"/>
          <w:i/>
          <w:iCs/>
          <w:sz w:val="24"/>
          <w:szCs w:val="24"/>
        </w:rPr>
        <w:t>J Am Acad Psychiatry Law</w:t>
      </w:r>
      <w:r w:rsidRPr="00FB18B8">
        <w:rPr>
          <w:rFonts w:ascii="Times New Roman" w:hAnsi="Times New Roman" w:cs="Times New Roman"/>
          <w:sz w:val="24"/>
          <w:szCs w:val="24"/>
        </w:rPr>
        <w:t>, </w:t>
      </w:r>
      <w:r w:rsidRPr="00FB18B8">
        <w:rPr>
          <w:rFonts w:ascii="Times New Roman" w:hAnsi="Times New Roman" w:cs="Times New Roman"/>
          <w:i/>
          <w:iCs/>
          <w:sz w:val="24"/>
          <w:szCs w:val="24"/>
        </w:rPr>
        <w:t>45</w:t>
      </w:r>
      <w:r w:rsidRPr="00FB18B8">
        <w:rPr>
          <w:rFonts w:ascii="Times New Roman" w:hAnsi="Times New Roman" w:cs="Times New Roman"/>
          <w:sz w:val="24"/>
          <w:szCs w:val="24"/>
        </w:rPr>
        <w:t>(3), 358-364.</w:t>
      </w:r>
    </w:p>
    <w:p w14:paraId="50D6BD5C" w14:textId="77777777" w:rsidR="00FB18B8" w:rsidRPr="00FB18B8" w:rsidRDefault="00FB18B8" w:rsidP="00FB18B8">
      <w:pPr>
        <w:spacing w:line="480" w:lineRule="auto"/>
        <w:ind w:left="720" w:hanging="720"/>
        <w:rPr>
          <w:rFonts w:ascii="Times New Roman" w:hAnsi="Times New Roman" w:cs="Times New Roman"/>
          <w:sz w:val="24"/>
          <w:szCs w:val="24"/>
        </w:rPr>
      </w:pPr>
      <w:r w:rsidRPr="00FB18B8">
        <w:rPr>
          <w:rFonts w:ascii="Times New Roman" w:hAnsi="Times New Roman" w:cs="Times New Roman"/>
          <w:sz w:val="24"/>
          <w:szCs w:val="24"/>
        </w:rPr>
        <w:t>Mullis, A., &amp; Oliphant, K. (2011). </w:t>
      </w:r>
      <w:r w:rsidRPr="00FB18B8">
        <w:rPr>
          <w:rFonts w:ascii="Times New Roman" w:hAnsi="Times New Roman" w:cs="Times New Roman"/>
          <w:i/>
          <w:iCs/>
          <w:sz w:val="24"/>
          <w:szCs w:val="24"/>
        </w:rPr>
        <w:t>Torts</w:t>
      </w:r>
      <w:r w:rsidRPr="00FB18B8">
        <w:rPr>
          <w:rFonts w:ascii="Times New Roman" w:hAnsi="Times New Roman" w:cs="Times New Roman"/>
          <w:sz w:val="24"/>
          <w:szCs w:val="24"/>
        </w:rPr>
        <w:t>. Macmillan International Higher Education.</w:t>
      </w:r>
    </w:p>
    <w:p w14:paraId="592B50C1" w14:textId="77777777" w:rsidR="00286106" w:rsidRDefault="00FB18B8" w:rsidP="00286106">
      <w:pPr>
        <w:spacing w:line="480" w:lineRule="auto"/>
        <w:ind w:left="720" w:hanging="720"/>
        <w:rPr>
          <w:rFonts w:ascii="Times New Roman" w:hAnsi="Times New Roman" w:cs="Times New Roman"/>
          <w:sz w:val="24"/>
          <w:szCs w:val="24"/>
        </w:rPr>
      </w:pPr>
      <w:r w:rsidRPr="00FB18B8">
        <w:rPr>
          <w:rFonts w:ascii="Times New Roman" w:hAnsi="Times New Roman" w:cs="Times New Roman"/>
          <w:sz w:val="24"/>
          <w:szCs w:val="24"/>
        </w:rPr>
        <w:t>Nolan, D. (2013). Varying the standard of care in negligence. </w:t>
      </w:r>
      <w:r w:rsidRPr="00FB18B8">
        <w:rPr>
          <w:rFonts w:ascii="Times New Roman" w:hAnsi="Times New Roman" w:cs="Times New Roman"/>
          <w:i/>
          <w:iCs/>
          <w:sz w:val="24"/>
          <w:szCs w:val="24"/>
        </w:rPr>
        <w:t>The Cambridge Law Journal</w:t>
      </w:r>
      <w:r w:rsidRPr="00FB18B8">
        <w:rPr>
          <w:rFonts w:ascii="Times New Roman" w:hAnsi="Times New Roman" w:cs="Times New Roman"/>
          <w:sz w:val="24"/>
          <w:szCs w:val="24"/>
        </w:rPr>
        <w:t>, </w:t>
      </w:r>
      <w:r w:rsidRPr="00FB18B8">
        <w:rPr>
          <w:rFonts w:ascii="Times New Roman" w:hAnsi="Times New Roman" w:cs="Times New Roman"/>
          <w:i/>
          <w:iCs/>
          <w:sz w:val="24"/>
          <w:szCs w:val="24"/>
        </w:rPr>
        <w:t>72</w:t>
      </w:r>
      <w:r w:rsidRPr="00FB18B8">
        <w:rPr>
          <w:rFonts w:ascii="Times New Roman" w:hAnsi="Times New Roman" w:cs="Times New Roman"/>
          <w:sz w:val="24"/>
          <w:szCs w:val="24"/>
        </w:rPr>
        <w:t>(3), 651-688.</w:t>
      </w:r>
    </w:p>
    <w:p w14:paraId="6DC5F040" w14:textId="77777777" w:rsidR="00CA7BB6" w:rsidRPr="00FB18B8" w:rsidRDefault="00CA7BB6" w:rsidP="00FB18B8">
      <w:pPr>
        <w:spacing w:line="480" w:lineRule="auto"/>
        <w:ind w:left="720" w:hanging="720"/>
        <w:rPr>
          <w:rFonts w:ascii="Times New Roman" w:hAnsi="Times New Roman" w:cs="Times New Roman"/>
          <w:sz w:val="24"/>
          <w:szCs w:val="24"/>
        </w:rPr>
      </w:pPr>
      <w:r w:rsidRPr="00CA7BB6">
        <w:rPr>
          <w:rFonts w:ascii="Times New Roman" w:hAnsi="Times New Roman" w:cs="Times New Roman"/>
          <w:sz w:val="24"/>
          <w:szCs w:val="24"/>
        </w:rPr>
        <w:t>Oberdiek, J. (2021). The Wrong in Negligence. </w:t>
      </w:r>
      <w:r w:rsidRPr="00CA7BB6">
        <w:rPr>
          <w:rFonts w:ascii="Times New Roman" w:hAnsi="Times New Roman" w:cs="Times New Roman"/>
          <w:i/>
          <w:iCs/>
          <w:sz w:val="24"/>
          <w:szCs w:val="24"/>
        </w:rPr>
        <w:t>Oxford Journal of Legal Studies</w:t>
      </w:r>
      <w:r w:rsidRPr="00CA7BB6">
        <w:rPr>
          <w:rFonts w:ascii="Times New Roman" w:hAnsi="Times New Roman" w:cs="Times New Roman"/>
          <w:sz w:val="24"/>
          <w:szCs w:val="24"/>
        </w:rPr>
        <w:t>.</w:t>
      </w:r>
    </w:p>
    <w:p w14:paraId="5D9EB5EB" w14:textId="77777777" w:rsidR="00FB18B8" w:rsidRPr="00FB18B8" w:rsidRDefault="00FB18B8" w:rsidP="00FB18B8">
      <w:pPr>
        <w:spacing w:line="480" w:lineRule="auto"/>
        <w:ind w:left="720" w:hanging="720"/>
        <w:rPr>
          <w:rFonts w:ascii="Times New Roman" w:hAnsi="Times New Roman" w:cs="Times New Roman"/>
          <w:sz w:val="24"/>
          <w:szCs w:val="24"/>
        </w:rPr>
      </w:pPr>
      <w:r w:rsidRPr="00FB18B8">
        <w:rPr>
          <w:rFonts w:ascii="Times New Roman" w:hAnsi="Times New Roman" w:cs="Times New Roman"/>
          <w:sz w:val="24"/>
          <w:szCs w:val="24"/>
        </w:rPr>
        <w:t>Slesser, L. J. Breach of duty: failure to take reasonable care?.</w:t>
      </w:r>
    </w:p>
    <w:p w14:paraId="2CB5DD27" w14:textId="77777777" w:rsidR="00FB18B8" w:rsidRPr="00FB18B8" w:rsidRDefault="00FB18B8" w:rsidP="00FB18B8">
      <w:pPr>
        <w:spacing w:line="480" w:lineRule="auto"/>
        <w:ind w:left="720" w:hanging="720"/>
        <w:rPr>
          <w:rFonts w:ascii="Times New Roman" w:hAnsi="Times New Roman" w:cs="Times New Roman"/>
          <w:sz w:val="24"/>
          <w:szCs w:val="24"/>
        </w:rPr>
      </w:pPr>
      <w:r w:rsidRPr="00FB18B8">
        <w:rPr>
          <w:rFonts w:ascii="Times New Roman" w:hAnsi="Times New Roman" w:cs="Times New Roman"/>
          <w:sz w:val="24"/>
          <w:szCs w:val="24"/>
        </w:rPr>
        <w:t>Von Batten, K. (2017). The History and Philosophy of Law in Health Care and its Effect on Standard of Care in the United States and the United Kingdom. </w:t>
      </w:r>
      <w:r w:rsidRPr="00FB18B8">
        <w:rPr>
          <w:rFonts w:ascii="Times New Roman" w:hAnsi="Times New Roman" w:cs="Times New Roman"/>
          <w:i/>
          <w:iCs/>
          <w:sz w:val="24"/>
          <w:szCs w:val="24"/>
        </w:rPr>
        <w:t>Available at SSRN 3289394</w:t>
      </w:r>
      <w:r w:rsidRPr="00FB18B8">
        <w:rPr>
          <w:rFonts w:ascii="Times New Roman" w:hAnsi="Times New Roman" w:cs="Times New Roman"/>
          <w:sz w:val="24"/>
          <w:szCs w:val="24"/>
        </w:rPr>
        <w:t>.</w:t>
      </w:r>
    </w:p>
    <w:sectPr w:rsidR="00FB18B8" w:rsidRPr="00FB18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D3701"/>
    <w:multiLevelType w:val="hybridMultilevel"/>
    <w:tmpl w:val="CC50B6E0"/>
    <w:lvl w:ilvl="0" w:tplc="B0C0302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1tjQ1MTIxMzG2MDFX0lEKTi0uzszPAykwrAUATp0yfywAAAA="/>
  </w:docVars>
  <w:rsids>
    <w:rsidRoot w:val="00FB18B8"/>
    <w:rsid w:val="00067006"/>
    <w:rsid w:val="00084413"/>
    <w:rsid w:val="00094CF0"/>
    <w:rsid w:val="002816AE"/>
    <w:rsid w:val="00286106"/>
    <w:rsid w:val="002A45B3"/>
    <w:rsid w:val="002D0F70"/>
    <w:rsid w:val="00316266"/>
    <w:rsid w:val="0032635D"/>
    <w:rsid w:val="0036683F"/>
    <w:rsid w:val="0046412F"/>
    <w:rsid w:val="005101AE"/>
    <w:rsid w:val="00575933"/>
    <w:rsid w:val="0059638D"/>
    <w:rsid w:val="005F6070"/>
    <w:rsid w:val="0062739D"/>
    <w:rsid w:val="0066458F"/>
    <w:rsid w:val="006E6384"/>
    <w:rsid w:val="007C40B7"/>
    <w:rsid w:val="009970BB"/>
    <w:rsid w:val="009E3CCE"/>
    <w:rsid w:val="00AD5779"/>
    <w:rsid w:val="00CA7BB6"/>
    <w:rsid w:val="00CC03BE"/>
    <w:rsid w:val="00D751BC"/>
    <w:rsid w:val="00D77E63"/>
    <w:rsid w:val="00D809B9"/>
    <w:rsid w:val="00DD5DD8"/>
    <w:rsid w:val="00DF211E"/>
    <w:rsid w:val="00E079CC"/>
    <w:rsid w:val="00E33188"/>
    <w:rsid w:val="00E53131"/>
    <w:rsid w:val="00E968D6"/>
    <w:rsid w:val="00FB18B8"/>
    <w:rsid w:val="00FE6C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C4442"/>
  <w15:chartTrackingRefBased/>
  <w15:docId w15:val="{71FE457D-5D87-4D40-B493-01DADD3B6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18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2423</Words>
  <Characters>13816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 burlacu</cp:lastModifiedBy>
  <cp:revision>2</cp:revision>
  <dcterms:created xsi:type="dcterms:W3CDTF">2021-11-05T12:55:00Z</dcterms:created>
  <dcterms:modified xsi:type="dcterms:W3CDTF">2021-11-05T12:55:00Z</dcterms:modified>
</cp:coreProperties>
</file>