
<file path=[Content_Types].xml><?xml version="1.0" encoding="utf-8"?>
<Types xmlns="http://schemas.openxmlformats.org/package/2006/content-types">
  <Default Extension="xml" ContentType="application/xml"/>
  <Default Extension="wmf" ContentType="image/x-wmf"/>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Override PartName="/word/theme/themeOverride5.xml" ContentType="application/vnd.openxmlformats-officedocument.themeOverride+xml"/>
  <Override PartName="/word/theme/themeOverride6.xml" ContentType="application/vnd.openxmlformats-officedocument.themeOverrid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C3248">
      <w:pPr>
        <w:ind w:left="-880" w:leftChars="-400" w:firstLine="0" w:firstLineChars="0"/>
        <w:jc w:val="center"/>
        <w:rPr>
          <w:rFonts w:hint="default"/>
          <w:lang w:val="en-US"/>
        </w:rPr>
      </w:pPr>
    </w:p>
    <w:p w14:paraId="682BC02D">
      <w:pPr>
        <w:jc w:val="center"/>
        <w:rPr>
          <w:rFonts w:hint="default" w:ascii="Arial" w:hAnsi="Arial" w:cs="Arial"/>
        </w:rPr>
      </w:pPr>
    </w:p>
    <w:p w14:paraId="48D04E0F">
      <w:pPr>
        <w:jc w:val="center"/>
        <w:rPr>
          <w:rFonts w:hint="default" w:ascii="Arial" w:hAnsi="Arial" w:cs="Arial"/>
        </w:rPr>
      </w:pPr>
      <w:r>
        <w:rPr>
          <w:rFonts w:hint="default" w:ascii="Arial" w:hAnsi="Arial" w:cs="Arial"/>
        </w:rPr>
        <w:drawing>
          <wp:inline distT="0" distB="0" distL="0" distR="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6CC50BFF">
      <w:pPr>
        <w:jc w:val="center"/>
        <w:rPr>
          <w:rFonts w:hint="default" w:ascii="Arial" w:hAnsi="Arial" w:cs="Arial"/>
        </w:rPr>
      </w:pPr>
    </w:p>
    <w:p w14:paraId="22343B2C">
      <w:pPr>
        <w:jc w:val="center"/>
        <w:rPr>
          <w:rFonts w:hint="default" w:ascii="Arial" w:hAnsi="Arial" w:cs="Arial"/>
        </w:rPr>
      </w:pPr>
    </w:p>
    <w:p w14:paraId="42B8EFA1">
      <w:pPr>
        <w:jc w:val="center"/>
        <w:rPr>
          <w:rFonts w:hint="default" w:ascii="Arial" w:hAnsi="Arial" w:cs="Arial"/>
        </w:rPr>
      </w:pPr>
    </w:p>
    <w:p w14:paraId="662FB3AE">
      <w:pPr>
        <w:jc w:val="center"/>
        <w:rPr>
          <w:rFonts w:hint="default" w:ascii="Arial" w:hAnsi="Arial" w:cs="Arial"/>
        </w:rPr>
      </w:pPr>
    </w:p>
    <w:p w14:paraId="007D38C2">
      <w:pPr>
        <w:jc w:val="center"/>
        <w:rPr>
          <w:rFonts w:hint="default" w:ascii="Arial" w:hAnsi="Arial" w:cs="Arial"/>
        </w:rPr>
      </w:pPr>
    </w:p>
    <w:p w14:paraId="6ABEF7B1">
      <w:pPr>
        <w:jc w:val="center"/>
        <w:rPr>
          <w:rFonts w:hint="default" w:ascii="Arial" w:hAnsi="Arial" w:cs="Arial"/>
          <w:b/>
          <w:bCs/>
          <w:sz w:val="28"/>
          <w:szCs w:val="28"/>
          <w:lang w:val="en-IN"/>
        </w:rPr>
      </w:pPr>
      <w:r>
        <w:rPr>
          <w:rFonts w:hint="default" w:ascii="Arial" w:hAnsi="Arial" w:cs="Arial"/>
          <w:b/>
          <w:bCs/>
          <w:sz w:val="28"/>
          <w:szCs w:val="28"/>
        </w:rPr>
        <w:t>Student Name:</w:t>
      </w:r>
      <w:r>
        <w:rPr>
          <w:rFonts w:hint="default" w:ascii="Arial" w:hAnsi="Arial" w:cs="Arial"/>
          <w:b/>
          <w:bCs/>
          <w:sz w:val="28"/>
          <w:szCs w:val="28"/>
          <w:lang w:val="en-IN"/>
        </w:rPr>
        <w:t>Galla Prasith</w:t>
      </w:r>
    </w:p>
    <w:p w14:paraId="036FF470">
      <w:pPr>
        <w:jc w:val="center"/>
        <w:rPr>
          <w:rFonts w:hint="default" w:ascii="Arial" w:hAnsi="Arial" w:cs="Arial"/>
          <w:b/>
          <w:bCs/>
          <w:sz w:val="28"/>
          <w:szCs w:val="28"/>
        </w:rPr>
      </w:pPr>
    </w:p>
    <w:p w14:paraId="58F20D14">
      <w:pPr>
        <w:jc w:val="center"/>
        <w:rPr>
          <w:rFonts w:hint="default" w:ascii="Arial" w:hAnsi="Arial" w:cs="Arial"/>
          <w:b/>
          <w:bCs/>
          <w:sz w:val="28"/>
          <w:szCs w:val="28"/>
          <w:lang w:val="en-IN"/>
        </w:rPr>
      </w:pPr>
      <w:r>
        <w:rPr>
          <w:rFonts w:hint="default" w:ascii="Arial" w:hAnsi="Arial" w:cs="Arial"/>
          <w:b/>
          <w:bCs/>
          <w:sz w:val="28"/>
          <w:szCs w:val="28"/>
        </w:rPr>
        <w:t>Student ID:</w:t>
      </w:r>
      <w:r>
        <w:rPr>
          <w:rFonts w:hint="default" w:ascii="Arial" w:hAnsi="Arial" w:cs="Arial"/>
          <w:b/>
          <w:bCs/>
          <w:sz w:val="28"/>
          <w:szCs w:val="28"/>
          <w:lang w:val="en-IN"/>
        </w:rPr>
        <w:t>2543438</w:t>
      </w:r>
    </w:p>
    <w:p w14:paraId="154C9A77">
      <w:pPr>
        <w:jc w:val="center"/>
        <w:rPr>
          <w:rFonts w:hint="default" w:ascii="Arial" w:hAnsi="Arial" w:cs="Arial"/>
          <w:sz w:val="28"/>
          <w:szCs w:val="28"/>
        </w:rPr>
      </w:pPr>
    </w:p>
    <w:p w14:paraId="54B061BA">
      <w:pPr>
        <w:jc w:val="center"/>
        <w:rPr>
          <w:rFonts w:hint="default" w:ascii="Arial" w:hAnsi="Arial" w:cs="Arial"/>
          <w:sz w:val="28"/>
          <w:szCs w:val="28"/>
        </w:rPr>
      </w:pPr>
    </w:p>
    <w:p w14:paraId="549D90A3">
      <w:pPr>
        <w:jc w:val="center"/>
        <w:rPr>
          <w:rFonts w:hint="default" w:ascii="Arial" w:hAnsi="Arial" w:cs="Arial"/>
          <w:b/>
          <w:bCs/>
          <w:sz w:val="28"/>
          <w:szCs w:val="28"/>
        </w:rPr>
      </w:pPr>
      <w:r>
        <w:rPr>
          <w:rFonts w:hint="default" w:ascii="Arial" w:hAnsi="Arial" w:cs="Arial"/>
          <w:b/>
          <w:bCs/>
          <w:sz w:val="28"/>
          <w:szCs w:val="28"/>
        </w:rPr>
        <w:t xml:space="preserve">Module Name: </w:t>
      </w:r>
      <w:r>
        <w:rPr>
          <w:rFonts w:hint="default" w:ascii="Arial" w:hAnsi="Arial" w:cs="Arial"/>
          <w:b/>
          <w:bCs/>
          <w:sz w:val="28"/>
          <w:szCs w:val="28"/>
          <w:lang w:val="en-US"/>
        </w:rPr>
        <w:t xml:space="preserve">Financial </w:t>
      </w:r>
      <w:r>
        <w:rPr>
          <w:rFonts w:hint="default" w:ascii="Arial" w:hAnsi="Arial" w:cs="Arial"/>
          <w:b/>
          <w:bCs/>
          <w:sz w:val="28"/>
          <w:szCs w:val="28"/>
        </w:rPr>
        <w:t>Management</w:t>
      </w:r>
    </w:p>
    <w:p w14:paraId="7715AC31">
      <w:pPr>
        <w:jc w:val="center"/>
        <w:rPr>
          <w:rFonts w:hint="default" w:ascii="Arial" w:hAnsi="Arial" w:cs="Arial"/>
          <w:b/>
          <w:bCs/>
          <w:sz w:val="28"/>
          <w:szCs w:val="28"/>
        </w:rPr>
      </w:pPr>
    </w:p>
    <w:p w14:paraId="3A04628A">
      <w:pPr>
        <w:jc w:val="center"/>
        <w:rPr>
          <w:rFonts w:hint="default" w:ascii="Arial" w:hAnsi="Arial" w:cs="Arial"/>
          <w:b/>
          <w:bCs/>
          <w:sz w:val="28"/>
          <w:szCs w:val="28"/>
        </w:rPr>
      </w:pPr>
      <w:r>
        <w:rPr>
          <w:rFonts w:hint="default" w:ascii="Arial" w:hAnsi="Arial" w:cs="Arial"/>
          <w:b/>
          <w:bCs/>
          <w:sz w:val="28"/>
          <w:szCs w:val="28"/>
        </w:rPr>
        <w:t xml:space="preserve">Module Code: </w:t>
      </w:r>
      <w:r>
        <w:rPr>
          <w:rFonts w:ascii="Segoe UI" w:hAnsi="Segoe UI" w:eastAsia="Segoe UI" w:cs="Segoe UI"/>
          <w:i w:val="0"/>
          <w:iCs w:val="0"/>
          <w:caps w:val="0"/>
          <w:color w:val="1D2125"/>
          <w:spacing w:val="0"/>
          <w:sz w:val="22"/>
          <w:szCs w:val="22"/>
          <w:shd w:val="clear" w:fill="FFFFFF"/>
        </w:rPr>
        <w:t> </w:t>
      </w:r>
      <w:r>
        <w:rPr>
          <w:rStyle w:val="13"/>
          <w:rFonts w:hint="default" w:ascii="Arial" w:hAnsi="Arial" w:eastAsia="Segoe UI" w:cs="Arial"/>
          <w:b/>
          <w:bCs/>
          <w:i w:val="0"/>
          <w:iCs w:val="0"/>
          <w:caps w:val="0"/>
          <w:color w:val="1D2125"/>
          <w:spacing w:val="0"/>
          <w:sz w:val="28"/>
          <w:szCs w:val="28"/>
          <w:shd w:val="clear" w:fill="FFFFFF"/>
        </w:rPr>
        <w:t>LCMB7002</w:t>
      </w:r>
    </w:p>
    <w:p w14:paraId="7E2C03B0">
      <w:pPr>
        <w:jc w:val="center"/>
        <w:rPr>
          <w:rFonts w:hint="default" w:ascii="Arial" w:hAnsi="Arial" w:cs="Arial"/>
          <w:b/>
          <w:bCs/>
          <w:sz w:val="28"/>
          <w:szCs w:val="28"/>
        </w:rPr>
      </w:pPr>
    </w:p>
    <w:p w14:paraId="38C47196">
      <w:pPr>
        <w:jc w:val="both"/>
        <w:rPr>
          <w:rFonts w:hint="default" w:ascii="Arial" w:hAnsi="Arial" w:cs="Arial"/>
          <w:b/>
          <w:bCs/>
          <w:sz w:val="28"/>
          <w:szCs w:val="28"/>
        </w:rPr>
      </w:pPr>
    </w:p>
    <w:p w14:paraId="04A435A1">
      <w:pPr>
        <w:jc w:val="center"/>
        <w:rPr>
          <w:rFonts w:hint="default" w:ascii="Arial" w:hAnsi="Arial" w:cs="Arial"/>
          <w:b/>
          <w:bCs/>
          <w:sz w:val="28"/>
          <w:szCs w:val="28"/>
        </w:rPr>
      </w:pPr>
    </w:p>
    <w:p w14:paraId="2534BC8F">
      <w:pPr>
        <w:jc w:val="center"/>
        <w:rPr>
          <w:rFonts w:hint="default" w:ascii="Arial" w:hAnsi="Arial" w:cs="Arial"/>
          <w:b/>
          <w:bCs/>
          <w:sz w:val="28"/>
          <w:szCs w:val="28"/>
        </w:rPr>
      </w:pPr>
      <w:r>
        <w:rPr>
          <w:rFonts w:hint="default" w:ascii="Arial" w:hAnsi="Arial" w:cs="Arial"/>
          <w:b/>
          <w:bCs/>
          <w:sz w:val="28"/>
          <w:szCs w:val="28"/>
        </w:rPr>
        <w:t>Lecturer’s Name:</w:t>
      </w:r>
      <w:r>
        <w:rPr>
          <w:rFonts w:hint="default" w:ascii="Arial" w:hAnsi="Arial" w:eastAsia="Helvetica" w:cs="Arial"/>
          <w:b/>
          <w:bCs/>
          <w:i w:val="0"/>
          <w:iCs w:val="0"/>
          <w:caps w:val="0"/>
          <w:color w:val="242130"/>
          <w:spacing w:val="0"/>
          <w:sz w:val="28"/>
          <w:szCs w:val="28"/>
          <w:shd w:val="clear" w:fill="FFFFFF"/>
        </w:rPr>
        <w:t>Ghulam Mujtaba</w:t>
      </w:r>
    </w:p>
    <w:p w14:paraId="70E1BD2A">
      <w:pPr>
        <w:jc w:val="center"/>
        <w:rPr>
          <w:rFonts w:hint="default" w:ascii="Arial" w:hAnsi="Arial" w:cs="Arial"/>
          <w:b/>
          <w:bCs/>
          <w:sz w:val="28"/>
          <w:szCs w:val="28"/>
        </w:rPr>
      </w:pPr>
    </w:p>
    <w:p w14:paraId="55B10977">
      <w:pPr>
        <w:jc w:val="center"/>
        <w:rPr>
          <w:rFonts w:hint="default" w:ascii="Arial" w:hAnsi="Arial" w:cs="Arial"/>
          <w:b/>
          <w:bCs/>
          <w:sz w:val="28"/>
          <w:szCs w:val="28"/>
        </w:rPr>
      </w:pPr>
    </w:p>
    <w:p w14:paraId="39FE983B">
      <w:pPr>
        <w:jc w:val="center"/>
        <w:rPr>
          <w:rFonts w:hint="default" w:ascii="Arial" w:hAnsi="Arial" w:cs="Arial"/>
          <w:b/>
          <w:bCs/>
          <w:sz w:val="28"/>
          <w:szCs w:val="28"/>
          <w:lang w:val="en-US"/>
        </w:rPr>
      </w:pPr>
      <w:r>
        <w:rPr>
          <w:rFonts w:hint="default" w:ascii="Arial" w:hAnsi="Arial" w:cs="Arial"/>
          <w:b/>
          <w:bCs/>
          <w:sz w:val="28"/>
          <w:szCs w:val="28"/>
        </w:rPr>
        <w:t>Work Count</w:t>
      </w:r>
      <w:r>
        <w:rPr>
          <w:rFonts w:hint="default" w:ascii="Arial" w:hAnsi="Arial" w:cs="Arial"/>
          <w:b/>
          <w:bCs/>
          <w:sz w:val="28"/>
          <w:szCs w:val="28"/>
          <w:lang w:val="en-US"/>
        </w:rPr>
        <w:t>: 5077</w:t>
      </w:r>
    </w:p>
    <w:p w14:paraId="714355EF">
      <w:pPr>
        <w:jc w:val="center"/>
        <w:rPr>
          <w:rFonts w:hint="default" w:ascii="Arial" w:hAnsi="Arial" w:cs="Arial"/>
          <w:b/>
          <w:bCs/>
          <w:sz w:val="28"/>
          <w:szCs w:val="28"/>
        </w:rPr>
      </w:pPr>
    </w:p>
    <w:p w14:paraId="15A7A4BF">
      <w:pPr>
        <w:jc w:val="center"/>
        <w:rPr>
          <w:rFonts w:hint="default" w:ascii="Arial" w:hAnsi="Arial" w:cs="Arial"/>
          <w:b/>
          <w:bCs/>
          <w:sz w:val="28"/>
          <w:szCs w:val="28"/>
        </w:rPr>
      </w:pPr>
    </w:p>
    <w:p w14:paraId="2028C10F">
      <w:pPr>
        <w:jc w:val="center"/>
        <w:rPr>
          <w:rFonts w:hint="default" w:ascii="Arial" w:hAnsi="Arial" w:cs="Arial"/>
          <w:b/>
          <w:bCs/>
          <w:sz w:val="28"/>
          <w:szCs w:val="28"/>
        </w:rPr>
      </w:pPr>
    </w:p>
    <w:p w14:paraId="206FA719">
      <w:pPr>
        <w:jc w:val="center"/>
        <w:rPr>
          <w:rFonts w:hint="default" w:ascii="Arial" w:hAnsi="Arial" w:cs="Arial"/>
          <w:b/>
          <w:bCs/>
          <w:sz w:val="28"/>
          <w:szCs w:val="28"/>
        </w:rPr>
      </w:pPr>
    </w:p>
    <w:p w14:paraId="70EA7418">
      <w:pPr>
        <w:jc w:val="center"/>
        <w:rPr>
          <w:rFonts w:hint="default" w:ascii="Arial" w:hAnsi="Arial" w:cs="Arial"/>
          <w:b/>
          <w:bCs/>
          <w:sz w:val="28"/>
          <w:szCs w:val="28"/>
        </w:rPr>
      </w:pPr>
    </w:p>
    <w:p w14:paraId="46918076">
      <w:pPr>
        <w:jc w:val="center"/>
        <w:rPr>
          <w:rFonts w:hint="default" w:ascii="Arial" w:hAnsi="Arial" w:cs="Arial"/>
          <w:b/>
          <w:bCs/>
          <w:sz w:val="28"/>
          <w:szCs w:val="28"/>
        </w:rPr>
      </w:pPr>
      <w:r>
        <w:rPr>
          <w:rFonts w:hint="default" w:ascii="Arial" w:hAnsi="Arial" w:cs="Arial"/>
          <w:b/>
          <w:bCs/>
          <w:sz w:val="28"/>
          <w:szCs w:val="28"/>
        </w:rPr>
        <w:t>Term 1</w:t>
      </w:r>
    </w:p>
    <w:p w14:paraId="5FF3F042">
      <w:pPr>
        <w:spacing w:line="360" w:lineRule="auto"/>
        <w:jc w:val="both"/>
        <w:rPr>
          <w:rFonts w:ascii="Times New Roman" w:hAnsi="Times New Roman" w:eastAsia="Times New Roman" w:cs="Times New Roman"/>
          <w:b/>
          <w:bCs/>
          <w:sz w:val="32"/>
          <w:szCs w:val="32"/>
        </w:rPr>
      </w:pPr>
    </w:p>
    <w:p w14:paraId="6E309FCB">
      <w:pPr>
        <w:spacing w:line="360" w:lineRule="auto"/>
        <w:jc w:val="both"/>
        <w:rPr>
          <w:rFonts w:ascii="Times New Roman" w:hAnsi="Times New Roman" w:eastAsia="Times New Roman" w:cs="Times New Roman"/>
          <w:sz w:val="24"/>
          <w:szCs w:val="24"/>
        </w:rPr>
      </w:pPr>
      <w:r>
        <w:br w:type="page"/>
      </w:r>
    </w:p>
    <w:sdt>
      <w:sdtPr>
        <w:rPr>
          <w:rFonts w:ascii="Arial" w:hAnsi="Arial" w:eastAsia="Arial" w:cs="Arial"/>
          <w:b/>
          <w:bCs/>
          <w:color w:val="auto"/>
          <w:sz w:val="36"/>
          <w:szCs w:val="36"/>
          <w:lang w:val="en-GB" w:eastAsia="en-IN"/>
        </w:rPr>
        <w:id w:val="1938247961"/>
        <w:docPartObj>
          <w:docPartGallery w:val="Table of Contents"/>
          <w:docPartUnique/>
        </w:docPartObj>
      </w:sdtPr>
      <w:sdtEndPr>
        <w:rPr>
          <w:rFonts w:ascii="Arial" w:hAnsi="Arial" w:eastAsia="Arial" w:cs="Arial"/>
          <w:b/>
          <w:bCs/>
          <w:color w:val="auto"/>
          <w:sz w:val="22"/>
          <w:szCs w:val="22"/>
          <w:lang w:val="en-GB" w:eastAsia="en-IN"/>
        </w:rPr>
      </w:sdtEndPr>
      <w:sdtContent>
        <w:p w14:paraId="4CE9F4C1">
          <w:pPr>
            <w:pStyle w:val="21"/>
            <w:spacing w:line="360" w:lineRule="auto"/>
            <w:jc w:val="center"/>
            <w:rPr>
              <w:rFonts w:ascii="Times New Roman" w:hAnsi="Times New Roman" w:cs="Times New Roman"/>
              <w:b/>
              <w:bCs/>
              <w:color w:val="auto"/>
              <w:sz w:val="28"/>
              <w:szCs w:val="28"/>
            </w:rPr>
          </w:pPr>
          <w:bookmarkStart w:id="0" w:name="_heading=h.lj2iqt4jcap8" w:colFirst="0" w:colLast="0"/>
          <w:bookmarkEnd w:id="0"/>
          <w:r>
            <w:rPr>
              <w:rFonts w:ascii="Times New Roman" w:hAnsi="Times New Roman" w:cs="Times New Roman"/>
              <w:b/>
              <w:bCs/>
              <w:color w:val="auto"/>
              <w:sz w:val="28"/>
              <w:szCs w:val="28"/>
            </w:rPr>
            <w:t>Table of Contents</w:t>
          </w:r>
        </w:p>
        <w:p w14:paraId="1376DB62">
          <w:pPr>
            <w:pStyle w:val="17"/>
            <w:tabs>
              <w:tab w:val="right" w:leader="dot" w:pos="9019"/>
            </w:tabs>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"_Toc236678263" </w:instrText>
          </w:r>
          <w:r>
            <w:fldChar w:fldCharType="separate"/>
          </w:r>
          <w:r>
            <w:rPr>
              <w:rStyle w:val="12"/>
              <w:rFonts w:ascii="Times New Roman" w:hAnsi="Times New Roman" w:cs="Times New Roman"/>
              <w:color w:val="auto"/>
              <w:sz w:val="24"/>
              <w:szCs w:val="24"/>
            </w:rPr>
            <w:t>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_Toc236678263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1CAEEC8">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"_Toc236678264" </w:instrText>
          </w:r>
          <w:r>
            <w:fldChar w:fldCharType="separate"/>
          </w:r>
          <w:r>
            <w:rPr>
              <w:rStyle w:val="12"/>
              <w:rFonts w:ascii="Times New Roman" w:hAnsi="Times New Roman" w:cs="Times New Roman"/>
              <w:color w:val="auto"/>
              <w:sz w:val="24"/>
              <w:szCs w:val="24"/>
            </w:rPr>
            <w:t>1.1 Company Background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_Toc236678264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13740A0">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"_Toc236678265" </w:instrText>
          </w:r>
          <w:r>
            <w:fldChar w:fldCharType="separate"/>
          </w:r>
          <w:r>
            <w:rPr>
              <w:rStyle w:val="12"/>
              <w:rFonts w:ascii="Times New Roman" w:hAnsi="Times New Roman" w:cs="Times New Roman"/>
              <w:color w:val="auto"/>
              <w:sz w:val="24"/>
              <w:szCs w:val="24"/>
            </w:rPr>
            <w:t>1.2 Purpose of the Report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_Toc236678265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FB72F63">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"_Toc236678266" </w:instrText>
          </w:r>
          <w:r>
            <w:fldChar w:fldCharType="separate"/>
          </w:r>
          <w:r>
            <w:rPr>
              <w:rStyle w:val="12"/>
              <w:rFonts w:ascii="Times New Roman" w:hAnsi="Times New Roman" w:cs="Times New Roman"/>
              <w:color w:val="auto"/>
              <w:sz w:val="24"/>
              <w:szCs w:val="24"/>
            </w:rPr>
            <w:t>1.3 Sources of Data and Method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_Toc236678266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1A1CD24">
          <w:pPr>
            <w:pStyle w:val="17"/>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"_Toc236678267" </w:instrText>
          </w:r>
          <w:r>
            <w:fldChar w:fldCharType="separate"/>
          </w:r>
          <w:r>
            <w:rPr>
              <w:rStyle w:val="12"/>
              <w:rFonts w:ascii="Times New Roman" w:hAnsi="Times New Roman" w:cs="Times New Roman"/>
              <w:color w:val="auto"/>
              <w:sz w:val="24"/>
              <w:szCs w:val="24"/>
            </w:rPr>
            <w:t>2. Financial Health Check</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_Toc236678267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747D8BD">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"_Toc236678268" </w:instrText>
          </w:r>
          <w:r>
            <w:fldChar w:fldCharType="separate"/>
          </w:r>
          <w:r>
            <w:rPr>
              <w:rStyle w:val="12"/>
              <w:rFonts w:ascii="Times New Roman" w:hAnsi="Times New Roman" w:cs="Times New Roman"/>
              <w:color w:val="auto"/>
              <w:sz w:val="24"/>
              <w:szCs w:val="24"/>
            </w:rPr>
            <w:t>2.1 Five-Year Financial Performance Overview</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_Toc236678268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A528B66">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"_Toc236678269" </w:instrText>
          </w:r>
          <w:r>
            <w:fldChar w:fldCharType="separate"/>
          </w:r>
          <w:r>
            <w:rPr>
              <w:rStyle w:val="12"/>
              <w:rFonts w:ascii="Times New Roman" w:hAnsi="Times New Roman" w:cs="Times New Roman"/>
              <w:color w:val="auto"/>
              <w:sz w:val="24"/>
              <w:szCs w:val="24"/>
            </w:rPr>
            <w:t>2.2 Profitability Ratio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_Toc236678269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BBA9F80">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"_Toc236678270" </w:instrText>
          </w:r>
          <w:r>
            <w:fldChar w:fldCharType="separate"/>
          </w:r>
          <w:r>
            <w:rPr>
              <w:rStyle w:val="12"/>
              <w:rFonts w:ascii="Times New Roman" w:hAnsi="Times New Roman" w:cs="Times New Roman"/>
              <w:color w:val="auto"/>
              <w:sz w:val="24"/>
              <w:szCs w:val="24"/>
            </w:rPr>
            <w:t>2.3 Liquidity Ratio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_Toc236678270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185A401">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"_Toc236678271" </w:instrText>
          </w:r>
          <w:r>
            <w:fldChar w:fldCharType="separate"/>
          </w:r>
          <w:r>
            <w:rPr>
              <w:rStyle w:val="12"/>
              <w:rFonts w:ascii="Times New Roman" w:hAnsi="Times New Roman" w:cs="Times New Roman"/>
              <w:color w:val="auto"/>
              <w:sz w:val="24"/>
              <w:szCs w:val="24"/>
            </w:rPr>
            <w:t>2.4 Efficiency Ratio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_Toc236678271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EF17E2C">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"_Toc236678272" </w:instrText>
          </w:r>
          <w:r>
            <w:fldChar w:fldCharType="separate"/>
          </w:r>
          <w:r>
            <w:rPr>
              <w:rStyle w:val="12"/>
              <w:rFonts w:ascii="Times New Roman" w:hAnsi="Times New Roman" w:cs="Times New Roman"/>
              <w:color w:val="auto"/>
              <w:sz w:val="24"/>
              <w:szCs w:val="24"/>
            </w:rPr>
            <w:t>2.5 Gearing Ratio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_Toc236678272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1824696">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"_Toc236678273" </w:instrText>
          </w:r>
          <w:r>
            <w:fldChar w:fldCharType="separate"/>
          </w:r>
          <w:r>
            <w:rPr>
              <w:rStyle w:val="12"/>
              <w:rFonts w:ascii="Times New Roman" w:hAnsi="Times New Roman" w:cs="Times New Roman"/>
              <w:color w:val="auto"/>
              <w:sz w:val="24"/>
              <w:szCs w:val="24"/>
            </w:rPr>
            <w:t>2.6 Investment Ratio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_Toc236678273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DDAB1D9">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"_Toc236678274" </w:instrText>
          </w:r>
          <w:r>
            <w:fldChar w:fldCharType="separate"/>
          </w:r>
          <w:r>
            <w:rPr>
              <w:rStyle w:val="12"/>
              <w:rFonts w:ascii="Times New Roman" w:hAnsi="Times New Roman" w:cs="Times New Roman"/>
              <w:color w:val="auto"/>
              <w:sz w:val="24"/>
              <w:szCs w:val="24"/>
            </w:rPr>
            <w:t>2.7 Cash Flow Ratio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_Toc236678274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9E5A500">
          <w:pPr>
            <w:pStyle w:val="17"/>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"_Toc236678275" </w:instrText>
          </w:r>
          <w:r>
            <w:fldChar w:fldCharType="separate"/>
          </w:r>
          <w:r>
            <w:rPr>
              <w:rStyle w:val="12"/>
              <w:rFonts w:ascii="Times New Roman" w:hAnsi="Times New Roman" w:cs="Times New Roman"/>
              <w:color w:val="auto"/>
              <w:sz w:val="24"/>
              <w:szCs w:val="24"/>
            </w:rPr>
            <w:t>3. Working Capital Management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_Toc236678275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9F7E2AB">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"_Toc236678276" </w:instrText>
          </w:r>
          <w:r>
            <w:fldChar w:fldCharType="separate"/>
          </w:r>
          <w:r>
            <w:rPr>
              <w:rStyle w:val="12"/>
              <w:rFonts w:ascii="Times New Roman" w:hAnsi="Times New Roman" w:cs="Times New Roman"/>
              <w:color w:val="auto"/>
              <w:sz w:val="24"/>
              <w:szCs w:val="24"/>
            </w:rPr>
            <w:t>3.1 Cash Operating Cycle Assessment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_Toc236678276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5BF82A7">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"_Toc236678277" </w:instrText>
          </w:r>
          <w:r>
            <w:fldChar w:fldCharType="separate"/>
          </w:r>
          <w:r>
            <w:rPr>
              <w:rStyle w:val="12"/>
              <w:rFonts w:ascii="Times New Roman" w:hAnsi="Times New Roman" w:cs="Times New Roman"/>
              <w:color w:val="auto"/>
              <w:sz w:val="24"/>
              <w:szCs w:val="24"/>
            </w:rPr>
            <w:t>3.2 Working Capital Improvement Strategies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_Toc236678277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F0413EA">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"_Toc236678278" </w:instrText>
          </w:r>
          <w:r>
            <w:fldChar w:fldCharType="separate"/>
          </w:r>
          <w:r>
            <w:rPr>
              <w:rStyle w:val="12"/>
              <w:rFonts w:ascii="Times New Roman" w:hAnsi="Times New Roman" w:cs="Times New Roman"/>
              <w:color w:val="auto"/>
              <w:sz w:val="24"/>
              <w:szCs w:val="24"/>
            </w:rPr>
            <w:t>3.3 Short-term vs Long-term Financing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_Toc236678278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A7CCA48">
          <w:pPr>
            <w:pStyle w:val="17"/>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"_Toc236678279" </w:instrText>
          </w:r>
          <w:r>
            <w:fldChar w:fldCharType="separate"/>
          </w:r>
          <w:r>
            <w:rPr>
              <w:rStyle w:val="12"/>
              <w:rFonts w:ascii="Times New Roman" w:hAnsi="Times New Roman" w:cs="Times New Roman"/>
              <w:color w:val="auto"/>
              <w:sz w:val="24"/>
              <w:szCs w:val="24"/>
            </w:rPr>
            <w:t>4. Strategic Financial Restructuring Plan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_Toc236678279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068F091">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"_Toc236678280" </w:instrText>
          </w:r>
          <w:r>
            <w:fldChar w:fldCharType="separate"/>
          </w:r>
          <w:r>
            <w:rPr>
              <w:rStyle w:val="12"/>
              <w:rFonts w:ascii="Times New Roman" w:hAnsi="Times New Roman" w:cs="Times New Roman"/>
              <w:color w:val="auto"/>
              <w:sz w:val="24"/>
              <w:szCs w:val="24"/>
            </w:rPr>
            <w:t>4.1 Current Financial Challenges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_Toc236678280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4E1BE4C">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"_Toc236678281" </w:instrText>
          </w:r>
          <w:r>
            <w:fldChar w:fldCharType="separate"/>
          </w:r>
          <w:r>
            <w:rPr>
              <w:rStyle w:val="12"/>
              <w:rFonts w:ascii="Times New Roman" w:hAnsi="Times New Roman" w:cs="Times New Roman"/>
              <w:color w:val="auto"/>
              <w:sz w:val="24"/>
              <w:szCs w:val="24"/>
            </w:rPr>
            <w:t>4.2 Recommended Financial Restructuring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_Toc236678281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34E385C">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"_Toc236678282" </w:instrText>
          </w:r>
          <w:r>
            <w:fldChar w:fldCharType="separate"/>
          </w:r>
          <w:r>
            <w:rPr>
              <w:rStyle w:val="12"/>
              <w:rFonts w:ascii="Times New Roman" w:hAnsi="Times New Roman" w:cs="Times New Roman"/>
              <w:color w:val="auto"/>
              <w:sz w:val="24"/>
              <w:szCs w:val="24"/>
            </w:rPr>
            <w:t>4.3 Impact Assessment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_Toc236678282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AD4F797">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"_Toc236678283" </w:instrText>
          </w:r>
          <w:r>
            <w:fldChar w:fldCharType="separate"/>
          </w:r>
          <w:r>
            <w:rPr>
              <w:rStyle w:val="12"/>
              <w:rFonts w:ascii="Times New Roman" w:hAnsi="Times New Roman" w:cs="Times New Roman"/>
              <w:color w:val="auto"/>
              <w:sz w:val="24"/>
              <w:szCs w:val="24"/>
            </w:rPr>
            <w:t>4.4 International and Ethical Considerations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_Toc236678283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72B3159">
          <w:pPr>
            <w:pStyle w:val="17"/>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"_Toc236678284" </w:instrText>
          </w:r>
          <w:r>
            <w:fldChar w:fldCharType="separate"/>
          </w:r>
          <w:r>
            <w:rPr>
              <w:rStyle w:val="12"/>
              <w:rFonts w:ascii="Times New Roman" w:hAnsi="Times New Roman" w:cs="Times New Roman"/>
              <w:color w:val="auto"/>
              <w:sz w:val="24"/>
              <w:szCs w:val="24"/>
            </w:rPr>
            <w:t>5. Investment Appraisal and Capital Budgeting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_Toc236678284 \h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F1106D7">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"_Toc236678285" </w:instrText>
          </w:r>
          <w:r>
            <w:fldChar w:fldCharType="separate"/>
          </w:r>
          <w:r>
            <w:rPr>
              <w:rStyle w:val="12"/>
              <w:rFonts w:ascii="Times New Roman" w:hAnsi="Times New Roman" w:cs="Times New Roman"/>
              <w:color w:val="auto"/>
              <w:sz w:val="24"/>
              <w:szCs w:val="24"/>
            </w:rPr>
            <w:t>5.1 Introduction to Investment Appraisal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_Toc236678285 \h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B4021FA">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"_Toc236678286" </w:instrText>
          </w:r>
          <w:r>
            <w:fldChar w:fldCharType="separate"/>
          </w:r>
          <w:r>
            <w:rPr>
              <w:rStyle w:val="12"/>
              <w:rFonts w:ascii="Times New Roman" w:hAnsi="Times New Roman" w:cs="Times New Roman"/>
              <w:color w:val="auto"/>
              <w:sz w:val="24"/>
              <w:szCs w:val="24"/>
            </w:rPr>
            <w:t>5.2 Project Information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_Toc236678286 \h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6642C52">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"_Toc236678287" </w:instrText>
          </w:r>
          <w:r>
            <w:fldChar w:fldCharType="separate"/>
          </w:r>
          <w:r>
            <w:rPr>
              <w:rStyle w:val="12"/>
              <w:rFonts w:ascii="Times New Roman" w:hAnsi="Times New Roman" w:cs="Times New Roman"/>
              <w:color w:val="auto"/>
              <w:sz w:val="24"/>
              <w:szCs w:val="24"/>
            </w:rPr>
            <w:t>5.3 Payback Period (PBP)</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_Toc236678287 \h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C04F79E">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"_Toc236678288" </w:instrText>
          </w:r>
          <w:r>
            <w:fldChar w:fldCharType="separate"/>
          </w:r>
          <w:r>
            <w:rPr>
              <w:rStyle w:val="12"/>
              <w:rFonts w:ascii="Times New Roman" w:hAnsi="Times New Roman" w:cs="Times New Roman"/>
              <w:color w:val="auto"/>
              <w:sz w:val="24"/>
              <w:szCs w:val="24"/>
            </w:rPr>
            <w:t>5.4 Accounting Rate of Return (ARR)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_Toc236678288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59C3A38">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"_Toc236678289" </w:instrText>
          </w:r>
          <w:r>
            <w:fldChar w:fldCharType="separate"/>
          </w:r>
          <w:r>
            <w:rPr>
              <w:rStyle w:val="12"/>
              <w:rFonts w:ascii="Times New Roman" w:hAnsi="Times New Roman" w:cs="Times New Roman"/>
              <w:color w:val="auto"/>
              <w:sz w:val="24"/>
              <w:szCs w:val="24"/>
            </w:rPr>
            <w:t>5.5 Net Present Value (NPV)</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_Toc236678289 \h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5725DAC">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"_Toc236678290" </w:instrText>
          </w:r>
          <w:r>
            <w:fldChar w:fldCharType="separate"/>
          </w:r>
          <w:r>
            <w:rPr>
              <w:rStyle w:val="12"/>
              <w:rFonts w:ascii="Times New Roman" w:hAnsi="Times New Roman" w:cs="Times New Roman"/>
              <w:color w:val="auto"/>
              <w:sz w:val="24"/>
              <w:szCs w:val="24"/>
            </w:rPr>
            <w:t>5.6 Profitability Index (PI)</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_Toc236678290 \h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F80558C">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"_Toc236678291" </w:instrText>
          </w:r>
          <w:r>
            <w:fldChar w:fldCharType="separate"/>
          </w:r>
          <w:r>
            <w:rPr>
              <w:rStyle w:val="12"/>
              <w:rFonts w:ascii="Times New Roman" w:hAnsi="Times New Roman" w:cs="Times New Roman"/>
              <w:color w:val="auto"/>
              <w:sz w:val="24"/>
              <w:szCs w:val="24"/>
            </w:rPr>
            <w:t>5.7 Internal Rate of Return (IRR)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_Toc236678291 \h </w:instrText>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95E88F7">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"_Toc236678292" </w:instrText>
          </w:r>
          <w:r>
            <w:fldChar w:fldCharType="separate"/>
          </w:r>
          <w:r>
            <w:rPr>
              <w:rStyle w:val="12"/>
              <w:rFonts w:ascii="Times New Roman" w:hAnsi="Times New Roman" w:cs="Times New Roman"/>
              <w:color w:val="auto"/>
              <w:sz w:val="24"/>
              <w:szCs w:val="24"/>
            </w:rPr>
            <w:t>5.8 Recommendation of Best Project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_Toc236678292 \h </w:instrText>
          </w:r>
          <w:r>
            <w:rPr>
              <w:rFonts w:ascii="Times New Roman" w:hAnsi="Times New Roman" w:cs="Times New Roman"/>
              <w:sz w:val="24"/>
              <w:szCs w:val="24"/>
            </w:rPr>
            <w:fldChar w:fldCharType="separate"/>
          </w:r>
          <w:r>
            <w:rPr>
              <w:rFonts w:ascii="Times New Roman" w:hAnsi="Times New Roman" w:cs="Times New Roman"/>
              <w:sz w:val="24"/>
              <w:szCs w:val="24"/>
            </w:rPr>
            <w:t>25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AB952E8">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"_Toc236678293" </w:instrText>
          </w:r>
          <w:r>
            <w:fldChar w:fldCharType="separate"/>
          </w:r>
          <w:r>
            <w:rPr>
              <w:rStyle w:val="12"/>
              <w:rFonts w:ascii="Times New Roman" w:hAnsi="Times New Roman" w:cs="Times New Roman"/>
              <w:color w:val="auto"/>
              <w:sz w:val="24"/>
              <w:szCs w:val="24"/>
            </w:rPr>
            <w:t>5.9 Capital Rationing (£100 Million Limit)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_Toc236678293 \h </w:instrText>
          </w:r>
          <w:r>
            <w:rPr>
              <w:rFonts w:ascii="Times New Roman" w:hAnsi="Times New Roman" w:cs="Times New Roman"/>
              <w:sz w:val="24"/>
              <w:szCs w:val="24"/>
            </w:rPr>
            <w:fldChar w:fldCharType="separate"/>
          </w:r>
          <w:r>
            <w:rPr>
              <w:rFonts w:ascii="Times New Roman" w:hAnsi="Times New Roman" w:cs="Times New Roman"/>
              <w:sz w:val="24"/>
              <w:szCs w:val="24"/>
            </w:rPr>
            <w:t>25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2AE6CB1">
          <w:pPr>
            <w:pStyle w:val="17"/>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"_Toc236678294" </w:instrText>
          </w:r>
          <w:r>
            <w:fldChar w:fldCharType="separate"/>
          </w:r>
          <w:r>
            <w:rPr>
              <w:rStyle w:val="12"/>
              <w:rFonts w:ascii="Times New Roman" w:hAnsi="Times New Roman" w:cs="Times New Roman"/>
              <w:color w:val="auto"/>
              <w:sz w:val="24"/>
              <w:szCs w:val="24"/>
            </w:rPr>
            <w:t>6. Critical Reflection on AI Usage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_Toc236678294 \h </w:instrText>
          </w:r>
          <w:r>
            <w:rPr>
              <w:rFonts w:ascii="Times New Roman" w:hAnsi="Times New Roman" w:cs="Times New Roman"/>
              <w:sz w:val="24"/>
              <w:szCs w:val="24"/>
            </w:rPr>
            <w:fldChar w:fldCharType="separate"/>
          </w:r>
          <w:r>
            <w:rPr>
              <w:rFonts w:ascii="Times New Roman" w:hAnsi="Times New Roman" w:cs="Times New Roman"/>
              <w:sz w:val="24"/>
              <w:szCs w:val="24"/>
            </w:rPr>
            <w:t>26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88C970C">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"_Toc236678295" </w:instrText>
          </w:r>
          <w:r>
            <w:fldChar w:fldCharType="separate"/>
          </w:r>
          <w:r>
            <w:rPr>
              <w:rStyle w:val="12"/>
              <w:rFonts w:ascii="Times New Roman" w:hAnsi="Times New Roman" w:cs="Times New Roman"/>
              <w:color w:val="auto"/>
              <w:sz w:val="24"/>
              <w:szCs w:val="24"/>
            </w:rPr>
            <w:t>6.1 Tool Disclosure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_Toc236678295 \h </w:instrText>
          </w:r>
          <w:r>
            <w:rPr>
              <w:rFonts w:ascii="Times New Roman" w:hAnsi="Times New Roman" w:cs="Times New Roman"/>
              <w:sz w:val="24"/>
              <w:szCs w:val="24"/>
            </w:rPr>
            <w:fldChar w:fldCharType="separate"/>
          </w:r>
          <w:r>
            <w:rPr>
              <w:rFonts w:ascii="Times New Roman" w:hAnsi="Times New Roman" w:cs="Times New Roman"/>
              <w:sz w:val="24"/>
              <w:szCs w:val="24"/>
            </w:rPr>
            <w:t>26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48B6B8C">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"_Toc236678296" </w:instrText>
          </w:r>
          <w:r>
            <w:fldChar w:fldCharType="separate"/>
          </w:r>
          <w:r>
            <w:rPr>
              <w:rStyle w:val="12"/>
              <w:rFonts w:ascii="Times New Roman" w:hAnsi="Times New Roman" w:cs="Times New Roman"/>
              <w:color w:val="auto"/>
              <w:sz w:val="24"/>
              <w:szCs w:val="24"/>
            </w:rPr>
            <w:t>6.2 Critical Evaluation of AI Output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_Toc236678296 \h </w:instrText>
          </w:r>
          <w:r>
            <w:rPr>
              <w:rFonts w:ascii="Times New Roman" w:hAnsi="Times New Roman" w:cs="Times New Roman"/>
              <w:sz w:val="24"/>
              <w:szCs w:val="24"/>
            </w:rPr>
            <w:fldChar w:fldCharType="separate"/>
          </w:r>
          <w:r>
            <w:rPr>
              <w:rFonts w:ascii="Times New Roman" w:hAnsi="Times New Roman" w:cs="Times New Roman"/>
              <w:sz w:val="24"/>
              <w:szCs w:val="24"/>
            </w:rPr>
            <w:t>26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3A99892">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"_Toc236678297" </w:instrText>
          </w:r>
          <w:r>
            <w:fldChar w:fldCharType="separate"/>
          </w:r>
          <w:r>
            <w:rPr>
              <w:rStyle w:val="12"/>
              <w:rFonts w:ascii="Times New Roman" w:hAnsi="Times New Roman" w:cs="Times New Roman"/>
              <w:color w:val="auto"/>
              <w:sz w:val="24"/>
              <w:szCs w:val="24"/>
            </w:rPr>
            <w:t>6.3 Contribution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_Toc236678297 \h </w:instrText>
          </w:r>
          <w:r>
            <w:rPr>
              <w:rFonts w:ascii="Times New Roman" w:hAnsi="Times New Roman" w:cs="Times New Roman"/>
              <w:sz w:val="24"/>
              <w:szCs w:val="24"/>
            </w:rPr>
            <w:fldChar w:fldCharType="separate"/>
          </w:r>
          <w:r>
            <w:rPr>
              <w:rFonts w:ascii="Times New Roman" w:hAnsi="Times New Roman" w:cs="Times New Roman"/>
              <w:sz w:val="24"/>
              <w:szCs w:val="24"/>
            </w:rPr>
            <w:t>26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C4F1A84">
          <w:pPr>
            <w:pStyle w:val="18"/>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"_Toc236678298" </w:instrText>
          </w:r>
          <w:r>
            <w:fldChar w:fldCharType="separate"/>
          </w:r>
          <w:r>
            <w:rPr>
              <w:rStyle w:val="12"/>
              <w:rFonts w:ascii="Times New Roman" w:hAnsi="Times New Roman" w:cs="Times New Roman"/>
              <w:color w:val="auto"/>
              <w:sz w:val="24"/>
              <w:szCs w:val="24"/>
            </w:rPr>
            <w:t>6.4 Professional and Ethical Reflection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_Toc236678298 \h </w:instrText>
          </w:r>
          <w:r>
            <w:rPr>
              <w:rFonts w:ascii="Times New Roman" w:hAnsi="Times New Roman" w:cs="Times New Roman"/>
              <w:sz w:val="24"/>
              <w:szCs w:val="24"/>
            </w:rPr>
            <w:fldChar w:fldCharType="separate"/>
          </w:r>
          <w:r>
            <w:rPr>
              <w:rFonts w:ascii="Times New Roman" w:hAnsi="Times New Roman" w:cs="Times New Roman"/>
              <w:sz w:val="24"/>
              <w:szCs w:val="24"/>
            </w:rPr>
            <w:t>27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1B90F00">
          <w:pPr>
            <w:pStyle w:val="17"/>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"_Toc236678299" </w:instrText>
          </w:r>
          <w:r>
            <w:fldChar w:fldCharType="separate"/>
          </w:r>
          <w:r>
            <w:rPr>
              <w:rStyle w:val="12"/>
              <w:rFonts w:ascii="Times New Roman" w:hAnsi="Times New Roman" w:cs="Times New Roman"/>
              <w:color w:val="auto"/>
              <w:sz w:val="24"/>
              <w:szCs w:val="24"/>
            </w:rPr>
            <w:t>7. 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_Toc236678299 \h </w:instrText>
          </w:r>
          <w:r>
            <w:rPr>
              <w:rFonts w:ascii="Times New Roman" w:hAnsi="Times New Roman" w:cs="Times New Roman"/>
              <w:sz w:val="24"/>
              <w:szCs w:val="24"/>
            </w:rPr>
            <w:fldChar w:fldCharType="separate"/>
          </w:r>
          <w:r>
            <w:rPr>
              <w:rFonts w:ascii="Times New Roman" w:hAnsi="Times New Roman" w:cs="Times New Roman"/>
              <w:sz w:val="24"/>
              <w:szCs w:val="24"/>
            </w:rPr>
            <w:t>27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3812CB3">
          <w:pPr>
            <w:pStyle w:val="17"/>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"_Toc236678300" </w:instrText>
          </w:r>
          <w:r>
            <w:fldChar w:fldCharType="separate"/>
          </w:r>
          <w:r>
            <w:rPr>
              <w:rStyle w:val="12"/>
              <w:rFonts w:ascii="Times New Roman" w:hAnsi="Times New Roman" w:cs="Times New Roman"/>
              <w:color w:val="auto"/>
              <w:sz w:val="24"/>
              <w:szCs w:val="24"/>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_Toc236678300 \h </w:instrText>
          </w:r>
          <w:r>
            <w:rPr>
              <w:rFonts w:ascii="Times New Roman" w:hAnsi="Times New Roman" w:cs="Times New Roman"/>
              <w:sz w:val="24"/>
              <w:szCs w:val="24"/>
            </w:rPr>
            <w:fldChar w:fldCharType="separate"/>
          </w:r>
          <w:r>
            <w:rPr>
              <w:rFonts w:ascii="Times New Roman" w:hAnsi="Times New Roman" w:cs="Times New Roman"/>
              <w:sz w:val="24"/>
              <w:szCs w:val="24"/>
            </w:rPr>
            <w:t>28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65F5F03">
          <w:pPr>
            <w:spacing w:line="360" w:lineRule="auto"/>
            <w:jc w:val="both"/>
          </w:pPr>
          <w:r>
            <w:rPr>
              <w:rFonts w:ascii="Times New Roman" w:hAnsi="Times New Roman" w:cs="Times New Roman"/>
              <w:b/>
              <w:bCs/>
              <w:sz w:val="24"/>
              <w:szCs w:val="24"/>
            </w:rPr>
            <w:fldChar w:fldCharType="end"/>
          </w:r>
        </w:p>
      </w:sdtContent>
    </w:sdt>
    <w:p w14:paraId="199F330A">
      <w:pPr>
        <w:rPr>
          <w:rFonts w:ascii="Times New Roman" w:hAnsi="Times New Roman" w:eastAsia="Times New Roman" w:cs="Times New Roman"/>
          <w:b/>
          <w:bCs/>
          <w:sz w:val="28"/>
          <w:szCs w:val="28"/>
        </w:rPr>
      </w:pPr>
      <w:r>
        <w:br w:type="page"/>
      </w:r>
    </w:p>
    <w:p w14:paraId="5A6F226F">
      <w:pPr>
        <w:pStyle w:val="2"/>
      </w:pPr>
      <w:bookmarkStart w:id="1" w:name="_Toc236678263"/>
      <w:r>
        <w:t>1. Introduction</w:t>
      </w:r>
      <w:bookmarkEnd w:id="1"/>
      <w:r>
        <w:t xml:space="preserve"> </w:t>
      </w:r>
    </w:p>
    <w:p w14:paraId="7488E78B">
      <w:pPr>
        <w:pStyle w:val="3"/>
      </w:pPr>
      <w:bookmarkStart w:id="2" w:name="_heading=h.prlyqb7t4i70" w:colFirst="0" w:colLast="0"/>
      <w:bookmarkEnd w:id="2"/>
      <w:bookmarkStart w:id="3" w:name="_Toc236678264"/>
      <w:r>
        <w:t>1.1 Company Background</w:t>
      </w:r>
      <w:bookmarkEnd w:id="3"/>
      <w:r>
        <w:t xml:space="preserve"> </w:t>
      </w:r>
    </w:p>
    <w:p w14:paraId="4327BCED">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Marriott international is a large hospitality enterprise in the world, with a total of over 9,900 properties operating in over 30 hotel brands in 146 countries and regions. The company was founded in 1927 by J. Willard Marriott and Alice Marriott and has evolved into an asset-light business model, which deals with hotel management, franchising and licensing. Marriott caters to a wide range of markets, such as luxury, premium, select-service, extended-stay and timeshare hotels, allowing it to cover a wide market worldwide. With its growing Forward strategy and Serve 360 sustainability platform, Marriott strives to create long-term value by achieving operational excellence, responsible business practices and continuous global growth (Marriott International, 2025).</w:t>
      </w:r>
    </w:p>
    <w:p w14:paraId="6687ACA2">
      <w:pPr>
        <w:pStyle w:val="3"/>
      </w:pPr>
      <w:bookmarkStart w:id="4" w:name="_heading=h.hr0ibkhtxmvu" w:colFirst="0" w:colLast="0"/>
      <w:bookmarkEnd w:id="4"/>
      <w:bookmarkStart w:id="5" w:name="_Toc236678265"/>
      <w:r>
        <w:t>1.2 Purpose of the Report</w:t>
      </w:r>
      <w:bookmarkEnd w:id="5"/>
    </w:p>
    <w:p w14:paraId="7DF6A933">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report assesses the financial performance of Marriott International in the last five years in terms of ratio and trend. It evaluates liquidity, management of working capital, financial restructuring plans and methods of investment appraisal to propose financially sustainable decisions to maximize shareholder value and long-term corporate performance.</w:t>
      </w:r>
    </w:p>
    <w:p w14:paraId="7AC60E5F">
      <w:pPr>
        <w:pStyle w:val="3"/>
      </w:pPr>
      <w:bookmarkStart w:id="6" w:name="_heading=h.kmsl8ka1s1nr" w:colFirst="0" w:colLast="0"/>
      <w:bookmarkEnd w:id="6"/>
      <w:bookmarkStart w:id="7" w:name="_Toc236678266"/>
      <w:r>
        <w:t>1.3 Sources of Data and Method</w:t>
      </w:r>
      <w:bookmarkEnd w:id="7"/>
      <w:r>
        <w:t xml:space="preserve"> </w:t>
      </w:r>
    </w:p>
    <w:p w14:paraId="1B2254AA">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analysis will be conducted using Annual Reports of Marriott International (2021-2025), and background information provided in secondary sources (Yahoo Finance, Statista and reports on the hospitality industry). Ratio analysis of profitability, liquidity, efficiency, gearing, investment and cash flow is used to assess financial performance. Trend analysis is used to determine performance trends within a period of five years and liquidity ratios are compared with the industry standards. To analyze capital investment options and aid strategic financial decision making, investment appraisal methods, such as Payback Period, ARR, NPV, PI and IRR are used.</w:t>
      </w:r>
    </w:p>
    <w:p w14:paraId="118A63A8">
      <w:pPr>
        <w:spacing w:before="240" w:after="240" w:line="360" w:lineRule="auto"/>
        <w:jc w:val="both"/>
        <w:rPr>
          <w:rFonts w:ascii="Times New Roman" w:hAnsi="Times New Roman" w:eastAsia="Times New Roman" w:cs="Times New Roman"/>
          <w:sz w:val="24"/>
          <w:szCs w:val="24"/>
        </w:rPr>
      </w:pPr>
    </w:p>
    <w:p w14:paraId="59E3C754">
      <w:pPr>
        <w:spacing w:before="240" w:after="240" w:line="360" w:lineRule="auto"/>
        <w:jc w:val="both"/>
        <w:rPr>
          <w:rFonts w:ascii="Times New Roman" w:hAnsi="Times New Roman" w:eastAsia="Times New Roman" w:cs="Times New Roman"/>
          <w:sz w:val="24"/>
          <w:szCs w:val="24"/>
        </w:rPr>
      </w:pPr>
    </w:p>
    <w:p w14:paraId="0F16C4DE">
      <w:pPr>
        <w:pStyle w:val="2"/>
      </w:pPr>
      <w:bookmarkStart w:id="8" w:name="_heading=h.n1my8acry4r" w:colFirst="0" w:colLast="0"/>
      <w:bookmarkEnd w:id="8"/>
      <w:bookmarkStart w:id="9" w:name="_Toc236678267"/>
      <w:r>
        <w:t>2. Financial Health Check</w:t>
      </w:r>
      <w:bookmarkEnd w:id="9"/>
    </w:p>
    <w:p w14:paraId="778B3A95">
      <w:pPr>
        <w:pStyle w:val="3"/>
      </w:pPr>
      <w:bookmarkStart w:id="10" w:name="_heading=h.8l879qxi1aks" w:colFirst="0" w:colLast="0"/>
      <w:bookmarkEnd w:id="10"/>
      <w:bookmarkStart w:id="11" w:name="_Toc236678268"/>
      <w:r>
        <w:t>2.1 Five-Year Financial Performance Overview</w:t>
      </w:r>
      <w:bookmarkEnd w:id="11"/>
      <w:r>
        <w:t xml:space="preserve"> </w:t>
      </w:r>
    </w:p>
    <w:p w14:paraId="33536057">
      <w:pPr>
        <w:spacing w:before="240" w:after="240" w:line="360" w:lineRule="auto"/>
        <w:jc w:val="both"/>
        <w:rPr>
          <w:rFonts w:ascii="Times New Roman" w:hAnsi="Times New Roman" w:eastAsia="Times New Roman" w:cs="Times New Roman"/>
          <w:b/>
          <w:bCs/>
          <w:i w:val="0"/>
          <w:iCs w:val="0"/>
          <w:sz w:val="24"/>
          <w:szCs w:val="24"/>
        </w:rPr>
      </w:pPr>
      <w:r>
        <w:rPr>
          <w:rFonts w:ascii="Times New Roman" w:hAnsi="Times New Roman" w:eastAsia="Times New Roman" w:cs="Times New Roman"/>
          <w:b/>
          <w:bCs/>
          <w:i w:val="0"/>
          <w:iCs w:val="0"/>
          <w:sz w:val="24"/>
          <w:szCs w:val="24"/>
        </w:rPr>
        <w:t>Income Statement Analysis</w:t>
      </w:r>
    </w:p>
    <w:p w14:paraId="5E3D4085">
      <w:pPr>
        <w:spacing w:before="240" w:after="240" w:line="360" w:lineRule="auto"/>
        <w:jc w:val="both"/>
        <w:rPr>
          <w:rFonts w:hint="default" w:ascii="Times New Roman" w:hAnsi="Times New Roman" w:eastAsia="Times New Roman" w:cs="Times New Roman"/>
          <w:b w:val="0"/>
          <w:bCs w:val="0"/>
          <w:i w:val="0"/>
          <w:iCs w:val="0"/>
          <w:sz w:val="24"/>
          <w:szCs w:val="24"/>
          <w:lang w:val="en-IN"/>
        </w:rPr>
      </w:pPr>
      <w:r>
        <w:rPr>
          <w:rFonts w:hint="default" w:ascii="Times New Roman" w:hAnsi="Times New Roman" w:eastAsia="Times New Roman" w:cs="Times New Roman"/>
          <w:b w:val="0"/>
          <w:bCs w:val="0"/>
          <w:i w:val="0"/>
          <w:iCs w:val="0"/>
          <w:sz w:val="24"/>
          <w:szCs w:val="24"/>
        </w:rPr>
        <w:t>The income statement of Marriott International indicates a high degree of improvement in the overall financial performance of the company from 2021 to 2025. Total income for the firm grew from $13.857 billion in 2021 to $26.186 billion in 2025, indicating an improvement in franchise fees income, management fees income, income from owned and leased property as well as cost reimbursement income. The company’s operating income increased from $1.750 billion in 2021 to $4.141 billion in 2025, but the company experienced a drop from $3.864 billion in 2023 to $3.767 billion in 2024. Net income grew from $1.099 billion in 2021 to $3.083 billion in 2023 and then fell to $2.375 billion in 2024, and later increased to $2.601 billion in 2025.</w:t>
      </w:r>
      <w:r>
        <w:rPr>
          <w:rFonts w:hint="default" w:ascii="Times New Roman" w:hAnsi="Times New Roman" w:eastAsia="Times New Roman" w:cs="Times New Roman"/>
          <w:b w:val="0"/>
          <w:bCs w:val="0"/>
          <w:i w:val="0"/>
          <w:iCs w:val="0"/>
          <w:sz w:val="24"/>
          <w:szCs w:val="24"/>
          <w:lang w:val="en-IN"/>
        </w:rPr>
        <w:t>(Income statement 2021-2025)</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5"/>
        <w:gridCol w:w="1486"/>
        <w:gridCol w:w="1486"/>
        <w:gridCol w:w="1486"/>
        <w:gridCol w:w="1486"/>
        <w:gridCol w:w="1486"/>
      </w:tblGrid>
      <w:tr w14:paraId="7A32D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40" w:type="dxa"/>
            <w:vAlign w:val="center"/>
          </w:tcPr>
          <w:p w14:paraId="41496F3B">
            <w:pPr>
              <w:keepNext w:val="0"/>
              <w:keepLines w:val="0"/>
              <w:widowControl/>
              <w:numPr>
                <w:ilvl w:val="0"/>
                <w:numId w:val="0"/>
              </w:numPr>
              <w:suppressLineNumbers w:val="0"/>
              <w:spacing w:line="240" w:lineRule="auto"/>
              <w:ind w:left="0" w:leftChars="0" w:firstLine="0" w:firstLineChars="0"/>
              <w:jc w:val="center"/>
              <w:rPr>
                <w:rFonts w:hint="default" w:ascii="Arial" w:hAnsi="Arial" w:eastAsia="Times New Roman" w:cs="Arial"/>
                <w:sz w:val="21"/>
                <w:szCs w:val="21"/>
                <w:vertAlign w:val="baseline"/>
              </w:rPr>
            </w:pPr>
            <w:r>
              <w:rPr>
                <w:rFonts w:hint="default" w:ascii="Arial" w:hAnsi="Arial" w:eastAsia="SimSun" w:cs="Arial"/>
                <w:b/>
                <w:bCs/>
                <w:kern w:val="0"/>
                <w:sz w:val="21"/>
                <w:szCs w:val="21"/>
                <w:lang w:val="en-US" w:eastAsia="zh-CN" w:bidi="ar"/>
              </w:rPr>
              <w:t>Income Statement Item</w:t>
            </w:r>
          </w:p>
        </w:tc>
        <w:tc>
          <w:tcPr>
            <w:tcW w:w="1541" w:type="dxa"/>
            <w:vAlign w:val="center"/>
          </w:tcPr>
          <w:p w14:paraId="495FC2CC">
            <w:pPr>
              <w:keepNext w:val="0"/>
              <w:keepLines w:val="0"/>
              <w:widowControl/>
              <w:numPr>
                <w:ilvl w:val="0"/>
                <w:numId w:val="0"/>
              </w:numPr>
              <w:suppressLineNumbers w:val="0"/>
              <w:spacing w:line="240" w:lineRule="auto"/>
              <w:ind w:left="0" w:leftChars="0" w:firstLine="0" w:firstLineChars="0"/>
              <w:jc w:val="center"/>
              <w:rPr>
                <w:rFonts w:hint="default" w:ascii="Arial" w:hAnsi="Arial" w:eastAsia="Times New Roman" w:cs="Arial"/>
                <w:sz w:val="21"/>
                <w:szCs w:val="21"/>
                <w:vertAlign w:val="baseline"/>
              </w:rPr>
            </w:pPr>
            <w:r>
              <w:rPr>
                <w:rFonts w:hint="default" w:ascii="Arial" w:hAnsi="Arial" w:eastAsia="SimSun" w:cs="Arial"/>
                <w:b/>
                <w:bCs/>
                <w:kern w:val="0"/>
                <w:sz w:val="21"/>
                <w:szCs w:val="21"/>
                <w:lang w:val="en-US" w:eastAsia="zh-CN" w:bidi="ar"/>
              </w:rPr>
              <w:t>2021</w:t>
            </w:r>
          </w:p>
        </w:tc>
        <w:tc>
          <w:tcPr>
            <w:tcW w:w="1541" w:type="dxa"/>
            <w:vAlign w:val="center"/>
          </w:tcPr>
          <w:p w14:paraId="624EA3AD">
            <w:pPr>
              <w:keepNext w:val="0"/>
              <w:keepLines w:val="0"/>
              <w:widowControl/>
              <w:numPr>
                <w:ilvl w:val="0"/>
                <w:numId w:val="0"/>
              </w:numPr>
              <w:suppressLineNumbers w:val="0"/>
              <w:spacing w:line="240" w:lineRule="auto"/>
              <w:ind w:left="0" w:leftChars="0" w:firstLine="0" w:firstLineChars="0"/>
              <w:jc w:val="center"/>
              <w:rPr>
                <w:rFonts w:hint="default" w:ascii="Arial" w:hAnsi="Arial" w:eastAsia="Times New Roman" w:cs="Arial"/>
                <w:sz w:val="21"/>
                <w:szCs w:val="21"/>
                <w:vertAlign w:val="baseline"/>
              </w:rPr>
            </w:pPr>
            <w:r>
              <w:rPr>
                <w:rFonts w:hint="default" w:ascii="Arial" w:hAnsi="Arial" w:eastAsia="SimSun" w:cs="Arial"/>
                <w:b/>
                <w:bCs/>
                <w:kern w:val="0"/>
                <w:sz w:val="21"/>
                <w:szCs w:val="21"/>
                <w:lang w:val="en-US" w:eastAsia="zh-CN" w:bidi="ar"/>
              </w:rPr>
              <w:t>2022</w:t>
            </w:r>
          </w:p>
        </w:tc>
        <w:tc>
          <w:tcPr>
            <w:tcW w:w="1541" w:type="dxa"/>
            <w:vAlign w:val="center"/>
          </w:tcPr>
          <w:p w14:paraId="589A548E">
            <w:pPr>
              <w:keepNext w:val="0"/>
              <w:keepLines w:val="0"/>
              <w:widowControl/>
              <w:numPr>
                <w:ilvl w:val="0"/>
                <w:numId w:val="0"/>
              </w:numPr>
              <w:suppressLineNumbers w:val="0"/>
              <w:spacing w:line="240" w:lineRule="auto"/>
              <w:ind w:left="0" w:leftChars="0" w:firstLine="0" w:firstLineChars="0"/>
              <w:jc w:val="center"/>
              <w:rPr>
                <w:rFonts w:hint="default" w:ascii="Arial" w:hAnsi="Arial" w:eastAsia="Times New Roman" w:cs="Arial"/>
                <w:sz w:val="21"/>
                <w:szCs w:val="21"/>
                <w:vertAlign w:val="baseline"/>
              </w:rPr>
            </w:pPr>
            <w:r>
              <w:rPr>
                <w:rFonts w:hint="default" w:ascii="Arial" w:hAnsi="Arial" w:eastAsia="SimSun" w:cs="Arial"/>
                <w:b/>
                <w:bCs/>
                <w:kern w:val="0"/>
                <w:sz w:val="21"/>
                <w:szCs w:val="21"/>
                <w:lang w:val="en-US" w:eastAsia="zh-CN" w:bidi="ar"/>
              </w:rPr>
              <w:t>2023</w:t>
            </w:r>
          </w:p>
        </w:tc>
        <w:tc>
          <w:tcPr>
            <w:tcW w:w="1541" w:type="dxa"/>
            <w:vAlign w:val="center"/>
          </w:tcPr>
          <w:p w14:paraId="1C654F2C">
            <w:pPr>
              <w:keepNext w:val="0"/>
              <w:keepLines w:val="0"/>
              <w:widowControl/>
              <w:numPr>
                <w:ilvl w:val="0"/>
                <w:numId w:val="0"/>
              </w:numPr>
              <w:suppressLineNumbers w:val="0"/>
              <w:spacing w:line="240" w:lineRule="auto"/>
              <w:ind w:left="0" w:leftChars="0" w:firstLine="0" w:firstLineChars="0"/>
              <w:jc w:val="center"/>
              <w:rPr>
                <w:rFonts w:hint="default" w:ascii="Arial" w:hAnsi="Arial" w:eastAsia="Times New Roman" w:cs="Arial"/>
                <w:sz w:val="21"/>
                <w:szCs w:val="21"/>
                <w:vertAlign w:val="baseline"/>
              </w:rPr>
            </w:pPr>
            <w:r>
              <w:rPr>
                <w:rFonts w:hint="default" w:ascii="Arial" w:hAnsi="Arial" w:eastAsia="SimSun" w:cs="Arial"/>
                <w:b/>
                <w:bCs/>
                <w:kern w:val="0"/>
                <w:sz w:val="21"/>
                <w:szCs w:val="21"/>
                <w:lang w:val="en-US" w:eastAsia="zh-CN" w:bidi="ar"/>
              </w:rPr>
              <w:t>2024</w:t>
            </w:r>
          </w:p>
        </w:tc>
        <w:tc>
          <w:tcPr>
            <w:tcW w:w="1541" w:type="dxa"/>
            <w:vAlign w:val="center"/>
          </w:tcPr>
          <w:p w14:paraId="4E4BCA19">
            <w:pPr>
              <w:keepNext w:val="0"/>
              <w:keepLines w:val="0"/>
              <w:widowControl/>
              <w:numPr>
                <w:ilvl w:val="0"/>
                <w:numId w:val="0"/>
              </w:numPr>
              <w:suppressLineNumbers w:val="0"/>
              <w:spacing w:line="240" w:lineRule="auto"/>
              <w:ind w:left="0" w:leftChars="0" w:firstLine="0" w:firstLineChars="0"/>
              <w:jc w:val="center"/>
              <w:rPr>
                <w:rFonts w:hint="default" w:ascii="Arial" w:hAnsi="Arial" w:eastAsia="Times New Roman" w:cs="Arial"/>
                <w:sz w:val="21"/>
                <w:szCs w:val="21"/>
                <w:vertAlign w:val="baseline"/>
              </w:rPr>
            </w:pPr>
            <w:r>
              <w:rPr>
                <w:rFonts w:hint="default" w:ascii="Arial" w:hAnsi="Arial" w:eastAsia="SimSun" w:cs="Arial"/>
                <w:b/>
                <w:bCs/>
                <w:kern w:val="0"/>
                <w:sz w:val="21"/>
                <w:szCs w:val="21"/>
                <w:lang w:val="en-US" w:eastAsia="zh-CN" w:bidi="ar"/>
              </w:rPr>
              <w:t>2025</w:t>
            </w:r>
          </w:p>
        </w:tc>
      </w:tr>
      <w:tr w14:paraId="775B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34A8629">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REVENUES</w:t>
            </w:r>
          </w:p>
        </w:tc>
        <w:tc>
          <w:tcPr>
            <w:tcW w:w="1541" w:type="dxa"/>
            <w:vAlign w:val="center"/>
          </w:tcPr>
          <w:p w14:paraId="77A5D050">
            <w:pPr>
              <w:widowControl w:val="0"/>
              <w:numPr>
                <w:ilvl w:val="0"/>
                <w:numId w:val="0"/>
              </w:numPr>
              <w:spacing w:line="240" w:lineRule="auto"/>
              <w:ind w:left="0" w:leftChars="0" w:firstLine="0" w:firstLineChars="0"/>
              <w:jc w:val="right"/>
              <w:rPr>
                <w:rFonts w:hint="default" w:ascii="Arial" w:hAnsi="Arial" w:eastAsia="Times New Roman" w:cs="Arial"/>
                <w:sz w:val="21"/>
                <w:szCs w:val="21"/>
                <w:vertAlign w:val="baseline"/>
              </w:rPr>
            </w:pPr>
          </w:p>
        </w:tc>
        <w:tc>
          <w:tcPr>
            <w:tcW w:w="1541" w:type="dxa"/>
            <w:vAlign w:val="center"/>
          </w:tcPr>
          <w:p w14:paraId="7B27FDCD">
            <w:pPr>
              <w:widowControl w:val="0"/>
              <w:numPr>
                <w:ilvl w:val="0"/>
                <w:numId w:val="0"/>
              </w:numPr>
              <w:spacing w:line="240" w:lineRule="auto"/>
              <w:ind w:left="0" w:leftChars="0" w:firstLine="0" w:firstLineChars="0"/>
              <w:jc w:val="right"/>
              <w:rPr>
                <w:rFonts w:hint="default" w:ascii="Arial" w:hAnsi="Arial" w:eastAsia="Times New Roman" w:cs="Arial"/>
                <w:sz w:val="21"/>
                <w:szCs w:val="21"/>
                <w:vertAlign w:val="baseline"/>
              </w:rPr>
            </w:pPr>
          </w:p>
        </w:tc>
        <w:tc>
          <w:tcPr>
            <w:tcW w:w="1541" w:type="dxa"/>
            <w:vAlign w:val="center"/>
          </w:tcPr>
          <w:p w14:paraId="3B4CA542">
            <w:pPr>
              <w:widowControl w:val="0"/>
              <w:numPr>
                <w:ilvl w:val="0"/>
                <w:numId w:val="0"/>
              </w:numPr>
              <w:spacing w:line="240" w:lineRule="auto"/>
              <w:ind w:left="0" w:leftChars="0" w:firstLine="0" w:firstLineChars="0"/>
              <w:jc w:val="right"/>
              <w:rPr>
                <w:rFonts w:hint="default" w:ascii="Arial" w:hAnsi="Arial" w:eastAsia="Times New Roman" w:cs="Arial"/>
                <w:sz w:val="21"/>
                <w:szCs w:val="21"/>
                <w:vertAlign w:val="baseline"/>
              </w:rPr>
            </w:pPr>
          </w:p>
        </w:tc>
        <w:tc>
          <w:tcPr>
            <w:tcW w:w="1541" w:type="dxa"/>
            <w:vAlign w:val="center"/>
          </w:tcPr>
          <w:p w14:paraId="65E60279">
            <w:pPr>
              <w:widowControl w:val="0"/>
              <w:numPr>
                <w:ilvl w:val="0"/>
                <w:numId w:val="0"/>
              </w:numPr>
              <w:spacing w:line="240" w:lineRule="auto"/>
              <w:ind w:left="0" w:leftChars="0" w:firstLine="0" w:firstLineChars="0"/>
              <w:jc w:val="right"/>
              <w:rPr>
                <w:rFonts w:hint="default" w:ascii="Arial" w:hAnsi="Arial" w:eastAsia="Times New Roman" w:cs="Arial"/>
                <w:sz w:val="21"/>
                <w:szCs w:val="21"/>
                <w:vertAlign w:val="baseline"/>
              </w:rPr>
            </w:pPr>
          </w:p>
        </w:tc>
        <w:tc>
          <w:tcPr>
            <w:tcW w:w="1541" w:type="dxa"/>
            <w:vAlign w:val="center"/>
          </w:tcPr>
          <w:p w14:paraId="1B01E9EA">
            <w:pPr>
              <w:widowControl w:val="0"/>
              <w:numPr>
                <w:ilvl w:val="0"/>
                <w:numId w:val="0"/>
              </w:numPr>
              <w:spacing w:line="240" w:lineRule="auto"/>
              <w:ind w:left="0" w:leftChars="0" w:firstLine="0" w:firstLineChars="0"/>
              <w:jc w:val="right"/>
              <w:rPr>
                <w:rFonts w:hint="default" w:ascii="Arial" w:hAnsi="Arial" w:eastAsia="Times New Roman" w:cs="Arial"/>
                <w:sz w:val="21"/>
                <w:szCs w:val="21"/>
                <w:vertAlign w:val="baseline"/>
              </w:rPr>
            </w:pPr>
          </w:p>
        </w:tc>
      </w:tr>
      <w:tr w14:paraId="1253C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371BBB0">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Franchise fees</w:t>
            </w:r>
          </w:p>
        </w:tc>
        <w:tc>
          <w:tcPr>
            <w:tcW w:w="1541" w:type="dxa"/>
            <w:vAlign w:val="center"/>
          </w:tcPr>
          <w:p w14:paraId="6A7B0382">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1,790</w:t>
            </w:r>
          </w:p>
        </w:tc>
        <w:tc>
          <w:tcPr>
            <w:tcW w:w="1541" w:type="dxa"/>
            <w:vAlign w:val="center"/>
          </w:tcPr>
          <w:p w14:paraId="7D935DC3">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2,505</w:t>
            </w:r>
          </w:p>
        </w:tc>
        <w:tc>
          <w:tcPr>
            <w:tcW w:w="1541" w:type="dxa"/>
            <w:vAlign w:val="center"/>
          </w:tcPr>
          <w:p w14:paraId="1B4B1A43">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2,831</w:t>
            </w:r>
          </w:p>
        </w:tc>
        <w:tc>
          <w:tcPr>
            <w:tcW w:w="1541" w:type="dxa"/>
            <w:vAlign w:val="center"/>
          </w:tcPr>
          <w:p w14:paraId="4BA0ACD7">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3,113</w:t>
            </w:r>
          </w:p>
        </w:tc>
        <w:tc>
          <w:tcPr>
            <w:tcW w:w="1541" w:type="dxa"/>
            <w:vAlign w:val="center"/>
          </w:tcPr>
          <w:p w14:paraId="63D82D17">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3,325</w:t>
            </w:r>
          </w:p>
        </w:tc>
      </w:tr>
      <w:tr w14:paraId="020A5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15E2547D">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Base management fees</w:t>
            </w:r>
          </w:p>
        </w:tc>
        <w:tc>
          <w:tcPr>
            <w:tcW w:w="1541" w:type="dxa"/>
            <w:vAlign w:val="center"/>
          </w:tcPr>
          <w:p w14:paraId="53EA7059">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669</w:t>
            </w:r>
          </w:p>
        </w:tc>
        <w:tc>
          <w:tcPr>
            <w:tcW w:w="1541" w:type="dxa"/>
            <w:vAlign w:val="center"/>
          </w:tcPr>
          <w:p w14:paraId="3098C748">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1,044</w:t>
            </w:r>
          </w:p>
        </w:tc>
        <w:tc>
          <w:tcPr>
            <w:tcW w:w="1541" w:type="dxa"/>
            <w:vAlign w:val="center"/>
          </w:tcPr>
          <w:p w14:paraId="44E7A4F6">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1,238</w:t>
            </w:r>
          </w:p>
        </w:tc>
        <w:tc>
          <w:tcPr>
            <w:tcW w:w="1541" w:type="dxa"/>
            <w:vAlign w:val="center"/>
          </w:tcPr>
          <w:p w14:paraId="50D54320">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1,288</w:t>
            </w:r>
          </w:p>
        </w:tc>
        <w:tc>
          <w:tcPr>
            <w:tcW w:w="1541" w:type="dxa"/>
            <w:vAlign w:val="center"/>
          </w:tcPr>
          <w:p w14:paraId="4DF3852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1,322</w:t>
            </w:r>
          </w:p>
        </w:tc>
      </w:tr>
      <w:tr w14:paraId="5F87C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07B88D22">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Incentive management fees</w:t>
            </w:r>
          </w:p>
        </w:tc>
        <w:tc>
          <w:tcPr>
            <w:tcW w:w="1541" w:type="dxa"/>
            <w:vAlign w:val="center"/>
          </w:tcPr>
          <w:p w14:paraId="049BAF9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235</w:t>
            </w:r>
          </w:p>
        </w:tc>
        <w:tc>
          <w:tcPr>
            <w:tcW w:w="1541" w:type="dxa"/>
            <w:vAlign w:val="center"/>
          </w:tcPr>
          <w:p w14:paraId="7443DB7D">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529</w:t>
            </w:r>
          </w:p>
        </w:tc>
        <w:tc>
          <w:tcPr>
            <w:tcW w:w="1541" w:type="dxa"/>
            <w:vAlign w:val="center"/>
          </w:tcPr>
          <w:p w14:paraId="75E4D9BF">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755</w:t>
            </w:r>
          </w:p>
        </w:tc>
        <w:tc>
          <w:tcPr>
            <w:tcW w:w="1541" w:type="dxa"/>
            <w:vAlign w:val="center"/>
          </w:tcPr>
          <w:p w14:paraId="6F912EB7">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769</w:t>
            </w:r>
          </w:p>
        </w:tc>
        <w:tc>
          <w:tcPr>
            <w:tcW w:w="1541" w:type="dxa"/>
            <w:vAlign w:val="center"/>
          </w:tcPr>
          <w:p w14:paraId="5AD83D15">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791</w:t>
            </w:r>
          </w:p>
        </w:tc>
      </w:tr>
      <w:tr w14:paraId="798F0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33DF77E">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Gross fee revenues</w:t>
            </w:r>
          </w:p>
        </w:tc>
        <w:tc>
          <w:tcPr>
            <w:tcW w:w="1541" w:type="dxa"/>
            <w:vAlign w:val="center"/>
          </w:tcPr>
          <w:p w14:paraId="43598A3B">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2,694</w:t>
            </w:r>
          </w:p>
        </w:tc>
        <w:tc>
          <w:tcPr>
            <w:tcW w:w="1541" w:type="dxa"/>
            <w:vAlign w:val="center"/>
          </w:tcPr>
          <w:p w14:paraId="07D1C170">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4,078</w:t>
            </w:r>
          </w:p>
        </w:tc>
        <w:tc>
          <w:tcPr>
            <w:tcW w:w="1541" w:type="dxa"/>
            <w:vAlign w:val="center"/>
          </w:tcPr>
          <w:p w14:paraId="282AD720">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4,824</w:t>
            </w:r>
          </w:p>
        </w:tc>
        <w:tc>
          <w:tcPr>
            <w:tcW w:w="1541" w:type="dxa"/>
            <w:vAlign w:val="center"/>
          </w:tcPr>
          <w:p w14:paraId="0CA331E2">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5,170</w:t>
            </w:r>
          </w:p>
        </w:tc>
        <w:tc>
          <w:tcPr>
            <w:tcW w:w="1541" w:type="dxa"/>
            <w:vAlign w:val="center"/>
          </w:tcPr>
          <w:p w14:paraId="34172485">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5,438</w:t>
            </w:r>
          </w:p>
        </w:tc>
      </w:tr>
      <w:tr w14:paraId="2939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07A93D77">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Contract investment amortization</w:t>
            </w:r>
          </w:p>
        </w:tc>
        <w:tc>
          <w:tcPr>
            <w:tcW w:w="1541" w:type="dxa"/>
            <w:vAlign w:val="center"/>
          </w:tcPr>
          <w:p w14:paraId="0B022C18">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(75)</w:t>
            </w:r>
          </w:p>
        </w:tc>
        <w:tc>
          <w:tcPr>
            <w:tcW w:w="1541" w:type="dxa"/>
            <w:vAlign w:val="center"/>
          </w:tcPr>
          <w:p w14:paraId="7969F3A9">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(89)</w:t>
            </w:r>
          </w:p>
        </w:tc>
        <w:tc>
          <w:tcPr>
            <w:tcW w:w="1541" w:type="dxa"/>
            <w:vAlign w:val="center"/>
          </w:tcPr>
          <w:p w14:paraId="6986F70C">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(88)</w:t>
            </w:r>
          </w:p>
        </w:tc>
        <w:tc>
          <w:tcPr>
            <w:tcW w:w="1541" w:type="dxa"/>
            <w:vAlign w:val="center"/>
          </w:tcPr>
          <w:p w14:paraId="58BD179E">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(103)</w:t>
            </w:r>
          </w:p>
        </w:tc>
        <w:tc>
          <w:tcPr>
            <w:tcW w:w="1541" w:type="dxa"/>
            <w:vAlign w:val="center"/>
          </w:tcPr>
          <w:p w14:paraId="1B2C72D9">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(135)</w:t>
            </w:r>
          </w:p>
        </w:tc>
      </w:tr>
      <w:tr w14:paraId="6277D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1A435B00">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Net fee revenues</w:t>
            </w:r>
          </w:p>
        </w:tc>
        <w:tc>
          <w:tcPr>
            <w:tcW w:w="1541" w:type="dxa"/>
            <w:vAlign w:val="center"/>
          </w:tcPr>
          <w:p w14:paraId="088409EA">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2,619</w:t>
            </w:r>
          </w:p>
        </w:tc>
        <w:tc>
          <w:tcPr>
            <w:tcW w:w="1541" w:type="dxa"/>
            <w:vAlign w:val="center"/>
          </w:tcPr>
          <w:p w14:paraId="01A7F4B3">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3,989</w:t>
            </w:r>
          </w:p>
        </w:tc>
        <w:tc>
          <w:tcPr>
            <w:tcW w:w="1541" w:type="dxa"/>
            <w:vAlign w:val="center"/>
          </w:tcPr>
          <w:p w14:paraId="78331243">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4,736</w:t>
            </w:r>
          </w:p>
        </w:tc>
        <w:tc>
          <w:tcPr>
            <w:tcW w:w="1541" w:type="dxa"/>
            <w:vAlign w:val="center"/>
          </w:tcPr>
          <w:p w14:paraId="749C73A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5,067</w:t>
            </w:r>
          </w:p>
        </w:tc>
        <w:tc>
          <w:tcPr>
            <w:tcW w:w="1541" w:type="dxa"/>
            <w:vAlign w:val="center"/>
          </w:tcPr>
          <w:p w14:paraId="21094745">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5,303</w:t>
            </w:r>
          </w:p>
        </w:tc>
      </w:tr>
      <w:tr w14:paraId="43E43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790983DD">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Owned, leased, and other revenue</w:t>
            </w:r>
          </w:p>
        </w:tc>
        <w:tc>
          <w:tcPr>
            <w:tcW w:w="1541" w:type="dxa"/>
            <w:vAlign w:val="center"/>
          </w:tcPr>
          <w:p w14:paraId="70ADEAA9">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796</w:t>
            </w:r>
          </w:p>
        </w:tc>
        <w:tc>
          <w:tcPr>
            <w:tcW w:w="1541" w:type="dxa"/>
            <w:vAlign w:val="center"/>
          </w:tcPr>
          <w:p w14:paraId="6383A2E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1,367</w:t>
            </w:r>
          </w:p>
        </w:tc>
        <w:tc>
          <w:tcPr>
            <w:tcW w:w="1541" w:type="dxa"/>
            <w:vAlign w:val="center"/>
          </w:tcPr>
          <w:p w14:paraId="547DFF2E">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1,564</w:t>
            </w:r>
          </w:p>
        </w:tc>
        <w:tc>
          <w:tcPr>
            <w:tcW w:w="1541" w:type="dxa"/>
            <w:vAlign w:val="center"/>
          </w:tcPr>
          <w:p w14:paraId="7D20D0D6">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1,551</w:t>
            </w:r>
          </w:p>
        </w:tc>
        <w:tc>
          <w:tcPr>
            <w:tcW w:w="1541" w:type="dxa"/>
            <w:vAlign w:val="center"/>
          </w:tcPr>
          <w:p w14:paraId="47988DB7">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1,679</w:t>
            </w:r>
          </w:p>
        </w:tc>
      </w:tr>
      <w:tr w14:paraId="4182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0898B4A8">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Cost reimbursement revenue</w:t>
            </w:r>
          </w:p>
        </w:tc>
        <w:tc>
          <w:tcPr>
            <w:tcW w:w="1541" w:type="dxa"/>
            <w:vAlign w:val="center"/>
          </w:tcPr>
          <w:p w14:paraId="7F3C7037">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10,442</w:t>
            </w:r>
          </w:p>
        </w:tc>
        <w:tc>
          <w:tcPr>
            <w:tcW w:w="1541" w:type="dxa"/>
            <w:vAlign w:val="center"/>
          </w:tcPr>
          <w:p w14:paraId="7D45FD2B">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15,417</w:t>
            </w:r>
          </w:p>
        </w:tc>
        <w:tc>
          <w:tcPr>
            <w:tcW w:w="1541" w:type="dxa"/>
            <w:vAlign w:val="center"/>
          </w:tcPr>
          <w:p w14:paraId="6028B57E">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17,413</w:t>
            </w:r>
          </w:p>
        </w:tc>
        <w:tc>
          <w:tcPr>
            <w:tcW w:w="1541" w:type="dxa"/>
            <w:vAlign w:val="center"/>
          </w:tcPr>
          <w:p w14:paraId="29C5F862">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18,482</w:t>
            </w:r>
          </w:p>
        </w:tc>
        <w:tc>
          <w:tcPr>
            <w:tcW w:w="1541" w:type="dxa"/>
            <w:vAlign w:val="center"/>
          </w:tcPr>
          <w:p w14:paraId="116D60D0">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19,204</w:t>
            </w:r>
          </w:p>
        </w:tc>
      </w:tr>
      <w:tr w14:paraId="42DB9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7D88D3E6">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Total Revenues</w:t>
            </w:r>
          </w:p>
        </w:tc>
        <w:tc>
          <w:tcPr>
            <w:tcW w:w="1541" w:type="dxa"/>
            <w:vAlign w:val="center"/>
          </w:tcPr>
          <w:p w14:paraId="5D315C96">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13,857</w:t>
            </w:r>
          </w:p>
        </w:tc>
        <w:tc>
          <w:tcPr>
            <w:tcW w:w="1541" w:type="dxa"/>
            <w:vAlign w:val="center"/>
          </w:tcPr>
          <w:p w14:paraId="7AD855B9">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20,773</w:t>
            </w:r>
          </w:p>
        </w:tc>
        <w:tc>
          <w:tcPr>
            <w:tcW w:w="1541" w:type="dxa"/>
            <w:vAlign w:val="center"/>
          </w:tcPr>
          <w:p w14:paraId="7D408CD3">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23,713</w:t>
            </w:r>
          </w:p>
        </w:tc>
        <w:tc>
          <w:tcPr>
            <w:tcW w:w="1541" w:type="dxa"/>
            <w:vAlign w:val="center"/>
          </w:tcPr>
          <w:p w14:paraId="69F02917">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25,100</w:t>
            </w:r>
          </w:p>
        </w:tc>
        <w:tc>
          <w:tcPr>
            <w:tcW w:w="1541" w:type="dxa"/>
            <w:vAlign w:val="center"/>
          </w:tcPr>
          <w:p w14:paraId="19963620">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26,186</w:t>
            </w:r>
          </w:p>
        </w:tc>
      </w:tr>
      <w:tr w14:paraId="58494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A00A621">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OPERATING COSTS AND EXPENSES</w:t>
            </w:r>
          </w:p>
        </w:tc>
        <w:tc>
          <w:tcPr>
            <w:tcW w:w="1541" w:type="dxa"/>
            <w:vAlign w:val="center"/>
          </w:tcPr>
          <w:p w14:paraId="6EB37A51">
            <w:pPr>
              <w:widowControl w:val="0"/>
              <w:numPr>
                <w:ilvl w:val="0"/>
                <w:numId w:val="0"/>
              </w:numPr>
              <w:spacing w:line="240" w:lineRule="auto"/>
              <w:ind w:left="0" w:leftChars="0" w:firstLine="0" w:firstLineChars="0"/>
              <w:jc w:val="right"/>
              <w:rPr>
                <w:rFonts w:hint="default" w:ascii="Arial" w:hAnsi="Arial" w:eastAsia="Times New Roman" w:cs="Arial"/>
                <w:sz w:val="21"/>
                <w:szCs w:val="21"/>
                <w:vertAlign w:val="baseline"/>
              </w:rPr>
            </w:pPr>
          </w:p>
        </w:tc>
        <w:tc>
          <w:tcPr>
            <w:tcW w:w="1541" w:type="dxa"/>
            <w:vAlign w:val="center"/>
          </w:tcPr>
          <w:p w14:paraId="24BF55D5">
            <w:pPr>
              <w:widowControl w:val="0"/>
              <w:numPr>
                <w:ilvl w:val="0"/>
                <w:numId w:val="0"/>
              </w:numPr>
              <w:spacing w:line="240" w:lineRule="auto"/>
              <w:ind w:left="0" w:leftChars="0" w:firstLine="0" w:firstLineChars="0"/>
              <w:jc w:val="right"/>
              <w:rPr>
                <w:rFonts w:hint="default" w:ascii="Arial" w:hAnsi="Arial" w:eastAsia="Times New Roman" w:cs="Arial"/>
                <w:sz w:val="21"/>
                <w:szCs w:val="21"/>
                <w:vertAlign w:val="baseline"/>
              </w:rPr>
            </w:pPr>
          </w:p>
        </w:tc>
        <w:tc>
          <w:tcPr>
            <w:tcW w:w="1541" w:type="dxa"/>
            <w:vAlign w:val="center"/>
          </w:tcPr>
          <w:p w14:paraId="3ED8AC2F">
            <w:pPr>
              <w:widowControl w:val="0"/>
              <w:numPr>
                <w:ilvl w:val="0"/>
                <w:numId w:val="0"/>
              </w:numPr>
              <w:spacing w:line="240" w:lineRule="auto"/>
              <w:ind w:left="0" w:leftChars="0" w:firstLine="0" w:firstLineChars="0"/>
              <w:jc w:val="right"/>
              <w:rPr>
                <w:rFonts w:hint="default" w:ascii="Arial" w:hAnsi="Arial" w:eastAsia="Times New Roman" w:cs="Arial"/>
                <w:sz w:val="21"/>
                <w:szCs w:val="21"/>
                <w:vertAlign w:val="baseline"/>
              </w:rPr>
            </w:pPr>
          </w:p>
        </w:tc>
        <w:tc>
          <w:tcPr>
            <w:tcW w:w="1541" w:type="dxa"/>
            <w:vAlign w:val="center"/>
          </w:tcPr>
          <w:p w14:paraId="2BB461D7">
            <w:pPr>
              <w:widowControl w:val="0"/>
              <w:numPr>
                <w:ilvl w:val="0"/>
                <w:numId w:val="0"/>
              </w:numPr>
              <w:spacing w:line="240" w:lineRule="auto"/>
              <w:ind w:left="0" w:leftChars="0" w:firstLine="0" w:firstLineChars="0"/>
              <w:jc w:val="right"/>
              <w:rPr>
                <w:rFonts w:hint="default" w:ascii="Arial" w:hAnsi="Arial" w:eastAsia="Times New Roman" w:cs="Arial"/>
                <w:sz w:val="21"/>
                <w:szCs w:val="21"/>
                <w:vertAlign w:val="baseline"/>
              </w:rPr>
            </w:pPr>
          </w:p>
        </w:tc>
        <w:tc>
          <w:tcPr>
            <w:tcW w:w="1541" w:type="dxa"/>
            <w:vAlign w:val="center"/>
          </w:tcPr>
          <w:p w14:paraId="551AF06F">
            <w:pPr>
              <w:widowControl w:val="0"/>
              <w:numPr>
                <w:ilvl w:val="0"/>
                <w:numId w:val="0"/>
              </w:numPr>
              <w:spacing w:line="240" w:lineRule="auto"/>
              <w:ind w:left="0" w:leftChars="0" w:firstLine="0" w:firstLineChars="0"/>
              <w:jc w:val="right"/>
              <w:rPr>
                <w:rFonts w:hint="default" w:ascii="Arial" w:hAnsi="Arial" w:eastAsia="Times New Roman" w:cs="Arial"/>
                <w:sz w:val="21"/>
                <w:szCs w:val="21"/>
                <w:vertAlign w:val="baseline"/>
              </w:rPr>
            </w:pPr>
          </w:p>
        </w:tc>
      </w:tr>
      <w:tr w14:paraId="1CDBC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1540" w:type="dxa"/>
            <w:vAlign w:val="center"/>
          </w:tcPr>
          <w:p w14:paraId="5A2D9B18">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Owned, leased, and other – direct/expense</w:t>
            </w:r>
          </w:p>
        </w:tc>
        <w:tc>
          <w:tcPr>
            <w:tcW w:w="1541" w:type="dxa"/>
            <w:vAlign w:val="center"/>
          </w:tcPr>
          <w:p w14:paraId="7EC88628">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734</w:t>
            </w:r>
          </w:p>
        </w:tc>
        <w:tc>
          <w:tcPr>
            <w:tcW w:w="1541" w:type="dxa"/>
            <w:vAlign w:val="center"/>
          </w:tcPr>
          <w:p w14:paraId="20838351">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1,074</w:t>
            </w:r>
          </w:p>
        </w:tc>
        <w:tc>
          <w:tcPr>
            <w:tcW w:w="1541" w:type="dxa"/>
            <w:vAlign w:val="center"/>
          </w:tcPr>
          <w:p w14:paraId="49552692">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1,309*</w:t>
            </w:r>
          </w:p>
        </w:tc>
        <w:tc>
          <w:tcPr>
            <w:tcW w:w="1541" w:type="dxa"/>
            <w:vAlign w:val="center"/>
          </w:tcPr>
          <w:p w14:paraId="257E9EFF">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1,329</w:t>
            </w:r>
          </w:p>
        </w:tc>
        <w:tc>
          <w:tcPr>
            <w:tcW w:w="1541" w:type="dxa"/>
            <w:vAlign w:val="center"/>
          </w:tcPr>
          <w:p w14:paraId="088FAAEE">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1,461</w:t>
            </w:r>
          </w:p>
        </w:tc>
      </w:tr>
      <w:tr w14:paraId="28295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C77BA23">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Depreciation, amortization, and other</w:t>
            </w:r>
          </w:p>
        </w:tc>
        <w:tc>
          <w:tcPr>
            <w:tcW w:w="1541" w:type="dxa"/>
            <w:vAlign w:val="center"/>
          </w:tcPr>
          <w:p w14:paraId="1734B7D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220</w:t>
            </w:r>
          </w:p>
        </w:tc>
        <w:tc>
          <w:tcPr>
            <w:tcW w:w="1541" w:type="dxa"/>
            <w:vAlign w:val="center"/>
          </w:tcPr>
          <w:p w14:paraId="01520072">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193</w:t>
            </w:r>
          </w:p>
        </w:tc>
        <w:tc>
          <w:tcPr>
            <w:tcW w:w="1541" w:type="dxa"/>
            <w:vAlign w:val="center"/>
          </w:tcPr>
          <w:p w14:paraId="1270179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189</w:t>
            </w:r>
          </w:p>
        </w:tc>
        <w:tc>
          <w:tcPr>
            <w:tcW w:w="1541" w:type="dxa"/>
            <w:vAlign w:val="center"/>
          </w:tcPr>
          <w:p w14:paraId="60BD9555">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183</w:t>
            </w:r>
          </w:p>
        </w:tc>
        <w:tc>
          <w:tcPr>
            <w:tcW w:w="1541" w:type="dxa"/>
            <w:vAlign w:val="center"/>
          </w:tcPr>
          <w:p w14:paraId="127759A7">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213</w:t>
            </w:r>
          </w:p>
        </w:tc>
      </w:tr>
      <w:tr w14:paraId="17B0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1A9C61E4">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General &amp; administrative</w:t>
            </w:r>
          </w:p>
        </w:tc>
        <w:tc>
          <w:tcPr>
            <w:tcW w:w="1541" w:type="dxa"/>
            <w:vAlign w:val="center"/>
          </w:tcPr>
          <w:p w14:paraId="565F2AEA">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823</w:t>
            </w:r>
          </w:p>
        </w:tc>
        <w:tc>
          <w:tcPr>
            <w:tcW w:w="1541" w:type="dxa"/>
            <w:vAlign w:val="center"/>
          </w:tcPr>
          <w:p w14:paraId="2C3DC25A">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891</w:t>
            </w:r>
          </w:p>
        </w:tc>
        <w:tc>
          <w:tcPr>
            <w:tcW w:w="1541" w:type="dxa"/>
            <w:vAlign w:val="center"/>
          </w:tcPr>
          <w:p w14:paraId="3DBFFC05">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867*</w:t>
            </w:r>
          </w:p>
        </w:tc>
        <w:tc>
          <w:tcPr>
            <w:tcW w:w="1541" w:type="dxa"/>
            <w:vAlign w:val="center"/>
          </w:tcPr>
          <w:p w14:paraId="16E2878A">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945</w:t>
            </w:r>
          </w:p>
        </w:tc>
        <w:tc>
          <w:tcPr>
            <w:tcW w:w="1541" w:type="dxa"/>
            <w:vAlign w:val="center"/>
          </w:tcPr>
          <w:p w14:paraId="212814F1">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870</w:t>
            </w:r>
          </w:p>
        </w:tc>
      </w:tr>
      <w:tr w14:paraId="571C7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731E8CB">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Restructuring &amp; merger-related charges/other</w:t>
            </w:r>
          </w:p>
        </w:tc>
        <w:tc>
          <w:tcPr>
            <w:tcW w:w="1541" w:type="dxa"/>
            <w:vAlign w:val="center"/>
          </w:tcPr>
          <w:p w14:paraId="10593EE2">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w:t>
            </w:r>
          </w:p>
        </w:tc>
        <w:tc>
          <w:tcPr>
            <w:tcW w:w="1541" w:type="dxa"/>
            <w:vAlign w:val="center"/>
          </w:tcPr>
          <w:p w14:paraId="3EEC44A5">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12</w:t>
            </w:r>
          </w:p>
        </w:tc>
        <w:tc>
          <w:tcPr>
            <w:tcW w:w="1541" w:type="dxa"/>
            <w:vAlign w:val="center"/>
          </w:tcPr>
          <w:p w14:paraId="2D4FD3D2">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60</w:t>
            </w:r>
          </w:p>
        </w:tc>
        <w:tc>
          <w:tcPr>
            <w:tcW w:w="1541" w:type="dxa"/>
            <w:vAlign w:val="center"/>
          </w:tcPr>
          <w:p w14:paraId="1B878095">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77</w:t>
            </w:r>
          </w:p>
        </w:tc>
        <w:tc>
          <w:tcPr>
            <w:tcW w:w="1541" w:type="dxa"/>
            <w:vAlign w:val="center"/>
          </w:tcPr>
          <w:p w14:paraId="7BF563C6">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77</w:t>
            </w:r>
          </w:p>
        </w:tc>
      </w:tr>
      <w:tr w14:paraId="6C53A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34A6D07">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Reimbursed expenses</w:t>
            </w:r>
          </w:p>
        </w:tc>
        <w:tc>
          <w:tcPr>
            <w:tcW w:w="1541" w:type="dxa"/>
            <w:vAlign w:val="center"/>
          </w:tcPr>
          <w:p w14:paraId="2AE9EF6D">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10,322</w:t>
            </w:r>
          </w:p>
        </w:tc>
        <w:tc>
          <w:tcPr>
            <w:tcW w:w="1541" w:type="dxa"/>
            <w:vAlign w:val="center"/>
          </w:tcPr>
          <w:p w14:paraId="68B5713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15,141</w:t>
            </w:r>
          </w:p>
        </w:tc>
        <w:tc>
          <w:tcPr>
            <w:tcW w:w="1541" w:type="dxa"/>
            <w:vAlign w:val="center"/>
          </w:tcPr>
          <w:p w14:paraId="763CA99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17,424</w:t>
            </w:r>
          </w:p>
        </w:tc>
        <w:tc>
          <w:tcPr>
            <w:tcW w:w="1541" w:type="dxa"/>
            <w:vAlign w:val="center"/>
          </w:tcPr>
          <w:p w14:paraId="6909FA68">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18,799</w:t>
            </w:r>
          </w:p>
        </w:tc>
        <w:tc>
          <w:tcPr>
            <w:tcW w:w="1541" w:type="dxa"/>
            <w:vAlign w:val="center"/>
          </w:tcPr>
          <w:p w14:paraId="48851578">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19,503</w:t>
            </w:r>
          </w:p>
        </w:tc>
      </w:tr>
      <w:tr w14:paraId="5ED71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2987DA7F">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Total Operating Costs &amp; Expenses</w:t>
            </w:r>
          </w:p>
        </w:tc>
        <w:tc>
          <w:tcPr>
            <w:tcW w:w="1541" w:type="dxa"/>
            <w:vAlign w:val="center"/>
          </w:tcPr>
          <w:p w14:paraId="798D2168">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12,107</w:t>
            </w:r>
          </w:p>
        </w:tc>
        <w:tc>
          <w:tcPr>
            <w:tcW w:w="1541" w:type="dxa"/>
            <w:vAlign w:val="center"/>
          </w:tcPr>
          <w:p w14:paraId="1FFEE7C6">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17,311</w:t>
            </w:r>
          </w:p>
        </w:tc>
        <w:tc>
          <w:tcPr>
            <w:tcW w:w="1541" w:type="dxa"/>
            <w:vAlign w:val="center"/>
          </w:tcPr>
          <w:p w14:paraId="2496706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19,849</w:t>
            </w:r>
          </w:p>
        </w:tc>
        <w:tc>
          <w:tcPr>
            <w:tcW w:w="1541" w:type="dxa"/>
            <w:vAlign w:val="center"/>
          </w:tcPr>
          <w:p w14:paraId="69FFCF81">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21,333</w:t>
            </w:r>
          </w:p>
        </w:tc>
        <w:tc>
          <w:tcPr>
            <w:tcW w:w="1541" w:type="dxa"/>
            <w:vAlign w:val="center"/>
          </w:tcPr>
          <w:p w14:paraId="47A06369">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22,045</w:t>
            </w:r>
          </w:p>
        </w:tc>
      </w:tr>
      <w:tr w14:paraId="56158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C027614">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Operating Income</w:t>
            </w:r>
          </w:p>
        </w:tc>
        <w:tc>
          <w:tcPr>
            <w:tcW w:w="1541" w:type="dxa"/>
            <w:vAlign w:val="center"/>
          </w:tcPr>
          <w:p w14:paraId="7731F84B">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1,750</w:t>
            </w:r>
          </w:p>
        </w:tc>
        <w:tc>
          <w:tcPr>
            <w:tcW w:w="1541" w:type="dxa"/>
            <w:vAlign w:val="center"/>
          </w:tcPr>
          <w:p w14:paraId="4F030BAD">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3,462</w:t>
            </w:r>
          </w:p>
        </w:tc>
        <w:tc>
          <w:tcPr>
            <w:tcW w:w="1541" w:type="dxa"/>
            <w:vAlign w:val="center"/>
          </w:tcPr>
          <w:p w14:paraId="2DE5DF48">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3,864</w:t>
            </w:r>
          </w:p>
        </w:tc>
        <w:tc>
          <w:tcPr>
            <w:tcW w:w="1541" w:type="dxa"/>
            <w:vAlign w:val="center"/>
          </w:tcPr>
          <w:p w14:paraId="3F7E21E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3,767</w:t>
            </w:r>
          </w:p>
        </w:tc>
        <w:tc>
          <w:tcPr>
            <w:tcW w:w="1541" w:type="dxa"/>
            <w:vAlign w:val="center"/>
          </w:tcPr>
          <w:p w14:paraId="3AA2DD5C">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4,141</w:t>
            </w:r>
          </w:p>
        </w:tc>
      </w:tr>
      <w:tr w14:paraId="0917C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1735B87">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Gains and other income, net</w:t>
            </w:r>
          </w:p>
        </w:tc>
        <w:tc>
          <w:tcPr>
            <w:tcW w:w="1541" w:type="dxa"/>
            <w:vAlign w:val="center"/>
          </w:tcPr>
          <w:p w14:paraId="5D35FAA8">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10</w:t>
            </w:r>
          </w:p>
        </w:tc>
        <w:tc>
          <w:tcPr>
            <w:tcW w:w="1541" w:type="dxa"/>
            <w:vAlign w:val="center"/>
          </w:tcPr>
          <w:p w14:paraId="1887F8B3">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11</w:t>
            </w:r>
          </w:p>
        </w:tc>
        <w:tc>
          <w:tcPr>
            <w:tcW w:w="1541" w:type="dxa"/>
            <w:vAlign w:val="center"/>
          </w:tcPr>
          <w:p w14:paraId="3DBCBB79">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40</w:t>
            </w:r>
          </w:p>
        </w:tc>
        <w:tc>
          <w:tcPr>
            <w:tcW w:w="1541" w:type="dxa"/>
            <w:vAlign w:val="center"/>
          </w:tcPr>
          <w:p w14:paraId="5C678F0F">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31</w:t>
            </w:r>
          </w:p>
        </w:tc>
        <w:tc>
          <w:tcPr>
            <w:tcW w:w="1541" w:type="dxa"/>
            <w:vAlign w:val="center"/>
          </w:tcPr>
          <w:p w14:paraId="76B94D43">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9</w:t>
            </w:r>
          </w:p>
        </w:tc>
      </w:tr>
      <w:tr w14:paraId="54172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7A5B379A">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Interest expense</w:t>
            </w:r>
          </w:p>
        </w:tc>
        <w:tc>
          <w:tcPr>
            <w:tcW w:w="1541" w:type="dxa"/>
            <w:vAlign w:val="center"/>
          </w:tcPr>
          <w:p w14:paraId="662B8522">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(420)</w:t>
            </w:r>
          </w:p>
        </w:tc>
        <w:tc>
          <w:tcPr>
            <w:tcW w:w="1541" w:type="dxa"/>
            <w:vAlign w:val="center"/>
          </w:tcPr>
          <w:p w14:paraId="223B4E4F">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(403)</w:t>
            </w:r>
          </w:p>
        </w:tc>
        <w:tc>
          <w:tcPr>
            <w:tcW w:w="1541" w:type="dxa"/>
            <w:vAlign w:val="center"/>
          </w:tcPr>
          <w:p w14:paraId="5121B1F1">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(565)</w:t>
            </w:r>
          </w:p>
        </w:tc>
        <w:tc>
          <w:tcPr>
            <w:tcW w:w="1541" w:type="dxa"/>
            <w:vAlign w:val="center"/>
          </w:tcPr>
          <w:p w14:paraId="5B912FB7">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(695)</w:t>
            </w:r>
          </w:p>
        </w:tc>
        <w:tc>
          <w:tcPr>
            <w:tcW w:w="1541" w:type="dxa"/>
            <w:vAlign w:val="center"/>
          </w:tcPr>
          <w:p w14:paraId="232E040C">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(809)</w:t>
            </w:r>
          </w:p>
        </w:tc>
      </w:tr>
      <w:tr w14:paraId="57080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C8645E5">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Interest income</w:t>
            </w:r>
          </w:p>
        </w:tc>
        <w:tc>
          <w:tcPr>
            <w:tcW w:w="1541" w:type="dxa"/>
            <w:vAlign w:val="center"/>
          </w:tcPr>
          <w:p w14:paraId="3A29B19E">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28</w:t>
            </w:r>
          </w:p>
        </w:tc>
        <w:tc>
          <w:tcPr>
            <w:tcW w:w="1541" w:type="dxa"/>
            <w:vAlign w:val="center"/>
          </w:tcPr>
          <w:p w14:paraId="4075D2CB">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26</w:t>
            </w:r>
          </w:p>
        </w:tc>
        <w:tc>
          <w:tcPr>
            <w:tcW w:w="1541" w:type="dxa"/>
            <w:vAlign w:val="center"/>
          </w:tcPr>
          <w:p w14:paraId="7C9FE745">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30</w:t>
            </w:r>
          </w:p>
        </w:tc>
        <w:tc>
          <w:tcPr>
            <w:tcW w:w="1541" w:type="dxa"/>
            <w:vAlign w:val="center"/>
          </w:tcPr>
          <w:p w14:paraId="3CFB242D">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40</w:t>
            </w:r>
          </w:p>
        </w:tc>
        <w:tc>
          <w:tcPr>
            <w:tcW w:w="1541" w:type="dxa"/>
            <w:vAlign w:val="center"/>
          </w:tcPr>
          <w:p w14:paraId="016B6C89">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42</w:t>
            </w:r>
          </w:p>
        </w:tc>
      </w:tr>
      <w:tr w14:paraId="36F5B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A24E424">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Equity in earnings/(losses)</w:t>
            </w:r>
          </w:p>
        </w:tc>
        <w:tc>
          <w:tcPr>
            <w:tcW w:w="1541" w:type="dxa"/>
            <w:vAlign w:val="center"/>
          </w:tcPr>
          <w:p w14:paraId="5D363BC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(24)</w:t>
            </w:r>
          </w:p>
        </w:tc>
        <w:tc>
          <w:tcPr>
            <w:tcW w:w="1541" w:type="dxa"/>
            <w:vAlign w:val="center"/>
          </w:tcPr>
          <w:p w14:paraId="5706ED7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18</w:t>
            </w:r>
          </w:p>
        </w:tc>
        <w:tc>
          <w:tcPr>
            <w:tcW w:w="1541" w:type="dxa"/>
            <w:vAlign w:val="center"/>
          </w:tcPr>
          <w:p w14:paraId="4871980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9</w:t>
            </w:r>
          </w:p>
        </w:tc>
        <w:tc>
          <w:tcPr>
            <w:tcW w:w="1541" w:type="dxa"/>
            <w:vAlign w:val="center"/>
          </w:tcPr>
          <w:p w14:paraId="50DA8D6B">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w:t>
            </w:r>
          </w:p>
        </w:tc>
        <w:tc>
          <w:tcPr>
            <w:tcW w:w="1541" w:type="dxa"/>
            <w:vAlign w:val="center"/>
          </w:tcPr>
          <w:p w14:paraId="7BEDAF50">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11</w:t>
            </w:r>
          </w:p>
        </w:tc>
      </w:tr>
      <w:tr w14:paraId="703D9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2BDC70F">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Income Before Income Taxes</w:t>
            </w:r>
          </w:p>
        </w:tc>
        <w:tc>
          <w:tcPr>
            <w:tcW w:w="1541" w:type="dxa"/>
            <w:vAlign w:val="center"/>
          </w:tcPr>
          <w:p w14:paraId="39AB3E51">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1,180</w:t>
            </w:r>
          </w:p>
        </w:tc>
        <w:tc>
          <w:tcPr>
            <w:tcW w:w="1541" w:type="dxa"/>
            <w:vAlign w:val="center"/>
          </w:tcPr>
          <w:p w14:paraId="15FFA0F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3,114</w:t>
            </w:r>
          </w:p>
        </w:tc>
        <w:tc>
          <w:tcPr>
            <w:tcW w:w="1541" w:type="dxa"/>
            <w:vAlign w:val="center"/>
          </w:tcPr>
          <w:p w14:paraId="0339244F">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3,378</w:t>
            </w:r>
          </w:p>
        </w:tc>
        <w:tc>
          <w:tcPr>
            <w:tcW w:w="1541" w:type="dxa"/>
            <w:vAlign w:val="center"/>
          </w:tcPr>
          <w:p w14:paraId="528D2CD3">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3,151</w:t>
            </w:r>
          </w:p>
        </w:tc>
        <w:tc>
          <w:tcPr>
            <w:tcW w:w="1541" w:type="dxa"/>
            <w:vAlign w:val="center"/>
          </w:tcPr>
          <w:p w14:paraId="59DA516A">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3,394</w:t>
            </w:r>
          </w:p>
        </w:tc>
      </w:tr>
      <w:tr w14:paraId="5E62F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69C12E1">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Provision for income taxes</w:t>
            </w:r>
          </w:p>
        </w:tc>
        <w:tc>
          <w:tcPr>
            <w:tcW w:w="1541" w:type="dxa"/>
            <w:vAlign w:val="center"/>
          </w:tcPr>
          <w:p w14:paraId="25760585">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(81)</w:t>
            </w:r>
          </w:p>
        </w:tc>
        <w:tc>
          <w:tcPr>
            <w:tcW w:w="1541" w:type="dxa"/>
            <w:vAlign w:val="center"/>
          </w:tcPr>
          <w:p w14:paraId="7C4607B9">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(756)</w:t>
            </w:r>
          </w:p>
        </w:tc>
        <w:tc>
          <w:tcPr>
            <w:tcW w:w="1541" w:type="dxa"/>
            <w:vAlign w:val="center"/>
          </w:tcPr>
          <w:p w14:paraId="73609399">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(295)</w:t>
            </w:r>
          </w:p>
        </w:tc>
        <w:tc>
          <w:tcPr>
            <w:tcW w:w="1541" w:type="dxa"/>
            <w:vAlign w:val="center"/>
          </w:tcPr>
          <w:p w14:paraId="240AFA46">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(776)</w:t>
            </w:r>
          </w:p>
        </w:tc>
        <w:tc>
          <w:tcPr>
            <w:tcW w:w="1541" w:type="dxa"/>
            <w:vAlign w:val="center"/>
          </w:tcPr>
          <w:p w14:paraId="754EE948">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(793)</w:t>
            </w:r>
          </w:p>
        </w:tc>
      </w:tr>
      <w:tr w14:paraId="1920F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1791E481">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NET INCOME</w:t>
            </w:r>
          </w:p>
        </w:tc>
        <w:tc>
          <w:tcPr>
            <w:tcW w:w="1541" w:type="dxa"/>
            <w:vAlign w:val="center"/>
          </w:tcPr>
          <w:p w14:paraId="1DD1FAB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1,099</w:t>
            </w:r>
          </w:p>
        </w:tc>
        <w:tc>
          <w:tcPr>
            <w:tcW w:w="1541" w:type="dxa"/>
            <w:vAlign w:val="center"/>
          </w:tcPr>
          <w:p w14:paraId="09C105B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2,358</w:t>
            </w:r>
          </w:p>
        </w:tc>
        <w:tc>
          <w:tcPr>
            <w:tcW w:w="1541" w:type="dxa"/>
            <w:vAlign w:val="center"/>
          </w:tcPr>
          <w:p w14:paraId="392E635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3,083</w:t>
            </w:r>
          </w:p>
        </w:tc>
        <w:tc>
          <w:tcPr>
            <w:tcW w:w="1541" w:type="dxa"/>
            <w:vAlign w:val="center"/>
          </w:tcPr>
          <w:p w14:paraId="2C6F82FD">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2,375</w:t>
            </w:r>
          </w:p>
        </w:tc>
        <w:tc>
          <w:tcPr>
            <w:tcW w:w="1541" w:type="dxa"/>
            <w:vAlign w:val="center"/>
          </w:tcPr>
          <w:p w14:paraId="3998770D">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2,601</w:t>
            </w:r>
          </w:p>
        </w:tc>
      </w:tr>
      <w:tr w14:paraId="7F22A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FCD8545">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EPS – Basic ($)</w:t>
            </w:r>
          </w:p>
        </w:tc>
        <w:tc>
          <w:tcPr>
            <w:tcW w:w="1541" w:type="dxa"/>
            <w:vAlign w:val="center"/>
          </w:tcPr>
          <w:p w14:paraId="46A25D61">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3.36</w:t>
            </w:r>
          </w:p>
        </w:tc>
        <w:tc>
          <w:tcPr>
            <w:tcW w:w="1541" w:type="dxa"/>
            <w:vAlign w:val="center"/>
          </w:tcPr>
          <w:p w14:paraId="504CA397">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7.27</w:t>
            </w:r>
          </w:p>
        </w:tc>
        <w:tc>
          <w:tcPr>
            <w:tcW w:w="1541" w:type="dxa"/>
            <w:vAlign w:val="center"/>
          </w:tcPr>
          <w:p w14:paraId="7E8647AF">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10.23</w:t>
            </w:r>
          </w:p>
        </w:tc>
        <w:tc>
          <w:tcPr>
            <w:tcW w:w="1541" w:type="dxa"/>
            <w:vAlign w:val="center"/>
          </w:tcPr>
          <w:p w14:paraId="6BCFF2F2">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8.36</w:t>
            </w:r>
          </w:p>
        </w:tc>
        <w:tc>
          <w:tcPr>
            <w:tcW w:w="1541" w:type="dxa"/>
            <w:vAlign w:val="center"/>
          </w:tcPr>
          <w:p w14:paraId="5A021C54">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9.53</w:t>
            </w:r>
          </w:p>
        </w:tc>
      </w:tr>
      <w:tr w14:paraId="7AD96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781A1443">
            <w:pPr>
              <w:keepNext w:val="0"/>
              <w:keepLines w:val="0"/>
              <w:widowControl/>
              <w:numPr>
                <w:ilvl w:val="0"/>
                <w:numId w:val="0"/>
              </w:numPr>
              <w:suppressLineNumbers w:val="0"/>
              <w:spacing w:line="240" w:lineRule="auto"/>
              <w:ind w:left="0" w:leftChars="0" w:firstLine="0" w:firstLineChars="0"/>
              <w:jc w:val="left"/>
              <w:rPr>
                <w:rFonts w:hint="default" w:ascii="Arial" w:hAnsi="Arial" w:eastAsia="Times New Roman" w:cs="Arial"/>
                <w:sz w:val="21"/>
                <w:szCs w:val="21"/>
                <w:vertAlign w:val="baseline"/>
              </w:rPr>
            </w:pPr>
            <w:r>
              <w:rPr>
                <w:rStyle w:val="13"/>
                <w:rFonts w:hint="default" w:ascii="Arial" w:hAnsi="Arial" w:eastAsia="SimSun" w:cs="Arial"/>
                <w:kern w:val="0"/>
                <w:sz w:val="21"/>
                <w:szCs w:val="21"/>
                <w:lang w:val="en-US" w:eastAsia="zh-CN" w:bidi="ar"/>
              </w:rPr>
              <w:t>EPS – Diluted ($)</w:t>
            </w:r>
          </w:p>
        </w:tc>
        <w:tc>
          <w:tcPr>
            <w:tcW w:w="1541" w:type="dxa"/>
            <w:vAlign w:val="center"/>
          </w:tcPr>
          <w:p w14:paraId="737715A8">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3.34</w:t>
            </w:r>
          </w:p>
        </w:tc>
        <w:tc>
          <w:tcPr>
            <w:tcW w:w="1541" w:type="dxa"/>
            <w:vAlign w:val="center"/>
          </w:tcPr>
          <w:p w14:paraId="1D49102A">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7.24</w:t>
            </w:r>
          </w:p>
        </w:tc>
        <w:tc>
          <w:tcPr>
            <w:tcW w:w="1541" w:type="dxa"/>
            <w:vAlign w:val="center"/>
          </w:tcPr>
          <w:p w14:paraId="7E26A5D0">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10.18</w:t>
            </w:r>
          </w:p>
        </w:tc>
        <w:tc>
          <w:tcPr>
            <w:tcW w:w="1541" w:type="dxa"/>
            <w:vAlign w:val="center"/>
          </w:tcPr>
          <w:p w14:paraId="6AC491BF">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8.33</w:t>
            </w:r>
          </w:p>
        </w:tc>
        <w:tc>
          <w:tcPr>
            <w:tcW w:w="1541" w:type="dxa"/>
            <w:vAlign w:val="center"/>
          </w:tcPr>
          <w:p w14:paraId="4298FEC5">
            <w:pPr>
              <w:keepNext w:val="0"/>
              <w:keepLines w:val="0"/>
              <w:widowControl/>
              <w:numPr>
                <w:ilvl w:val="0"/>
                <w:numId w:val="0"/>
              </w:numPr>
              <w:suppressLineNumbers w:val="0"/>
              <w:spacing w:line="240" w:lineRule="auto"/>
              <w:ind w:left="0" w:leftChars="0" w:firstLine="0" w:firstLineChars="0"/>
              <w:jc w:val="right"/>
              <w:rPr>
                <w:rFonts w:hint="default" w:ascii="Arial" w:hAnsi="Arial" w:eastAsia="Times New Roman" w:cs="Arial"/>
                <w:sz w:val="21"/>
                <w:szCs w:val="21"/>
                <w:vertAlign w:val="baseline"/>
              </w:rPr>
            </w:pPr>
            <w:r>
              <w:rPr>
                <w:rFonts w:hint="default" w:ascii="Arial" w:hAnsi="Arial" w:eastAsia="SimSun" w:cs="Arial"/>
                <w:kern w:val="0"/>
                <w:sz w:val="21"/>
                <w:szCs w:val="21"/>
                <w:lang w:val="en-US" w:eastAsia="zh-CN" w:bidi="ar"/>
              </w:rPr>
              <w:t>9.51</w:t>
            </w:r>
          </w:p>
        </w:tc>
      </w:tr>
    </w:tbl>
    <w:p w14:paraId="73C00FC6">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1: Income statement</w:t>
      </w:r>
    </w:p>
    <w:p w14:paraId="09060CCE">
      <w:pPr>
        <w:spacing w:before="240" w:after="240" w:line="360" w:lineRule="auto"/>
        <w:jc w:val="center"/>
        <w:rPr>
          <w:rFonts w:hint="default" w:ascii="Times New Roman" w:hAnsi="Times New Roman" w:eastAsia="Times New Roman" w:cs="Times New Roman"/>
          <w:b/>
          <w:bCs/>
          <w:sz w:val="24"/>
          <w:szCs w:val="24"/>
          <w:lang w:val="en-IN"/>
        </w:rPr>
      </w:pPr>
      <w:r>
        <w:rPr>
          <w:rFonts w:hint="default" w:ascii="Times New Roman" w:hAnsi="Times New Roman" w:eastAsia="Times New Roman" w:cs="Times New Roman"/>
          <w:b/>
          <w:bCs/>
          <w:sz w:val="24"/>
          <w:szCs w:val="24"/>
          <w:lang w:val="en-IN"/>
        </w:rPr>
        <w:t>Source: Income statement</w:t>
      </w:r>
    </w:p>
    <w:p w14:paraId="062F17AE">
      <w:pPr>
        <w:spacing w:before="240" w:after="240" w:line="360" w:lineRule="auto"/>
        <w:jc w:val="center"/>
        <w:rPr>
          <w:rFonts w:ascii="Times New Roman" w:hAnsi="Times New Roman" w:eastAsia="Times New Roman" w:cs="Times New Roman"/>
          <w:sz w:val="24"/>
          <w:szCs w:val="24"/>
        </w:rPr>
      </w:pPr>
    </w:p>
    <w:p w14:paraId="2A2A0C8D">
      <w:pPr>
        <w:spacing w:before="240" w:after="240" w:line="360" w:lineRule="auto"/>
        <w:jc w:val="both"/>
        <w:rPr>
          <w:rFonts w:ascii="Times New Roman" w:hAnsi="Times New Roman" w:eastAsia="Times New Roman" w:cs="Times New Roman"/>
          <w:b/>
          <w:bCs/>
          <w:i w:val="0"/>
          <w:iCs w:val="0"/>
          <w:sz w:val="24"/>
          <w:szCs w:val="24"/>
        </w:rPr>
      </w:pPr>
      <w:r>
        <w:rPr>
          <w:rFonts w:ascii="Times New Roman" w:hAnsi="Times New Roman" w:eastAsia="Times New Roman" w:cs="Times New Roman"/>
          <w:b/>
          <w:bCs/>
          <w:i w:val="0"/>
          <w:iCs w:val="0"/>
          <w:sz w:val="24"/>
          <w:szCs w:val="24"/>
        </w:rPr>
        <w:t>Balance Sheet Analysis</w:t>
      </w:r>
    </w:p>
    <w:p w14:paraId="72A386E2">
      <w:pPr>
        <w:spacing w:before="240" w:after="240" w:line="360" w:lineRule="auto"/>
        <w:jc w:val="both"/>
        <w:rPr>
          <w:rFonts w:ascii="Times New Roman" w:hAnsi="Times New Roman" w:eastAsia="Times New Roman" w:cs="Times New Roman"/>
          <w:b w:val="0"/>
          <w:bCs w:val="0"/>
          <w:i w:val="0"/>
          <w:iCs w:val="0"/>
          <w:sz w:val="24"/>
          <w:szCs w:val="24"/>
        </w:rPr>
      </w:pPr>
      <w:r>
        <w:rPr>
          <w:rFonts w:hint="default" w:ascii="Times New Roman" w:hAnsi="Times New Roman" w:eastAsia="Times New Roman" w:cs="Times New Roman"/>
          <w:b w:val="0"/>
          <w:bCs w:val="0"/>
          <w:i w:val="0"/>
          <w:iCs w:val="0"/>
          <w:sz w:val="24"/>
          <w:szCs w:val="24"/>
        </w:rPr>
        <w:t>Balance Sheet of Marriott International reveals the trend of expansion in the company’s assets throughout the period under consideration. From $25.553 billion in 2021, the total assets grew to $27.540 billion in 2025 with only one exception – a temporary reduction in 2022 when the company’s total assets were $24.815 billion. The company’s current assets have been steady and were equal to $3.626 billion in 2021 and grew to $3.584 billion in 2025. Also, the company had substantial amounts of intangible assets which include brands, contract acquisition costs, and goodwill which comprised an essential part of the company’s total assets. As for the company’s liabilities, the current liabilities rose from $6.407 billion in 2021 to $8.398 billion in 2025, and the long-term debt went up from $9.333 billion to $14.995 billion during the same period. On the other hand, stockholders’ equity fell from $1.414 billion in 2021 to negative $3.771 billion in 2025 owing mostly to the sharp increase in treasury stock.</w:t>
      </w:r>
      <w:r>
        <w:rPr>
          <w:rFonts w:hint="default" w:ascii="Times New Roman" w:hAnsi="Times New Roman" w:eastAsia="Times New Roman" w:cs="Times New Roman"/>
          <w:b w:val="0"/>
          <w:bCs w:val="0"/>
          <w:i w:val="0"/>
          <w:iCs w:val="0"/>
          <w:sz w:val="24"/>
          <w:szCs w:val="24"/>
          <w:lang w:val="en-IN"/>
        </w:rPr>
        <w:t>(Income statement 2021-2025)</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4"/>
        <w:gridCol w:w="1426"/>
        <w:gridCol w:w="1426"/>
        <w:gridCol w:w="1426"/>
        <w:gridCol w:w="1426"/>
        <w:gridCol w:w="1427"/>
      </w:tblGrid>
      <w:tr w14:paraId="77511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1A0D638F">
            <w:pPr>
              <w:keepNext w:val="0"/>
              <w:keepLines w:val="0"/>
              <w:widowControl/>
              <w:suppressLineNumbers w:val="0"/>
              <w:jc w:val="center"/>
              <w:rPr>
                <w:rFonts w:hint="default" w:ascii="Arial" w:hAnsi="Arial" w:eastAsia="Times New Roman" w:cs="Arial"/>
                <w:sz w:val="22"/>
                <w:szCs w:val="22"/>
                <w:vertAlign w:val="baseline"/>
              </w:rPr>
            </w:pPr>
            <w:r>
              <w:rPr>
                <w:rFonts w:hint="default" w:ascii="Arial" w:hAnsi="Arial" w:eastAsia="SimSun" w:cs="Arial"/>
                <w:b/>
                <w:bCs/>
                <w:kern w:val="0"/>
                <w:sz w:val="22"/>
                <w:szCs w:val="22"/>
                <w:lang w:val="en-US" w:eastAsia="zh-CN" w:bidi="ar"/>
              </w:rPr>
              <w:t>Balance Sheet Item</w:t>
            </w:r>
          </w:p>
        </w:tc>
        <w:tc>
          <w:tcPr>
            <w:tcW w:w="1541" w:type="dxa"/>
            <w:vAlign w:val="center"/>
          </w:tcPr>
          <w:p w14:paraId="3B71C8BD">
            <w:pPr>
              <w:keepNext w:val="0"/>
              <w:keepLines w:val="0"/>
              <w:widowControl/>
              <w:suppressLineNumbers w:val="0"/>
              <w:jc w:val="center"/>
              <w:rPr>
                <w:rFonts w:hint="default" w:ascii="Arial" w:hAnsi="Arial" w:eastAsia="Times New Roman" w:cs="Arial"/>
                <w:sz w:val="22"/>
                <w:szCs w:val="22"/>
                <w:vertAlign w:val="baseline"/>
              </w:rPr>
            </w:pPr>
            <w:r>
              <w:rPr>
                <w:rFonts w:hint="default" w:ascii="Arial" w:hAnsi="Arial" w:eastAsia="SimSun" w:cs="Arial"/>
                <w:b/>
                <w:bCs/>
                <w:kern w:val="0"/>
                <w:sz w:val="22"/>
                <w:szCs w:val="22"/>
                <w:lang w:val="en-US" w:eastAsia="zh-CN" w:bidi="ar"/>
              </w:rPr>
              <w:t>2021</w:t>
            </w:r>
          </w:p>
        </w:tc>
        <w:tc>
          <w:tcPr>
            <w:tcW w:w="1541" w:type="dxa"/>
            <w:vAlign w:val="center"/>
          </w:tcPr>
          <w:p w14:paraId="456002CF">
            <w:pPr>
              <w:keepNext w:val="0"/>
              <w:keepLines w:val="0"/>
              <w:widowControl/>
              <w:suppressLineNumbers w:val="0"/>
              <w:jc w:val="center"/>
              <w:rPr>
                <w:rFonts w:hint="default" w:ascii="Arial" w:hAnsi="Arial" w:eastAsia="Times New Roman" w:cs="Arial"/>
                <w:sz w:val="22"/>
                <w:szCs w:val="22"/>
                <w:vertAlign w:val="baseline"/>
              </w:rPr>
            </w:pPr>
            <w:r>
              <w:rPr>
                <w:rFonts w:hint="default" w:ascii="Arial" w:hAnsi="Arial" w:eastAsia="SimSun" w:cs="Arial"/>
                <w:b/>
                <w:bCs/>
                <w:kern w:val="0"/>
                <w:sz w:val="22"/>
                <w:szCs w:val="22"/>
                <w:lang w:val="en-US" w:eastAsia="zh-CN" w:bidi="ar"/>
              </w:rPr>
              <w:t>2022</w:t>
            </w:r>
          </w:p>
        </w:tc>
        <w:tc>
          <w:tcPr>
            <w:tcW w:w="1541" w:type="dxa"/>
            <w:vAlign w:val="center"/>
          </w:tcPr>
          <w:p w14:paraId="1865E645">
            <w:pPr>
              <w:keepNext w:val="0"/>
              <w:keepLines w:val="0"/>
              <w:widowControl/>
              <w:suppressLineNumbers w:val="0"/>
              <w:jc w:val="center"/>
              <w:rPr>
                <w:rFonts w:hint="default" w:ascii="Arial" w:hAnsi="Arial" w:eastAsia="Times New Roman" w:cs="Arial"/>
                <w:sz w:val="22"/>
                <w:szCs w:val="22"/>
                <w:vertAlign w:val="baseline"/>
              </w:rPr>
            </w:pPr>
            <w:r>
              <w:rPr>
                <w:rFonts w:hint="default" w:ascii="Arial" w:hAnsi="Arial" w:eastAsia="SimSun" w:cs="Arial"/>
                <w:b/>
                <w:bCs/>
                <w:kern w:val="0"/>
                <w:sz w:val="22"/>
                <w:szCs w:val="22"/>
                <w:lang w:val="en-US" w:eastAsia="zh-CN" w:bidi="ar"/>
              </w:rPr>
              <w:t>2023</w:t>
            </w:r>
          </w:p>
        </w:tc>
        <w:tc>
          <w:tcPr>
            <w:tcW w:w="1541" w:type="dxa"/>
            <w:vAlign w:val="center"/>
          </w:tcPr>
          <w:p w14:paraId="1B06B943">
            <w:pPr>
              <w:keepNext w:val="0"/>
              <w:keepLines w:val="0"/>
              <w:widowControl/>
              <w:suppressLineNumbers w:val="0"/>
              <w:jc w:val="center"/>
              <w:rPr>
                <w:rFonts w:hint="default" w:ascii="Arial" w:hAnsi="Arial" w:eastAsia="Times New Roman" w:cs="Arial"/>
                <w:sz w:val="22"/>
                <w:szCs w:val="22"/>
                <w:vertAlign w:val="baseline"/>
              </w:rPr>
            </w:pPr>
            <w:r>
              <w:rPr>
                <w:rFonts w:hint="default" w:ascii="Arial" w:hAnsi="Arial" w:eastAsia="SimSun" w:cs="Arial"/>
                <w:b/>
                <w:bCs/>
                <w:kern w:val="0"/>
                <w:sz w:val="22"/>
                <w:szCs w:val="22"/>
                <w:lang w:val="en-US" w:eastAsia="zh-CN" w:bidi="ar"/>
              </w:rPr>
              <w:t>2024</w:t>
            </w:r>
          </w:p>
        </w:tc>
        <w:tc>
          <w:tcPr>
            <w:tcW w:w="1541" w:type="dxa"/>
            <w:vAlign w:val="center"/>
          </w:tcPr>
          <w:p w14:paraId="08E7FDB9">
            <w:pPr>
              <w:keepNext w:val="0"/>
              <w:keepLines w:val="0"/>
              <w:widowControl/>
              <w:suppressLineNumbers w:val="0"/>
              <w:jc w:val="center"/>
              <w:rPr>
                <w:rFonts w:hint="default" w:ascii="Arial" w:hAnsi="Arial" w:eastAsia="Times New Roman" w:cs="Arial"/>
                <w:sz w:val="22"/>
                <w:szCs w:val="22"/>
                <w:vertAlign w:val="baseline"/>
              </w:rPr>
            </w:pPr>
            <w:r>
              <w:rPr>
                <w:rFonts w:hint="default" w:ascii="Arial" w:hAnsi="Arial" w:eastAsia="SimSun" w:cs="Arial"/>
                <w:b/>
                <w:bCs/>
                <w:kern w:val="0"/>
                <w:sz w:val="22"/>
                <w:szCs w:val="22"/>
                <w:lang w:val="en-US" w:eastAsia="zh-CN" w:bidi="ar"/>
              </w:rPr>
              <w:t>2025</w:t>
            </w:r>
          </w:p>
        </w:tc>
      </w:tr>
      <w:tr w14:paraId="35AE2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0AD38A26">
            <w:pPr>
              <w:keepNext w:val="0"/>
              <w:keepLines w:val="0"/>
              <w:widowControl/>
              <w:suppressLineNumbers w:val="0"/>
              <w:jc w:val="lef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ASSETS</w:t>
            </w:r>
          </w:p>
        </w:tc>
        <w:tc>
          <w:tcPr>
            <w:tcW w:w="1541" w:type="dxa"/>
            <w:vAlign w:val="center"/>
          </w:tcPr>
          <w:p w14:paraId="204E6F2E">
            <w:pPr>
              <w:widowControl w:val="0"/>
              <w:jc w:val="right"/>
              <w:rPr>
                <w:rFonts w:hint="default" w:ascii="Arial" w:hAnsi="Arial" w:eastAsia="Times New Roman" w:cs="Arial"/>
                <w:sz w:val="22"/>
                <w:szCs w:val="22"/>
                <w:vertAlign w:val="baseline"/>
              </w:rPr>
            </w:pPr>
          </w:p>
        </w:tc>
        <w:tc>
          <w:tcPr>
            <w:tcW w:w="1541" w:type="dxa"/>
            <w:vAlign w:val="center"/>
          </w:tcPr>
          <w:p w14:paraId="5710AB5A">
            <w:pPr>
              <w:widowControl w:val="0"/>
              <w:jc w:val="right"/>
              <w:rPr>
                <w:rFonts w:hint="default" w:ascii="Arial" w:hAnsi="Arial" w:eastAsia="Times New Roman" w:cs="Arial"/>
                <w:sz w:val="22"/>
                <w:szCs w:val="22"/>
                <w:vertAlign w:val="baseline"/>
              </w:rPr>
            </w:pPr>
          </w:p>
        </w:tc>
        <w:tc>
          <w:tcPr>
            <w:tcW w:w="1541" w:type="dxa"/>
            <w:vAlign w:val="center"/>
          </w:tcPr>
          <w:p w14:paraId="12580DEC">
            <w:pPr>
              <w:widowControl w:val="0"/>
              <w:jc w:val="right"/>
              <w:rPr>
                <w:rFonts w:hint="default" w:ascii="Arial" w:hAnsi="Arial" w:eastAsia="Times New Roman" w:cs="Arial"/>
                <w:sz w:val="22"/>
                <w:szCs w:val="22"/>
                <w:vertAlign w:val="baseline"/>
              </w:rPr>
            </w:pPr>
          </w:p>
        </w:tc>
        <w:tc>
          <w:tcPr>
            <w:tcW w:w="1541" w:type="dxa"/>
            <w:vAlign w:val="center"/>
          </w:tcPr>
          <w:p w14:paraId="35398019">
            <w:pPr>
              <w:widowControl w:val="0"/>
              <w:jc w:val="right"/>
              <w:rPr>
                <w:rFonts w:hint="default" w:ascii="Arial" w:hAnsi="Arial" w:eastAsia="Times New Roman" w:cs="Arial"/>
                <w:sz w:val="22"/>
                <w:szCs w:val="22"/>
                <w:vertAlign w:val="baseline"/>
              </w:rPr>
            </w:pPr>
          </w:p>
        </w:tc>
        <w:tc>
          <w:tcPr>
            <w:tcW w:w="1541" w:type="dxa"/>
            <w:vAlign w:val="center"/>
          </w:tcPr>
          <w:p w14:paraId="5C1BB104">
            <w:pPr>
              <w:widowControl w:val="0"/>
              <w:jc w:val="right"/>
              <w:rPr>
                <w:rFonts w:hint="default" w:ascii="Arial" w:hAnsi="Arial" w:eastAsia="Times New Roman" w:cs="Arial"/>
                <w:sz w:val="22"/>
                <w:szCs w:val="22"/>
                <w:vertAlign w:val="baseline"/>
              </w:rPr>
            </w:pPr>
          </w:p>
        </w:tc>
      </w:tr>
      <w:tr w14:paraId="62A82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1A991778">
            <w:pPr>
              <w:keepNext w:val="0"/>
              <w:keepLines w:val="0"/>
              <w:widowControl/>
              <w:suppressLineNumbers w:val="0"/>
              <w:jc w:val="lef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Current Assets</w:t>
            </w:r>
          </w:p>
        </w:tc>
        <w:tc>
          <w:tcPr>
            <w:tcW w:w="1541" w:type="dxa"/>
            <w:vAlign w:val="center"/>
          </w:tcPr>
          <w:p w14:paraId="2298F982">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3,626</w:t>
            </w:r>
          </w:p>
        </w:tc>
        <w:tc>
          <w:tcPr>
            <w:tcW w:w="1541" w:type="dxa"/>
            <w:vAlign w:val="center"/>
          </w:tcPr>
          <w:p w14:paraId="52086BA7">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3,313</w:t>
            </w:r>
          </w:p>
        </w:tc>
        <w:tc>
          <w:tcPr>
            <w:tcW w:w="1541" w:type="dxa"/>
            <w:vAlign w:val="center"/>
          </w:tcPr>
          <w:p w14:paraId="380107AD">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3,311</w:t>
            </w:r>
          </w:p>
        </w:tc>
        <w:tc>
          <w:tcPr>
            <w:tcW w:w="1541" w:type="dxa"/>
            <w:vAlign w:val="center"/>
          </w:tcPr>
          <w:p w14:paraId="105CCB58">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3,485</w:t>
            </w:r>
          </w:p>
        </w:tc>
        <w:tc>
          <w:tcPr>
            <w:tcW w:w="1541" w:type="dxa"/>
            <w:vAlign w:val="center"/>
          </w:tcPr>
          <w:p w14:paraId="604E6E1D">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3,584</w:t>
            </w:r>
          </w:p>
        </w:tc>
      </w:tr>
      <w:tr w14:paraId="7A7D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C3E6858">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Cash and equivalents</w:t>
            </w:r>
          </w:p>
        </w:tc>
        <w:tc>
          <w:tcPr>
            <w:tcW w:w="1541" w:type="dxa"/>
            <w:vAlign w:val="center"/>
          </w:tcPr>
          <w:p w14:paraId="4D4725CE">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1,393</w:t>
            </w:r>
          </w:p>
        </w:tc>
        <w:tc>
          <w:tcPr>
            <w:tcW w:w="1541" w:type="dxa"/>
            <w:vAlign w:val="center"/>
          </w:tcPr>
          <w:p w14:paraId="29642847">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507</w:t>
            </w:r>
          </w:p>
        </w:tc>
        <w:tc>
          <w:tcPr>
            <w:tcW w:w="1541" w:type="dxa"/>
            <w:vAlign w:val="center"/>
          </w:tcPr>
          <w:p w14:paraId="622C709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338</w:t>
            </w:r>
          </w:p>
        </w:tc>
        <w:tc>
          <w:tcPr>
            <w:tcW w:w="1541" w:type="dxa"/>
            <w:vAlign w:val="center"/>
          </w:tcPr>
          <w:p w14:paraId="79E7AA2A">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396</w:t>
            </w:r>
          </w:p>
        </w:tc>
        <w:tc>
          <w:tcPr>
            <w:tcW w:w="1541" w:type="dxa"/>
            <w:vAlign w:val="center"/>
          </w:tcPr>
          <w:p w14:paraId="0D8E8824">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358</w:t>
            </w:r>
          </w:p>
        </w:tc>
      </w:tr>
      <w:tr w14:paraId="311C3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FBE99D0">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Accounts and notes receivable, net</w:t>
            </w:r>
          </w:p>
        </w:tc>
        <w:tc>
          <w:tcPr>
            <w:tcW w:w="1541" w:type="dxa"/>
            <w:vAlign w:val="center"/>
          </w:tcPr>
          <w:p w14:paraId="68F06C25">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1,982</w:t>
            </w:r>
          </w:p>
        </w:tc>
        <w:tc>
          <w:tcPr>
            <w:tcW w:w="1541" w:type="dxa"/>
            <w:vAlign w:val="center"/>
          </w:tcPr>
          <w:p w14:paraId="3A1894A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2,571</w:t>
            </w:r>
          </w:p>
        </w:tc>
        <w:tc>
          <w:tcPr>
            <w:tcW w:w="1541" w:type="dxa"/>
            <w:vAlign w:val="center"/>
          </w:tcPr>
          <w:p w14:paraId="01CA0F24">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2,712</w:t>
            </w:r>
          </w:p>
        </w:tc>
        <w:tc>
          <w:tcPr>
            <w:tcW w:w="1541" w:type="dxa"/>
            <w:vAlign w:val="center"/>
          </w:tcPr>
          <w:p w14:paraId="4BEEEA93">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2,795</w:t>
            </w:r>
          </w:p>
        </w:tc>
        <w:tc>
          <w:tcPr>
            <w:tcW w:w="1541" w:type="dxa"/>
            <w:vAlign w:val="center"/>
          </w:tcPr>
          <w:p w14:paraId="7EE4D90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2,909</w:t>
            </w:r>
          </w:p>
        </w:tc>
      </w:tr>
      <w:tr w14:paraId="0BA88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7EC220EA">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Prepaid expenses and other</w:t>
            </w:r>
          </w:p>
        </w:tc>
        <w:tc>
          <w:tcPr>
            <w:tcW w:w="1541" w:type="dxa"/>
            <w:vAlign w:val="center"/>
          </w:tcPr>
          <w:p w14:paraId="2C481BD9">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251</w:t>
            </w:r>
          </w:p>
        </w:tc>
        <w:tc>
          <w:tcPr>
            <w:tcW w:w="1541" w:type="dxa"/>
            <w:vAlign w:val="center"/>
          </w:tcPr>
          <w:p w14:paraId="446FBFB4">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235</w:t>
            </w:r>
          </w:p>
        </w:tc>
        <w:tc>
          <w:tcPr>
            <w:tcW w:w="1541" w:type="dxa"/>
            <w:vAlign w:val="center"/>
          </w:tcPr>
          <w:p w14:paraId="28AD3464">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261</w:t>
            </w:r>
          </w:p>
        </w:tc>
        <w:tc>
          <w:tcPr>
            <w:tcW w:w="1541" w:type="dxa"/>
            <w:vAlign w:val="center"/>
          </w:tcPr>
          <w:p w14:paraId="394C5183">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294</w:t>
            </w:r>
          </w:p>
        </w:tc>
        <w:tc>
          <w:tcPr>
            <w:tcW w:w="1541" w:type="dxa"/>
            <w:vAlign w:val="center"/>
          </w:tcPr>
          <w:p w14:paraId="74B41273">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317</w:t>
            </w:r>
          </w:p>
        </w:tc>
      </w:tr>
      <w:tr w14:paraId="19E86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7C9F56E3">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Property and equipment, net</w:t>
            </w:r>
          </w:p>
        </w:tc>
        <w:tc>
          <w:tcPr>
            <w:tcW w:w="1541" w:type="dxa"/>
            <w:vAlign w:val="center"/>
          </w:tcPr>
          <w:p w14:paraId="3E771F0B">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1,503</w:t>
            </w:r>
          </w:p>
        </w:tc>
        <w:tc>
          <w:tcPr>
            <w:tcW w:w="1541" w:type="dxa"/>
            <w:vAlign w:val="center"/>
          </w:tcPr>
          <w:p w14:paraId="1B77DAF1">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1,585</w:t>
            </w:r>
          </w:p>
        </w:tc>
        <w:tc>
          <w:tcPr>
            <w:tcW w:w="1541" w:type="dxa"/>
            <w:vAlign w:val="center"/>
          </w:tcPr>
          <w:p w14:paraId="6BD942AD">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1,581</w:t>
            </w:r>
          </w:p>
        </w:tc>
        <w:tc>
          <w:tcPr>
            <w:tcW w:w="1541" w:type="dxa"/>
            <w:vAlign w:val="center"/>
          </w:tcPr>
          <w:p w14:paraId="726BF1F7">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1,833</w:t>
            </w:r>
          </w:p>
        </w:tc>
        <w:tc>
          <w:tcPr>
            <w:tcW w:w="1541" w:type="dxa"/>
            <w:vAlign w:val="center"/>
          </w:tcPr>
          <w:p w14:paraId="073502E5">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1,954</w:t>
            </w:r>
          </w:p>
        </w:tc>
      </w:tr>
      <w:tr w14:paraId="3D65C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1AE21549">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Brands</w:t>
            </w:r>
          </w:p>
        </w:tc>
        <w:tc>
          <w:tcPr>
            <w:tcW w:w="1541" w:type="dxa"/>
            <w:vAlign w:val="center"/>
          </w:tcPr>
          <w:p w14:paraId="4AC74EF1">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5,979</w:t>
            </w:r>
          </w:p>
        </w:tc>
        <w:tc>
          <w:tcPr>
            <w:tcW w:w="1541" w:type="dxa"/>
            <w:vAlign w:val="center"/>
          </w:tcPr>
          <w:p w14:paraId="625E246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5,812</w:t>
            </w:r>
          </w:p>
        </w:tc>
        <w:tc>
          <w:tcPr>
            <w:tcW w:w="1541" w:type="dxa"/>
            <w:vAlign w:val="center"/>
          </w:tcPr>
          <w:p w14:paraId="5280476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5,907</w:t>
            </w:r>
          </w:p>
        </w:tc>
        <w:tc>
          <w:tcPr>
            <w:tcW w:w="1541" w:type="dxa"/>
            <w:vAlign w:val="center"/>
          </w:tcPr>
          <w:p w14:paraId="127A51D7">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5,770</w:t>
            </w:r>
          </w:p>
        </w:tc>
        <w:tc>
          <w:tcPr>
            <w:tcW w:w="1541" w:type="dxa"/>
            <w:vAlign w:val="center"/>
          </w:tcPr>
          <w:p w14:paraId="18F5E757">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6,207</w:t>
            </w:r>
          </w:p>
        </w:tc>
      </w:tr>
      <w:tr w14:paraId="6CE5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07353979">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Contract acquisition costs and other</w:t>
            </w:r>
          </w:p>
        </w:tc>
        <w:tc>
          <w:tcPr>
            <w:tcW w:w="1541" w:type="dxa"/>
            <w:vAlign w:val="center"/>
          </w:tcPr>
          <w:p w14:paraId="18FB8E1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2,947</w:t>
            </w:r>
          </w:p>
        </w:tc>
        <w:tc>
          <w:tcPr>
            <w:tcW w:w="1541" w:type="dxa"/>
            <w:vAlign w:val="center"/>
          </w:tcPr>
          <w:p w14:paraId="7F2351E7">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2,935</w:t>
            </w:r>
          </w:p>
        </w:tc>
        <w:tc>
          <w:tcPr>
            <w:tcW w:w="1541" w:type="dxa"/>
            <w:vAlign w:val="center"/>
          </w:tcPr>
          <w:p w14:paraId="29724A3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3,283</w:t>
            </w:r>
          </w:p>
        </w:tc>
        <w:tc>
          <w:tcPr>
            <w:tcW w:w="1541" w:type="dxa"/>
            <w:vAlign w:val="center"/>
          </w:tcPr>
          <w:p w14:paraId="7D027E48">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3,718</w:t>
            </w:r>
          </w:p>
        </w:tc>
        <w:tc>
          <w:tcPr>
            <w:tcW w:w="1541" w:type="dxa"/>
            <w:vAlign w:val="center"/>
          </w:tcPr>
          <w:p w14:paraId="0A1636F7">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4,129</w:t>
            </w:r>
          </w:p>
        </w:tc>
      </w:tr>
      <w:tr w14:paraId="3DBF5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288CD283">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Goodwill</w:t>
            </w:r>
          </w:p>
        </w:tc>
        <w:tc>
          <w:tcPr>
            <w:tcW w:w="1541" w:type="dxa"/>
            <w:vAlign w:val="center"/>
          </w:tcPr>
          <w:p w14:paraId="042DF24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9,073</w:t>
            </w:r>
          </w:p>
        </w:tc>
        <w:tc>
          <w:tcPr>
            <w:tcW w:w="1541" w:type="dxa"/>
            <w:vAlign w:val="center"/>
          </w:tcPr>
          <w:p w14:paraId="52CAFD44">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8,872</w:t>
            </w:r>
          </w:p>
        </w:tc>
        <w:tc>
          <w:tcPr>
            <w:tcW w:w="1541" w:type="dxa"/>
            <w:vAlign w:val="center"/>
          </w:tcPr>
          <w:p w14:paraId="7C131593">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8,886</w:t>
            </w:r>
          </w:p>
        </w:tc>
        <w:tc>
          <w:tcPr>
            <w:tcW w:w="1541" w:type="dxa"/>
            <w:vAlign w:val="center"/>
          </w:tcPr>
          <w:p w14:paraId="313660EC">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8,731</w:t>
            </w:r>
          </w:p>
        </w:tc>
        <w:tc>
          <w:tcPr>
            <w:tcW w:w="1541" w:type="dxa"/>
            <w:vAlign w:val="center"/>
          </w:tcPr>
          <w:p w14:paraId="2C0333B8">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8,907</w:t>
            </w:r>
          </w:p>
        </w:tc>
      </w:tr>
      <w:tr w14:paraId="503DD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2211AE8F">
            <w:pPr>
              <w:keepNext w:val="0"/>
              <w:keepLines w:val="0"/>
              <w:widowControl/>
              <w:suppressLineNumbers w:val="0"/>
              <w:jc w:val="lef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Total Intangible Assets</w:t>
            </w:r>
          </w:p>
        </w:tc>
        <w:tc>
          <w:tcPr>
            <w:tcW w:w="1541" w:type="dxa"/>
            <w:vAlign w:val="center"/>
          </w:tcPr>
          <w:p w14:paraId="3CDC555C">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17,999</w:t>
            </w:r>
          </w:p>
        </w:tc>
        <w:tc>
          <w:tcPr>
            <w:tcW w:w="1541" w:type="dxa"/>
            <w:vAlign w:val="center"/>
          </w:tcPr>
          <w:p w14:paraId="2E41B47F">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17,619</w:t>
            </w:r>
          </w:p>
        </w:tc>
        <w:tc>
          <w:tcPr>
            <w:tcW w:w="1541" w:type="dxa"/>
            <w:vAlign w:val="center"/>
          </w:tcPr>
          <w:p w14:paraId="5B7BEDD6">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18,076</w:t>
            </w:r>
          </w:p>
        </w:tc>
        <w:tc>
          <w:tcPr>
            <w:tcW w:w="1541" w:type="dxa"/>
            <w:vAlign w:val="center"/>
          </w:tcPr>
          <w:p w14:paraId="46C7120E">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18,219</w:t>
            </w:r>
          </w:p>
        </w:tc>
        <w:tc>
          <w:tcPr>
            <w:tcW w:w="1541" w:type="dxa"/>
            <w:vAlign w:val="center"/>
          </w:tcPr>
          <w:p w14:paraId="1879AD13">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19,243</w:t>
            </w:r>
          </w:p>
        </w:tc>
      </w:tr>
      <w:tr w14:paraId="12EC5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B3DE25B">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Equity method investments</w:t>
            </w:r>
          </w:p>
        </w:tc>
        <w:tc>
          <w:tcPr>
            <w:tcW w:w="1541" w:type="dxa"/>
            <w:vAlign w:val="center"/>
          </w:tcPr>
          <w:p w14:paraId="66E64CCA">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387</w:t>
            </w:r>
          </w:p>
        </w:tc>
        <w:tc>
          <w:tcPr>
            <w:tcW w:w="1541" w:type="dxa"/>
            <w:vAlign w:val="center"/>
          </w:tcPr>
          <w:p w14:paraId="08C19E87">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335</w:t>
            </w:r>
          </w:p>
        </w:tc>
        <w:tc>
          <w:tcPr>
            <w:tcW w:w="1541" w:type="dxa"/>
            <w:vAlign w:val="center"/>
          </w:tcPr>
          <w:p w14:paraId="4415CEDA">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308</w:t>
            </w:r>
          </w:p>
        </w:tc>
        <w:tc>
          <w:tcPr>
            <w:tcW w:w="1541" w:type="dxa"/>
            <w:vAlign w:val="center"/>
          </w:tcPr>
          <w:p w14:paraId="2E5B8752">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298</w:t>
            </w:r>
          </w:p>
        </w:tc>
        <w:tc>
          <w:tcPr>
            <w:tcW w:w="1541" w:type="dxa"/>
            <w:vAlign w:val="center"/>
          </w:tcPr>
          <w:p w14:paraId="5811784E">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298</w:t>
            </w:r>
          </w:p>
        </w:tc>
      </w:tr>
      <w:tr w14:paraId="4A1E2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18233F78">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Notes receivable, net</w:t>
            </w:r>
          </w:p>
        </w:tc>
        <w:tc>
          <w:tcPr>
            <w:tcW w:w="1541" w:type="dxa"/>
            <w:vAlign w:val="center"/>
          </w:tcPr>
          <w:p w14:paraId="6B2B9477">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144</w:t>
            </w:r>
          </w:p>
        </w:tc>
        <w:tc>
          <w:tcPr>
            <w:tcW w:w="1541" w:type="dxa"/>
            <w:vAlign w:val="center"/>
          </w:tcPr>
          <w:p w14:paraId="41167C9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152</w:t>
            </w:r>
          </w:p>
        </w:tc>
        <w:tc>
          <w:tcPr>
            <w:tcW w:w="1541" w:type="dxa"/>
            <w:vAlign w:val="center"/>
          </w:tcPr>
          <w:p w14:paraId="5254BC39">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138</w:t>
            </w:r>
          </w:p>
        </w:tc>
        <w:tc>
          <w:tcPr>
            <w:tcW w:w="1541" w:type="dxa"/>
            <w:vAlign w:val="center"/>
          </w:tcPr>
          <w:p w14:paraId="0A3FDE69">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136</w:t>
            </w:r>
          </w:p>
        </w:tc>
        <w:tc>
          <w:tcPr>
            <w:tcW w:w="1541" w:type="dxa"/>
            <w:vAlign w:val="center"/>
          </w:tcPr>
          <w:p w14:paraId="42DD46A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151</w:t>
            </w:r>
          </w:p>
        </w:tc>
      </w:tr>
      <w:tr w14:paraId="500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19CFF358">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Deferred tax assets</w:t>
            </w:r>
          </w:p>
        </w:tc>
        <w:tc>
          <w:tcPr>
            <w:tcW w:w="1541" w:type="dxa"/>
            <w:vAlign w:val="center"/>
          </w:tcPr>
          <w:p w14:paraId="588C631E">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228</w:t>
            </w:r>
          </w:p>
        </w:tc>
        <w:tc>
          <w:tcPr>
            <w:tcW w:w="1541" w:type="dxa"/>
            <w:vAlign w:val="center"/>
          </w:tcPr>
          <w:p w14:paraId="43E54099">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240</w:t>
            </w:r>
          </w:p>
        </w:tc>
        <w:tc>
          <w:tcPr>
            <w:tcW w:w="1541" w:type="dxa"/>
            <w:vAlign w:val="center"/>
          </w:tcPr>
          <w:p w14:paraId="510853D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673</w:t>
            </w:r>
          </w:p>
        </w:tc>
        <w:tc>
          <w:tcPr>
            <w:tcW w:w="1541" w:type="dxa"/>
            <w:vAlign w:val="center"/>
          </w:tcPr>
          <w:p w14:paraId="1248BDDC">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650</w:t>
            </w:r>
          </w:p>
        </w:tc>
        <w:tc>
          <w:tcPr>
            <w:tcW w:w="1541" w:type="dxa"/>
            <w:vAlign w:val="center"/>
          </w:tcPr>
          <w:p w14:paraId="0A48F37A">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570</w:t>
            </w:r>
          </w:p>
        </w:tc>
      </w:tr>
      <w:tr w14:paraId="622AA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D090257">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Operating lease assets</w:t>
            </w:r>
          </w:p>
        </w:tc>
        <w:tc>
          <w:tcPr>
            <w:tcW w:w="1541" w:type="dxa"/>
            <w:vAlign w:val="center"/>
          </w:tcPr>
          <w:p w14:paraId="1D50F800">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1,062</w:t>
            </w:r>
          </w:p>
        </w:tc>
        <w:tc>
          <w:tcPr>
            <w:tcW w:w="1541" w:type="dxa"/>
            <w:vAlign w:val="center"/>
          </w:tcPr>
          <w:p w14:paraId="0D220242">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987</w:t>
            </w:r>
          </w:p>
        </w:tc>
        <w:tc>
          <w:tcPr>
            <w:tcW w:w="1541" w:type="dxa"/>
            <w:vAlign w:val="center"/>
          </w:tcPr>
          <w:p w14:paraId="69DE0CFD">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929</w:t>
            </w:r>
          </w:p>
        </w:tc>
        <w:tc>
          <w:tcPr>
            <w:tcW w:w="1541" w:type="dxa"/>
            <w:vAlign w:val="center"/>
          </w:tcPr>
          <w:p w14:paraId="049F8B0E">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845</w:t>
            </w:r>
          </w:p>
        </w:tc>
        <w:tc>
          <w:tcPr>
            <w:tcW w:w="1541" w:type="dxa"/>
            <w:vAlign w:val="center"/>
          </w:tcPr>
          <w:p w14:paraId="0F011D49">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941</w:t>
            </w:r>
          </w:p>
        </w:tc>
      </w:tr>
      <w:tr w14:paraId="51D58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31EFBA03">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Other noncurrent assets</w:t>
            </w:r>
          </w:p>
        </w:tc>
        <w:tc>
          <w:tcPr>
            <w:tcW w:w="1541" w:type="dxa"/>
            <w:vAlign w:val="center"/>
          </w:tcPr>
          <w:p w14:paraId="5CE1DD45">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604</w:t>
            </w:r>
          </w:p>
        </w:tc>
        <w:tc>
          <w:tcPr>
            <w:tcW w:w="1541" w:type="dxa"/>
            <w:vAlign w:val="center"/>
          </w:tcPr>
          <w:p w14:paraId="34C41BE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584</w:t>
            </w:r>
          </w:p>
        </w:tc>
        <w:tc>
          <w:tcPr>
            <w:tcW w:w="1541" w:type="dxa"/>
            <w:vAlign w:val="center"/>
          </w:tcPr>
          <w:p w14:paraId="7787F46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658</w:t>
            </w:r>
          </w:p>
        </w:tc>
        <w:tc>
          <w:tcPr>
            <w:tcW w:w="1541" w:type="dxa"/>
            <w:vAlign w:val="center"/>
          </w:tcPr>
          <w:p w14:paraId="7A76B99B">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716</w:t>
            </w:r>
          </w:p>
        </w:tc>
        <w:tc>
          <w:tcPr>
            <w:tcW w:w="1541" w:type="dxa"/>
            <w:vAlign w:val="center"/>
          </w:tcPr>
          <w:p w14:paraId="7977B8B5">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799</w:t>
            </w:r>
          </w:p>
        </w:tc>
      </w:tr>
      <w:tr w14:paraId="3A5F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0BFC19F1">
            <w:pPr>
              <w:keepNext w:val="0"/>
              <w:keepLines w:val="0"/>
              <w:widowControl/>
              <w:suppressLineNumbers w:val="0"/>
              <w:jc w:val="lef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TOTAL ASSETS</w:t>
            </w:r>
          </w:p>
        </w:tc>
        <w:tc>
          <w:tcPr>
            <w:tcW w:w="1541" w:type="dxa"/>
            <w:vAlign w:val="center"/>
          </w:tcPr>
          <w:p w14:paraId="0CA4AD25">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25,553</w:t>
            </w:r>
          </w:p>
        </w:tc>
        <w:tc>
          <w:tcPr>
            <w:tcW w:w="1541" w:type="dxa"/>
            <w:vAlign w:val="center"/>
          </w:tcPr>
          <w:p w14:paraId="5E51563C">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24,815</w:t>
            </w:r>
          </w:p>
        </w:tc>
        <w:tc>
          <w:tcPr>
            <w:tcW w:w="1541" w:type="dxa"/>
            <w:vAlign w:val="center"/>
          </w:tcPr>
          <w:p w14:paraId="4CEE0D48">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25,674</w:t>
            </w:r>
          </w:p>
        </w:tc>
        <w:tc>
          <w:tcPr>
            <w:tcW w:w="1541" w:type="dxa"/>
            <w:vAlign w:val="center"/>
          </w:tcPr>
          <w:p w14:paraId="16E2E13C">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26,182</w:t>
            </w:r>
          </w:p>
        </w:tc>
        <w:tc>
          <w:tcPr>
            <w:tcW w:w="1541" w:type="dxa"/>
            <w:vAlign w:val="center"/>
          </w:tcPr>
          <w:p w14:paraId="38355DDD">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27,540</w:t>
            </w:r>
          </w:p>
        </w:tc>
      </w:tr>
      <w:tr w14:paraId="5AA57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234945C">
            <w:pPr>
              <w:keepNext w:val="0"/>
              <w:keepLines w:val="0"/>
              <w:widowControl/>
              <w:suppressLineNumbers w:val="0"/>
              <w:jc w:val="lef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LIABILITIES &amp; STOCKHOLDERS' EQUITY</w:t>
            </w:r>
          </w:p>
        </w:tc>
        <w:tc>
          <w:tcPr>
            <w:tcW w:w="1541" w:type="dxa"/>
            <w:vAlign w:val="center"/>
          </w:tcPr>
          <w:p w14:paraId="5D0AAD2D">
            <w:pPr>
              <w:widowControl w:val="0"/>
              <w:jc w:val="right"/>
              <w:rPr>
                <w:rFonts w:hint="default" w:ascii="Arial" w:hAnsi="Arial" w:eastAsia="Times New Roman" w:cs="Arial"/>
                <w:sz w:val="22"/>
                <w:szCs w:val="22"/>
                <w:vertAlign w:val="baseline"/>
              </w:rPr>
            </w:pPr>
          </w:p>
        </w:tc>
        <w:tc>
          <w:tcPr>
            <w:tcW w:w="1541" w:type="dxa"/>
            <w:vAlign w:val="center"/>
          </w:tcPr>
          <w:p w14:paraId="6192B390">
            <w:pPr>
              <w:widowControl w:val="0"/>
              <w:jc w:val="right"/>
              <w:rPr>
                <w:rFonts w:hint="default" w:ascii="Arial" w:hAnsi="Arial" w:eastAsia="Times New Roman" w:cs="Arial"/>
                <w:sz w:val="22"/>
                <w:szCs w:val="22"/>
                <w:vertAlign w:val="baseline"/>
              </w:rPr>
            </w:pPr>
          </w:p>
        </w:tc>
        <w:tc>
          <w:tcPr>
            <w:tcW w:w="1541" w:type="dxa"/>
            <w:vAlign w:val="center"/>
          </w:tcPr>
          <w:p w14:paraId="2D77DBEC">
            <w:pPr>
              <w:widowControl w:val="0"/>
              <w:jc w:val="right"/>
              <w:rPr>
                <w:rFonts w:hint="default" w:ascii="Arial" w:hAnsi="Arial" w:eastAsia="Times New Roman" w:cs="Arial"/>
                <w:sz w:val="22"/>
                <w:szCs w:val="22"/>
                <w:vertAlign w:val="baseline"/>
              </w:rPr>
            </w:pPr>
          </w:p>
        </w:tc>
        <w:tc>
          <w:tcPr>
            <w:tcW w:w="1541" w:type="dxa"/>
            <w:vAlign w:val="center"/>
          </w:tcPr>
          <w:p w14:paraId="62FC3275">
            <w:pPr>
              <w:widowControl w:val="0"/>
              <w:jc w:val="right"/>
              <w:rPr>
                <w:rFonts w:hint="default" w:ascii="Arial" w:hAnsi="Arial" w:eastAsia="Times New Roman" w:cs="Arial"/>
                <w:sz w:val="22"/>
                <w:szCs w:val="22"/>
                <w:vertAlign w:val="baseline"/>
              </w:rPr>
            </w:pPr>
          </w:p>
        </w:tc>
        <w:tc>
          <w:tcPr>
            <w:tcW w:w="1541" w:type="dxa"/>
            <w:vAlign w:val="center"/>
          </w:tcPr>
          <w:p w14:paraId="3FED12ED">
            <w:pPr>
              <w:widowControl w:val="0"/>
              <w:jc w:val="right"/>
              <w:rPr>
                <w:rFonts w:hint="default" w:ascii="Arial" w:hAnsi="Arial" w:eastAsia="Times New Roman" w:cs="Arial"/>
                <w:sz w:val="22"/>
                <w:szCs w:val="22"/>
                <w:vertAlign w:val="baseline"/>
              </w:rPr>
            </w:pPr>
          </w:p>
        </w:tc>
      </w:tr>
      <w:tr w14:paraId="691A4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21040C26">
            <w:pPr>
              <w:keepNext w:val="0"/>
              <w:keepLines w:val="0"/>
              <w:widowControl/>
              <w:suppressLineNumbers w:val="0"/>
              <w:jc w:val="lef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Current Liabilities</w:t>
            </w:r>
          </w:p>
        </w:tc>
        <w:tc>
          <w:tcPr>
            <w:tcW w:w="1541" w:type="dxa"/>
            <w:vAlign w:val="center"/>
          </w:tcPr>
          <w:p w14:paraId="34D80DA6">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6,407</w:t>
            </w:r>
          </w:p>
        </w:tc>
        <w:tc>
          <w:tcPr>
            <w:tcW w:w="1541" w:type="dxa"/>
            <w:vAlign w:val="center"/>
          </w:tcPr>
          <w:p w14:paraId="7901C807">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7,339</w:t>
            </w:r>
          </w:p>
        </w:tc>
        <w:tc>
          <w:tcPr>
            <w:tcW w:w="1541" w:type="dxa"/>
            <w:vAlign w:val="center"/>
          </w:tcPr>
          <w:p w14:paraId="4FA6D207">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7,762</w:t>
            </w:r>
          </w:p>
        </w:tc>
        <w:tc>
          <w:tcPr>
            <w:tcW w:w="1541" w:type="dxa"/>
            <w:vAlign w:val="center"/>
          </w:tcPr>
          <w:p w14:paraId="11DC6FC7">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8,649</w:t>
            </w:r>
          </w:p>
        </w:tc>
        <w:tc>
          <w:tcPr>
            <w:tcW w:w="1541" w:type="dxa"/>
            <w:vAlign w:val="center"/>
          </w:tcPr>
          <w:p w14:paraId="0C0EA5B6">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8,398</w:t>
            </w:r>
          </w:p>
        </w:tc>
      </w:tr>
      <w:tr w14:paraId="507C8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73404989">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Current portion of long-term debt</w:t>
            </w:r>
          </w:p>
        </w:tc>
        <w:tc>
          <w:tcPr>
            <w:tcW w:w="1541" w:type="dxa"/>
            <w:vAlign w:val="center"/>
          </w:tcPr>
          <w:p w14:paraId="592EDA11">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805</w:t>
            </w:r>
          </w:p>
        </w:tc>
        <w:tc>
          <w:tcPr>
            <w:tcW w:w="1541" w:type="dxa"/>
            <w:vAlign w:val="center"/>
          </w:tcPr>
          <w:p w14:paraId="47F21E79">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684</w:t>
            </w:r>
          </w:p>
        </w:tc>
        <w:tc>
          <w:tcPr>
            <w:tcW w:w="1541" w:type="dxa"/>
            <w:vAlign w:val="center"/>
          </w:tcPr>
          <w:p w14:paraId="057113F4">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553</w:t>
            </w:r>
          </w:p>
        </w:tc>
        <w:tc>
          <w:tcPr>
            <w:tcW w:w="1541" w:type="dxa"/>
            <w:vAlign w:val="center"/>
          </w:tcPr>
          <w:p w14:paraId="26F1346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1,309</w:t>
            </w:r>
          </w:p>
        </w:tc>
        <w:tc>
          <w:tcPr>
            <w:tcW w:w="1541" w:type="dxa"/>
            <w:vAlign w:val="center"/>
          </w:tcPr>
          <w:p w14:paraId="16460A6D">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1,209</w:t>
            </w:r>
          </w:p>
        </w:tc>
      </w:tr>
      <w:tr w14:paraId="04692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0B7D21E1">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Accounts payable</w:t>
            </w:r>
          </w:p>
        </w:tc>
        <w:tc>
          <w:tcPr>
            <w:tcW w:w="1541" w:type="dxa"/>
            <w:vAlign w:val="center"/>
          </w:tcPr>
          <w:p w14:paraId="69A74FA2">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726</w:t>
            </w:r>
          </w:p>
        </w:tc>
        <w:tc>
          <w:tcPr>
            <w:tcW w:w="1541" w:type="dxa"/>
            <w:vAlign w:val="center"/>
          </w:tcPr>
          <w:p w14:paraId="09FC8B6D">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746</w:t>
            </w:r>
          </w:p>
        </w:tc>
        <w:tc>
          <w:tcPr>
            <w:tcW w:w="1541" w:type="dxa"/>
            <w:vAlign w:val="center"/>
          </w:tcPr>
          <w:p w14:paraId="7A3FB591">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738</w:t>
            </w:r>
          </w:p>
        </w:tc>
        <w:tc>
          <w:tcPr>
            <w:tcW w:w="1541" w:type="dxa"/>
            <w:vAlign w:val="center"/>
          </w:tcPr>
          <w:p w14:paraId="576916CE">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763</w:t>
            </w:r>
          </w:p>
        </w:tc>
        <w:tc>
          <w:tcPr>
            <w:tcW w:w="1541" w:type="dxa"/>
            <w:vAlign w:val="center"/>
          </w:tcPr>
          <w:p w14:paraId="6E46BF1C">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814</w:t>
            </w:r>
          </w:p>
        </w:tc>
      </w:tr>
      <w:tr w14:paraId="739B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0DD1DF29">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Accrued payroll and benefits</w:t>
            </w:r>
          </w:p>
        </w:tc>
        <w:tc>
          <w:tcPr>
            <w:tcW w:w="1541" w:type="dxa"/>
            <w:vAlign w:val="center"/>
          </w:tcPr>
          <w:p w14:paraId="453896C4">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1,187</w:t>
            </w:r>
          </w:p>
        </w:tc>
        <w:tc>
          <w:tcPr>
            <w:tcW w:w="1541" w:type="dxa"/>
            <w:vAlign w:val="center"/>
          </w:tcPr>
          <w:p w14:paraId="11BFEA5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1,299</w:t>
            </w:r>
          </w:p>
        </w:tc>
        <w:tc>
          <w:tcPr>
            <w:tcW w:w="1541" w:type="dxa"/>
            <w:vAlign w:val="center"/>
          </w:tcPr>
          <w:p w14:paraId="15D80DCB">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1,390</w:t>
            </w:r>
          </w:p>
        </w:tc>
        <w:tc>
          <w:tcPr>
            <w:tcW w:w="1541" w:type="dxa"/>
            <w:vAlign w:val="center"/>
          </w:tcPr>
          <w:p w14:paraId="1272A91A">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1,449</w:t>
            </w:r>
          </w:p>
        </w:tc>
        <w:tc>
          <w:tcPr>
            <w:tcW w:w="1541" w:type="dxa"/>
            <w:vAlign w:val="center"/>
          </w:tcPr>
          <w:p w14:paraId="513092B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1,438</w:t>
            </w:r>
          </w:p>
        </w:tc>
      </w:tr>
      <w:tr w14:paraId="18F53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7703650">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Liability for guest loyalty program</w:t>
            </w:r>
          </w:p>
        </w:tc>
        <w:tc>
          <w:tcPr>
            <w:tcW w:w="1541" w:type="dxa"/>
            <w:vAlign w:val="center"/>
          </w:tcPr>
          <w:p w14:paraId="6C49516B">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2,522</w:t>
            </w:r>
          </w:p>
        </w:tc>
        <w:tc>
          <w:tcPr>
            <w:tcW w:w="1541" w:type="dxa"/>
            <w:vAlign w:val="center"/>
          </w:tcPr>
          <w:p w14:paraId="607A534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3,314</w:t>
            </w:r>
          </w:p>
        </w:tc>
        <w:tc>
          <w:tcPr>
            <w:tcW w:w="1541" w:type="dxa"/>
            <w:vAlign w:val="center"/>
          </w:tcPr>
          <w:p w14:paraId="577BAAEE">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3,328</w:t>
            </w:r>
          </w:p>
        </w:tc>
        <w:tc>
          <w:tcPr>
            <w:tcW w:w="1541" w:type="dxa"/>
            <w:vAlign w:val="center"/>
          </w:tcPr>
          <w:p w14:paraId="009B6472">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3,487</w:t>
            </w:r>
          </w:p>
        </w:tc>
        <w:tc>
          <w:tcPr>
            <w:tcW w:w="1541" w:type="dxa"/>
            <w:vAlign w:val="center"/>
          </w:tcPr>
          <w:p w14:paraId="44CEB43D">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3,497</w:t>
            </w:r>
          </w:p>
        </w:tc>
      </w:tr>
      <w:tr w14:paraId="06E5A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3D4FDAE">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Accrued expenses and other</w:t>
            </w:r>
          </w:p>
        </w:tc>
        <w:tc>
          <w:tcPr>
            <w:tcW w:w="1541" w:type="dxa"/>
            <w:vAlign w:val="center"/>
          </w:tcPr>
          <w:p w14:paraId="2B6CE290">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1,167</w:t>
            </w:r>
          </w:p>
        </w:tc>
        <w:tc>
          <w:tcPr>
            <w:tcW w:w="1541" w:type="dxa"/>
            <w:vAlign w:val="center"/>
          </w:tcPr>
          <w:p w14:paraId="3F4D904C">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1,296</w:t>
            </w:r>
          </w:p>
        </w:tc>
        <w:tc>
          <w:tcPr>
            <w:tcW w:w="1541" w:type="dxa"/>
            <w:vAlign w:val="center"/>
          </w:tcPr>
          <w:p w14:paraId="34735944">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1,753</w:t>
            </w:r>
          </w:p>
        </w:tc>
        <w:tc>
          <w:tcPr>
            <w:tcW w:w="1541" w:type="dxa"/>
            <w:vAlign w:val="center"/>
          </w:tcPr>
          <w:p w14:paraId="1C9AAEB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1,641</w:t>
            </w:r>
          </w:p>
        </w:tc>
        <w:tc>
          <w:tcPr>
            <w:tcW w:w="1541" w:type="dxa"/>
            <w:vAlign w:val="center"/>
          </w:tcPr>
          <w:p w14:paraId="4D71483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1,440</w:t>
            </w:r>
          </w:p>
        </w:tc>
      </w:tr>
      <w:tr w14:paraId="3E1E5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EDDD9ED">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Long-term debt</w:t>
            </w:r>
          </w:p>
        </w:tc>
        <w:tc>
          <w:tcPr>
            <w:tcW w:w="1541" w:type="dxa"/>
            <w:vAlign w:val="center"/>
          </w:tcPr>
          <w:p w14:paraId="5F6B73B3">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9,333</w:t>
            </w:r>
          </w:p>
        </w:tc>
        <w:tc>
          <w:tcPr>
            <w:tcW w:w="1541" w:type="dxa"/>
            <w:vAlign w:val="center"/>
          </w:tcPr>
          <w:p w14:paraId="45F11E3E">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9,380</w:t>
            </w:r>
          </w:p>
        </w:tc>
        <w:tc>
          <w:tcPr>
            <w:tcW w:w="1541" w:type="dxa"/>
            <w:vAlign w:val="center"/>
          </w:tcPr>
          <w:p w14:paraId="73E90E82">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11,320</w:t>
            </w:r>
          </w:p>
        </w:tc>
        <w:tc>
          <w:tcPr>
            <w:tcW w:w="1541" w:type="dxa"/>
            <w:vAlign w:val="center"/>
          </w:tcPr>
          <w:p w14:paraId="73AC78B7">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13,138</w:t>
            </w:r>
          </w:p>
        </w:tc>
        <w:tc>
          <w:tcPr>
            <w:tcW w:w="1541" w:type="dxa"/>
            <w:vAlign w:val="center"/>
          </w:tcPr>
          <w:p w14:paraId="5EF9928A">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14,995</w:t>
            </w:r>
          </w:p>
        </w:tc>
      </w:tr>
      <w:tr w14:paraId="5F382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2A6644D5">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Noncurrent guest loyalty program liability</w:t>
            </w:r>
          </w:p>
        </w:tc>
        <w:tc>
          <w:tcPr>
            <w:tcW w:w="1541" w:type="dxa"/>
            <w:vAlign w:val="center"/>
          </w:tcPr>
          <w:p w14:paraId="1C8B1DBA">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3,949</w:t>
            </w:r>
          </w:p>
        </w:tc>
        <w:tc>
          <w:tcPr>
            <w:tcW w:w="1541" w:type="dxa"/>
            <w:vAlign w:val="center"/>
          </w:tcPr>
          <w:p w14:paraId="38E02A1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3,280</w:t>
            </w:r>
          </w:p>
        </w:tc>
        <w:tc>
          <w:tcPr>
            <w:tcW w:w="1541" w:type="dxa"/>
            <w:vAlign w:val="center"/>
          </w:tcPr>
          <w:p w14:paraId="2DACD0D2">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3,678</w:t>
            </w:r>
          </w:p>
        </w:tc>
        <w:tc>
          <w:tcPr>
            <w:tcW w:w="1541" w:type="dxa"/>
            <w:vAlign w:val="center"/>
          </w:tcPr>
          <w:p w14:paraId="0AF57095">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4,032</w:t>
            </w:r>
          </w:p>
        </w:tc>
        <w:tc>
          <w:tcPr>
            <w:tcW w:w="1541" w:type="dxa"/>
            <w:vAlign w:val="center"/>
          </w:tcPr>
          <w:p w14:paraId="1F146DEA">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4,495</w:t>
            </w:r>
          </w:p>
        </w:tc>
      </w:tr>
      <w:tr w14:paraId="31FC7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782EE37B">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Deferred tax liabilities</w:t>
            </w:r>
          </w:p>
        </w:tc>
        <w:tc>
          <w:tcPr>
            <w:tcW w:w="1541" w:type="dxa"/>
            <w:vAlign w:val="center"/>
          </w:tcPr>
          <w:p w14:paraId="6106559A">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169</w:t>
            </w:r>
          </w:p>
        </w:tc>
        <w:tc>
          <w:tcPr>
            <w:tcW w:w="1541" w:type="dxa"/>
            <w:vAlign w:val="center"/>
          </w:tcPr>
          <w:p w14:paraId="350E0687">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313</w:t>
            </w:r>
          </w:p>
        </w:tc>
        <w:tc>
          <w:tcPr>
            <w:tcW w:w="1541" w:type="dxa"/>
            <w:vAlign w:val="center"/>
          </w:tcPr>
          <w:p w14:paraId="15F8B5D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209</w:t>
            </w:r>
          </w:p>
        </w:tc>
        <w:tc>
          <w:tcPr>
            <w:tcW w:w="1541" w:type="dxa"/>
            <w:vAlign w:val="center"/>
          </w:tcPr>
          <w:p w14:paraId="72FE7D7D">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81</w:t>
            </w:r>
          </w:p>
        </w:tc>
        <w:tc>
          <w:tcPr>
            <w:tcW w:w="1541" w:type="dxa"/>
            <w:vAlign w:val="center"/>
          </w:tcPr>
          <w:p w14:paraId="153745BE">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79</w:t>
            </w:r>
          </w:p>
        </w:tc>
      </w:tr>
      <w:tr w14:paraId="46E3F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2986BC9F">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Deferred revenue</w:t>
            </w:r>
          </w:p>
        </w:tc>
        <w:tc>
          <w:tcPr>
            <w:tcW w:w="1541" w:type="dxa"/>
            <w:vAlign w:val="center"/>
          </w:tcPr>
          <w:p w14:paraId="5596A7F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1,181</w:t>
            </w:r>
          </w:p>
        </w:tc>
        <w:tc>
          <w:tcPr>
            <w:tcW w:w="1541" w:type="dxa"/>
            <w:vAlign w:val="center"/>
          </w:tcPr>
          <w:p w14:paraId="09942F1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1,059</w:t>
            </w:r>
          </w:p>
        </w:tc>
        <w:tc>
          <w:tcPr>
            <w:tcW w:w="1541" w:type="dxa"/>
            <w:vAlign w:val="center"/>
          </w:tcPr>
          <w:p w14:paraId="2726FF35">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1,018</w:t>
            </w:r>
          </w:p>
        </w:tc>
        <w:tc>
          <w:tcPr>
            <w:tcW w:w="1541" w:type="dxa"/>
            <w:vAlign w:val="center"/>
          </w:tcPr>
          <w:p w14:paraId="6632AE5C">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1,103</w:t>
            </w:r>
          </w:p>
        </w:tc>
        <w:tc>
          <w:tcPr>
            <w:tcW w:w="1541" w:type="dxa"/>
            <w:vAlign w:val="center"/>
          </w:tcPr>
          <w:p w14:paraId="02E7670B">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1,200</w:t>
            </w:r>
          </w:p>
        </w:tc>
      </w:tr>
      <w:tr w14:paraId="0B8D2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BBB13E6">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Operating lease liabilities</w:t>
            </w:r>
          </w:p>
        </w:tc>
        <w:tc>
          <w:tcPr>
            <w:tcW w:w="1541" w:type="dxa"/>
            <w:vAlign w:val="center"/>
          </w:tcPr>
          <w:p w14:paraId="3EECEAF4">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1,098</w:t>
            </w:r>
          </w:p>
        </w:tc>
        <w:tc>
          <w:tcPr>
            <w:tcW w:w="1541" w:type="dxa"/>
            <w:vAlign w:val="center"/>
          </w:tcPr>
          <w:p w14:paraId="42273A1D">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1,034</w:t>
            </w:r>
          </w:p>
        </w:tc>
        <w:tc>
          <w:tcPr>
            <w:tcW w:w="1541" w:type="dxa"/>
            <w:vAlign w:val="center"/>
          </w:tcPr>
          <w:p w14:paraId="74A05ED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887</w:t>
            </w:r>
          </w:p>
        </w:tc>
        <w:tc>
          <w:tcPr>
            <w:tcW w:w="1541" w:type="dxa"/>
            <w:vAlign w:val="center"/>
          </w:tcPr>
          <w:p w14:paraId="1BEB6B3E">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794</w:t>
            </w:r>
          </w:p>
        </w:tc>
        <w:tc>
          <w:tcPr>
            <w:tcW w:w="1541" w:type="dxa"/>
            <w:vAlign w:val="center"/>
          </w:tcPr>
          <w:p w14:paraId="4B671132">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879</w:t>
            </w:r>
          </w:p>
        </w:tc>
      </w:tr>
      <w:tr w14:paraId="002D5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57DE7C11">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Other noncurrent liabilities</w:t>
            </w:r>
          </w:p>
        </w:tc>
        <w:tc>
          <w:tcPr>
            <w:tcW w:w="1541" w:type="dxa"/>
            <w:vAlign w:val="center"/>
          </w:tcPr>
          <w:p w14:paraId="7F48AFA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2,002</w:t>
            </w:r>
          </w:p>
        </w:tc>
        <w:tc>
          <w:tcPr>
            <w:tcW w:w="1541" w:type="dxa"/>
            <w:vAlign w:val="center"/>
          </w:tcPr>
          <w:p w14:paraId="4260DE61">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1,842</w:t>
            </w:r>
          </w:p>
        </w:tc>
        <w:tc>
          <w:tcPr>
            <w:tcW w:w="1541" w:type="dxa"/>
            <w:vAlign w:val="center"/>
          </w:tcPr>
          <w:p w14:paraId="091C642C">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1,482</w:t>
            </w:r>
          </w:p>
        </w:tc>
        <w:tc>
          <w:tcPr>
            <w:tcW w:w="1541" w:type="dxa"/>
            <w:vAlign w:val="center"/>
          </w:tcPr>
          <w:p w14:paraId="2CAE77F8">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1,377</w:t>
            </w:r>
          </w:p>
        </w:tc>
        <w:tc>
          <w:tcPr>
            <w:tcW w:w="1541" w:type="dxa"/>
            <w:vAlign w:val="center"/>
          </w:tcPr>
          <w:p w14:paraId="1A46607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1,265</w:t>
            </w:r>
          </w:p>
        </w:tc>
      </w:tr>
      <w:tr w14:paraId="14BF7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4C468D6C">
            <w:pPr>
              <w:keepNext w:val="0"/>
              <w:keepLines w:val="0"/>
              <w:widowControl/>
              <w:suppressLineNumbers w:val="0"/>
              <w:jc w:val="lef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Stockholders' Equity / (Deficit)</w:t>
            </w:r>
          </w:p>
        </w:tc>
        <w:tc>
          <w:tcPr>
            <w:tcW w:w="1541" w:type="dxa"/>
            <w:vAlign w:val="center"/>
          </w:tcPr>
          <w:p w14:paraId="798BDDF1">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1,414</w:t>
            </w:r>
          </w:p>
        </w:tc>
        <w:tc>
          <w:tcPr>
            <w:tcW w:w="1541" w:type="dxa"/>
            <w:vAlign w:val="center"/>
          </w:tcPr>
          <w:p w14:paraId="3F84271A">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568</w:t>
            </w:r>
          </w:p>
        </w:tc>
        <w:tc>
          <w:tcPr>
            <w:tcW w:w="1541" w:type="dxa"/>
            <w:vAlign w:val="center"/>
          </w:tcPr>
          <w:p w14:paraId="0C8693E4">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(682)</w:t>
            </w:r>
          </w:p>
        </w:tc>
        <w:tc>
          <w:tcPr>
            <w:tcW w:w="1541" w:type="dxa"/>
            <w:vAlign w:val="center"/>
          </w:tcPr>
          <w:p w14:paraId="4079C046">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(2,992)</w:t>
            </w:r>
          </w:p>
        </w:tc>
        <w:tc>
          <w:tcPr>
            <w:tcW w:w="1541" w:type="dxa"/>
            <w:vAlign w:val="center"/>
          </w:tcPr>
          <w:p w14:paraId="7E1B27E0">
            <w:pPr>
              <w:keepNext w:val="0"/>
              <w:keepLines w:val="0"/>
              <w:widowControl/>
              <w:suppressLineNumbers w:val="0"/>
              <w:jc w:val="right"/>
              <w:rPr>
                <w:rFonts w:hint="default" w:ascii="Arial" w:hAnsi="Arial" w:eastAsia="Times New Roman" w:cs="Arial"/>
                <w:sz w:val="22"/>
                <w:szCs w:val="22"/>
                <w:vertAlign w:val="baseline"/>
              </w:rPr>
            </w:pPr>
            <w:r>
              <w:rPr>
                <w:rStyle w:val="13"/>
                <w:rFonts w:hint="default" w:ascii="Arial" w:hAnsi="Arial" w:eastAsia="SimSun" w:cs="Arial"/>
                <w:kern w:val="0"/>
                <w:sz w:val="22"/>
                <w:szCs w:val="22"/>
                <w:lang w:val="en-US" w:eastAsia="zh-CN" w:bidi="ar"/>
              </w:rPr>
              <w:t>(3,771)</w:t>
            </w:r>
          </w:p>
        </w:tc>
      </w:tr>
      <w:tr w14:paraId="4EC2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08F617DE">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Class A Common Stock</w:t>
            </w:r>
          </w:p>
        </w:tc>
        <w:tc>
          <w:tcPr>
            <w:tcW w:w="1541" w:type="dxa"/>
            <w:vAlign w:val="center"/>
          </w:tcPr>
          <w:p w14:paraId="6B7D7DAD">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w:t>
            </w:r>
          </w:p>
        </w:tc>
        <w:tc>
          <w:tcPr>
            <w:tcW w:w="1541" w:type="dxa"/>
            <w:vAlign w:val="center"/>
          </w:tcPr>
          <w:p w14:paraId="51983259">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w:t>
            </w:r>
          </w:p>
        </w:tc>
        <w:tc>
          <w:tcPr>
            <w:tcW w:w="1541" w:type="dxa"/>
            <w:vAlign w:val="center"/>
          </w:tcPr>
          <w:p w14:paraId="3C0EBC8C">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w:t>
            </w:r>
          </w:p>
        </w:tc>
        <w:tc>
          <w:tcPr>
            <w:tcW w:w="1541" w:type="dxa"/>
            <w:vAlign w:val="center"/>
          </w:tcPr>
          <w:p w14:paraId="318CD050">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w:t>
            </w:r>
          </w:p>
        </w:tc>
        <w:tc>
          <w:tcPr>
            <w:tcW w:w="1541" w:type="dxa"/>
            <w:vAlign w:val="center"/>
          </w:tcPr>
          <w:p w14:paraId="0AFDF8D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w:t>
            </w:r>
          </w:p>
        </w:tc>
      </w:tr>
      <w:tr w14:paraId="4B14E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3A355FA7">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Additional paid-in-capital</w:t>
            </w:r>
          </w:p>
        </w:tc>
        <w:tc>
          <w:tcPr>
            <w:tcW w:w="1541" w:type="dxa"/>
            <w:vAlign w:val="center"/>
          </w:tcPr>
          <w:p w14:paraId="4F320F62">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5,892</w:t>
            </w:r>
          </w:p>
        </w:tc>
        <w:tc>
          <w:tcPr>
            <w:tcW w:w="1541" w:type="dxa"/>
            <w:vAlign w:val="center"/>
          </w:tcPr>
          <w:p w14:paraId="292F8F85">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5,965</w:t>
            </w:r>
          </w:p>
        </w:tc>
        <w:tc>
          <w:tcPr>
            <w:tcW w:w="1541" w:type="dxa"/>
            <w:vAlign w:val="center"/>
          </w:tcPr>
          <w:p w14:paraId="0461A790">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6,051</w:t>
            </w:r>
          </w:p>
        </w:tc>
        <w:tc>
          <w:tcPr>
            <w:tcW w:w="1541" w:type="dxa"/>
            <w:vAlign w:val="center"/>
          </w:tcPr>
          <w:p w14:paraId="5A2A7BB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6,179</w:t>
            </w:r>
          </w:p>
        </w:tc>
        <w:tc>
          <w:tcPr>
            <w:tcW w:w="1541" w:type="dxa"/>
            <w:vAlign w:val="center"/>
          </w:tcPr>
          <w:p w14:paraId="594059F0">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6,352</w:t>
            </w:r>
          </w:p>
        </w:tc>
      </w:tr>
      <w:tr w14:paraId="686F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00671BE0">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Retained earnings</w:t>
            </w:r>
          </w:p>
        </w:tc>
        <w:tc>
          <w:tcPr>
            <w:tcW w:w="1541" w:type="dxa"/>
            <w:vAlign w:val="center"/>
          </w:tcPr>
          <w:p w14:paraId="1911CA4F">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10,305</w:t>
            </w:r>
          </w:p>
        </w:tc>
        <w:tc>
          <w:tcPr>
            <w:tcW w:w="1541" w:type="dxa"/>
            <w:vAlign w:val="center"/>
          </w:tcPr>
          <w:p w14:paraId="6375C2E2">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12,342</w:t>
            </w:r>
          </w:p>
        </w:tc>
        <w:tc>
          <w:tcPr>
            <w:tcW w:w="1541" w:type="dxa"/>
            <w:vAlign w:val="center"/>
          </w:tcPr>
          <w:p w14:paraId="032445AE">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14,838</w:t>
            </w:r>
          </w:p>
        </w:tc>
        <w:tc>
          <w:tcPr>
            <w:tcW w:w="1541" w:type="dxa"/>
            <w:vAlign w:val="center"/>
          </w:tcPr>
          <w:p w14:paraId="38734FF8">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16,531</w:t>
            </w:r>
          </w:p>
        </w:tc>
        <w:tc>
          <w:tcPr>
            <w:tcW w:w="1541" w:type="dxa"/>
            <w:vAlign w:val="center"/>
          </w:tcPr>
          <w:p w14:paraId="49FF0B91">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18,414</w:t>
            </w:r>
          </w:p>
        </w:tc>
      </w:tr>
      <w:tr w14:paraId="3A8C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0" w:type="dxa"/>
            <w:vAlign w:val="center"/>
          </w:tcPr>
          <w:p w14:paraId="684BDEB5">
            <w:pPr>
              <w:keepNext w:val="0"/>
              <w:keepLines w:val="0"/>
              <w:widowControl/>
              <w:suppressLineNumbers w:val="0"/>
              <w:jc w:val="lef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Treasury stock, at cost</w:t>
            </w:r>
          </w:p>
        </w:tc>
        <w:tc>
          <w:tcPr>
            <w:tcW w:w="1541" w:type="dxa"/>
            <w:vAlign w:val="center"/>
          </w:tcPr>
          <w:p w14:paraId="42A6FA16">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(14,446)</w:t>
            </w:r>
          </w:p>
        </w:tc>
        <w:tc>
          <w:tcPr>
            <w:tcW w:w="1541" w:type="dxa"/>
            <w:vAlign w:val="center"/>
          </w:tcPr>
          <w:p w14:paraId="31C674E8">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(17,015)</w:t>
            </w:r>
          </w:p>
        </w:tc>
        <w:tc>
          <w:tcPr>
            <w:tcW w:w="1541" w:type="dxa"/>
            <w:vAlign w:val="center"/>
          </w:tcPr>
          <w:p w14:paraId="620E00D4">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(20,929)</w:t>
            </w:r>
          </w:p>
        </w:tc>
        <w:tc>
          <w:tcPr>
            <w:tcW w:w="1541" w:type="dxa"/>
            <w:vAlign w:val="center"/>
          </w:tcPr>
          <w:p w14:paraId="01D4EFFE">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(24,644)</w:t>
            </w:r>
          </w:p>
        </w:tc>
        <w:tc>
          <w:tcPr>
            <w:tcW w:w="1541" w:type="dxa"/>
            <w:vAlign w:val="center"/>
          </w:tcPr>
          <w:p w14:paraId="5A395F13">
            <w:pPr>
              <w:keepNext w:val="0"/>
              <w:keepLines w:val="0"/>
              <w:widowControl/>
              <w:suppressLineNumbers w:val="0"/>
              <w:jc w:val="right"/>
              <w:rPr>
                <w:rFonts w:hint="default" w:ascii="Arial" w:hAnsi="Arial" w:eastAsia="Times New Roman" w:cs="Arial"/>
                <w:sz w:val="22"/>
                <w:szCs w:val="22"/>
                <w:vertAlign w:val="baseline"/>
              </w:rPr>
            </w:pPr>
            <w:r>
              <w:rPr>
                <w:rFonts w:hint="default" w:ascii="Arial" w:hAnsi="Arial" w:eastAsia="SimSun" w:cs="Arial"/>
                <w:kern w:val="0"/>
                <w:sz w:val="22"/>
                <w:szCs w:val="22"/>
                <w:lang w:val="en-US" w:eastAsia="zh-CN" w:bidi="ar"/>
              </w:rPr>
              <w:t>(27,900)</w:t>
            </w:r>
          </w:p>
        </w:tc>
      </w:tr>
    </w:tbl>
    <w:p w14:paraId="481AA1C8">
      <w:pPr>
        <w:spacing w:line="360" w:lineRule="auto"/>
        <w:jc w:val="center"/>
        <w:rPr>
          <w:rFonts w:ascii="Times New Roman" w:hAnsi="Times New Roman" w:eastAsia="Times New Roman" w:cs="Times New Roman"/>
          <w:sz w:val="24"/>
          <w:szCs w:val="24"/>
        </w:rPr>
      </w:pPr>
    </w:p>
    <w:p w14:paraId="0EB11EDF">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2: Balance sheet</w:t>
      </w:r>
    </w:p>
    <w:p w14:paraId="16F4E2EC">
      <w:pPr>
        <w:spacing w:before="240" w:after="240" w:line="360" w:lineRule="auto"/>
        <w:jc w:val="center"/>
        <w:rPr>
          <w:rFonts w:ascii="Times New Roman" w:hAnsi="Times New Roman" w:eastAsia="Times New Roman" w:cs="Times New Roman"/>
          <w:b/>
          <w:bCs/>
          <w:sz w:val="24"/>
          <w:szCs w:val="24"/>
        </w:rPr>
      </w:pPr>
      <w:r>
        <w:rPr>
          <w:rFonts w:hint="default" w:ascii="Times New Roman" w:hAnsi="Times New Roman" w:eastAsia="Times New Roman" w:cs="Times New Roman"/>
          <w:b/>
          <w:bCs/>
          <w:sz w:val="24"/>
          <w:szCs w:val="24"/>
          <w:lang w:val="en-IN"/>
        </w:rPr>
        <w:t>Source: Income statement</w:t>
      </w:r>
    </w:p>
    <w:p w14:paraId="03E3C60F">
      <w:pPr>
        <w:pStyle w:val="3"/>
      </w:pPr>
      <w:bookmarkStart w:id="12" w:name="_heading=h.6m3diedzeuq" w:colFirst="0" w:colLast="0"/>
      <w:bookmarkEnd w:id="12"/>
      <w:bookmarkStart w:id="13" w:name="_Toc236678269"/>
      <w:r>
        <w:t>2.2 Profitability Ratio Analysis</w:t>
      </w:r>
      <w:bookmarkEnd w:id="13"/>
    </w:p>
    <w:p w14:paraId="1FF22D6D">
      <w:pPr>
        <w:spacing w:before="240" w:after="240" w:line="360" w:lineRule="auto"/>
        <w:jc w:val="both"/>
        <w:rPr>
          <w:rFonts w:hint="default" w:ascii="Times New Roman" w:hAnsi="Times New Roman" w:eastAsia="Times New Roman" w:cs="Times New Roman"/>
          <w:sz w:val="24"/>
          <w:szCs w:val="24"/>
          <w:lang w:val="en-US"/>
        </w:rPr>
      </w:pPr>
      <w:r>
        <w:rPr>
          <w:rFonts w:ascii="Times New Roman" w:hAnsi="Times New Roman" w:eastAsia="Times New Roman" w:cs="Times New Roman"/>
          <w:sz w:val="24"/>
          <w:szCs w:val="24"/>
        </w:rPr>
        <w:t xml:space="preserve">Profitability ratios assess the capacity of a firm to transform revenue into earnings and are valuable ratios in determining the future growth in profits (Widiasmara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2022). Marriott has also seen a substantial improvement in Net Profit Margin in 2023, as it has increased to 13.00% in 2023, and then fell to 9.46% in 2024 and back to 9.93% in 2025. Except for 2021, the company consistently outperformed the hospitality industry average of 8.50%, reflecting successful recovery from the COVID-19 pandemic and effective cost control. Similarly, the Operating Profit Margin increased from 12.63% in 2021 to 16.67% in 2022, remaining close to the industry benchmark of 16% thereafter. The latter temporary decrease was primarily caused by increased operating and financing expenses in 2024. The asset-light business model of Marriott, where the company focuses on management and franchise agreements, as opposed to hotel ownership, has minimised capital intensity and enhanced operating profitability. Lee (2023) points out that the operating performance is greatly boosted by efficient cost management and operational efficiency, which underlies the stable margins of Marriott. In general, profitability dynamics show stable earnings production and effective post-pandemic recovery, but increasing interest costs are putting a strain on net profitability.</w:t>
      </w:r>
      <w:r>
        <w:rPr>
          <w:rFonts w:hint="default" w:ascii="Times New Roman" w:hAnsi="Times New Roman" w:eastAsia="Times New Roman" w:cs="Times New Roman"/>
          <w:sz w:val="24"/>
          <w:szCs w:val="24"/>
          <w:lang w:val="en-US"/>
        </w:rPr>
        <w:t>Calculation in the appendix.</w:t>
      </w:r>
    </w:p>
    <w:p w14:paraId="3046E498">
      <w:pPr>
        <w:spacing w:before="240" w:after="240" w:line="360" w:lineRule="auto"/>
        <w:jc w:val="center"/>
        <w:rPr>
          <w:rFonts w:ascii="Times New Roman" w:hAnsi="Times New Roman" w:eastAsia="Times New Roman" w:cs="Times New Roman"/>
          <w:sz w:val="24"/>
          <w:szCs w:val="24"/>
        </w:rPr>
      </w:pPr>
      <w:r>
        <w:drawing>
          <wp:inline distT="0" distB="0" distL="0" distR="0">
            <wp:extent cx="4678680" cy="2567940"/>
            <wp:effectExtent l="171450" t="171450" r="160020" b="175260"/>
            <wp:docPr id="50607797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CE343BB">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3: Profitability ratios</w:t>
      </w:r>
    </w:p>
    <w:p w14:paraId="6322BDF5">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(Self-developed)</w:t>
      </w:r>
    </w:p>
    <w:p w14:paraId="15E5746C">
      <w:pPr>
        <w:pStyle w:val="3"/>
      </w:pPr>
      <w:bookmarkStart w:id="14" w:name="_heading=h.72a8bn9bkzyh" w:colFirst="0" w:colLast="0"/>
      <w:bookmarkEnd w:id="14"/>
      <w:bookmarkStart w:id="15" w:name="_Toc236678270"/>
      <w:r>
        <w:t>2.3 Liquidity Ratio Analysis</w:t>
      </w:r>
      <w:bookmarkEnd w:id="15"/>
    </w:p>
    <w:p w14:paraId="1EB017DF">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Liquidity ratios assess the capacity of a company to address the immediate liabilities (Lee, 2023). The Current Ratio of Marriott decreased to 0.40 in 2024 and then slightly increased to 0.43 in 2025, which is very low compared to the industry average of 1.05. Similarly, its Cash Ratio dropped to 0.04, compared to 0.22 a major decline in comparison with the industry average of 0.45, which implies that it has less readily available cash to pay off its current debts. The implications of these findings are that Marriott depends heavily on consistent operating cash flows and effective working capital management as opposed to having high current asset balances. The relatively low liquidity ratios indicate the asset-light business model and high dependence on short-term liabilities of the company. Even though a high level of operating cash generation lowers the immediate solvency risk, long-term liquidity is below industry levels which puts Marriott at risk of refinancing and economic risks in the season of market uncertainty. Therefore, building up short-term liquidity must be a financial priority.</w:t>
      </w:r>
      <w:r>
        <w:rPr>
          <w:rFonts w:hint="default" w:ascii="Times New Roman" w:hAnsi="Times New Roman" w:eastAsia="Times New Roman" w:cs="Times New Roman"/>
          <w:sz w:val="24"/>
          <w:szCs w:val="24"/>
          <w:lang w:val="en-US"/>
        </w:rPr>
        <w:t>Calculation in the appendix.</w:t>
      </w:r>
    </w:p>
    <w:p w14:paraId="3954E4E8">
      <w:pPr>
        <w:spacing w:before="240" w:after="240" w:line="360" w:lineRule="auto"/>
        <w:jc w:val="center"/>
        <w:rPr>
          <w:rFonts w:ascii="Times New Roman" w:hAnsi="Times New Roman" w:eastAsia="Times New Roman" w:cs="Times New Roman"/>
          <w:sz w:val="24"/>
          <w:szCs w:val="24"/>
        </w:rPr>
      </w:pPr>
      <w:r>
        <w:drawing>
          <wp:inline distT="0" distB="0" distL="0" distR="0">
            <wp:extent cx="4678680" cy="2392680"/>
            <wp:effectExtent l="171450" t="152400" r="160020" b="140970"/>
            <wp:docPr id="141257619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95BF2F9">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4: Liquidity ratios</w:t>
      </w:r>
    </w:p>
    <w:p w14:paraId="2A4A5AC7">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(Self-developed)</w:t>
      </w:r>
    </w:p>
    <w:p w14:paraId="6490882C">
      <w:pPr>
        <w:pStyle w:val="3"/>
      </w:pPr>
      <w:bookmarkStart w:id="16" w:name="_heading=h.gkberdy5eta8" w:colFirst="0" w:colLast="0"/>
      <w:bookmarkEnd w:id="16"/>
      <w:bookmarkStart w:id="17" w:name="_Toc236678271"/>
      <w:r>
        <w:t>2.4 Efficiency Ratio Analysis</w:t>
      </w:r>
      <w:bookmarkEnd w:id="17"/>
    </w:p>
    <w:p w14:paraId="17C4E8BD">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Efficiency ratios determine the effectiveness of the company in using its assets to produce revenue (Iazzolino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2023). The Accounts Receivable Turnover of Marriott increased to 9.18 times in 2025 compared to 7.39 times in 2021, which means that it collected its customers faster. It was, nevertheless, significantly lower than the industry average rate of 15 times, which indicates the possibilities of improving the receivables management. Total Asset Turnover, on the other hand, rose considerably; it was 0.55 and then 0.97, which was above the industry average of 0.60 in 2022 and 2023, respectively. This shows good use of assets to make revenue, which has been greatly aided by asset-light operating model of Marriott, in which franchised and managed hotels do not need as much capital investment. Iazzolino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(2023) argue that better operational efficiency will lead to improved financial results and competitive advantage in the long term. In general, the asset utilisation in Marriott is highly efficient, but the receivables collection can be further enhanced to enhance operational performance and cash conversion.</w:t>
      </w:r>
      <w:r>
        <w:rPr>
          <w:rFonts w:hint="default" w:ascii="Times New Roman" w:hAnsi="Times New Roman" w:eastAsia="Times New Roman" w:cs="Times New Roman"/>
          <w:sz w:val="24"/>
          <w:szCs w:val="24"/>
          <w:lang w:val="en-US"/>
        </w:rPr>
        <w:t>Calculation in the appendix.</w:t>
      </w:r>
    </w:p>
    <w:p w14:paraId="13AF9C53">
      <w:pPr>
        <w:spacing w:before="240" w:after="240" w:line="360" w:lineRule="auto"/>
        <w:jc w:val="center"/>
        <w:rPr>
          <w:rFonts w:ascii="Times New Roman" w:hAnsi="Times New Roman" w:eastAsia="Times New Roman" w:cs="Times New Roman"/>
          <w:sz w:val="24"/>
          <w:szCs w:val="24"/>
        </w:rPr>
      </w:pPr>
      <w:r>
        <w:drawing>
          <wp:inline distT="0" distB="0" distL="0" distR="0">
            <wp:extent cx="4678680" cy="2392680"/>
            <wp:effectExtent l="171450" t="152400" r="160020" b="140970"/>
            <wp:docPr id="46522238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3995088">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5: Efficiency ratios</w:t>
      </w:r>
    </w:p>
    <w:p w14:paraId="55BA353D">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(Self-developed)</w:t>
      </w:r>
    </w:p>
    <w:p w14:paraId="78214B96">
      <w:pPr>
        <w:pStyle w:val="3"/>
      </w:pPr>
      <w:bookmarkStart w:id="18" w:name="_heading=h.2o22shtvn1p" w:colFirst="0" w:colLast="0"/>
      <w:bookmarkEnd w:id="18"/>
      <w:bookmarkStart w:id="19" w:name="_Toc236678272"/>
      <w:r>
        <w:t>2.5 Gearing Ratio Analysis</w:t>
      </w:r>
      <w:bookmarkEnd w:id="19"/>
    </w:p>
    <w:p w14:paraId="305DAAC9">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Gearing ratios are used to show the degree to which a company has funded its operations using debt, hence, financial risk (Aldo, 2022). In the five-year period, Marriott has experienced a significant gain in its gearing ratio due to the growth of total debt and a negative value of the shareholders equity due to large share buybacks. The total debt as of 2025 amounted to US$17.08 billion, which was way beyond the industry gearing of 140. This high gearing capital structure is more sensitive to interest rate changes and risks of refinance, especially when the economy is in an uncertain state. Marriott however has been able to keep its operating profitability and cash generation at strong levels thus being able to service its debt commitments. The asset-light approach of the company lowers the capital expenditure requirements to some extent compensating the high leverage risks. Though the gearing is high, which increases the financial risk, the gearing has helped in supporting the value of the shareholders by distributing capital and expanding the company strategically. Further debt management is crucial to maintain financial flexibility and long-term sustainability.</w:t>
      </w:r>
      <w:r>
        <w:rPr>
          <w:rFonts w:hint="default" w:ascii="Times New Roman" w:hAnsi="Times New Roman" w:eastAsia="Times New Roman" w:cs="Times New Roman"/>
          <w:sz w:val="24"/>
          <w:szCs w:val="24"/>
          <w:lang w:val="en-US"/>
        </w:rPr>
        <w:t>Calculation in the appendix.</w:t>
      </w:r>
    </w:p>
    <w:p w14:paraId="6B4E3279">
      <w:pPr>
        <w:spacing w:before="240" w:after="240" w:line="360" w:lineRule="auto"/>
        <w:jc w:val="center"/>
        <w:rPr>
          <w:rFonts w:ascii="Times New Roman" w:hAnsi="Times New Roman" w:eastAsia="Times New Roman" w:cs="Times New Roman"/>
          <w:sz w:val="24"/>
          <w:szCs w:val="24"/>
        </w:rPr>
      </w:pPr>
      <w:r>
        <w:drawing>
          <wp:inline distT="0" distB="0" distL="0" distR="0">
            <wp:extent cx="4678680" cy="2705100"/>
            <wp:effectExtent l="171450" t="152400" r="160020" b="152400"/>
            <wp:docPr id="76955209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C30DB1">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6: Gearing ratios</w:t>
      </w:r>
    </w:p>
    <w:p w14:paraId="7FFE745D">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(Self-developed)</w:t>
      </w:r>
    </w:p>
    <w:p w14:paraId="146DAD13">
      <w:pPr>
        <w:pStyle w:val="3"/>
      </w:pPr>
      <w:bookmarkStart w:id="20" w:name="_heading=h.2e24cm1k41z9" w:colFirst="0" w:colLast="0"/>
      <w:bookmarkEnd w:id="20"/>
      <w:bookmarkStart w:id="21" w:name="_Toc236678273"/>
      <w:r>
        <w:t>2.6 Investment Ratio Analysis</w:t>
      </w:r>
      <w:bookmarkEnd w:id="21"/>
    </w:p>
    <w:p w14:paraId="4E957364">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Investment ratios evaluate shareholder returns and market confidence (Ferniawan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2024). Earnings per Share (EPS) at Marriott was boosted to 10.18 in 2023, after which it has been fluctuating between US3.33 in 2021 and 2025. During 2022-2025, EPS was considerably higher than the industry average is US3.80, which is evidence of high profitability and efficient value creation to shareholders. The Price-to-Earnings (P/E) Ratio declined from 44.49 in 2021 to 18.43 in 2023 before increasing to 31.41 in 2025, exceeding the industry average of 27.50. The premium is attributed to the fact that the investors believe that Marriott can generate more earnings in future due to its strong global brand recognition and a robust business model. Ferniawan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(2024) note that increasing EPS and P/E ratios have a positive impact on investor confidence and stock returns. On balance, Marriott is highly marketable despite the variations in earnings and multiples of valuation.</w:t>
      </w:r>
    </w:p>
    <w:p w14:paraId="67B31B8A">
      <w:pPr>
        <w:spacing w:before="240" w:after="240" w:line="360" w:lineRule="auto"/>
        <w:jc w:val="center"/>
        <w:rPr>
          <w:rFonts w:ascii="Times New Roman" w:hAnsi="Times New Roman" w:eastAsia="Times New Roman" w:cs="Times New Roman"/>
          <w:sz w:val="24"/>
          <w:szCs w:val="24"/>
        </w:rPr>
      </w:pPr>
      <w:r>
        <w:drawing>
          <wp:inline distT="0" distB="0" distL="0" distR="0">
            <wp:extent cx="4678680" cy="2750820"/>
            <wp:effectExtent l="171450" t="152400" r="160020" b="144780"/>
            <wp:docPr id="214027423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07F7576">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7: Investor ratios</w:t>
      </w:r>
    </w:p>
    <w:p w14:paraId="58264DB1">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(Self-developed)</w:t>
      </w:r>
    </w:p>
    <w:p w14:paraId="567893BA">
      <w:pPr>
        <w:pStyle w:val="3"/>
      </w:pPr>
      <w:bookmarkStart w:id="22" w:name="_heading=h.slgl6dq9mvm9" w:colFirst="0" w:colLast="0"/>
      <w:bookmarkEnd w:id="22"/>
      <w:bookmarkStart w:id="23" w:name="_Toc236678274"/>
      <w:r>
        <w:t>2.7 Cash Flow Ratio Analysis</w:t>
      </w:r>
      <w:bookmarkEnd w:id="23"/>
    </w:p>
    <w:p w14:paraId="00267532">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Cash flow ratios offer a more holistic identification on financial health compared with traditional accounting ratios since they assess the financial capacity of a company to produce cash to fulfill financial obligations (Seretidou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2025). The Operating Cash Flow Ratio of Marriott has increased to 0.41 in 2023, then it became consistent at 0.38 in 2025. This is evidence of higher operating cash generation after the pandemic, but the ratio of 0.26 was less than the industry average of 0.60, which reflects relatively weaker short-term cash coverage. Equally, the Free Cash Flow Ratio ranged between 0.07 and 0.11, which was marginally lower than the industry average that was 0.12 over the period. These relatively low ratios notwithstanding, Marriott has produced continuous positive cash flows to support debt servicing, share buybacks and shareholder dividends. Seretidou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(2025) believe that cash flow, with a combination of traditional financial ratios, will offer a more accurate measure of financial stability. All in all, the cash generation of Marriott is healthy but can be enhanced to enhance financial strength and liquidity.</w:t>
      </w:r>
    </w:p>
    <w:p w14:paraId="3899DDD2">
      <w:pPr>
        <w:spacing w:before="240" w:after="240" w:line="360" w:lineRule="auto"/>
        <w:jc w:val="center"/>
      </w:pPr>
      <w:r>
        <w:drawing>
          <wp:inline distT="0" distB="0" distL="0" distR="0">
            <wp:extent cx="4678680" cy="2438400"/>
            <wp:effectExtent l="171450" t="152400" r="160020" b="152400"/>
            <wp:docPr id="51058392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t xml:space="preserve"> </w:t>
      </w:r>
    </w:p>
    <w:p w14:paraId="0E74C1C2">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7: Cash flow ratios</w:t>
      </w:r>
    </w:p>
    <w:p w14:paraId="78102C86">
      <w:pPr>
        <w:spacing w:before="240" w:after="240" w:line="360" w:lineRule="auto"/>
        <w:jc w:val="center"/>
      </w:pPr>
      <w:r>
        <w:rPr>
          <w:rFonts w:ascii="Times New Roman" w:hAnsi="Times New Roman" w:eastAsia="Times New Roman" w:cs="Times New Roman"/>
          <w:sz w:val="24"/>
          <w:szCs w:val="24"/>
        </w:rPr>
        <w:t>(Self-developed)</w:t>
      </w:r>
    </w:p>
    <w:p w14:paraId="19FD946A">
      <w:pPr>
        <w:pStyle w:val="2"/>
      </w:pPr>
      <w:bookmarkStart w:id="24" w:name="_heading=h.v0j0px871nb2" w:colFirst="0" w:colLast="0"/>
      <w:bookmarkEnd w:id="24"/>
      <w:bookmarkStart w:id="25" w:name="_Toc236678275"/>
      <w:r>
        <w:t>3. Working Capital Management Analysis</w:t>
      </w:r>
      <w:bookmarkEnd w:id="25"/>
    </w:p>
    <w:p w14:paraId="30336BF8">
      <w:pPr>
        <w:pStyle w:val="3"/>
      </w:pPr>
      <w:bookmarkStart w:id="26" w:name="_heading=h.1wqjsz9m2z37" w:colFirst="0" w:colLast="0"/>
      <w:bookmarkEnd w:id="26"/>
      <w:bookmarkStart w:id="27" w:name="_Toc236678276"/>
      <w:r>
        <w:t>3.1 Cash Operating Cycle Assessment</w:t>
      </w:r>
      <w:bookmarkEnd w:id="27"/>
      <w:r>
        <w:t xml:space="preserve"> </w:t>
      </w:r>
    </w:p>
    <w:p w14:paraId="3FC1CB2E">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Cash Conversion Cycle (CCC) is used to determine how many days it takes to turn the cash invested in operations into cash received by customers and is calculated as:</w:t>
      </w:r>
    </w:p>
    <w:p w14:paraId="42BA73A5">
      <w:pPr>
        <w:spacing w:before="240" w:after="24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Cash Conversion Cycle = Inventory Days + Receivable Days − Payable Days</w:t>
      </w:r>
    </w:p>
    <w:p w14:paraId="77BA0E2F">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Marriott is a business model that mainly deals with assets but with less inventory as it is an asset light business model that is founded on hotel management and franchising. As a result, its CCC is highly affected by the management of receivable and payable which generates rather short or negative cash conversion cycle, typical of major hospitality companies. There was no significant fluctuation in the accounts receivable turnover because it was 7.39 times in 2021, and 9.18 times in 2025, which means the company collected the receivables efficiently and facilitated quicker cash flows. Meanwhile, the company has favourable payment terms with suppliers enabling it to put the cash outflows on hold as it earns revenue through hotel operations.</w:t>
      </w:r>
    </w:p>
    <w:p w14:paraId="37BF11FE">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growing turnover of receivables throughout the five years indicates a higher working capital efficiency after the recovery after the pandemic. Marriot working capital structure is in line with service-based business in which customers pay prior to suppliers being paid as compared to the hospitality industry where the working capital structure is often short or negative due to the characteristics of clients who often settle their bills before suppliers. According to Stavropoulos and Zounta (2025), service companies, such as hotels, tend to have negative cash conversion cycles, enhancing liquidity management and profitability. Hence, the high cash generation is supported by the efficient operating cycle of cash, lower financing needs and operational resilience of Marriott.</w:t>
      </w:r>
    </w:p>
    <w:p w14:paraId="38220CEC">
      <w:pPr>
        <w:pStyle w:val="3"/>
      </w:pPr>
      <w:bookmarkStart w:id="28" w:name="_Toc236678277"/>
      <w:r>
        <w:t>3.2 Working Capital Improvement Strategies</w:t>
      </w:r>
      <w:bookmarkEnd w:id="28"/>
    </w:p>
    <w:p w14:paraId="0D5696CC">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Proper working capital management enhances liquidity as well as long-term profitability (Soda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2022). Despite the good cash generation by Marriot, there are a number of areas, which can be improved to make its working capital more solid.</w:t>
      </w:r>
    </w:p>
    <w:p w14:paraId="4DE3DA83">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reduce food, beverage and operating inventory in managed hotels, first, the management of inventory must still use demand forecasting and automated procurement system. Second, by promoting faster payment of corporate customers and travel intermediaries with tighter credit policies and incentives based on early payment, one can improve the receivable management. Third, Marriott needs to keep on supplier negotiations to obtain longer payment terms without influencing supplier relationships, positively impacting operating cash flow.</w:t>
      </w:r>
    </w:p>
    <w:p w14:paraId="3942BB97">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Moreover, the extensions of digital payment systems, such as mobile payments, and contactless transactions can speed up the cash collections and make the customer experience more convenient. Khando, Islam and Gao (2022) emphasize the fact that despite the challenges in the implementation, digital payment technologies enhance the efficiency of payments and contribute to sustainable financial management. Revenue management should also be reinforced by Marriott to ensure that it optimises the occupancy of the rooms and maximises cash inflows at various occasions of demand. Lastly, the advanced cash forecasting systems would enhance better liquidity planning as they would help predict the seasonal cash requirements and financing needs. All these would collectively reduce cash conversion cycle, enhance liquidity, decrease the dependence on outside financing and increase shareholder value.</w:t>
      </w:r>
    </w:p>
    <w:p w14:paraId="50236E31">
      <w:pPr>
        <w:pStyle w:val="3"/>
      </w:pPr>
      <w:bookmarkStart w:id="29" w:name="_Toc236678278"/>
      <w:r>
        <w:t>3.3 Short-term vs Long-term Financing</w:t>
      </w:r>
      <w:bookmarkEnd w:id="29"/>
    </w:p>
    <w:p w14:paraId="7A471B93">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Marriott can fund its operations either in short term or long-term sources, which have various benefits and risks. Bank overdrafts, commercial paper and trade credit, are short-term sources of finance, which are flexible and offer reduced initial interest rates in satisfying seasonal working capital needs. Nevertheless, these facilities put the company at risk of refinancing and varying interest rates. Kaya (2022) discovered that in times of economic decline, financial institutions will decrease overdraft provision, which would add liquidity risk to companies that were dependent on short-term credit.</w:t>
      </w:r>
    </w:p>
    <w:p w14:paraId="14F9C513">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Conversely, long-term financing, which includes corporate bonds, equity financing and long-term loans, is a more stable source of funding strategic growth and capital investments. The cost of financing is usually higher in long-term financing, but the risks of refinancing are minimized and financial stability is increased. Hu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(2022) emphasise that long-term loans play an important role in supporting sustainable business growth by providing longer maturity financing. Taking into account that Marriott is highly leveraged and its operations are worldwide, long-term financing with corporate bonds and long-term loans which are well controlled is the best option. This is a strategy that matches financing with long-term investments, enhances financial flexibility and less liquidity strains and helps the company achieve its global expansion goals.</w:t>
      </w:r>
    </w:p>
    <w:p w14:paraId="4D0A2851">
      <w:pPr>
        <w:pStyle w:val="2"/>
      </w:pPr>
      <w:bookmarkStart w:id="30" w:name="_Toc236678279"/>
      <w:r>
        <w:t>4. Strategic Financial Restructuring Plan</w:t>
      </w:r>
      <w:bookmarkEnd w:id="30"/>
    </w:p>
    <w:p w14:paraId="19B99108">
      <w:pPr>
        <w:pStyle w:val="3"/>
      </w:pPr>
      <w:bookmarkStart w:id="31" w:name="_Toc236678280"/>
      <w:r>
        <w:t>4.1 Current Financial Challenges</w:t>
      </w:r>
      <w:bookmarkEnd w:id="31"/>
    </w:p>
    <w:p w14:paraId="7EFD9F11">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Marriott International has a number of financial issues in spite of its good operating performance. In the years 2022 and 2025, the total debt of the company rose to US11.10 billion and US17.08 billion respectively and therefore, the capital structure of the company is highly leveraged and the shareholders of the company have negative equity. The growing debt has pushed the interest expense as well, increasing the net income US$403 million in 2022 as it will be US$809 million in 2025, which is a negative impact on net income and a decrease in financial flexibility. According to Matuzevičiūtė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(2023), the high debt level can lead to long-term financial burdens, raising financing expenses and restricting future fiscal resources. Marriott also has a presence in over 140 countries, which puts the business at risk of economic unpredictability and cycling travel demand factors, geopolitical risk and foreign exchange risk, which can impact the revenue, operating expenses and profitability. As a result, enhancing the capital structure without compromising operational resiliency has emerged as a strategic priority.</w:t>
      </w:r>
    </w:p>
    <w:p w14:paraId="62CC5419">
      <w:pPr>
        <w:pStyle w:val="3"/>
      </w:pPr>
      <w:bookmarkStart w:id="32" w:name="_Toc236678281"/>
      <w:r>
        <w:t>4.2 Recommended Financial Restructuring</w:t>
      </w:r>
      <w:bookmarkEnd w:id="32"/>
    </w:p>
    <w:p w14:paraId="53C325E9">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set of financial restructuring efforts would enhance the long-term financial status of Marriott as well as promote sustainable development.</w:t>
      </w:r>
    </w:p>
    <w:p w14:paraId="00924BE4">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i/>
          <w:iCs/>
          <w:sz w:val="24"/>
          <w:szCs w:val="24"/>
        </w:rPr>
        <w:t>Option 1:</w:t>
      </w:r>
      <w:r>
        <w:rPr>
          <w:rFonts w:ascii="Times New Roman" w:hAnsi="Times New Roman" w:eastAsia="Times New Roman" w:cs="Times New Roman"/>
          <w:sz w:val="24"/>
          <w:szCs w:val="24"/>
        </w:rPr>
        <w:t xml:space="preserve"> Debt refinancing is a preference where short-term and higher-interest borrowings should be replaced with longer-term debt with better interest rates. Friewald, Nagler and Wagner (2022) assert that the longer the debt maturity, the lower the refinancing risk and the higher financial stability. Reduced financing cost would also enhance net profitability and cash flow.</w:t>
      </w:r>
    </w:p>
    <w:p w14:paraId="0776210E">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i/>
          <w:iCs/>
          <w:sz w:val="24"/>
          <w:szCs w:val="24"/>
        </w:rPr>
        <w:t>Option 2:</w:t>
      </w:r>
      <w:r>
        <w:rPr>
          <w:rFonts w:ascii="Times New Roman" w:hAnsi="Times New Roman" w:eastAsia="Times New Roman" w:cs="Times New Roman"/>
          <w:sz w:val="24"/>
          <w:szCs w:val="24"/>
        </w:rPr>
        <w:t xml:space="preserve"> Selective divestiture entails selling of poor-performing or non-core assets but retaining management and franchise operations that are performing. This would bring in more cash to pay off debt without impacting on the business model of Marriott.</w:t>
      </w:r>
    </w:p>
    <w:p w14:paraId="59DEC48B">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i/>
          <w:iCs/>
          <w:sz w:val="24"/>
          <w:szCs w:val="24"/>
        </w:rPr>
        <w:t>Option 3:</w:t>
      </w:r>
      <w:r>
        <w:rPr>
          <w:rFonts w:ascii="Times New Roman" w:hAnsi="Times New Roman" w:eastAsia="Times New Roman" w:cs="Times New Roman"/>
          <w:sz w:val="24"/>
          <w:szCs w:val="24"/>
        </w:rPr>
        <w:t xml:space="preserve"> Equity financing would help to boost the balance sheet through enhancing equity of the shareholders and decreasing leverage. Even though equity financing can dilute the current ownership, Svetek (2022) advises that in cases of promoting the long-term strategic growth and financial stability, equity financing can send positive signals to the market.</w:t>
      </w:r>
    </w:p>
    <w:p w14:paraId="5226DF26">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i/>
          <w:iCs/>
          <w:sz w:val="24"/>
          <w:szCs w:val="24"/>
        </w:rPr>
        <w:t>Option 4:</w:t>
      </w:r>
      <w:r>
        <w:rPr>
          <w:rFonts w:ascii="Times New Roman" w:hAnsi="Times New Roman" w:eastAsia="Times New Roman" w:cs="Times New Roman"/>
          <w:sz w:val="24"/>
          <w:szCs w:val="24"/>
        </w:rPr>
        <w:t xml:space="preserve"> Asset-light expansion should remain Marriott's primary long-term strategy by expanding management and franchise contracts instead of owning hotel properties. Chen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(2026) exhibit that asset-light operations enhance financial flexibility, and decrease the capital requirement and capital exposure to policy related uncertainty.</w:t>
      </w:r>
    </w:p>
    <w:p w14:paraId="384BA473">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All in all, a combination of debt refinancing, selective divestiture and further expansion that is asset-light is the most suitable restructuring approach, and equity financing should be limited to instances where the company needs more capital to make significant strategic investments.</w:t>
      </w:r>
    </w:p>
    <w:p w14:paraId="1B9B1B13">
      <w:pPr>
        <w:spacing w:before="240" w:after="240" w:line="360" w:lineRule="auto"/>
        <w:jc w:val="both"/>
        <w:rPr>
          <w:rFonts w:ascii="Times New Roman" w:hAnsi="Times New Roman" w:eastAsia="Times New Roman" w:cs="Times New Roman"/>
          <w:sz w:val="24"/>
          <w:szCs w:val="24"/>
        </w:rPr>
      </w:pPr>
    </w:p>
    <w:p w14:paraId="11CC6778">
      <w:pPr>
        <w:spacing w:before="240" w:after="240" w:line="360" w:lineRule="auto"/>
        <w:jc w:val="both"/>
        <w:rPr>
          <w:rFonts w:ascii="Times New Roman" w:hAnsi="Times New Roman" w:eastAsia="Times New Roman" w:cs="Times New Roman"/>
          <w:sz w:val="24"/>
          <w:szCs w:val="24"/>
        </w:rPr>
      </w:pPr>
    </w:p>
    <w:p w14:paraId="48F09BFB">
      <w:pPr>
        <w:pStyle w:val="3"/>
      </w:pPr>
      <w:bookmarkStart w:id="33" w:name="_Toc236678282"/>
      <w:r>
        <w:t>4.3 Impact Assessment</w:t>
      </w:r>
      <w:bookmarkEnd w:id="33"/>
    </w:p>
    <w:p w14:paraId="519CBB9B">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suggested reorganization plan would help Marriott in a number of ways to better its financial stance. Refinancing of debt and selective divestiture would lower financing costs, build up the debt structure and enhance interest coverage, which would add to a better credit profile. Further expansion on the asset-light would decrease the capital expenditure and enhance the flexibility of operations and sustainability of international expansion. The reduced cost of borrowing and the increase in the efficiency of operations would increase profitability and support the future cash flows. Hall (2023) states that shareholder value growth through effective financial strategies will also lead to the long-term organisational growth. These actions together will likely boost investor confidence, enhance shareholder value, and minimize financial risk and give Marriott more ability to react to the evolving global market dynamics.</w:t>
      </w:r>
    </w:p>
    <w:p w14:paraId="04D617D5">
      <w:pPr>
        <w:pStyle w:val="3"/>
      </w:pPr>
      <w:bookmarkStart w:id="34" w:name="_Toc236678283"/>
      <w:r>
        <w:t>4.4 International and Ethical Considerations</w:t>
      </w:r>
      <w:bookmarkEnd w:id="34"/>
    </w:p>
    <w:p w14:paraId="245CF6C9">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Marriott being a global hospitality company, it should take into account international financial and ethical risks in adopting restructuring strategies. The fluctuations in exchange rates may have a drastic impact on foreign revenues, operational expenses and debt repayments, especially in times of economic uncertainty (Ferrara and Yapi, 2022). The escalating inflation can also add more labour, construction and operating, costs in the international markets. Marriott should also consider adhering to the international taxation laws to reduce the tax risks and at the same time have a transparent financial reporting. Ethically, restructuring decisions must be in line with the ESG commitments and CSR initiatives of the company such as responsible environmental practices, employee welfare and community development. Incorporation of sustainable finance concepts in future investment choices would create greater resilience over the long run, improve the corporate image and exceed the expectations of increasing investor requirements on responsible business operations.</w:t>
      </w:r>
    </w:p>
    <w:p w14:paraId="77109125">
      <w:pPr>
        <w:spacing w:before="240" w:after="240" w:line="360" w:lineRule="auto"/>
        <w:jc w:val="both"/>
        <w:rPr>
          <w:rFonts w:ascii="Times New Roman" w:hAnsi="Times New Roman" w:eastAsia="Times New Roman" w:cs="Times New Roman"/>
          <w:sz w:val="24"/>
          <w:szCs w:val="24"/>
        </w:rPr>
      </w:pPr>
    </w:p>
    <w:p w14:paraId="79B45D19">
      <w:pPr>
        <w:spacing w:before="240" w:after="240" w:line="360" w:lineRule="auto"/>
        <w:jc w:val="both"/>
        <w:rPr>
          <w:rFonts w:ascii="Times New Roman" w:hAnsi="Times New Roman" w:eastAsia="Times New Roman" w:cs="Times New Roman"/>
          <w:sz w:val="24"/>
          <w:szCs w:val="24"/>
        </w:rPr>
      </w:pPr>
    </w:p>
    <w:p w14:paraId="134DE1F6">
      <w:pPr>
        <w:spacing w:before="240" w:after="240" w:line="360" w:lineRule="auto"/>
        <w:jc w:val="both"/>
        <w:rPr>
          <w:rFonts w:ascii="Times New Roman" w:hAnsi="Times New Roman" w:eastAsia="Times New Roman" w:cs="Times New Roman"/>
          <w:sz w:val="24"/>
          <w:szCs w:val="24"/>
        </w:rPr>
      </w:pPr>
    </w:p>
    <w:p w14:paraId="0F69734F">
      <w:pPr>
        <w:pStyle w:val="2"/>
      </w:pPr>
      <w:bookmarkStart w:id="35" w:name="_Toc236678284"/>
      <w:r>
        <w:t>5. Investment Appraisal and Capital Budgeting</w:t>
      </w:r>
      <w:bookmarkEnd w:id="35"/>
    </w:p>
    <w:p w14:paraId="5B795C90">
      <w:pPr>
        <w:pStyle w:val="3"/>
      </w:pPr>
      <w:bookmarkStart w:id="36" w:name="_Toc236678285"/>
      <w:r>
        <w:t>5.1 Introduction to Investment Appraisal</w:t>
      </w:r>
      <w:bookmarkEnd w:id="36"/>
    </w:p>
    <w:p w14:paraId="59E0E95C">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Investment appraisal is a capital budgeting method that is basic in analyzing the financial feasibility of investments with long-term investment projects. It helps managers to efficiently allocate scarce financial resources by comparing anticipated costs, returns and risk thus helping with value maximising investment decisions and maximizing long-term wealth of shareholders.</w:t>
      </w:r>
    </w:p>
    <w:p w14:paraId="24656197">
      <w:pPr>
        <w:pStyle w:val="3"/>
      </w:pPr>
      <w:bookmarkStart w:id="37" w:name="_Toc236678286"/>
      <w:r>
        <w:t>5.2 Project Information</w:t>
      </w:r>
      <w:bookmarkEnd w:id="37"/>
    </w:p>
    <w:p w14:paraId="605D984C">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Marriott International is debating three investment projects which are mutually exclusive that will need a starting investment of £50 million and which have various anticipated cash inflows in the next five years. Payback Period (PBP), Accounting Rate of Return (ARR), Net Present Value (NPV), Profitability Index (PI) and Internal Rate of Return (IRR) are all used to evaluate the project and this is on the assumption of the 8% discount rate and straight-line depreciation to zero.</w:t>
      </w:r>
    </w:p>
    <w:p w14:paraId="01A88F87">
      <w:pPr>
        <w:pStyle w:val="3"/>
      </w:pPr>
      <w:bookmarkStart w:id="38" w:name="_Toc236678287"/>
      <w:r>
        <w:t>5.3 Payback Period (PBP)</w:t>
      </w:r>
      <w:bookmarkEnd w:id="38"/>
    </w:p>
    <w:p w14:paraId="3A96E172">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Payback Period (PBP) is an indicator of the time needed to break even on the initial investment and is popular due to its simplicity and focus on liquidity (Dai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2022). Project C has the shortest payback period of 3 years and 7.2 months, followed by Project A at 4 years and 6 months and Project B at 4 years and 6.5 months. The lower payback of Project C can be attributed to the fact that there are much more cash inflows in Years 3 and 4, which will allow the cash to be recovered within a shorter period of time. As Marriott is already having a rather low liquidity and high leverage, lower payback period would lower the risk of investments and enhance cash recovery. Thus, considering the PBP criterion only, Project C is the most desirable investment.</w:t>
      </w:r>
    </w:p>
    <w:p w14:paraId="7C3EE019">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4198620" cy="4549140"/>
            <wp:effectExtent l="0" t="0" r="0" b="3810"/>
            <wp:docPr id="1640516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16085" name="Picture 1"/>
                    <pic:cNvPicPr>
                      <a:picLocks noChangeAspect="1"/>
                    </pic:cNvPicPr>
                  </pic:nvPicPr>
                  <pic:blipFill>
                    <a:blip r:embed="rId14"/>
                    <a:stretch>
                      <a:fillRect/>
                    </a:stretch>
                  </pic:blipFill>
                  <pic:spPr>
                    <a:xfrm>
                      <a:off x="0" y="0"/>
                      <a:ext cx="4198984" cy="4549534"/>
                    </a:xfrm>
                    <a:prstGeom prst="rect">
                      <a:avLst/>
                    </a:prstGeom>
                  </pic:spPr>
                </pic:pic>
              </a:graphicData>
            </a:graphic>
          </wp:inline>
        </w:drawing>
      </w:r>
    </w:p>
    <w:p w14:paraId="496EA33D">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8: Payback Period (PBP)</w:t>
      </w:r>
    </w:p>
    <w:p w14:paraId="5B259774">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(Self-developed)</w:t>
      </w:r>
    </w:p>
    <w:p w14:paraId="49539D1E">
      <w:pPr>
        <w:pStyle w:val="3"/>
      </w:pPr>
      <w:bookmarkStart w:id="39" w:name="_Toc236678288"/>
      <w:r>
        <w:t>5.4 Accounting Rate of Return (ARR)</w:t>
      </w:r>
      <w:bookmarkEnd w:id="39"/>
    </w:p>
    <w:p w14:paraId="27BF70E0">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Accounting Rate of Return (ARR) is used to assess the average accounting profit in comparison to average investment. According to straight-line depreciation, Project A will yield an ARR of 3.2, Project B will yield an ARR of 4.0 and Project C will yield an ARR of 12.0. Project C has the largest average annual profit (£3 million), which is way higher than the returns made by Projects A and B. Though time value of money is not considered in ARR, it is still applicable in the comparison of accounting profitability of projects. Project C is more profitable and better utilises the invested capital, due to its substantially higher ARR. Therefore, project C is the best investment when it is considered on the basis of accounting rate of return.</w:t>
      </w:r>
    </w:p>
    <w:p w14:paraId="207E3AAA">
      <w:pPr>
        <w:spacing w:before="240" w:after="240" w:line="360" w:lineRule="auto"/>
        <w:jc w:val="center"/>
      </w:pPr>
      <w:r>
        <w:rPr>
          <w:rFonts w:ascii="Times New Roman" w:hAnsi="Times New Roman" w:eastAsia="Times New Roman" w:cs="Times New Roman"/>
          <w:sz w:val="24"/>
          <w:szCs w:val="24"/>
        </w:rPr>
        <w:drawing>
          <wp:inline distT="0" distB="0" distL="0" distR="0">
            <wp:extent cx="2825750" cy="2232660"/>
            <wp:effectExtent l="0" t="0" r="0" b="0"/>
            <wp:docPr id="1585796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96343" name="Picture 1"/>
                    <pic:cNvPicPr>
                      <a:picLocks noChangeAspect="1"/>
                    </pic:cNvPicPr>
                  </pic:nvPicPr>
                  <pic:blipFill>
                    <a:blip r:embed="rId15"/>
                    <a:stretch>
                      <a:fillRect/>
                    </a:stretch>
                  </pic:blipFill>
                  <pic:spPr>
                    <a:xfrm>
                      <a:off x="0" y="0"/>
                      <a:ext cx="2837743" cy="2241845"/>
                    </a:xfrm>
                    <a:prstGeom prst="rect">
                      <a:avLst/>
                    </a:prstGeom>
                  </pic:spPr>
                </pic:pic>
              </a:graphicData>
            </a:graphic>
          </wp:inline>
        </w:drawing>
      </w:r>
      <w:r>
        <w:t xml:space="preserve"> </w:t>
      </w:r>
      <w:r>
        <w:rPr>
          <w:rFonts w:ascii="Times New Roman" w:hAnsi="Times New Roman" w:eastAsia="Times New Roman" w:cs="Times New Roman"/>
          <w:sz w:val="24"/>
          <w:szCs w:val="24"/>
        </w:rPr>
        <w:drawing>
          <wp:inline distT="0" distB="0" distL="0" distR="0">
            <wp:extent cx="2865120" cy="2262505"/>
            <wp:effectExtent l="0" t="0" r="0" b="4445"/>
            <wp:docPr id="712139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39376" name="Picture 1"/>
                    <pic:cNvPicPr>
                      <a:picLocks noChangeAspect="1"/>
                    </pic:cNvPicPr>
                  </pic:nvPicPr>
                  <pic:blipFill>
                    <a:blip r:embed="rId16"/>
                    <a:stretch>
                      <a:fillRect/>
                    </a:stretch>
                  </pic:blipFill>
                  <pic:spPr>
                    <a:xfrm>
                      <a:off x="0" y="0"/>
                      <a:ext cx="2877279" cy="2272442"/>
                    </a:xfrm>
                    <a:prstGeom prst="rect">
                      <a:avLst/>
                    </a:prstGeom>
                  </pic:spPr>
                </pic:pic>
              </a:graphicData>
            </a:graphic>
          </wp:inline>
        </w:drawing>
      </w:r>
    </w:p>
    <w:p w14:paraId="6512D312">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3208020" cy="2555240"/>
            <wp:effectExtent l="0" t="0" r="0" b="0"/>
            <wp:docPr id="263302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302809" name="Picture 1"/>
                    <pic:cNvPicPr>
                      <a:picLocks noChangeAspect="1"/>
                    </pic:cNvPicPr>
                  </pic:nvPicPr>
                  <pic:blipFill>
                    <a:blip r:embed="rId17"/>
                    <a:stretch>
                      <a:fillRect/>
                    </a:stretch>
                  </pic:blipFill>
                  <pic:spPr>
                    <a:xfrm>
                      <a:off x="0" y="0"/>
                      <a:ext cx="3215012" cy="2560900"/>
                    </a:xfrm>
                    <a:prstGeom prst="rect">
                      <a:avLst/>
                    </a:prstGeom>
                  </pic:spPr>
                </pic:pic>
              </a:graphicData>
            </a:graphic>
          </wp:inline>
        </w:drawing>
      </w:r>
    </w:p>
    <w:p w14:paraId="38FA5892">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9: Accounting Rate of Return (ARR)</w:t>
      </w:r>
    </w:p>
    <w:p w14:paraId="6F343E95">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(Self-developed)</w:t>
      </w:r>
    </w:p>
    <w:p w14:paraId="7CFBCD27">
      <w:pPr>
        <w:spacing w:before="240" w:after="240" w:line="360" w:lineRule="auto"/>
        <w:jc w:val="center"/>
        <w:rPr>
          <w:rFonts w:ascii="Times New Roman" w:hAnsi="Times New Roman" w:eastAsia="Times New Roman" w:cs="Times New Roman"/>
          <w:sz w:val="24"/>
          <w:szCs w:val="24"/>
        </w:rPr>
      </w:pPr>
    </w:p>
    <w:p w14:paraId="765A0735">
      <w:pPr>
        <w:pStyle w:val="3"/>
      </w:pPr>
      <w:bookmarkStart w:id="40" w:name="_Toc236678289"/>
      <w:r>
        <w:t>5.5 Net Present Value (NPV)</w:t>
      </w:r>
      <w:bookmarkEnd w:id="40"/>
    </w:p>
    <w:p w14:paraId="76D3612E">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Net Present Value (NPV) technique uses the time value of money as it discounts the future cash inflows at the necessary rate of return. One of the most credible methods of investment appraisal, according to Dai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(2022), is NPV as it quantifies the direct contribution of a project to the shareholders wealth. Using an 8% discount rate, Project A generates an NPV of –£6.57 million, while Project B produces –£6.11 million, indicating that both projects fail to recover their cost of capital. However, Project C has a positive NPV of 0.83 million, indicating that the discounted cash inflows are higher than the initial investment. Since the only project that generates positive economic value is Project C, then it is the only project acceptable on the NPV criterion on a financial basis.</w:t>
      </w:r>
    </w:p>
    <w:p w14:paraId="6BD42FBC">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3291840" cy="5120640"/>
            <wp:effectExtent l="0" t="0" r="3810" b="3810"/>
            <wp:docPr id="1611387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387576" name="Picture 1"/>
                    <pic:cNvPicPr>
                      <a:picLocks noChangeAspect="1"/>
                    </pic:cNvPicPr>
                  </pic:nvPicPr>
                  <pic:blipFill>
                    <a:blip r:embed="rId18"/>
                    <a:stretch>
                      <a:fillRect/>
                    </a:stretch>
                  </pic:blipFill>
                  <pic:spPr>
                    <a:xfrm>
                      <a:off x="0" y="0"/>
                      <a:ext cx="3292125" cy="5121084"/>
                    </a:xfrm>
                    <a:prstGeom prst="rect">
                      <a:avLst/>
                    </a:prstGeom>
                  </pic:spPr>
                </pic:pic>
              </a:graphicData>
            </a:graphic>
          </wp:inline>
        </w:drawing>
      </w:r>
    </w:p>
    <w:p w14:paraId="28D3D3B5">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Figure 10: Net Present Value (NPV)</w:t>
      </w:r>
    </w:p>
    <w:p w14:paraId="26441554">
      <w:pPr>
        <w:pStyle w:val="3"/>
      </w:pPr>
      <w:bookmarkStart w:id="41" w:name="_Toc236678290"/>
      <w:r>
        <w:t>5.6 Profitability Index (PI)</w:t>
      </w:r>
      <w:bookmarkEnd w:id="41"/>
    </w:p>
    <w:p w14:paraId="1CF2F57C">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Profitability Index (PI) is used to determine the present value of cash inflows that will be received in the future on a pound of investment. Project A measures PI of 0.87, and Project B measures PI of 0.88, which are less than the acceptance value of 1.0, a sign of value destruction. On the other hand, Project C yields PI of 1.02, i.e. each pound invested in the project will result in present value benefits of 1.02. Project C is the best investment to give the maximum efficiency due to the fact that it is the only project with the minimum requirement of the acceptance criterion and the best opportunity of generating shareholder value. Thus, the PI analysis also confirms the choice of Project C.</w:t>
      </w:r>
    </w:p>
    <w:p w14:paraId="5F8CC866">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3406140" cy="5082540"/>
            <wp:effectExtent l="0" t="0" r="3810" b="3810"/>
            <wp:docPr id="374353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353861" name="Picture 1"/>
                    <pic:cNvPicPr>
                      <a:picLocks noChangeAspect="1"/>
                    </pic:cNvPicPr>
                  </pic:nvPicPr>
                  <pic:blipFill>
                    <a:blip r:embed="rId19"/>
                    <a:stretch>
                      <a:fillRect/>
                    </a:stretch>
                  </pic:blipFill>
                  <pic:spPr>
                    <a:xfrm>
                      <a:off x="0" y="0"/>
                      <a:ext cx="3406435" cy="5082980"/>
                    </a:xfrm>
                    <a:prstGeom prst="rect">
                      <a:avLst/>
                    </a:prstGeom>
                  </pic:spPr>
                </pic:pic>
              </a:graphicData>
            </a:graphic>
          </wp:inline>
        </w:drawing>
      </w:r>
    </w:p>
    <w:p w14:paraId="5E63472B">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11: Profitability Index (PI)</w:t>
      </w:r>
    </w:p>
    <w:p w14:paraId="732A4E6B">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(Self-developed)</w:t>
      </w:r>
    </w:p>
    <w:p w14:paraId="2FC051D7">
      <w:pPr>
        <w:pStyle w:val="3"/>
      </w:pPr>
      <w:bookmarkStart w:id="42" w:name="_Toc236678291"/>
      <w:r>
        <w:t>5.7 Internal Rate of Return (IRR)</w:t>
      </w:r>
      <w:bookmarkEnd w:id="42"/>
    </w:p>
    <w:p w14:paraId="00107D00">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Internal rate of Return (IRR) is defined as the discount rate at which NPV of a project is equal to zero and is commonly applied in conjunction with NPV to assess the attractiveness of an investment (Dai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2022). Project A records an IRR of approximately –3.16%, while Project B generates –7.55%, both substantially below the required discount rate of 8%, indicating financial unacceptability. Conversely, Project C generates an IRR of around 7.58%, which is much higher than that of the other two projects and is close to the required rate of return. The IRR of Project C is slightly lower than the cost of capital of the company when the model is based on the interpolation approach, but still, it is the most prosperous project since it also produces the single positive NPV. On the whole, IRR and NPV rankings indicate that Project C is always the most appealing investment in terms of its financial aspects.</w:t>
      </w:r>
    </w:p>
    <w:p w14:paraId="3A49B3B7">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5036820" cy="4777740"/>
            <wp:effectExtent l="0" t="0" r="0" b="3810"/>
            <wp:docPr id="915841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41272" name="Picture 1"/>
                    <pic:cNvPicPr>
                      <a:picLocks noChangeAspect="1"/>
                    </pic:cNvPicPr>
                  </pic:nvPicPr>
                  <pic:blipFill>
                    <a:blip r:embed="rId20"/>
                    <a:stretch>
                      <a:fillRect/>
                    </a:stretch>
                  </pic:blipFill>
                  <pic:spPr>
                    <a:xfrm>
                      <a:off x="0" y="0"/>
                      <a:ext cx="5037257" cy="4778154"/>
                    </a:xfrm>
                    <a:prstGeom prst="rect">
                      <a:avLst/>
                    </a:prstGeom>
                  </pic:spPr>
                </pic:pic>
              </a:graphicData>
            </a:graphic>
          </wp:inline>
        </w:drawing>
      </w:r>
    </w:p>
    <w:p w14:paraId="7AA3AF04">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12: Internal Rate of Return (IRR)</w:t>
      </w:r>
    </w:p>
    <w:p w14:paraId="3290AC3B">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(Self-developed)</w:t>
      </w:r>
    </w:p>
    <w:p w14:paraId="13981EF4">
      <w:pPr>
        <w:pStyle w:val="3"/>
      </w:pPr>
      <w:bookmarkStart w:id="43" w:name="_Toc236678292"/>
      <w:r>
        <w:t>5.8 Recommendation of Best Project</w:t>
      </w:r>
      <w:bookmarkEnd w:id="43"/>
    </w:p>
    <w:p w14:paraId="4DE821BA">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According to the overall investment appraisal outcomes, Project C ought to be chosen. It captures the lowest payback (3 years and 7.2 months), and highest ARR (12%), the sole positive NPV (£0.83 million) and highest PI (1.02) and the best IRR of the three options. Such outcomes show high profitability and value creation in the long term. The recommendation is also in line with the financial position of Marriott. Since the company is relatively highly leveraged and its liquidity ratios are below the industry, the faster cash recovery of Project C would enhance the operating cash flows and decrease the burden on financing. Moreover, the project seems to be more appropriate to assist Marriott in its global expansion strategy by addressing the rising demand of customers in high-quality hospitality services and reducing the risk of long-term investment payback. Political uncertainty and macroeconomic risks still exist; however, the international diversification of Marriott lowers concentration risk. Also, the choice of the project with the best financial payoff contributes to the further investment in ESG projects and sustainable operations, which enhances the global brand image and sustainable shareholder value of Marriott.</w:t>
      </w:r>
    </w:p>
    <w:p w14:paraId="5D62AEB5">
      <w:pPr>
        <w:pStyle w:val="3"/>
      </w:pPr>
      <w:bookmarkStart w:id="44" w:name="_Toc236678293"/>
      <w:r>
        <w:t>5.9 Capital Rationing (£100 Million Limit)</w:t>
      </w:r>
      <w:bookmarkEnd w:id="44"/>
    </w:p>
    <w:p w14:paraId="2DD55116">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Marriott has a maximum investment budget of up to £100 million allowing it to pursue any two projects. According to the NPV, the alternatives are ranked in the following way:</w:t>
      </w:r>
    </w:p>
    <w:tbl>
      <w:tblPr>
        <w:tblStyle w:val="20"/>
        <w:tblW w:w="88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2640"/>
        <w:gridCol w:w="3570"/>
        <w:gridCol w:w="2655"/>
      </w:tblGrid>
      <w:tr w14:paraId="635E5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05" w:hRule="atLeast"/>
        </w:trPr>
        <w:tc>
          <w:tcPr>
            <w:tcW w:w="264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tcPr>
          <w:p w14:paraId="6B949214">
            <w:pPr>
              <w:spacing w:after="160" w:line="256"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Combination</w:t>
            </w:r>
          </w:p>
        </w:tc>
        <w:tc>
          <w:tcPr>
            <w:tcW w:w="3570"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14:paraId="3DB50858">
            <w:pPr>
              <w:spacing w:after="160" w:line="256"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Total NPV (£m)</w:t>
            </w:r>
          </w:p>
        </w:tc>
        <w:tc>
          <w:tcPr>
            <w:tcW w:w="2655" w:type="dxa"/>
            <w:tcBorders>
              <w:top w:val="single" w:color="000000" w:sz="6" w:space="0"/>
              <w:left w:val="nil"/>
              <w:bottom w:val="single" w:color="000000" w:sz="6" w:space="0"/>
              <w:right w:val="single" w:color="000000" w:sz="6" w:space="0"/>
            </w:tcBorders>
            <w:tcMar>
              <w:top w:w="0" w:type="dxa"/>
              <w:left w:w="100" w:type="dxa"/>
              <w:bottom w:w="0" w:type="dxa"/>
              <w:right w:w="100" w:type="dxa"/>
            </w:tcMar>
          </w:tcPr>
          <w:p w14:paraId="650DF434">
            <w:pPr>
              <w:spacing w:after="160" w:line="256"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Ranking</w:t>
            </w:r>
          </w:p>
        </w:tc>
      </w:tr>
      <w:tr w14:paraId="1F533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05" w:hRule="atLeast"/>
        </w:trPr>
        <w:tc>
          <w:tcPr>
            <w:tcW w:w="2640" w:type="dxa"/>
            <w:tcBorders>
              <w:top w:val="nil"/>
              <w:left w:val="single" w:color="000000" w:sz="6" w:space="0"/>
              <w:bottom w:val="single" w:color="000000" w:sz="6" w:space="0"/>
              <w:right w:val="single" w:color="000000" w:sz="6" w:space="0"/>
            </w:tcBorders>
            <w:tcMar>
              <w:top w:w="0" w:type="dxa"/>
              <w:left w:w="100" w:type="dxa"/>
              <w:bottom w:w="0" w:type="dxa"/>
              <w:right w:w="100" w:type="dxa"/>
            </w:tcMar>
          </w:tcPr>
          <w:p w14:paraId="368B77E7">
            <w:pPr>
              <w:spacing w:after="160" w:line="256"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B + C</w:t>
            </w:r>
          </w:p>
        </w:tc>
        <w:tc>
          <w:tcPr>
            <w:tcW w:w="3570" w:type="dxa"/>
            <w:tcBorders>
              <w:top w:val="nil"/>
              <w:left w:val="nil"/>
              <w:bottom w:val="single" w:color="000000" w:sz="6" w:space="0"/>
              <w:right w:val="single" w:color="000000" w:sz="6" w:space="0"/>
            </w:tcBorders>
            <w:tcMar>
              <w:top w:w="0" w:type="dxa"/>
              <w:left w:w="100" w:type="dxa"/>
              <w:bottom w:w="0" w:type="dxa"/>
              <w:right w:w="100" w:type="dxa"/>
            </w:tcMar>
          </w:tcPr>
          <w:p w14:paraId="1F83B322">
            <w:pPr>
              <w:spacing w:after="160" w:line="256"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–5.28</w:t>
            </w:r>
          </w:p>
        </w:tc>
        <w:tc>
          <w:tcPr>
            <w:tcW w:w="2655" w:type="dxa"/>
            <w:tcBorders>
              <w:top w:val="nil"/>
              <w:left w:val="nil"/>
              <w:bottom w:val="single" w:color="000000" w:sz="6" w:space="0"/>
              <w:right w:val="single" w:color="000000" w:sz="6" w:space="0"/>
            </w:tcBorders>
            <w:tcMar>
              <w:top w:w="0" w:type="dxa"/>
              <w:left w:w="100" w:type="dxa"/>
              <w:bottom w:w="0" w:type="dxa"/>
              <w:right w:w="100" w:type="dxa"/>
            </w:tcMar>
          </w:tcPr>
          <w:p w14:paraId="1A7BED81">
            <w:pPr>
              <w:spacing w:after="160" w:line="25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r w14:paraId="1F1ED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05" w:hRule="atLeast"/>
        </w:trPr>
        <w:tc>
          <w:tcPr>
            <w:tcW w:w="2640" w:type="dxa"/>
            <w:tcBorders>
              <w:top w:val="nil"/>
              <w:left w:val="single" w:color="000000" w:sz="6" w:space="0"/>
              <w:bottom w:val="single" w:color="000000" w:sz="6" w:space="0"/>
              <w:right w:val="single" w:color="000000" w:sz="6" w:space="0"/>
            </w:tcBorders>
            <w:tcMar>
              <w:top w:w="0" w:type="dxa"/>
              <w:left w:w="100" w:type="dxa"/>
              <w:bottom w:w="0" w:type="dxa"/>
              <w:right w:w="100" w:type="dxa"/>
            </w:tcMar>
          </w:tcPr>
          <w:p w14:paraId="55CADA67">
            <w:pPr>
              <w:spacing w:after="160" w:line="256"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 + C</w:t>
            </w:r>
          </w:p>
        </w:tc>
        <w:tc>
          <w:tcPr>
            <w:tcW w:w="3570" w:type="dxa"/>
            <w:tcBorders>
              <w:top w:val="nil"/>
              <w:left w:val="nil"/>
              <w:bottom w:val="single" w:color="000000" w:sz="6" w:space="0"/>
              <w:right w:val="single" w:color="000000" w:sz="6" w:space="0"/>
            </w:tcBorders>
            <w:tcMar>
              <w:top w:w="0" w:type="dxa"/>
              <w:left w:w="100" w:type="dxa"/>
              <w:bottom w:w="0" w:type="dxa"/>
              <w:right w:w="100" w:type="dxa"/>
            </w:tcMar>
          </w:tcPr>
          <w:p w14:paraId="622981ED">
            <w:pPr>
              <w:spacing w:after="160" w:line="256"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–5.74</w:t>
            </w:r>
          </w:p>
        </w:tc>
        <w:tc>
          <w:tcPr>
            <w:tcW w:w="2655" w:type="dxa"/>
            <w:tcBorders>
              <w:top w:val="nil"/>
              <w:left w:val="nil"/>
              <w:bottom w:val="single" w:color="000000" w:sz="6" w:space="0"/>
              <w:right w:val="single" w:color="000000" w:sz="6" w:space="0"/>
            </w:tcBorders>
            <w:tcMar>
              <w:top w:w="0" w:type="dxa"/>
              <w:left w:w="100" w:type="dxa"/>
              <w:bottom w:w="0" w:type="dxa"/>
              <w:right w:w="100" w:type="dxa"/>
            </w:tcMar>
          </w:tcPr>
          <w:p w14:paraId="6D6A3923">
            <w:pPr>
              <w:spacing w:after="160" w:line="25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r>
      <w:tr w14:paraId="6824D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405" w:hRule="atLeast"/>
        </w:trPr>
        <w:tc>
          <w:tcPr>
            <w:tcW w:w="2640" w:type="dxa"/>
            <w:tcBorders>
              <w:top w:val="nil"/>
              <w:left w:val="single" w:color="000000" w:sz="6" w:space="0"/>
              <w:bottom w:val="single" w:color="000000" w:sz="6" w:space="0"/>
              <w:right w:val="single" w:color="000000" w:sz="6" w:space="0"/>
            </w:tcBorders>
            <w:tcMar>
              <w:top w:w="0" w:type="dxa"/>
              <w:left w:w="100" w:type="dxa"/>
              <w:bottom w:w="0" w:type="dxa"/>
              <w:right w:w="100" w:type="dxa"/>
            </w:tcMar>
          </w:tcPr>
          <w:p w14:paraId="7E361615">
            <w:pPr>
              <w:spacing w:after="160" w:line="256"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 + B</w:t>
            </w:r>
          </w:p>
        </w:tc>
        <w:tc>
          <w:tcPr>
            <w:tcW w:w="3570" w:type="dxa"/>
            <w:tcBorders>
              <w:top w:val="nil"/>
              <w:left w:val="nil"/>
              <w:bottom w:val="single" w:color="000000" w:sz="6" w:space="0"/>
              <w:right w:val="single" w:color="000000" w:sz="6" w:space="0"/>
            </w:tcBorders>
            <w:tcMar>
              <w:top w:w="0" w:type="dxa"/>
              <w:left w:w="100" w:type="dxa"/>
              <w:bottom w:w="0" w:type="dxa"/>
              <w:right w:w="100" w:type="dxa"/>
            </w:tcMar>
          </w:tcPr>
          <w:p w14:paraId="7BFA1D29">
            <w:pPr>
              <w:spacing w:after="160" w:line="256"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–12.68</w:t>
            </w:r>
          </w:p>
        </w:tc>
        <w:tc>
          <w:tcPr>
            <w:tcW w:w="2655" w:type="dxa"/>
            <w:tcBorders>
              <w:top w:val="nil"/>
              <w:left w:val="nil"/>
              <w:bottom w:val="single" w:color="000000" w:sz="6" w:space="0"/>
              <w:right w:val="single" w:color="000000" w:sz="6" w:space="0"/>
            </w:tcBorders>
            <w:tcMar>
              <w:top w:w="0" w:type="dxa"/>
              <w:left w:w="100" w:type="dxa"/>
              <w:bottom w:w="0" w:type="dxa"/>
              <w:right w:w="100" w:type="dxa"/>
            </w:tcMar>
          </w:tcPr>
          <w:p w14:paraId="453D9FB6">
            <w:pPr>
              <w:spacing w:after="160" w:line="25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r>
    </w:tbl>
    <w:p w14:paraId="69A5285D">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All the combinations result in a negative total NPV since Projects A and B cause a loss of value but Project B and Project C offers the highest aggregated NPV and reduced total value loss. But strategically, Marriott can only invest in Project C when capital allocation can be adjusted because it is the only project that will generate a positive value to the shareholders. With the need to spend the entire budget of £100 million, Projects B and C are the most financially acceptable combination without compromising on risk profile and greater strategic fit than the other options.</w:t>
      </w:r>
    </w:p>
    <w:p w14:paraId="000A6D0D">
      <w:pPr>
        <w:pStyle w:val="2"/>
      </w:pPr>
      <w:bookmarkStart w:id="45" w:name="_Toc236678294"/>
      <w:r>
        <w:t>6. Critical Reflection on AI Usage</w:t>
      </w:r>
      <w:bookmarkEnd w:id="45"/>
    </w:p>
    <w:p w14:paraId="2B064977">
      <w:pPr>
        <w:pStyle w:val="3"/>
      </w:pPr>
      <w:bookmarkStart w:id="46" w:name="_Toc236678295"/>
      <w:r>
        <w:t>6.1 Tool Disclosure</w:t>
      </w:r>
      <w:bookmarkEnd w:id="46"/>
    </w:p>
    <w:p w14:paraId="2B3D277C">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There were no specific Artificial Intelligence (AI) tools that were utilized in the preparation of this report. In its place, Microsoft Excel has been used as the main analytical tool to structure financial data, ratios, investment appraisal methods and to present financial data in a structured format. Data sets were organised in Excel, tables were edited, financial data were summarised, ratios were analysed using formulas of Payback Period (PBP), Accounting Rate of Return (ARR), Net Present Value (NPV), Profitability Index (PI) and Internal rate of Return (IRR). As Elmakaty (2024) notes, Microsoft Excel offers a convenient means of arranging quantitative data and underpinning sound financial analysis with properly structured calculations and clear data display.</w:t>
      </w:r>
    </w:p>
    <w:p w14:paraId="64208B93">
      <w:pPr>
        <w:pStyle w:val="3"/>
      </w:pPr>
      <w:bookmarkStart w:id="47" w:name="_Toc236678296"/>
      <w:r>
        <w:t>6.2 Critical Evaluation of AI Output</w:t>
      </w:r>
      <w:bookmarkEnd w:id="47"/>
    </w:p>
    <w:p w14:paraId="4F9763D6">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Even though no specific AI program was involved in creating financial analysis, it was necessary to ensure that data accuracy is maintained throughout the report. The numbers were all taken out of the annual reports of Marriott International and compared with published financial statements and other reliable secondary sources then analyzed. The calculation of ratios, investment appraisal outcomes and interpretation of financial outcomes were checked independently through Microsoft Excel formula to reduce the error in calculation. In cases where secondary sources had financial information, cross-checking was made with formal disclosures to ascertain similarity. Pang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(2025) stress that systematic numerical cross-checking is a key to ensuring credibility and minimisation of inconsistencies in financial reporting. A special emphasis was made in validating the numerical relationship among income statements, balance sheets and cash flow statements so that calculations were true to the financial performance of Marriott. This check-up minimized the chance of factual errors, logical fallacies and unjustified financial findings.</w:t>
      </w:r>
    </w:p>
    <w:p w14:paraId="7DDDF5FC">
      <w:pPr>
        <w:pStyle w:val="3"/>
      </w:pPr>
      <w:bookmarkStart w:id="48" w:name="_Toc236678297"/>
      <w:r>
        <w:t>6.3 Contribution Analysis</w:t>
      </w:r>
      <w:bookmarkEnd w:id="48"/>
    </w:p>
    <w:p w14:paraId="4732BE4E">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technicalities of this report were mostly aided by Microsoft Excel, which helped in organising financial data, creation of tables, use of formulas and presentation of financial information in a clear and uniform format. It enabled calculation of financial ratios and investment appraisal measures as well. But the analytical material was still the product of independent analysis. Thus, although the Excel facilitated data processing and presentation, all the strategic analysis, financial interpretation and recommendations are the independent work of the author.</w:t>
      </w:r>
    </w:p>
    <w:p w14:paraId="00BB969F">
      <w:pPr>
        <w:pStyle w:val="3"/>
      </w:pPr>
      <w:bookmarkStart w:id="49" w:name="_Toc236678298"/>
      <w:r>
        <w:t>6.4 Professional and Ethical Reflection</w:t>
      </w:r>
      <w:bookmarkEnd w:id="49"/>
    </w:p>
    <w:p w14:paraId="378E14E6">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Transparency, academic integrity and professional judgement are needed in the responsible use of technology in financial analysis. Any financial data utilized in this report was acquired publicly and therefore the information will remain confidential and will be in accordance with ethical research practices. Proper referencing has been adhered to in all the cases in order to give credit to all sources of information. Though spreadsheet software enhances efficiency in analysis, and removes errors in manual calculations, financial decisions must never be based on automated calculations. Human judgment is still required in the interpretation of financial performance, assessing business risks and formulating strategic advice. Over dependence on technology without critical assessment can lead to incorrect conclusions and bad managerial judgments. Professional accountants are therefore advised to apply analytical tools carefully by balancing technology efficiency with professional skills, ethical judgment and critical analysis.</w:t>
      </w:r>
    </w:p>
    <w:p w14:paraId="60C48BCD">
      <w:pPr>
        <w:pStyle w:val="2"/>
      </w:pPr>
      <w:bookmarkStart w:id="50" w:name="_Toc236678299"/>
      <w:r>
        <w:t>7. Conclusion</w:t>
      </w:r>
      <w:bookmarkEnd w:id="50"/>
    </w:p>
    <w:p w14:paraId="6F343161">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Marriott International has shown good financial recovery within the five-year period due to the steady growth in revenues, a rising operating profitability and a lean asset-based business model. Nevertheless, the company remains challenged due to the high debt rates, rising interest costs and liquidity ratios lower than industry standards, which points to the necessity of greater financial flexibility. Increasing liquidity and decreasing financing pressures would be achieved by improving working capital by improving receivable management, supplier negotiations, digital payment systems and correct cash forecasting. A debt refinancing-based reorganization strategy, selective divestiture and ongoing asset-light growth would enhance the capital structure and sustain international growth. Investment appraisal results indicate that Project C is the most financially attractive option, as it generates the highest profitability, the shortest payback period and the only positive Net Present Value. In general, the above financial and strategic recommendations would enhance Marriott long-term financial sustainability, shareholder value, and competitive ability in the international hospitality sector.</w:t>
      </w:r>
      <w:r>
        <w:br w:type="page"/>
      </w:r>
    </w:p>
    <w:p w14:paraId="40574462">
      <w:pPr>
        <w:pStyle w:val="2"/>
      </w:pPr>
      <w:bookmarkStart w:id="51" w:name="_Toc236678300"/>
      <w:r>
        <w:t>Reference List</w:t>
      </w:r>
      <w:bookmarkEnd w:id="51"/>
    </w:p>
    <w:p w14:paraId="6EE73E0A">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Aldo, M. (2022). The Effect of Gearing, Price Earnings Ratio, Interest Rate, Risk on Abnormal Return. </w:t>
      </w:r>
      <w:r>
        <w:rPr>
          <w:rFonts w:ascii="Times New Roman" w:hAnsi="Times New Roman" w:eastAsia="Times New Roman" w:cs="Times New Roman"/>
          <w:i/>
          <w:iCs/>
          <w:sz w:val="24"/>
          <w:szCs w:val="24"/>
        </w:rPr>
        <w:t>Indonesian Interdisciplinary Journal of Sharia Economics (IIJSE)</w:t>
      </w:r>
      <w:r>
        <w:rPr>
          <w:rFonts w:ascii="Times New Roman" w:hAnsi="Times New Roman" w:eastAsia="Times New Roman" w:cs="Times New Roman"/>
          <w:sz w:val="24"/>
          <w:szCs w:val="24"/>
        </w:rPr>
        <w:t>, [online] 5(2), pp.752–768. Available at:</w:t>
      </w:r>
      <w:r>
        <w:fldChar w:fldCharType="begin"/>
      </w:r>
      <w:r>
        <w:instrText xml:space="preserve"> HYPERLINK "http://e-journal.uac.ac.id/index.php/iijse/article/view/2195"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"http://e-journal.uac.ac.id/index.php/iijse/article/view/2195" \h </w:instrText>
      </w:r>
      <w:r>
        <w:fldChar w:fldCharType="separate"/>
      </w:r>
      <w:r>
        <w:rPr>
          <w:rFonts w:ascii="Times New Roman" w:hAnsi="Times New Roman" w:eastAsia="Times New Roman" w:cs="Times New Roman"/>
          <w:color w:val="1155CC"/>
          <w:sz w:val="24"/>
          <w:szCs w:val="24"/>
          <w:u w:val="single"/>
        </w:rPr>
        <w:t>http://e-journal.uac.ac.id/index.php/iijse/article/view/2195</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3843E8B0">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Chen, M., Liu, Y., lei, X., Zhang, W. and Xu, T. (2026). Climate policy risk and corporate asset structure upgrading: The rise of asset-light operations. </w:t>
      </w:r>
      <w:r>
        <w:rPr>
          <w:rFonts w:ascii="Times New Roman" w:hAnsi="Times New Roman" w:eastAsia="Times New Roman" w:cs="Times New Roman"/>
          <w:i/>
          <w:iCs/>
          <w:sz w:val="24"/>
          <w:szCs w:val="24"/>
        </w:rPr>
        <w:t>International Review of Economics &amp; Finance</w:t>
      </w:r>
      <w:r>
        <w:rPr>
          <w:rFonts w:ascii="Times New Roman" w:hAnsi="Times New Roman" w:eastAsia="Times New Roman" w:cs="Times New Roman"/>
          <w:sz w:val="24"/>
          <w:szCs w:val="24"/>
        </w:rPr>
        <w:t>, 107, p.105103.</w:t>
      </w:r>
      <w:r>
        <w:fldChar w:fldCharType="begin"/>
      </w:r>
      <w:r>
        <w:instrText xml:space="preserve"> HYPERLINK "https://doi.org/10.1016/j.iref.2026.105103"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"https://doi.org/10.1016/j.iref.2026.105103" \h </w:instrText>
      </w:r>
      <w:r>
        <w:fldChar w:fldCharType="separate"/>
      </w:r>
      <w:r>
        <w:rPr>
          <w:rFonts w:ascii="Times New Roman" w:hAnsi="Times New Roman" w:eastAsia="Times New Roman" w:cs="Times New Roman"/>
          <w:color w:val="1155CC"/>
          <w:sz w:val="24"/>
          <w:szCs w:val="24"/>
          <w:u w:val="single"/>
        </w:rPr>
        <w:t>https://doi.org/10.1016/j.iref.2026.105103</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204286E0">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t-IT"/>
        </w:rPr>
        <w:t xml:space="preserve">Dai, H., Li, N., Wang, Y. and Zhao, X. (2022). </w:t>
      </w:r>
      <w:r>
        <w:rPr>
          <w:rFonts w:ascii="Times New Roman" w:hAnsi="Times New Roman" w:eastAsia="Times New Roman" w:cs="Times New Roman"/>
          <w:i/>
          <w:iCs/>
          <w:sz w:val="24"/>
          <w:szCs w:val="24"/>
        </w:rPr>
        <w:t>The analysis of three main investment criteria: NPV IRR and payback period</w:t>
      </w:r>
      <w:r>
        <w:rPr>
          <w:rFonts w:ascii="Times New Roman" w:hAnsi="Times New Roman" w:eastAsia="Times New Roman" w:cs="Times New Roman"/>
          <w:sz w:val="24"/>
          <w:szCs w:val="24"/>
        </w:rPr>
        <w:t>. [online] Atlantis Press, pp.185–189.</w:t>
      </w:r>
      <w:r>
        <w:fldChar w:fldCharType="begin"/>
      </w:r>
      <w:r>
        <w:instrText xml:space="preserve"> HYPERLINK "https://doi.org/10.2991/aebmr.k.220307.028"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"https://doi.org/10.2991/aebmr.k.220307.028" \h </w:instrText>
      </w:r>
      <w:r>
        <w:fldChar w:fldCharType="separate"/>
      </w:r>
      <w:r>
        <w:rPr>
          <w:rFonts w:ascii="Times New Roman" w:hAnsi="Times New Roman" w:eastAsia="Times New Roman" w:cs="Times New Roman"/>
          <w:color w:val="1155CC"/>
          <w:sz w:val="24"/>
          <w:szCs w:val="24"/>
          <w:u w:val="single"/>
        </w:rPr>
        <w:t>https://doi.org/10.2991/aebmr.k.220307.028</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333CF82C">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Elmakaty, I. (2024). Mastering meta‐analysis in Microsoft Excel with MetaXL add‐in: A comprehensive tutorial and guide to meta‐analysis. </w:t>
      </w:r>
      <w:r>
        <w:rPr>
          <w:rFonts w:ascii="Times New Roman" w:hAnsi="Times New Roman" w:eastAsia="Times New Roman" w:cs="Times New Roman"/>
          <w:i/>
          <w:iCs/>
          <w:sz w:val="24"/>
          <w:szCs w:val="24"/>
        </w:rPr>
        <w:t>Journal of Evaluation in Clinical Practice</w:t>
      </w:r>
      <w:r>
        <w:rPr>
          <w:rFonts w:ascii="Times New Roman" w:hAnsi="Times New Roman" w:eastAsia="Times New Roman" w:cs="Times New Roman"/>
          <w:sz w:val="24"/>
          <w:szCs w:val="24"/>
        </w:rPr>
        <w:t>.</w:t>
      </w:r>
      <w:r>
        <w:fldChar w:fldCharType="begin"/>
      </w:r>
      <w:r>
        <w:instrText xml:space="preserve"> HYPERLINK "https://doi.org/10.1111/jep.14138"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"https://doi.org/10.1111/jep.14138" \h </w:instrText>
      </w:r>
      <w:r>
        <w:fldChar w:fldCharType="separate"/>
      </w:r>
      <w:r>
        <w:rPr>
          <w:rFonts w:ascii="Times New Roman" w:hAnsi="Times New Roman" w:eastAsia="Times New Roman" w:cs="Times New Roman"/>
          <w:color w:val="1155CC"/>
          <w:sz w:val="24"/>
          <w:szCs w:val="24"/>
          <w:u w:val="single"/>
        </w:rPr>
        <w:t>https://doi.org/10.1111/jep.14138</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45097DAF">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Ferniawan, M.F., Kusumawati, A. and Madein, A. (2024). The Influence of Earnings Per Share (EPS), Price Earnings Ratio (PER), Price to Book Value (PBV), And Debt Equity Ratio (DER) On The Stock Return. </w:t>
      </w:r>
      <w:r>
        <w:rPr>
          <w:rFonts w:ascii="Times New Roman" w:hAnsi="Times New Roman" w:eastAsia="Times New Roman" w:cs="Times New Roman"/>
          <w:i/>
          <w:iCs/>
          <w:sz w:val="24"/>
          <w:szCs w:val="24"/>
        </w:rPr>
        <w:t>Akrual: Jurnal Bisnis dan Akuntansi Kontemporer</w:t>
      </w:r>
      <w:r>
        <w:rPr>
          <w:rFonts w:ascii="Times New Roman" w:hAnsi="Times New Roman" w:eastAsia="Times New Roman" w:cs="Times New Roman"/>
          <w:sz w:val="24"/>
          <w:szCs w:val="24"/>
        </w:rPr>
        <w:t>, pp.114–130.</w:t>
      </w:r>
      <w:r>
        <w:fldChar w:fldCharType="begin"/>
      </w:r>
      <w:r>
        <w:instrText xml:space="preserve"> HYPERLINK "https://doi.org/10.26487/akrual.v17i01.32073"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"https://doi.org/10.26487/akrual.v17i01.32073" \h </w:instrText>
      </w:r>
      <w:r>
        <w:fldChar w:fldCharType="separate"/>
      </w:r>
      <w:r>
        <w:rPr>
          <w:rFonts w:ascii="Times New Roman" w:hAnsi="Times New Roman" w:eastAsia="Times New Roman" w:cs="Times New Roman"/>
          <w:color w:val="1155CC"/>
          <w:sz w:val="24"/>
          <w:szCs w:val="24"/>
          <w:u w:val="single"/>
        </w:rPr>
        <w:t>https://doi.org/10.26487/akrual.v17i01.32073</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18278A47">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Ferrara, L. and Yapi, J. (2022). Measuring exchange rate risks during periods of uncertainty. </w:t>
      </w:r>
      <w:r>
        <w:rPr>
          <w:rFonts w:ascii="Times New Roman" w:hAnsi="Times New Roman" w:eastAsia="Times New Roman" w:cs="Times New Roman"/>
          <w:i/>
          <w:iCs/>
          <w:sz w:val="24"/>
          <w:szCs w:val="24"/>
        </w:rPr>
        <w:t>International Economics</w:t>
      </w:r>
      <w:r>
        <w:rPr>
          <w:rFonts w:ascii="Times New Roman" w:hAnsi="Times New Roman" w:eastAsia="Times New Roman" w:cs="Times New Roman"/>
          <w:sz w:val="24"/>
          <w:szCs w:val="24"/>
        </w:rPr>
        <w:t>.</w:t>
      </w:r>
      <w:r>
        <w:fldChar w:fldCharType="begin"/>
      </w:r>
      <w:r>
        <w:instrText xml:space="preserve"> HYPERLINK "https://doi.org/10.1016/j.inteco.2022.04.001"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"https://doi.org/10.1016/j.inteco.2022.04.001" \h </w:instrText>
      </w:r>
      <w:r>
        <w:fldChar w:fldCharType="separate"/>
      </w:r>
      <w:r>
        <w:rPr>
          <w:rFonts w:ascii="Times New Roman" w:hAnsi="Times New Roman" w:eastAsia="Times New Roman" w:cs="Times New Roman"/>
          <w:color w:val="1155CC"/>
          <w:sz w:val="24"/>
          <w:szCs w:val="24"/>
          <w:u w:val="single"/>
        </w:rPr>
        <w:t>https://doi.org/10.1016/j.inteco.2022.04.001</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3FF08841">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Friewald, N., Nagler, F. and Wagner, C. (2022). Debt refinancing and equity returns. </w:t>
      </w:r>
      <w:r>
        <w:rPr>
          <w:rFonts w:ascii="Times New Roman" w:hAnsi="Times New Roman" w:eastAsia="Times New Roman" w:cs="Times New Roman"/>
          <w:i/>
          <w:iCs/>
          <w:sz w:val="24"/>
          <w:szCs w:val="24"/>
        </w:rPr>
        <w:t>The Journal of Finance</w:t>
      </w:r>
      <w:r>
        <w:rPr>
          <w:rFonts w:ascii="Times New Roman" w:hAnsi="Times New Roman" w:eastAsia="Times New Roman" w:cs="Times New Roman"/>
          <w:sz w:val="24"/>
          <w:szCs w:val="24"/>
        </w:rPr>
        <w:t>, 77(4).</w:t>
      </w:r>
      <w:r>
        <w:fldChar w:fldCharType="begin"/>
      </w:r>
      <w:r>
        <w:instrText xml:space="preserve"> HYPERLINK "https://doi.org/10.1111/jofi.13162"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"https://doi.org/10.1111/jofi.13162" \h </w:instrText>
      </w:r>
      <w:r>
        <w:fldChar w:fldCharType="separate"/>
      </w:r>
      <w:r>
        <w:rPr>
          <w:rFonts w:ascii="Times New Roman" w:hAnsi="Times New Roman" w:eastAsia="Times New Roman" w:cs="Times New Roman"/>
          <w:color w:val="1155CC"/>
          <w:sz w:val="24"/>
          <w:szCs w:val="24"/>
          <w:u w:val="single"/>
        </w:rPr>
        <w:t>https://doi.org/10.1111/jofi.13162</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09A803E0">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Hall, J.H. (2023). Corporate shareholder value creation as contributor to economic growth. </w:t>
      </w:r>
      <w:r>
        <w:rPr>
          <w:rFonts w:ascii="Times New Roman" w:hAnsi="Times New Roman" w:eastAsia="Times New Roman" w:cs="Times New Roman"/>
          <w:i/>
          <w:iCs/>
          <w:sz w:val="24"/>
          <w:szCs w:val="24"/>
        </w:rPr>
        <w:t>Studies in Economics and Finance</w:t>
      </w:r>
      <w:r>
        <w:rPr>
          <w:rFonts w:ascii="Times New Roman" w:hAnsi="Times New Roman" w:eastAsia="Times New Roman" w:cs="Times New Roman"/>
          <w:sz w:val="24"/>
          <w:szCs w:val="24"/>
        </w:rPr>
        <w:t>, 41(1).</w:t>
      </w:r>
      <w:r>
        <w:fldChar w:fldCharType="begin"/>
      </w:r>
      <w:r>
        <w:instrText xml:space="preserve"> HYPERLINK "https://doi.org/10.1108/SEF-06-2021-0255"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"https://doi.org/10.1108/SEF-06-2021-0255" \h </w:instrText>
      </w:r>
      <w:r>
        <w:fldChar w:fldCharType="separate"/>
      </w:r>
      <w:r>
        <w:rPr>
          <w:rFonts w:ascii="Times New Roman" w:hAnsi="Times New Roman" w:eastAsia="Times New Roman" w:cs="Times New Roman"/>
          <w:color w:val="1155CC"/>
          <w:sz w:val="24"/>
          <w:szCs w:val="24"/>
          <w:u w:val="single"/>
        </w:rPr>
        <w:t>https://doi.org/10.1108/SEF-06-2021-0255</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0DA96F30">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Hu, B., Schclarek, A., Xu, J. and Yan, J. (2022). Long-term finance provision: National development banks vs commercial banks. </w:t>
      </w:r>
      <w:r>
        <w:rPr>
          <w:rFonts w:ascii="Times New Roman" w:hAnsi="Times New Roman" w:eastAsia="Times New Roman" w:cs="Times New Roman"/>
          <w:i/>
          <w:iCs/>
          <w:sz w:val="24"/>
          <w:szCs w:val="24"/>
        </w:rPr>
        <w:t>World Development</w:t>
      </w:r>
      <w:r>
        <w:rPr>
          <w:rFonts w:ascii="Times New Roman" w:hAnsi="Times New Roman" w:eastAsia="Times New Roman" w:cs="Times New Roman"/>
          <w:sz w:val="24"/>
          <w:szCs w:val="24"/>
        </w:rPr>
        <w:t>, 158, p.105973.</w:t>
      </w:r>
      <w:r>
        <w:fldChar w:fldCharType="begin"/>
      </w:r>
      <w:r>
        <w:instrText xml:space="preserve"> HYPERLINK "https://doi.org/10.1016/j.worlddev.2022.105973"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"https://doi.org/10.1016/j.worlddev.2022.105973" \h </w:instrText>
      </w:r>
      <w:r>
        <w:fldChar w:fldCharType="separate"/>
      </w:r>
      <w:r>
        <w:rPr>
          <w:rFonts w:ascii="Times New Roman" w:hAnsi="Times New Roman" w:eastAsia="Times New Roman" w:cs="Times New Roman"/>
          <w:color w:val="1155CC"/>
          <w:sz w:val="24"/>
          <w:szCs w:val="24"/>
          <w:u w:val="single"/>
        </w:rPr>
        <w:t>https://doi.org/10.1016/j.worlddev.2022.105973</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381B2A80">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Iazzolino, G., Bruni, M.E., Veltri, S., Morea, D. and Baldissarro, G. (2023). The impact of ESG factors on financial efficiency: An empirical analysis for the selection of sustainable firm portfolios. </w:t>
      </w:r>
      <w:r>
        <w:rPr>
          <w:rFonts w:ascii="Times New Roman" w:hAnsi="Times New Roman" w:eastAsia="Times New Roman" w:cs="Times New Roman"/>
          <w:i/>
          <w:iCs/>
          <w:sz w:val="24"/>
          <w:szCs w:val="24"/>
        </w:rPr>
        <w:t>Corporate Social Responsibility and Environmental Management</w:t>
      </w:r>
      <w:r>
        <w:rPr>
          <w:rFonts w:ascii="Times New Roman" w:hAnsi="Times New Roman" w:eastAsia="Times New Roman" w:cs="Times New Roman"/>
          <w:sz w:val="24"/>
          <w:szCs w:val="24"/>
        </w:rPr>
        <w:t>, 30(4).</w:t>
      </w:r>
      <w:r>
        <w:fldChar w:fldCharType="begin"/>
      </w:r>
      <w:r>
        <w:instrText xml:space="preserve"> HYPERLINK "https://doi.org/10.1002/csr.2463"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"https://doi.org/10.1002/csr.2463" \h </w:instrText>
      </w:r>
      <w:r>
        <w:fldChar w:fldCharType="separate"/>
      </w:r>
      <w:r>
        <w:rPr>
          <w:rFonts w:ascii="Times New Roman" w:hAnsi="Times New Roman" w:eastAsia="Times New Roman" w:cs="Times New Roman"/>
          <w:color w:val="1155CC"/>
          <w:sz w:val="24"/>
          <w:szCs w:val="24"/>
          <w:u w:val="single"/>
        </w:rPr>
        <w:t>https://doi.org/10.1002/csr.2463</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053A54D5">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Kaya, H.D. (2022). The impact of the 2008-2009 global crisis on manufacturing firms’ bank accounts, overdraft facilities, and loans. </w:t>
      </w:r>
      <w:r>
        <w:rPr>
          <w:rFonts w:ascii="Times New Roman" w:hAnsi="Times New Roman" w:eastAsia="Times New Roman" w:cs="Times New Roman"/>
          <w:i/>
          <w:iCs/>
          <w:sz w:val="24"/>
          <w:szCs w:val="24"/>
        </w:rPr>
        <w:t>Financial Markets, Institutions and Risks</w:t>
      </w:r>
      <w:r>
        <w:rPr>
          <w:rFonts w:ascii="Times New Roman" w:hAnsi="Times New Roman" w:eastAsia="Times New Roman" w:cs="Times New Roman"/>
          <w:sz w:val="24"/>
          <w:szCs w:val="24"/>
        </w:rPr>
        <w:t>, 6(3), pp.64–70.</w:t>
      </w:r>
      <w:r>
        <w:fldChar w:fldCharType="begin"/>
      </w:r>
      <w:r>
        <w:instrText xml:space="preserve"> HYPERLINK "http://doi.org/10.21272/fmir.6(3).64-70.2022"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"http://doi.org/10.21272/fmir.6(3).64-70.2022" \h </w:instrText>
      </w:r>
      <w:r>
        <w:fldChar w:fldCharType="separate"/>
      </w:r>
      <w:r>
        <w:rPr>
          <w:rFonts w:ascii="Times New Roman" w:hAnsi="Times New Roman" w:eastAsia="Times New Roman" w:cs="Times New Roman"/>
          <w:color w:val="1155CC"/>
          <w:sz w:val="24"/>
          <w:szCs w:val="24"/>
          <w:u w:val="single"/>
        </w:rPr>
        <w:t>http://doi.org/10.21272/fmir.6(3).64-70.2022</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29D52B2C">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Khando, K., Islam, M.S. and Gao, S. (2022). The emerging technologies of digital payments and associated challenges: A systematic literature review. </w:t>
      </w:r>
      <w:r>
        <w:rPr>
          <w:rFonts w:ascii="Times New Roman" w:hAnsi="Times New Roman" w:eastAsia="Times New Roman" w:cs="Times New Roman"/>
          <w:i/>
          <w:iCs/>
          <w:sz w:val="24"/>
          <w:szCs w:val="24"/>
        </w:rPr>
        <w:t>Future Internet</w:t>
      </w:r>
      <w:r>
        <w:rPr>
          <w:rFonts w:ascii="Times New Roman" w:hAnsi="Times New Roman" w:eastAsia="Times New Roman" w:cs="Times New Roman"/>
          <w:sz w:val="24"/>
          <w:szCs w:val="24"/>
        </w:rPr>
        <w:t>, 15(1), p.21.</w:t>
      </w:r>
      <w:r>
        <w:fldChar w:fldCharType="begin"/>
      </w:r>
      <w:r>
        <w:instrText xml:space="preserve"> HYPERLINK "https://doi.org/10.3390/fi15010021"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"https://doi.org/10.3390/fi15010021" \h </w:instrText>
      </w:r>
      <w:r>
        <w:fldChar w:fldCharType="separate"/>
      </w:r>
      <w:r>
        <w:rPr>
          <w:rFonts w:ascii="Times New Roman" w:hAnsi="Times New Roman" w:eastAsia="Times New Roman" w:cs="Times New Roman"/>
          <w:color w:val="1155CC"/>
          <w:sz w:val="24"/>
          <w:szCs w:val="24"/>
          <w:u w:val="single"/>
        </w:rPr>
        <w:t>https://doi.org/10.3390/fi15010021</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71E60EDF">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Lee, C.-C. (2023). Analyses of the operating performance of information service companies based on indicators of financial statements. </w:t>
      </w:r>
      <w:r>
        <w:rPr>
          <w:rFonts w:ascii="Times New Roman" w:hAnsi="Times New Roman" w:eastAsia="Times New Roman" w:cs="Times New Roman"/>
          <w:i/>
          <w:iCs/>
          <w:sz w:val="24"/>
          <w:szCs w:val="24"/>
        </w:rPr>
        <w:t>Asia Pacific Management Review</w:t>
      </w:r>
      <w:r>
        <w:rPr>
          <w:rFonts w:ascii="Times New Roman" w:hAnsi="Times New Roman" w:eastAsia="Times New Roman" w:cs="Times New Roman"/>
          <w:sz w:val="24"/>
          <w:szCs w:val="24"/>
        </w:rPr>
        <w:t>, 28(4).</w:t>
      </w:r>
      <w:r>
        <w:fldChar w:fldCharType="begin"/>
      </w:r>
      <w:r>
        <w:instrText xml:space="preserve"> HYPERLINK "https://doi.org/10.1016/j.apmrv.2023.01.002"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"https://doi.org/10.1016/j.apmrv.2023.01.002" \h </w:instrText>
      </w:r>
      <w:r>
        <w:fldChar w:fldCharType="separate"/>
      </w:r>
      <w:r>
        <w:rPr>
          <w:rFonts w:ascii="Times New Roman" w:hAnsi="Times New Roman" w:eastAsia="Times New Roman" w:cs="Times New Roman"/>
          <w:color w:val="1155CC"/>
          <w:sz w:val="24"/>
          <w:szCs w:val="24"/>
          <w:u w:val="single"/>
        </w:rPr>
        <w:t>https://doi.org/10.1016/j.apmrv.2023.01.002</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21D583B0">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Marriott International (2025). </w:t>
      </w:r>
      <w:r>
        <w:rPr>
          <w:rFonts w:ascii="Times New Roman" w:hAnsi="Times New Roman" w:eastAsia="Times New Roman" w:cs="Times New Roman"/>
          <w:i/>
          <w:iCs/>
          <w:sz w:val="24"/>
          <w:szCs w:val="24"/>
        </w:rPr>
        <w:t>About Marriott International | Corporate Information</w:t>
      </w:r>
      <w:r>
        <w:rPr>
          <w:rFonts w:ascii="Times New Roman" w:hAnsi="Times New Roman" w:eastAsia="Times New Roman" w:cs="Times New Roman"/>
          <w:sz w:val="24"/>
          <w:szCs w:val="24"/>
        </w:rPr>
        <w:t xml:space="preserve">. [online] </w:t>
      </w:r>
      <w:r>
        <w:rPr>
          <w:rFonts w:ascii="Times New Roman" w:hAnsi="Times New Roman" w:eastAsia="Times New Roman" w:cs="Times New Roman"/>
          <w:i/>
          <w:iCs/>
          <w:sz w:val="24"/>
          <w:szCs w:val="24"/>
        </w:rPr>
        <w:t>marriott</w:t>
      </w:r>
      <w:r>
        <w:rPr>
          <w:rFonts w:ascii="Times New Roman" w:hAnsi="Times New Roman" w:eastAsia="Times New Roman" w:cs="Times New Roman"/>
          <w:sz w:val="24"/>
          <w:szCs w:val="24"/>
        </w:rPr>
        <w:t>. Marriott International. Available at:</w:t>
      </w:r>
      <w:r>
        <w:fldChar w:fldCharType="begin"/>
      </w:r>
      <w:r>
        <w:instrText xml:space="preserve"> HYPERLINK "https://www.marriott.com/marriott/aboutmarriott.mi"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"https://www.marriott.com/marriott/aboutmarriott.mi" \h </w:instrText>
      </w:r>
      <w:r>
        <w:fldChar w:fldCharType="separate"/>
      </w:r>
      <w:r>
        <w:rPr>
          <w:rFonts w:ascii="Times New Roman" w:hAnsi="Times New Roman" w:eastAsia="Times New Roman" w:cs="Times New Roman"/>
          <w:color w:val="1155CC"/>
          <w:sz w:val="24"/>
          <w:szCs w:val="24"/>
          <w:u w:val="single"/>
        </w:rPr>
        <w:t>https://www.marriott.com/marriott/aboutmarriott.mi</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1 Aug. 2026].</w:t>
      </w:r>
    </w:p>
    <w:p w14:paraId="1729C863">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Matuzevičiūtė, K., Mironikovaitė, I., Garšvienė, L. and Ruplienė, D. (2023). Threshold effects of public debt on the tax burden: Evidence from EU member states. </w:t>
      </w:r>
      <w:r>
        <w:rPr>
          <w:rFonts w:ascii="Times New Roman" w:hAnsi="Times New Roman" w:eastAsia="Times New Roman" w:cs="Times New Roman"/>
          <w:i/>
          <w:iCs/>
          <w:sz w:val="24"/>
          <w:szCs w:val="24"/>
        </w:rPr>
        <w:t>Intelektinė ekonomika</w:t>
      </w:r>
      <w:r>
        <w:rPr>
          <w:rFonts w:ascii="Times New Roman" w:hAnsi="Times New Roman" w:eastAsia="Times New Roman" w:cs="Times New Roman"/>
          <w:sz w:val="24"/>
          <w:szCs w:val="24"/>
        </w:rPr>
        <w:t>, [online] 17(2), pp.292–307. Available at:</w:t>
      </w:r>
      <w:r>
        <w:fldChar w:fldCharType="begin"/>
      </w:r>
      <w:r>
        <w:instrText xml:space="preserve"> HYPERLINK "https://www.ceeol.com/search/article-detail?id=1210751"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"https://www.ceeol.com/search/article-detail?id=1210751" \h </w:instrText>
      </w:r>
      <w:r>
        <w:fldChar w:fldCharType="separate"/>
      </w:r>
      <w:r>
        <w:rPr>
          <w:rFonts w:ascii="Times New Roman" w:hAnsi="Times New Roman" w:eastAsia="Times New Roman" w:cs="Times New Roman"/>
          <w:color w:val="1155CC"/>
          <w:sz w:val="24"/>
          <w:szCs w:val="24"/>
          <w:u w:val="single"/>
        </w:rPr>
        <w:t>https://www.ceeol.com/search/article-detail?id=1210751</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3 Aug. 2026].</w:t>
      </w:r>
    </w:p>
    <w:p w14:paraId="38F94273">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Pang, C., Cao, Y., Zhou, G., Li, H. and Luo, P. (2025). </w:t>
      </w:r>
      <w:r>
        <w:rPr>
          <w:rFonts w:ascii="Times New Roman" w:hAnsi="Times New Roman" w:eastAsia="Times New Roman" w:cs="Times New Roman"/>
          <w:i/>
          <w:iCs/>
          <w:sz w:val="24"/>
          <w:szCs w:val="24"/>
        </w:rPr>
        <w:t>Document-level tabular numerical cross-checking: A coarse-to-fine approach</w:t>
      </w:r>
      <w:r>
        <w:rPr>
          <w:rFonts w:ascii="Times New Roman" w:hAnsi="Times New Roman" w:eastAsia="Times New Roman" w:cs="Times New Roman"/>
          <w:sz w:val="24"/>
          <w:szCs w:val="24"/>
        </w:rPr>
        <w:t>. [online] arXiv.org. Available at:</w:t>
      </w:r>
      <w:r>
        <w:fldChar w:fldCharType="begin"/>
      </w:r>
      <w:r>
        <w:instrText xml:space="preserve"> HYPERLINK "https://arxiv.org/abs/2506.13328"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"https://arxiv.org/abs/2506.13328" \h </w:instrText>
      </w:r>
      <w:r>
        <w:fldChar w:fldCharType="separate"/>
      </w:r>
      <w:r>
        <w:rPr>
          <w:rFonts w:ascii="Times New Roman" w:hAnsi="Times New Roman" w:eastAsia="Times New Roman" w:cs="Times New Roman"/>
          <w:color w:val="1155CC"/>
          <w:sz w:val="24"/>
          <w:szCs w:val="24"/>
          <w:u w:val="single"/>
        </w:rPr>
        <w:t>https://arxiv.org/abs/2506.13328</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3 Aug. 2026].</w:t>
      </w:r>
    </w:p>
    <w:p w14:paraId="4D77105D">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Seretidou, D., Billios, D. and Stavropoulos, A. (2025). Integrative analysis of traditional and cash flow financial ratios: insights from a systematic comparative review. </w:t>
      </w:r>
      <w:r>
        <w:rPr>
          <w:rFonts w:ascii="Times New Roman" w:hAnsi="Times New Roman" w:eastAsia="Times New Roman" w:cs="Times New Roman"/>
          <w:i/>
          <w:iCs/>
          <w:sz w:val="24"/>
          <w:szCs w:val="24"/>
        </w:rPr>
        <w:t>Risks</w:t>
      </w:r>
      <w:r>
        <w:rPr>
          <w:rFonts w:ascii="Times New Roman" w:hAnsi="Times New Roman" w:eastAsia="Times New Roman" w:cs="Times New Roman"/>
          <w:sz w:val="24"/>
          <w:szCs w:val="24"/>
        </w:rPr>
        <w:t>, [online] 13(4), pp.62–62. Available at:</w:t>
      </w:r>
      <w:r>
        <w:fldChar w:fldCharType="begin"/>
      </w:r>
      <w:r>
        <w:instrText xml:space="preserve"> HYPERLINK "https://www.mdpi.com/2227-9091/13/4/62"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"https://www.mdpi.com/2227-9091/13/4/62" \h </w:instrText>
      </w:r>
      <w:r>
        <w:fldChar w:fldCharType="separate"/>
      </w:r>
      <w:r>
        <w:rPr>
          <w:rFonts w:ascii="Times New Roman" w:hAnsi="Times New Roman" w:eastAsia="Times New Roman" w:cs="Times New Roman"/>
          <w:color w:val="1155CC"/>
          <w:sz w:val="24"/>
          <w:szCs w:val="24"/>
          <w:u w:val="single"/>
        </w:rPr>
        <w:t>https://www.mdpi.com/2227-9091/13/4/62</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6BBBB0C6">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Soda, M.Z., Hassan Makhlouf, M., Oroud, Y. and Al Omari, R. (2022). Is firms’ profitability affected by working capital management? Novel market-based evidence in Jordan. </w:t>
      </w:r>
      <w:r>
        <w:rPr>
          <w:rFonts w:ascii="Times New Roman" w:hAnsi="Times New Roman" w:eastAsia="Times New Roman" w:cs="Times New Roman"/>
          <w:i/>
          <w:iCs/>
          <w:sz w:val="24"/>
          <w:szCs w:val="24"/>
        </w:rPr>
        <w:t>Cogent Business &amp; Management</w:t>
      </w:r>
      <w:r>
        <w:rPr>
          <w:rFonts w:ascii="Times New Roman" w:hAnsi="Times New Roman" w:eastAsia="Times New Roman" w:cs="Times New Roman"/>
          <w:sz w:val="24"/>
          <w:szCs w:val="24"/>
        </w:rPr>
        <w:t>, 9(1).</w:t>
      </w:r>
      <w:r>
        <w:fldChar w:fldCharType="begin"/>
      </w:r>
      <w:r>
        <w:instrText xml:space="preserve"> HYPERLINK "https://doi.org/10.1080/23311975.2022.2049671"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"https://doi.org/10.1080/23311975.2022.2049671" \h </w:instrText>
      </w:r>
      <w:r>
        <w:fldChar w:fldCharType="separate"/>
      </w:r>
      <w:r>
        <w:rPr>
          <w:rFonts w:ascii="Times New Roman" w:hAnsi="Times New Roman" w:eastAsia="Times New Roman" w:cs="Times New Roman"/>
          <w:color w:val="1155CC"/>
          <w:sz w:val="24"/>
          <w:szCs w:val="24"/>
          <w:u w:val="single"/>
        </w:rPr>
        <w:t>https://doi.org/10.1080/23311975.2022.2049671</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1A7998D6">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Stavropoulos, A.-S. and Zounta, S. (2025). Cash conversion cycle and profitability: Evidence from Greek service firms. </w:t>
      </w:r>
      <w:r>
        <w:rPr>
          <w:rFonts w:ascii="Times New Roman" w:hAnsi="Times New Roman" w:eastAsia="Times New Roman" w:cs="Times New Roman"/>
          <w:i/>
          <w:iCs/>
          <w:sz w:val="24"/>
          <w:szCs w:val="24"/>
        </w:rPr>
        <w:t>Journal of Risk and Financial Management</w:t>
      </w:r>
      <w:r>
        <w:rPr>
          <w:rFonts w:ascii="Times New Roman" w:hAnsi="Times New Roman" w:eastAsia="Times New Roman" w:cs="Times New Roman"/>
          <w:sz w:val="24"/>
          <w:szCs w:val="24"/>
        </w:rPr>
        <w:t>, 18(4), p.208.</w:t>
      </w:r>
      <w:r>
        <w:fldChar w:fldCharType="begin"/>
      </w:r>
      <w:r>
        <w:instrText xml:space="preserve"> HYPERLINK "https://doi.org/10.3390/jrfm18040208"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"https://doi.org/10.3390/jrfm18040208" \h </w:instrText>
      </w:r>
      <w:r>
        <w:fldChar w:fldCharType="separate"/>
      </w:r>
      <w:r>
        <w:rPr>
          <w:rFonts w:ascii="Times New Roman" w:hAnsi="Times New Roman" w:eastAsia="Times New Roman" w:cs="Times New Roman"/>
          <w:color w:val="1155CC"/>
          <w:sz w:val="24"/>
          <w:szCs w:val="24"/>
          <w:u w:val="single"/>
        </w:rPr>
        <w:t>https://doi.org/10.3390/jrfm18040208</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45E91BCA">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Svetek, M. (2022). Signaling in the context of early-stage equity financing: Review and directions. </w:t>
      </w:r>
      <w:r>
        <w:rPr>
          <w:rFonts w:ascii="Times New Roman" w:hAnsi="Times New Roman" w:eastAsia="Times New Roman" w:cs="Times New Roman"/>
          <w:i/>
          <w:iCs/>
          <w:sz w:val="24"/>
          <w:szCs w:val="24"/>
        </w:rPr>
        <w:t>Venture Capital</w:t>
      </w:r>
      <w:r>
        <w:rPr>
          <w:rFonts w:ascii="Times New Roman" w:hAnsi="Times New Roman" w:eastAsia="Times New Roman" w:cs="Times New Roman"/>
          <w:sz w:val="24"/>
          <w:szCs w:val="24"/>
        </w:rPr>
        <w:t>, 24(1), pp.1–34.</w:t>
      </w:r>
      <w:r>
        <w:fldChar w:fldCharType="begin"/>
      </w:r>
      <w:r>
        <w:instrText xml:space="preserve"> HYPERLINK "https://doi.org/10.1080/13691066.2022.2063092"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"https://doi.org/10.1080/13691066.2022.2063092" \h </w:instrText>
      </w:r>
      <w:r>
        <w:fldChar w:fldCharType="separate"/>
      </w:r>
      <w:r>
        <w:rPr>
          <w:rFonts w:ascii="Times New Roman" w:hAnsi="Times New Roman" w:eastAsia="Times New Roman" w:cs="Times New Roman"/>
          <w:color w:val="1155CC"/>
          <w:sz w:val="24"/>
          <w:szCs w:val="24"/>
          <w:u w:val="single"/>
        </w:rPr>
        <w:t>https://doi.org/10.1080/13691066.2022.2063092</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1ADBEA41">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Widiasmara, A., Kusherawati, A., Cahyaningati, R. and Paramita, R.W.D. (2022). The effect of current ratio, debt to equity ratio, return on assets, and net profit margin on profit growth. </w:t>
      </w:r>
      <w:r>
        <w:rPr>
          <w:rFonts w:ascii="Times New Roman" w:hAnsi="Times New Roman" w:eastAsia="Times New Roman" w:cs="Times New Roman"/>
          <w:i/>
          <w:iCs/>
          <w:sz w:val="24"/>
          <w:szCs w:val="24"/>
        </w:rPr>
        <w:t>Assets: Jurnal Ilmiah Ilmu Akuntansi, Keuangan dan Pajak</w:t>
      </w:r>
      <w:r>
        <w:rPr>
          <w:rFonts w:ascii="Times New Roman" w:hAnsi="Times New Roman" w:eastAsia="Times New Roman" w:cs="Times New Roman"/>
          <w:sz w:val="24"/>
          <w:szCs w:val="24"/>
        </w:rPr>
        <w:t>, 6(1), pp.8–15.</w:t>
      </w:r>
      <w:r>
        <w:fldChar w:fldCharType="begin"/>
      </w:r>
      <w:r>
        <w:instrText xml:space="preserve"> HYPERLINK "https://doi.org/10.30741/assets.v6i1.831"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"https://doi.org/10.30741/assets.v6i1.831" \h </w:instrText>
      </w:r>
      <w:r>
        <w:fldChar w:fldCharType="separate"/>
      </w:r>
      <w:r>
        <w:rPr>
          <w:rFonts w:ascii="Times New Roman" w:hAnsi="Times New Roman" w:eastAsia="Times New Roman" w:cs="Times New Roman"/>
          <w:color w:val="1155CC"/>
          <w:sz w:val="24"/>
          <w:szCs w:val="24"/>
          <w:u w:val="single"/>
        </w:rPr>
        <w:t>https://doi.org/10.30741/assets.v6i1.831</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01B6793D">
      <w:pPr>
        <w:spacing w:after="16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Yahoo Finance (2026). </w:t>
      </w:r>
      <w:r>
        <w:rPr>
          <w:rFonts w:ascii="Times New Roman" w:hAnsi="Times New Roman" w:eastAsia="Times New Roman" w:cs="Times New Roman"/>
          <w:i/>
          <w:iCs/>
          <w:sz w:val="24"/>
          <w:szCs w:val="24"/>
        </w:rPr>
        <w:t>Marriott International (MAR) Income Statement - Yahoo Finance</w:t>
      </w:r>
      <w:r>
        <w:rPr>
          <w:rFonts w:ascii="Times New Roman" w:hAnsi="Times New Roman" w:eastAsia="Times New Roman" w:cs="Times New Roman"/>
          <w:sz w:val="24"/>
          <w:szCs w:val="24"/>
        </w:rPr>
        <w:t xml:space="preserve">. [online] </w:t>
      </w:r>
      <w:r>
        <w:rPr>
          <w:rFonts w:ascii="Times New Roman" w:hAnsi="Times New Roman" w:eastAsia="Times New Roman" w:cs="Times New Roman"/>
          <w:i/>
          <w:iCs/>
          <w:sz w:val="24"/>
          <w:szCs w:val="24"/>
        </w:rPr>
        <w:t>finance.yahoo.com</w:t>
      </w:r>
      <w:r>
        <w:rPr>
          <w:rFonts w:ascii="Times New Roman" w:hAnsi="Times New Roman" w:eastAsia="Times New Roman" w:cs="Times New Roman"/>
          <w:sz w:val="24"/>
          <w:szCs w:val="24"/>
        </w:rPr>
        <w:t>. Available at:</w:t>
      </w:r>
      <w:r>
        <w:fldChar w:fldCharType="begin"/>
      </w:r>
      <w:r>
        <w:instrText xml:space="preserve"> HYPERLINK "https://finance.yahoo.com/quote/MAR/financials/"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"https://finance.yahoo.com/quote/MAR/financials/" \h </w:instrText>
      </w:r>
      <w:r>
        <w:fldChar w:fldCharType="separate"/>
      </w:r>
      <w:r>
        <w:rPr>
          <w:rFonts w:ascii="Times New Roman" w:hAnsi="Times New Roman" w:eastAsia="Times New Roman" w:cs="Times New Roman"/>
          <w:color w:val="1155CC"/>
          <w:sz w:val="24"/>
          <w:szCs w:val="24"/>
          <w:u w:val="single"/>
        </w:rPr>
        <w:t>https://finance.yahoo.com/quote/MAR/financials/</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1 Aug. 2026].</w:t>
      </w:r>
    </w:p>
    <w:p w14:paraId="3B4063AB">
      <w:pPr>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r>
    </w:p>
    <w:p w14:paraId="0A44301F">
      <w:pPr>
        <w:pStyle w:val="2"/>
      </w:pPr>
      <w:r>
        <w:t>Appendix</w:t>
      </w:r>
    </w:p>
    <w:tbl>
      <w:tblPr>
        <w:tblStyle w:val="9"/>
        <w:tblW w:w="5000" w:type="pct"/>
        <w:tblInd w:w="0" w:type="dxa"/>
        <w:tblLayout w:type="autofit"/>
        <w:tblCellMar>
          <w:top w:w="0" w:type="dxa"/>
          <w:left w:w="108" w:type="dxa"/>
          <w:bottom w:w="0" w:type="dxa"/>
          <w:right w:w="108" w:type="dxa"/>
        </w:tblCellMar>
      </w:tblPr>
      <w:tblGrid>
        <w:gridCol w:w="1993"/>
        <w:gridCol w:w="717"/>
        <w:gridCol w:w="521"/>
        <w:gridCol w:w="639"/>
        <w:gridCol w:w="521"/>
        <w:gridCol w:w="639"/>
        <w:gridCol w:w="534"/>
        <w:gridCol w:w="639"/>
        <w:gridCol w:w="534"/>
        <w:gridCol w:w="639"/>
        <w:gridCol w:w="534"/>
        <w:gridCol w:w="639"/>
        <w:gridCol w:w="696"/>
      </w:tblGrid>
      <w:tr w14:paraId="3B71399A">
        <w:tblPrEx>
          <w:tblCellMar>
            <w:top w:w="0" w:type="dxa"/>
            <w:left w:w="108" w:type="dxa"/>
            <w:bottom w:w="0" w:type="dxa"/>
            <w:right w:w="108" w:type="dxa"/>
          </w:tblCellMar>
        </w:tblPrEx>
        <w:trPr>
          <w:trHeight w:val="564" w:hRule="atLeast"/>
        </w:trPr>
        <w:tc>
          <w:tcPr>
            <w:tcW w:w="5000" w:type="pct"/>
            <w:gridSpan w:val="13"/>
            <w:tcBorders>
              <w:top w:val="nil"/>
              <w:left w:val="single" w:color="auto" w:sz="4" w:space="0"/>
              <w:bottom w:val="nil"/>
              <w:right w:val="nil"/>
            </w:tcBorders>
            <w:shd w:val="clear" w:color="000000" w:fill="FFFFFF"/>
            <w:noWrap/>
            <w:vAlign w:val="center"/>
          </w:tcPr>
          <w:p w14:paraId="167FAF35">
            <w:pPr>
              <w:spacing w:line="240" w:lineRule="auto"/>
              <w:jc w:val="center"/>
              <w:rPr>
                <w:rFonts w:ascii="Times New Roman" w:hAnsi="Times New Roman" w:eastAsia="Times New Roman" w:cs="Times New Roman"/>
                <w:b/>
                <w:bCs/>
                <w:sz w:val="28"/>
                <w:szCs w:val="28"/>
                <w:lang w:val="en-IN"/>
              </w:rPr>
            </w:pPr>
            <w:r>
              <w:rPr>
                <w:rFonts w:ascii="Times New Roman" w:hAnsi="Times New Roman" w:eastAsia="Times New Roman" w:cs="Times New Roman"/>
                <w:b/>
                <w:bCs/>
                <w:sz w:val="28"/>
                <w:szCs w:val="28"/>
                <w:lang w:val="en-IN"/>
              </w:rPr>
              <w:t>Ratio Analysis for Marriott International Inc</w:t>
            </w:r>
          </w:p>
        </w:tc>
      </w:tr>
      <w:tr w14:paraId="780D724B">
        <w:tblPrEx>
          <w:tblCellMar>
            <w:top w:w="0" w:type="dxa"/>
            <w:left w:w="108" w:type="dxa"/>
            <w:bottom w:w="0" w:type="dxa"/>
            <w:right w:w="108" w:type="dxa"/>
          </w:tblCellMar>
        </w:tblPrEx>
        <w:trPr>
          <w:trHeight w:val="624" w:hRule="atLeast"/>
        </w:trPr>
        <w:tc>
          <w:tcPr>
            <w:tcW w:w="1073" w:type="pct"/>
            <w:tcBorders>
              <w:top w:val="single" w:color="FFFFFF" w:sz="4" w:space="0"/>
              <w:left w:val="single" w:color="FFFFFF" w:sz="4" w:space="0"/>
              <w:bottom w:val="single" w:color="FFFFFF" w:sz="4" w:space="0"/>
              <w:right w:val="single" w:color="FFFFFF" w:sz="4" w:space="0"/>
            </w:tcBorders>
            <w:shd w:val="clear" w:color="660000" w:fill="004B00"/>
            <w:noWrap/>
            <w:vAlign w:val="center"/>
          </w:tcPr>
          <w:p w14:paraId="01BBAF60">
            <w:pPr>
              <w:spacing w:line="240" w:lineRule="auto"/>
              <w:jc w:val="center"/>
              <w:rPr>
                <w:rFonts w:ascii="Times New Roman" w:hAnsi="Times New Roman" w:eastAsia="Times New Roman" w:cs="Times New Roman"/>
                <w:b/>
                <w:bCs/>
                <w:color w:val="EAEAEA"/>
                <w:sz w:val="16"/>
                <w:szCs w:val="16"/>
                <w:lang w:val="en-IN"/>
              </w:rPr>
            </w:pPr>
            <w:r>
              <w:rPr>
                <w:rFonts w:ascii="Times New Roman" w:hAnsi="Times New Roman" w:eastAsia="Times New Roman" w:cs="Times New Roman"/>
                <w:b/>
                <w:bCs/>
                <w:color w:val="EAEAEA"/>
                <w:sz w:val="16"/>
                <w:szCs w:val="16"/>
                <w:lang w:val="en-IN"/>
              </w:rPr>
              <w:t>Particulars</w:t>
            </w:r>
          </w:p>
        </w:tc>
        <w:tc>
          <w:tcPr>
            <w:tcW w:w="591" w:type="pct"/>
            <w:tcBorders>
              <w:top w:val="single" w:color="FFFFFF" w:sz="4" w:space="0"/>
              <w:left w:val="nil"/>
              <w:bottom w:val="single" w:color="FFFFFF" w:sz="4" w:space="0"/>
              <w:right w:val="single" w:color="FFFFFF" w:sz="4" w:space="0"/>
            </w:tcBorders>
            <w:shd w:val="clear" w:color="660000" w:fill="004B00"/>
            <w:noWrap/>
            <w:vAlign w:val="center"/>
          </w:tcPr>
          <w:p w14:paraId="1843B4F8">
            <w:pPr>
              <w:spacing w:line="240" w:lineRule="auto"/>
              <w:jc w:val="center"/>
              <w:rPr>
                <w:rFonts w:ascii="Times New Roman" w:hAnsi="Times New Roman" w:eastAsia="Times New Roman" w:cs="Times New Roman"/>
                <w:b/>
                <w:bCs/>
                <w:color w:val="EAEAEA"/>
                <w:sz w:val="16"/>
                <w:szCs w:val="16"/>
                <w:lang w:val="en-IN"/>
              </w:rPr>
            </w:pPr>
            <w:r>
              <w:rPr>
                <w:rFonts w:ascii="Times New Roman" w:hAnsi="Times New Roman" w:eastAsia="Times New Roman" w:cs="Times New Roman"/>
                <w:b/>
                <w:bCs/>
                <w:color w:val="EAEAEA"/>
                <w:sz w:val="16"/>
                <w:szCs w:val="16"/>
                <w:lang w:val="en-IN"/>
              </w:rPr>
              <w:t>Formula</w:t>
            </w:r>
          </w:p>
        </w:tc>
        <w:tc>
          <w:tcPr>
            <w:tcW w:w="571" w:type="pct"/>
            <w:gridSpan w:val="2"/>
            <w:tcBorders>
              <w:top w:val="single" w:color="FFFFFF" w:sz="4" w:space="0"/>
              <w:left w:val="nil"/>
              <w:bottom w:val="single" w:color="FFFFFF" w:sz="4" w:space="0"/>
              <w:right w:val="single" w:color="FFFFFF" w:sz="4" w:space="0"/>
            </w:tcBorders>
            <w:shd w:val="clear" w:color="660000" w:fill="004B00"/>
            <w:noWrap/>
            <w:vAlign w:val="center"/>
          </w:tcPr>
          <w:p w14:paraId="78823F52">
            <w:pPr>
              <w:spacing w:line="240" w:lineRule="auto"/>
              <w:jc w:val="center"/>
              <w:rPr>
                <w:rFonts w:ascii="Times New Roman" w:hAnsi="Times New Roman" w:eastAsia="Times New Roman" w:cs="Times New Roman"/>
                <w:b/>
                <w:bCs/>
                <w:color w:val="EAEAEA"/>
                <w:sz w:val="16"/>
                <w:szCs w:val="16"/>
                <w:lang w:val="en-IN"/>
              </w:rPr>
            </w:pPr>
            <w:r>
              <w:rPr>
                <w:rFonts w:ascii="Times New Roman" w:hAnsi="Times New Roman" w:eastAsia="Times New Roman" w:cs="Times New Roman"/>
                <w:b/>
                <w:bCs/>
                <w:color w:val="EAEAEA"/>
                <w:sz w:val="16"/>
                <w:szCs w:val="16"/>
                <w:lang w:val="en-IN"/>
              </w:rPr>
              <w:t>2021</w:t>
            </w:r>
          </w:p>
        </w:tc>
        <w:tc>
          <w:tcPr>
            <w:tcW w:w="665" w:type="pct"/>
            <w:gridSpan w:val="2"/>
            <w:tcBorders>
              <w:top w:val="single" w:color="FFFFFF" w:sz="4" w:space="0"/>
              <w:left w:val="nil"/>
              <w:bottom w:val="single" w:color="FFFFFF" w:sz="4" w:space="0"/>
              <w:right w:val="single" w:color="FFFFFF" w:sz="4" w:space="0"/>
            </w:tcBorders>
            <w:shd w:val="clear" w:color="660000" w:fill="004B00"/>
            <w:noWrap/>
            <w:vAlign w:val="center"/>
          </w:tcPr>
          <w:p w14:paraId="37C42A98">
            <w:pPr>
              <w:spacing w:line="240" w:lineRule="auto"/>
              <w:jc w:val="center"/>
              <w:rPr>
                <w:rFonts w:ascii="Times New Roman" w:hAnsi="Times New Roman" w:eastAsia="Times New Roman" w:cs="Times New Roman"/>
                <w:b/>
                <w:bCs/>
                <w:color w:val="EAEAEA"/>
                <w:sz w:val="16"/>
                <w:szCs w:val="16"/>
                <w:lang w:val="en-IN"/>
              </w:rPr>
            </w:pPr>
            <w:r>
              <w:rPr>
                <w:rFonts w:ascii="Times New Roman" w:hAnsi="Times New Roman" w:eastAsia="Times New Roman" w:cs="Times New Roman"/>
                <w:b/>
                <w:bCs/>
                <w:color w:val="EAEAEA"/>
                <w:sz w:val="16"/>
                <w:szCs w:val="16"/>
                <w:lang w:val="en-IN"/>
              </w:rPr>
              <w:t>2022</w:t>
            </w:r>
          </w:p>
        </w:tc>
        <w:tc>
          <w:tcPr>
            <w:tcW w:w="571" w:type="pct"/>
            <w:gridSpan w:val="2"/>
            <w:tcBorders>
              <w:top w:val="single" w:color="FFFFFF" w:sz="4" w:space="0"/>
              <w:left w:val="nil"/>
              <w:bottom w:val="single" w:color="FFFFFF" w:sz="4" w:space="0"/>
              <w:right w:val="single" w:color="FFFFFF" w:sz="4" w:space="0"/>
            </w:tcBorders>
            <w:shd w:val="clear" w:color="660000" w:fill="004B00"/>
            <w:noWrap/>
            <w:vAlign w:val="center"/>
          </w:tcPr>
          <w:p w14:paraId="7BA2E228">
            <w:pPr>
              <w:spacing w:line="240" w:lineRule="auto"/>
              <w:jc w:val="center"/>
              <w:rPr>
                <w:rFonts w:ascii="Times New Roman" w:hAnsi="Times New Roman" w:eastAsia="Times New Roman" w:cs="Times New Roman"/>
                <w:b/>
                <w:bCs/>
                <w:color w:val="EAEAEA"/>
                <w:sz w:val="16"/>
                <w:szCs w:val="16"/>
                <w:lang w:val="en-IN"/>
              </w:rPr>
            </w:pPr>
            <w:r>
              <w:rPr>
                <w:rFonts w:ascii="Times New Roman" w:hAnsi="Times New Roman" w:eastAsia="Times New Roman" w:cs="Times New Roman"/>
                <w:b/>
                <w:bCs/>
                <w:color w:val="EAEAEA"/>
                <w:sz w:val="16"/>
                <w:szCs w:val="16"/>
                <w:lang w:val="en-IN"/>
              </w:rPr>
              <w:t>2023</w:t>
            </w:r>
          </w:p>
        </w:tc>
        <w:tc>
          <w:tcPr>
            <w:tcW w:w="629" w:type="pct"/>
            <w:gridSpan w:val="2"/>
            <w:tcBorders>
              <w:top w:val="single" w:color="FFFFFF" w:sz="4" w:space="0"/>
              <w:left w:val="nil"/>
              <w:bottom w:val="single" w:color="FFFFFF" w:sz="4" w:space="0"/>
              <w:right w:val="single" w:color="FFFFFF" w:sz="4" w:space="0"/>
            </w:tcBorders>
            <w:shd w:val="clear" w:color="660000" w:fill="004B00"/>
            <w:noWrap/>
            <w:vAlign w:val="center"/>
          </w:tcPr>
          <w:p w14:paraId="32CB09AD">
            <w:pPr>
              <w:spacing w:line="240" w:lineRule="auto"/>
              <w:jc w:val="center"/>
              <w:rPr>
                <w:rFonts w:ascii="Times New Roman" w:hAnsi="Times New Roman" w:eastAsia="Times New Roman" w:cs="Times New Roman"/>
                <w:b/>
                <w:bCs/>
                <w:color w:val="EAEAEA"/>
                <w:sz w:val="16"/>
                <w:szCs w:val="16"/>
                <w:lang w:val="en-IN"/>
              </w:rPr>
            </w:pPr>
            <w:r>
              <w:rPr>
                <w:rFonts w:ascii="Times New Roman" w:hAnsi="Times New Roman" w:eastAsia="Times New Roman" w:cs="Times New Roman"/>
                <w:b/>
                <w:bCs/>
                <w:color w:val="EAEAEA"/>
                <w:sz w:val="16"/>
                <w:szCs w:val="16"/>
                <w:lang w:val="en-IN"/>
              </w:rPr>
              <w:t>2024</w:t>
            </w:r>
          </w:p>
        </w:tc>
        <w:tc>
          <w:tcPr>
            <w:tcW w:w="592" w:type="pct"/>
            <w:gridSpan w:val="2"/>
            <w:tcBorders>
              <w:top w:val="single" w:color="FFFFFF" w:sz="4" w:space="0"/>
              <w:left w:val="nil"/>
              <w:bottom w:val="single" w:color="FFFFFF" w:sz="4" w:space="0"/>
              <w:right w:val="single" w:color="FFFFFF" w:sz="4" w:space="0"/>
            </w:tcBorders>
            <w:shd w:val="clear" w:color="660000" w:fill="004B00"/>
            <w:noWrap/>
            <w:vAlign w:val="center"/>
          </w:tcPr>
          <w:p w14:paraId="323EF01D">
            <w:pPr>
              <w:spacing w:line="240" w:lineRule="auto"/>
              <w:jc w:val="center"/>
              <w:rPr>
                <w:rFonts w:ascii="Times New Roman" w:hAnsi="Times New Roman" w:eastAsia="Times New Roman" w:cs="Times New Roman"/>
                <w:b/>
                <w:bCs/>
                <w:color w:val="EAEAEA"/>
                <w:sz w:val="16"/>
                <w:szCs w:val="16"/>
                <w:lang w:val="en-IN"/>
              </w:rPr>
            </w:pPr>
            <w:r>
              <w:rPr>
                <w:rFonts w:ascii="Times New Roman" w:hAnsi="Times New Roman" w:eastAsia="Times New Roman" w:cs="Times New Roman"/>
                <w:b/>
                <w:bCs/>
                <w:color w:val="EAEAEA"/>
                <w:sz w:val="16"/>
                <w:szCs w:val="16"/>
                <w:lang w:val="en-IN"/>
              </w:rPr>
              <w:t>2025</w:t>
            </w:r>
          </w:p>
        </w:tc>
        <w:tc>
          <w:tcPr>
            <w:tcW w:w="308" w:type="pct"/>
            <w:tcBorders>
              <w:top w:val="single" w:color="auto" w:sz="4" w:space="0"/>
              <w:left w:val="nil"/>
              <w:bottom w:val="single" w:color="auto" w:sz="4" w:space="0"/>
              <w:right w:val="single" w:color="auto" w:sz="4" w:space="0"/>
            </w:tcBorders>
            <w:shd w:val="clear" w:color="000000" w:fill="FFFF00"/>
            <w:vAlign w:val="center"/>
          </w:tcPr>
          <w:p w14:paraId="338E6034">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Industry Standard</w:t>
            </w:r>
          </w:p>
        </w:tc>
      </w:tr>
      <w:tr w14:paraId="21877F6E">
        <w:tblPrEx>
          <w:tblCellMar>
            <w:top w:w="0" w:type="dxa"/>
            <w:left w:w="108" w:type="dxa"/>
            <w:bottom w:w="0" w:type="dxa"/>
            <w:right w:w="108" w:type="dxa"/>
          </w:tblCellMar>
        </w:tblPrEx>
        <w:trPr>
          <w:trHeight w:val="348"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36E6AB6C">
            <w:pPr>
              <w:spacing w:line="240" w:lineRule="auto"/>
              <w:rPr>
                <w:rFonts w:ascii="Times New Roman" w:hAnsi="Times New Roman" w:eastAsia="Times New Roman" w:cs="Times New Roman"/>
                <w:b/>
                <w:bCs/>
                <w:i/>
                <w:iCs/>
                <w:sz w:val="16"/>
                <w:szCs w:val="16"/>
                <w:lang w:val="en-IN"/>
              </w:rPr>
            </w:pPr>
            <w:r>
              <w:rPr>
                <w:rFonts w:ascii="Times New Roman" w:hAnsi="Times New Roman" w:eastAsia="Times New Roman" w:cs="Times New Roman"/>
                <w:b/>
                <w:bCs/>
                <w:i/>
                <w:iCs/>
                <w:sz w:val="16"/>
                <w:szCs w:val="16"/>
                <w:lang w:val="en-IN"/>
              </w:rPr>
              <w:t>Profitability Ratios</w:t>
            </w:r>
          </w:p>
        </w:tc>
        <w:tc>
          <w:tcPr>
            <w:tcW w:w="591" w:type="pct"/>
            <w:tcBorders>
              <w:top w:val="nil"/>
              <w:left w:val="nil"/>
              <w:bottom w:val="single" w:color="auto" w:sz="4" w:space="0"/>
              <w:right w:val="single" w:color="auto" w:sz="4" w:space="0"/>
            </w:tcBorders>
            <w:shd w:val="clear" w:color="000000" w:fill="FFFFFF"/>
            <w:noWrap/>
            <w:vAlign w:val="center"/>
          </w:tcPr>
          <w:p w14:paraId="4A4B1198">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3CEED95F">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3215F398">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77" w:type="pct"/>
            <w:tcBorders>
              <w:top w:val="nil"/>
              <w:left w:val="nil"/>
              <w:bottom w:val="single" w:color="auto" w:sz="4" w:space="0"/>
              <w:right w:val="single" w:color="auto" w:sz="4" w:space="0"/>
            </w:tcBorders>
            <w:shd w:val="clear" w:color="000000" w:fill="FFFFFF"/>
            <w:noWrap/>
            <w:vAlign w:val="center"/>
          </w:tcPr>
          <w:p w14:paraId="0F2EDF25">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14334884">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0E719AAA">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374733C4">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41" w:type="pct"/>
            <w:tcBorders>
              <w:top w:val="nil"/>
              <w:left w:val="nil"/>
              <w:bottom w:val="single" w:color="auto" w:sz="4" w:space="0"/>
              <w:right w:val="single" w:color="auto" w:sz="4" w:space="0"/>
            </w:tcBorders>
            <w:shd w:val="clear" w:color="000000" w:fill="FFFFFF"/>
            <w:noWrap/>
            <w:vAlign w:val="center"/>
          </w:tcPr>
          <w:p w14:paraId="4199AF09">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3FDCB506">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4" w:type="pct"/>
            <w:tcBorders>
              <w:top w:val="nil"/>
              <w:left w:val="nil"/>
              <w:bottom w:val="single" w:color="auto" w:sz="4" w:space="0"/>
              <w:right w:val="single" w:color="auto" w:sz="4" w:space="0"/>
            </w:tcBorders>
            <w:shd w:val="clear" w:color="000000" w:fill="FFFFFF"/>
            <w:noWrap/>
            <w:vAlign w:val="center"/>
          </w:tcPr>
          <w:p w14:paraId="11198F55">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1C9C75CA">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8" w:type="pct"/>
            <w:tcBorders>
              <w:top w:val="nil"/>
              <w:left w:val="nil"/>
              <w:bottom w:val="single" w:color="auto" w:sz="4" w:space="0"/>
              <w:right w:val="single" w:color="auto" w:sz="4" w:space="0"/>
            </w:tcBorders>
            <w:shd w:val="clear" w:color="000000" w:fill="FFFFFF"/>
            <w:noWrap/>
            <w:vAlign w:val="center"/>
          </w:tcPr>
          <w:p w14:paraId="395F8BEB">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5F277742">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66305642">
            <w:pPr>
              <w:spacing w:line="240" w:lineRule="auto"/>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Net Profit Margin</w:t>
            </w:r>
          </w:p>
        </w:tc>
        <w:tc>
          <w:tcPr>
            <w:tcW w:w="591" w:type="pct"/>
            <w:vMerge w:val="restart"/>
            <w:tcBorders>
              <w:top w:val="nil"/>
              <w:left w:val="single" w:color="auto" w:sz="4" w:space="0"/>
              <w:bottom w:val="single" w:color="auto" w:sz="4" w:space="0"/>
              <w:right w:val="single" w:color="auto" w:sz="4" w:space="0"/>
            </w:tcBorders>
            <w:shd w:val="clear" w:color="FCE5CD" w:fill="FFFFFF"/>
            <w:vAlign w:val="center"/>
          </w:tcPr>
          <w:p w14:paraId="6769FDC3">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Net Profit / Total Revenue * 100</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68390F3C">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$1099 / $13857 * 100 = 7.93%</w:t>
            </w:r>
          </w:p>
        </w:tc>
        <w:tc>
          <w:tcPr>
            <w:tcW w:w="288" w:type="pct"/>
            <w:tcBorders>
              <w:top w:val="nil"/>
              <w:left w:val="nil"/>
              <w:bottom w:val="single" w:color="auto" w:sz="4" w:space="0"/>
              <w:right w:val="single" w:color="auto" w:sz="4" w:space="0"/>
            </w:tcBorders>
            <w:shd w:val="clear" w:color="FFFF00" w:fill="FFFFFF"/>
            <w:noWrap/>
            <w:vAlign w:val="center"/>
          </w:tcPr>
          <w:p w14:paraId="700A5220">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7.93%</w:t>
            </w:r>
          </w:p>
        </w:tc>
        <w:tc>
          <w:tcPr>
            <w:tcW w:w="377" w:type="pct"/>
            <w:vMerge w:val="restart"/>
            <w:tcBorders>
              <w:top w:val="nil"/>
              <w:left w:val="single" w:color="auto" w:sz="4" w:space="0"/>
              <w:bottom w:val="single" w:color="auto" w:sz="4" w:space="0"/>
              <w:right w:val="single" w:color="auto" w:sz="4" w:space="0"/>
            </w:tcBorders>
            <w:shd w:val="clear" w:color="F3F3F3" w:fill="FEF2CD"/>
            <w:vAlign w:val="center"/>
          </w:tcPr>
          <w:p w14:paraId="56FD93F4">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$2358 / $20773 * 100 = 11.35%</w:t>
            </w:r>
          </w:p>
        </w:tc>
        <w:tc>
          <w:tcPr>
            <w:tcW w:w="288" w:type="pct"/>
            <w:tcBorders>
              <w:top w:val="nil"/>
              <w:left w:val="nil"/>
              <w:bottom w:val="single" w:color="auto" w:sz="4" w:space="0"/>
              <w:right w:val="single" w:color="auto" w:sz="4" w:space="0"/>
            </w:tcBorders>
            <w:shd w:val="clear" w:color="FFFF00" w:fill="FFFFFF"/>
            <w:noWrap/>
            <w:vAlign w:val="center"/>
          </w:tcPr>
          <w:p w14:paraId="5921DB12">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11.35%</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02DE1CCE">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$3083 / $23713 * 100 = 13%</w:t>
            </w:r>
          </w:p>
        </w:tc>
        <w:tc>
          <w:tcPr>
            <w:tcW w:w="288" w:type="pct"/>
            <w:tcBorders>
              <w:top w:val="nil"/>
              <w:left w:val="nil"/>
              <w:bottom w:val="single" w:color="auto" w:sz="4" w:space="0"/>
              <w:right w:val="single" w:color="auto" w:sz="4" w:space="0"/>
            </w:tcBorders>
            <w:shd w:val="clear" w:color="FFFF00" w:fill="FFFFFF"/>
            <w:noWrap/>
            <w:vAlign w:val="center"/>
          </w:tcPr>
          <w:p w14:paraId="1E03C775">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13.00%</w:t>
            </w:r>
          </w:p>
        </w:tc>
        <w:tc>
          <w:tcPr>
            <w:tcW w:w="341" w:type="pct"/>
            <w:vMerge w:val="restart"/>
            <w:tcBorders>
              <w:top w:val="nil"/>
              <w:left w:val="single" w:color="auto" w:sz="4" w:space="0"/>
              <w:bottom w:val="single" w:color="auto" w:sz="4" w:space="0"/>
              <w:right w:val="single" w:color="auto" w:sz="4" w:space="0"/>
            </w:tcBorders>
            <w:shd w:val="clear" w:color="F3F3F3" w:fill="FEF2CD"/>
            <w:vAlign w:val="center"/>
          </w:tcPr>
          <w:p w14:paraId="120784F6">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$2375 / $25100 * 100 = 9.46%</w:t>
            </w:r>
          </w:p>
        </w:tc>
        <w:tc>
          <w:tcPr>
            <w:tcW w:w="288" w:type="pct"/>
            <w:tcBorders>
              <w:top w:val="nil"/>
              <w:left w:val="nil"/>
              <w:bottom w:val="single" w:color="auto" w:sz="4" w:space="0"/>
              <w:right w:val="single" w:color="auto" w:sz="4" w:space="0"/>
            </w:tcBorders>
            <w:shd w:val="clear" w:color="FFFF00" w:fill="FFFFFF"/>
            <w:noWrap/>
            <w:vAlign w:val="center"/>
          </w:tcPr>
          <w:p w14:paraId="4584975A">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9.46%</w:t>
            </w:r>
          </w:p>
        </w:tc>
        <w:tc>
          <w:tcPr>
            <w:tcW w:w="304" w:type="pct"/>
            <w:vMerge w:val="restart"/>
            <w:tcBorders>
              <w:top w:val="nil"/>
              <w:left w:val="single" w:color="auto" w:sz="4" w:space="0"/>
              <w:bottom w:val="single" w:color="auto" w:sz="4" w:space="0"/>
              <w:right w:val="single" w:color="auto" w:sz="4" w:space="0"/>
            </w:tcBorders>
            <w:shd w:val="clear" w:color="F3F3F3" w:fill="FEF2CD"/>
            <w:vAlign w:val="center"/>
          </w:tcPr>
          <w:p w14:paraId="0AAF2433">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$2601 / $26186 * 100 = 9.93%</w:t>
            </w:r>
          </w:p>
        </w:tc>
        <w:tc>
          <w:tcPr>
            <w:tcW w:w="288" w:type="pct"/>
            <w:tcBorders>
              <w:top w:val="nil"/>
              <w:left w:val="nil"/>
              <w:bottom w:val="single" w:color="auto" w:sz="4" w:space="0"/>
              <w:right w:val="single" w:color="auto" w:sz="4" w:space="0"/>
            </w:tcBorders>
            <w:shd w:val="clear" w:color="FFFF00" w:fill="FFFFFF"/>
            <w:noWrap/>
            <w:vAlign w:val="center"/>
          </w:tcPr>
          <w:p w14:paraId="7C0C7D75">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9.93%</w:t>
            </w:r>
          </w:p>
        </w:tc>
        <w:tc>
          <w:tcPr>
            <w:tcW w:w="308" w:type="pct"/>
            <w:tcBorders>
              <w:top w:val="nil"/>
              <w:left w:val="nil"/>
              <w:bottom w:val="single" w:color="auto" w:sz="4" w:space="0"/>
              <w:right w:val="single" w:color="auto" w:sz="4" w:space="0"/>
            </w:tcBorders>
            <w:shd w:val="clear" w:color="000000" w:fill="FFFF00"/>
            <w:noWrap/>
            <w:vAlign w:val="center"/>
          </w:tcPr>
          <w:p w14:paraId="0635F5E8">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8.50%</w:t>
            </w:r>
          </w:p>
        </w:tc>
      </w:tr>
      <w:tr w14:paraId="1C0347B0">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0816FEBD">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Net Profit</w:t>
            </w:r>
          </w:p>
        </w:tc>
        <w:tc>
          <w:tcPr>
            <w:tcW w:w="591" w:type="pct"/>
            <w:vMerge w:val="continue"/>
            <w:tcBorders>
              <w:top w:val="nil"/>
              <w:left w:val="single" w:color="auto" w:sz="4" w:space="0"/>
              <w:bottom w:val="single" w:color="auto" w:sz="4" w:space="0"/>
              <w:right w:val="single" w:color="auto" w:sz="4" w:space="0"/>
            </w:tcBorders>
            <w:vAlign w:val="center"/>
          </w:tcPr>
          <w:p w14:paraId="75375161">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6639E355">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55D31FB3">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$1,099.00</w:t>
            </w:r>
          </w:p>
        </w:tc>
        <w:tc>
          <w:tcPr>
            <w:tcW w:w="377" w:type="pct"/>
            <w:vMerge w:val="continue"/>
            <w:tcBorders>
              <w:top w:val="nil"/>
              <w:left w:val="single" w:color="auto" w:sz="4" w:space="0"/>
              <w:bottom w:val="single" w:color="auto" w:sz="4" w:space="0"/>
              <w:right w:val="single" w:color="auto" w:sz="4" w:space="0"/>
            </w:tcBorders>
            <w:vAlign w:val="center"/>
          </w:tcPr>
          <w:p w14:paraId="1F73FE7B">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3FF6701A">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$2,358.00</w:t>
            </w:r>
          </w:p>
        </w:tc>
        <w:tc>
          <w:tcPr>
            <w:tcW w:w="283" w:type="pct"/>
            <w:vMerge w:val="continue"/>
            <w:tcBorders>
              <w:top w:val="nil"/>
              <w:left w:val="single" w:color="auto" w:sz="4" w:space="0"/>
              <w:bottom w:val="single" w:color="auto" w:sz="4" w:space="0"/>
              <w:right w:val="single" w:color="auto" w:sz="4" w:space="0"/>
            </w:tcBorders>
            <w:vAlign w:val="center"/>
          </w:tcPr>
          <w:p w14:paraId="6C3770DB">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25F1727A">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$3,083.00</w:t>
            </w:r>
          </w:p>
        </w:tc>
        <w:tc>
          <w:tcPr>
            <w:tcW w:w="341" w:type="pct"/>
            <w:vMerge w:val="continue"/>
            <w:tcBorders>
              <w:top w:val="nil"/>
              <w:left w:val="single" w:color="auto" w:sz="4" w:space="0"/>
              <w:bottom w:val="single" w:color="auto" w:sz="4" w:space="0"/>
              <w:right w:val="single" w:color="auto" w:sz="4" w:space="0"/>
            </w:tcBorders>
            <w:vAlign w:val="center"/>
          </w:tcPr>
          <w:p w14:paraId="3AC181F8">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2CA3E428">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$2,375.00</w:t>
            </w:r>
          </w:p>
        </w:tc>
        <w:tc>
          <w:tcPr>
            <w:tcW w:w="304" w:type="pct"/>
            <w:vMerge w:val="continue"/>
            <w:tcBorders>
              <w:top w:val="nil"/>
              <w:left w:val="single" w:color="auto" w:sz="4" w:space="0"/>
              <w:bottom w:val="single" w:color="auto" w:sz="4" w:space="0"/>
              <w:right w:val="single" w:color="auto" w:sz="4" w:space="0"/>
            </w:tcBorders>
            <w:vAlign w:val="center"/>
          </w:tcPr>
          <w:p w14:paraId="26749CF0">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62B564D3">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$2,601.00</w:t>
            </w:r>
          </w:p>
        </w:tc>
        <w:tc>
          <w:tcPr>
            <w:tcW w:w="308" w:type="pct"/>
            <w:tcBorders>
              <w:top w:val="nil"/>
              <w:left w:val="nil"/>
              <w:bottom w:val="single" w:color="auto" w:sz="4" w:space="0"/>
              <w:right w:val="single" w:color="auto" w:sz="4" w:space="0"/>
            </w:tcBorders>
            <w:shd w:val="clear" w:color="000000" w:fill="FFFFFF"/>
            <w:noWrap/>
            <w:vAlign w:val="center"/>
          </w:tcPr>
          <w:p w14:paraId="63E9D0F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0EF71EF4">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44E1F33E">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Total Revenue</w:t>
            </w:r>
          </w:p>
        </w:tc>
        <w:tc>
          <w:tcPr>
            <w:tcW w:w="591" w:type="pct"/>
            <w:vMerge w:val="continue"/>
            <w:tcBorders>
              <w:top w:val="nil"/>
              <w:left w:val="single" w:color="auto" w:sz="4" w:space="0"/>
              <w:bottom w:val="single" w:color="auto" w:sz="4" w:space="0"/>
              <w:right w:val="single" w:color="auto" w:sz="4" w:space="0"/>
            </w:tcBorders>
            <w:vAlign w:val="center"/>
          </w:tcPr>
          <w:p w14:paraId="2B3D763B">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6FED6DB4">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02967C0B">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$13,857.00</w:t>
            </w:r>
          </w:p>
        </w:tc>
        <w:tc>
          <w:tcPr>
            <w:tcW w:w="377" w:type="pct"/>
            <w:vMerge w:val="continue"/>
            <w:tcBorders>
              <w:top w:val="nil"/>
              <w:left w:val="single" w:color="auto" w:sz="4" w:space="0"/>
              <w:bottom w:val="single" w:color="auto" w:sz="4" w:space="0"/>
              <w:right w:val="single" w:color="auto" w:sz="4" w:space="0"/>
            </w:tcBorders>
            <w:vAlign w:val="center"/>
          </w:tcPr>
          <w:p w14:paraId="622169F7">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36EB1CDF">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$20,773.00</w:t>
            </w:r>
          </w:p>
        </w:tc>
        <w:tc>
          <w:tcPr>
            <w:tcW w:w="283" w:type="pct"/>
            <w:vMerge w:val="continue"/>
            <w:tcBorders>
              <w:top w:val="nil"/>
              <w:left w:val="single" w:color="auto" w:sz="4" w:space="0"/>
              <w:bottom w:val="single" w:color="auto" w:sz="4" w:space="0"/>
              <w:right w:val="single" w:color="auto" w:sz="4" w:space="0"/>
            </w:tcBorders>
            <w:vAlign w:val="center"/>
          </w:tcPr>
          <w:p w14:paraId="74BF7651">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02B036C">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$23,713.00</w:t>
            </w:r>
          </w:p>
        </w:tc>
        <w:tc>
          <w:tcPr>
            <w:tcW w:w="341" w:type="pct"/>
            <w:vMerge w:val="continue"/>
            <w:tcBorders>
              <w:top w:val="nil"/>
              <w:left w:val="single" w:color="auto" w:sz="4" w:space="0"/>
              <w:bottom w:val="single" w:color="auto" w:sz="4" w:space="0"/>
              <w:right w:val="single" w:color="auto" w:sz="4" w:space="0"/>
            </w:tcBorders>
            <w:vAlign w:val="center"/>
          </w:tcPr>
          <w:p w14:paraId="3D2F4C22">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A887E9B">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$25,100.00</w:t>
            </w:r>
          </w:p>
        </w:tc>
        <w:tc>
          <w:tcPr>
            <w:tcW w:w="304" w:type="pct"/>
            <w:vMerge w:val="continue"/>
            <w:tcBorders>
              <w:top w:val="nil"/>
              <w:left w:val="single" w:color="auto" w:sz="4" w:space="0"/>
              <w:bottom w:val="single" w:color="auto" w:sz="4" w:space="0"/>
              <w:right w:val="single" w:color="auto" w:sz="4" w:space="0"/>
            </w:tcBorders>
            <w:vAlign w:val="center"/>
          </w:tcPr>
          <w:p w14:paraId="416DDA5F">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2E5F5517">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$26,186.00</w:t>
            </w:r>
          </w:p>
        </w:tc>
        <w:tc>
          <w:tcPr>
            <w:tcW w:w="308" w:type="pct"/>
            <w:tcBorders>
              <w:top w:val="nil"/>
              <w:left w:val="nil"/>
              <w:bottom w:val="single" w:color="auto" w:sz="4" w:space="0"/>
              <w:right w:val="single" w:color="auto" w:sz="4" w:space="0"/>
            </w:tcBorders>
            <w:shd w:val="clear" w:color="000000" w:fill="FFFFFF"/>
            <w:noWrap/>
            <w:vAlign w:val="center"/>
          </w:tcPr>
          <w:p w14:paraId="1A502062">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1EE7FE02">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396B37D4">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591" w:type="pct"/>
            <w:tcBorders>
              <w:top w:val="nil"/>
              <w:left w:val="nil"/>
              <w:bottom w:val="single" w:color="auto" w:sz="4" w:space="0"/>
              <w:right w:val="single" w:color="auto" w:sz="4" w:space="0"/>
            </w:tcBorders>
            <w:shd w:val="clear" w:color="000000" w:fill="FFFFFF"/>
            <w:noWrap/>
            <w:vAlign w:val="center"/>
          </w:tcPr>
          <w:p w14:paraId="61499AE7">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5FC8766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2873D34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77" w:type="pct"/>
            <w:tcBorders>
              <w:top w:val="nil"/>
              <w:left w:val="nil"/>
              <w:bottom w:val="single" w:color="auto" w:sz="4" w:space="0"/>
              <w:right w:val="single" w:color="auto" w:sz="4" w:space="0"/>
            </w:tcBorders>
            <w:shd w:val="clear" w:color="000000" w:fill="FFFFFF"/>
            <w:noWrap/>
            <w:vAlign w:val="center"/>
          </w:tcPr>
          <w:p w14:paraId="7E7DB7B6">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37FDCEA8">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1EEDE185">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26F160A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41" w:type="pct"/>
            <w:tcBorders>
              <w:top w:val="nil"/>
              <w:left w:val="nil"/>
              <w:bottom w:val="single" w:color="auto" w:sz="4" w:space="0"/>
              <w:right w:val="single" w:color="auto" w:sz="4" w:space="0"/>
            </w:tcBorders>
            <w:shd w:val="clear" w:color="000000" w:fill="FFFFFF"/>
            <w:noWrap/>
            <w:vAlign w:val="center"/>
          </w:tcPr>
          <w:p w14:paraId="15164030">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11A93088">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4" w:type="pct"/>
            <w:tcBorders>
              <w:top w:val="nil"/>
              <w:left w:val="nil"/>
              <w:bottom w:val="single" w:color="auto" w:sz="4" w:space="0"/>
              <w:right w:val="single" w:color="auto" w:sz="4" w:space="0"/>
            </w:tcBorders>
            <w:shd w:val="clear" w:color="000000" w:fill="FFFFFF"/>
            <w:noWrap/>
            <w:vAlign w:val="center"/>
          </w:tcPr>
          <w:p w14:paraId="22B782A3">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751B67A6">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8" w:type="pct"/>
            <w:tcBorders>
              <w:top w:val="nil"/>
              <w:left w:val="nil"/>
              <w:bottom w:val="single" w:color="auto" w:sz="4" w:space="0"/>
              <w:right w:val="single" w:color="auto" w:sz="4" w:space="0"/>
            </w:tcBorders>
            <w:shd w:val="clear" w:color="000000" w:fill="FFFFFF"/>
            <w:noWrap/>
            <w:vAlign w:val="center"/>
          </w:tcPr>
          <w:p w14:paraId="3764539A">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1E4D794A">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45085C02">
            <w:pPr>
              <w:spacing w:line="240" w:lineRule="auto"/>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Operating Profit Margin</w:t>
            </w:r>
          </w:p>
        </w:tc>
        <w:tc>
          <w:tcPr>
            <w:tcW w:w="591" w:type="pct"/>
            <w:vMerge w:val="restart"/>
            <w:tcBorders>
              <w:top w:val="nil"/>
              <w:left w:val="single" w:color="auto" w:sz="4" w:space="0"/>
              <w:bottom w:val="single" w:color="auto" w:sz="4" w:space="0"/>
              <w:right w:val="single" w:color="auto" w:sz="4" w:space="0"/>
            </w:tcBorders>
            <w:shd w:val="clear" w:color="FCE5CD" w:fill="FFFFFF"/>
            <w:vAlign w:val="center"/>
          </w:tcPr>
          <w:p w14:paraId="6CBE84ED">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Operating Profit / Total Revenue * 100</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63FE6DE2">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$1750 / $13857 8 100 = 12.63%</w:t>
            </w:r>
          </w:p>
        </w:tc>
        <w:tc>
          <w:tcPr>
            <w:tcW w:w="288" w:type="pct"/>
            <w:tcBorders>
              <w:top w:val="nil"/>
              <w:left w:val="nil"/>
              <w:bottom w:val="single" w:color="auto" w:sz="4" w:space="0"/>
              <w:right w:val="single" w:color="auto" w:sz="4" w:space="0"/>
            </w:tcBorders>
            <w:shd w:val="clear" w:color="FFFF00" w:fill="FFFFFF"/>
            <w:noWrap/>
            <w:vAlign w:val="center"/>
          </w:tcPr>
          <w:p w14:paraId="32CA659F">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12.63%</w:t>
            </w:r>
          </w:p>
        </w:tc>
        <w:tc>
          <w:tcPr>
            <w:tcW w:w="377" w:type="pct"/>
            <w:vMerge w:val="restart"/>
            <w:tcBorders>
              <w:top w:val="nil"/>
              <w:left w:val="single" w:color="auto" w:sz="4" w:space="0"/>
              <w:bottom w:val="single" w:color="auto" w:sz="4" w:space="0"/>
              <w:right w:val="single" w:color="auto" w:sz="4" w:space="0"/>
            </w:tcBorders>
            <w:shd w:val="clear" w:color="F3F3F3" w:fill="FEF2CD"/>
            <w:vAlign w:val="center"/>
          </w:tcPr>
          <w:p w14:paraId="19A95B88">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$3462 / $20773 * 100 = 16.67%</w:t>
            </w:r>
          </w:p>
        </w:tc>
        <w:tc>
          <w:tcPr>
            <w:tcW w:w="288" w:type="pct"/>
            <w:tcBorders>
              <w:top w:val="nil"/>
              <w:left w:val="nil"/>
              <w:bottom w:val="single" w:color="auto" w:sz="4" w:space="0"/>
              <w:right w:val="single" w:color="auto" w:sz="4" w:space="0"/>
            </w:tcBorders>
            <w:shd w:val="clear" w:color="FFFF00" w:fill="FFFFFF"/>
            <w:noWrap/>
            <w:vAlign w:val="center"/>
          </w:tcPr>
          <w:p w14:paraId="112930E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16.67%</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74469045">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$3864 / $23713 * 100 = 16.29%</w:t>
            </w:r>
          </w:p>
        </w:tc>
        <w:tc>
          <w:tcPr>
            <w:tcW w:w="288" w:type="pct"/>
            <w:tcBorders>
              <w:top w:val="nil"/>
              <w:left w:val="nil"/>
              <w:bottom w:val="single" w:color="auto" w:sz="4" w:space="0"/>
              <w:right w:val="single" w:color="auto" w:sz="4" w:space="0"/>
            </w:tcBorders>
            <w:shd w:val="clear" w:color="FFFF00" w:fill="FFFFFF"/>
            <w:noWrap/>
            <w:vAlign w:val="center"/>
          </w:tcPr>
          <w:p w14:paraId="52198C4B">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16.29%</w:t>
            </w:r>
          </w:p>
        </w:tc>
        <w:tc>
          <w:tcPr>
            <w:tcW w:w="341" w:type="pct"/>
            <w:vMerge w:val="restart"/>
            <w:tcBorders>
              <w:top w:val="nil"/>
              <w:left w:val="single" w:color="auto" w:sz="4" w:space="0"/>
              <w:bottom w:val="single" w:color="auto" w:sz="4" w:space="0"/>
              <w:right w:val="single" w:color="auto" w:sz="4" w:space="0"/>
            </w:tcBorders>
            <w:shd w:val="clear" w:color="F3F3F3" w:fill="FEF2CD"/>
            <w:vAlign w:val="center"/>
          </w:tcPr>
          <w:p w14:paraId="3928025F">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$3767 / $25100 * 100 = 15.01%</w:t>
            </w:r>
          </w:p>
        </w:tc>
        <w:tc>
          <w:tcPr>
            <w:tcW w:w="288" w:type="pct"/>
            <w:tcBorders>
              <w:top w:val="nil"/>
              <w:left w:val="nil"/>
              <w:bottom w:val="single" w:color="auto" w:sz="4" w:space="0"/>
              <w:right w:val="single" w:color="auto" w:sz="4" w:space="0"/>
            </w:tcBorders>
            <w:shd w:val="clear" w:color="FFFF00" w:fill="FFFFFF"/>
            <w:noWrap/>
            <w:vAlign w:val="center"/>
          </w:tcPr>
          <w:p w14:paraId="4EEFCA48">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15.01%</w:t>
            </w:r>
          </w:p>
        </w:tc>
        <w:tc>
          <w:tcPr>
            <w:tcW w:w="304" w:type="pct"/>
            <w:vMerge w:val="restart"/>
            <w:tcBorders>
              <w:top w:val="nil"/>
              <w:left w:val="single" w:color="auto" w:sz="4" w:space="0"/>
              <w:bottom w:val="single" w:color="auto" w:sz="4" w:space="0"/>
              <w:right w:val="single" w:color="auto" w:sz="4" w:space="0"/>
            </w:tcBorders>
            <w:shd w:val="clear" w:color="F3F3F3" w:fill="FEF2CD"/>
            <w:vAlign w:val="center"/>
          </w:tcPr>
          <w:p w14:paraId="603008D7">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$4141 / $26186 * 100 = 15.81%</w:t>
            </w:r>
          </w:p>
        </w:tc>
        <w:tc>
          <w:tcPr>
            <w:tcW w:w="288" w:type="pct"/>
            <w:tcBorders>
              <w:top w:val="nil"/>
              <w:left w:val="nil"/>
              <w:bottom w:val="single" w:color="auto" w:sz="4" w:space="0"/>
              <w:right w:val="single" w:color="auto" w:sz="4" w:space="0"/>
            </w:tcBorders>
            <w:shd w:val="clear" w:color="FFFF00" w:fill="FFFFFF"/>
            <w:noWrap/>
            <w:vAlign w:val="center"/>
          </w:tcPr>
          <w:p w14:paraId="2DD01465">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15.81%</w:t>
            </w:r>
          </w:p>
        </w:tc>
        <w:tc>
          <w:tcPr>
            <w:tcW w:w="308" w:type="pct"/>
            <w:tcBorders>
              <w:top w:val="nil"/>
              <w:left w:val="nil"/>
              <w:bottom w:val="single" w:color="auto" w:sz="4" w:space="0"/>
              <w:right w:val="single" w:color="auto" w:sz="4" w:space="0"/>
            </w:tcBorders>
            <w:shd w:val="clear" w:color="000000" w:fill="FFFF00"/>
            <w:noWrap/>
            <w:vAlign w:val="center"/>
          </w:tcPr>
          <w:p w14:paraId="22AB3CF0">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16%</w:t>
            </w:r>
          </w:p>
        </w:tc>
      </w:tr>
      <w:tr w14:paraId="5041A9EB">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1D32C4E8">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Operating Profit</w:t>
            </w:r>
          </w:p>
        </w:tc>
        <w:tc>
          <w:tcPr>
            <w:tcW w:w="591" w:type="pct"/>
            <w:vMerge w:val="continue"/>
            <w:tcBorders>
              <w:top w:val="nil"/>
              <w:left w:val="single" w:color="auto" w:sz="4" w:space="0"/>
              <w:bottom w:val="single" w:color="auto" w:sz="4" w:space="0"/>
              <w:right w:val="single" w:color="auto" w:sz="4" w:space="0"/>
            </w:tcBorders>
            <w:vAlign w:val="center"/>
          </w:tcPr>
          <w:p w14:paraId="3FB8B486">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2BF25405">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0A8E0768">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$1,750.00</w:t>
            </w:r>
          </w:p>
        </w:tc>
        <w:tc>
          <w:tcPr>
            <w:tcW w:w="377" w:type="pct"/>
            <w:vMerge w:val="continue"/>
            <w:tcBorders>
              <w:top w:val="nil"/>
              <w:left w:val="single" w:color="auto" w:sz="4" w:space="0"/>
              <w:bottom w:val="single" w:color="auto" w:sz="4" w:space="0"/>
              <w:right w:val="single" w:color="auto" w:sz="4" w:space="0"/>
            </w:tcBorders>
            <w:vAlign w:val="center"/>
          </w:tcPr>
          <w:p w14:paraId="05BECE1E">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03F60442">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$3,462.00</w:t>
            </w:r>
          </w:p>
        </w:tc>
        <w:tc>
          <w:tcPr>
            <w:tcW w:w="283" w:type="pct"/>
            <w:vMerge w:val="continue"/>
            <w:tcBorders>
              <w:top w:val="nil"/>
              <w:left w:val="single" w:color="auto" w:sz="4" w:space="0"/>
              <w:bottom w:val="single" w:color="auto" w:sz="4" w:space="0"/>
              <w:right w:val="single" w:color="auto" w:sz="4" w:space="0"/>
            </w:tcBorders>
            <w:vAlign w:val="center"/>
          </w:tcPr>
          <w:p w14:paraId="100E03AA">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04AF4044">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$3,864.00</w:t>
            </w:r>
          </w:p>
        </w:tc>
        <w:tc>
          <w:tcPr>
            <w:tcW w:w="341" w:type="pct"/>
            <w:vMerge w:val="continue"/>
            <w:tcBorders>
              <w:top w:val="nil"/>
              <w:left w:val="single" w:color="auto" w:sz="4" w:space="0"/>
              <w:bottom w:val="single" w:color="auto" w:sz="4" w:space="0"/>
              <w:right w:val="single" w:color="auto" w:sz="4" w:space="0"/>
            </w:tcBorders>
            <w:vAlign w:val="center"/>
          </w:tcPr>
          <w:p w14:paraId="52412A52">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29017FC8">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$3,767.00</w:t>
            </w:r>
          </w:p>
        </w:tc>
        <w:tc>
          <w:tcPr>
            <w:tcW w:w="304" w:type="pct"/>
            <w:vMerge w:val="continue"/>
            <w:tcBorders>
              <w:top w:val="nil"/>
              <w:left w:val="single" w:color="auto" w:sz="4" w:space="0"/>
              <w:bottom w:val="single" w:color="auto" w:sz="4" w:space="0"/>
              <w:right w:val="single" w:color="auto" w:sz="4" w:space="0"/>
            </w:tcBorders>
            <w:vAlign w:val="center"/>
          </w:tcPr>
          <w:p w14:paraId="398FD607">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5E129120">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$4,141.00</w:t>
            </w:r>
          </w:p>
        </w:tc>
        <w:tc>
          <w:tcPr>
            <w:tcW w:w="308" w:type="pct"/>
            <w:tcBorders>
              <w:top w:val="nil"/>
              <w:left w:val="nil"/>
              <w:bottom w:val="single" w:color="auto" w:sz="4" w:space="0"/>
              <w:right w:val="single" w:color="auto" w:sz="4" w:space="0"/>
            </w:tcBorders>
            <w:shd w:val="clear" w:color="000000" w:fill="FFFFFF"/>
            <w:noWrap/>
            <w:vAlign w:val="center"/>
          </w:tcPr>
          <w:p w14:paraId="09565684">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19DE5F1E">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02207D68">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Total Revenue</w:t>
            </w:r>
          </w:p>
        </w:tc>
        <w:tc>
          <w:tcPr>
            <w:tcW w:w="591" w:type="pct"/>
            <w:vMerge w:val="continue"/>
            <w:tcBorders>
              <w:top w:val="nil"/>
              <w:left w:val="single" w:color="auto" w:sz="4" w:space="0"/>
              <w:bottom w:val="single" w:color="auto" w:sz="4" w:space="0"/>
              <w:right w:val="single" w:color="auto" w:sz="4" w:space="0"/>
            </w:tcBorders>
            <w:vAlign w:val="center"/>
          </w:tcPr>
          <w:p w14:paraId="3377BAE0">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1348F0C8">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7049E51F">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$13,857.00</w:t>
            </w:r>
          </w:p>
        </w:tc>
        <w:tc>
          <w:tcPr>
            <w:tcW w:w="377" w:type="pct"/>
            <w:vMerge w:val="continue"/>
            <w:tcBorders>
              <w:top w:val="nil"/>
              <w:left w:val="single" w:color="auto" w:sz="4" w:space="0"/>
              <w:bottom w:val="single" w:color="auto" w:sz="4" w:space="0"/>
              <w:right w:val="single" w:color="auto" w:sz="4" w:space="0"/>
            </w:tcBorders>
            <w:vAlign w:val="center"/>
          </w:tcPr>
          <w:p w14:paraId="5DE7C681">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1FB7209A">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$20,773.00</w:t>
            </w:r>
          </w:p>
        </w:tc>
        <w:tc>
          <w:tcPr>
            <w:tcW w:w="283" w:type="pct"/>
            <w:vMerge w:val="continue"/>
            <w:tcBorders>
              <w:top w:val="nil"/>
              <w:left w:val="single" w:color="auto" w:sz="4" w:space="0"/>
              <w:bottom w:val="single" w:color="auto" w:sz="4" w:space="0"/>
              <w:right w:val="single" w:color="auto" w:sz="4" w:space="0"/>
            </w:tcBorders>
            <w:vAlign w:val="center"/>
          </w:tcPr>
          <w:p w14:paraId="4F6A7056">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41647C84">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$23,713.00</w:t>
            </w:r>
          </w:p>
        </w:tc>
        <w:tc>
          <w:tcPr>
            <w:tcW w:w="341" w:type="pct"/>
            <w:vMerge w:val="continue"/>
            <w:tcBorders>
              <w:top w:val="nil"/>
              <w:left w:val="single" w:color="auto" w:sz="4" w:space="0"/>
              <w:bottom w:val="single" w:color="auto" w:sz="4" w:space="0"/>
              <w:right w:val="single" w:color="auto" w:sz="4" w:space="0"/>
            </w:tcBorders>
            <w:vAlign w:val="center"/>
          </w:tcPr>
          <w:p w14:paraId="4709B5A9">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5A8AE8D6">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$25,100.00</w:t>
            </w:r>
          </w:p>
        </w:tc>
        <w:tc>
          <w:tcPr>
            <w:tcW w:w="304" w:type="pct"/>
            <w:vMerge w:val="continue"/>
            <w:tcBorders>
              <w:top w:val="nil"/>
              <w:left w:val="single" w:color="auto" w:sz="4" w:space="0"/>
              <w:bottom w:val="single" w:color="auto" w:sz="4" w:space="0"/>
              <w:right w:val="single" w:color="auto" w:sz="4" w:space="0"/>
            </w:tcBorders>
            <w:vAlign w:val="center"/>
          </w:tcPr>
          <w:p w14:paraId="1E134EC8">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vAlign w:val="center"/>
          </w:tcPr>
          <w:p w14:paraId="65C21DDA">
            <w:pPr>
              <w:spacing w:line="240" w:lineRule="auto"/>
              <w:jc w:val="right"/>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$26,186.00</w:t>
            </w:r>
          </w:p>
        </w:tc>
        <w:tc>
          <w:tcPr>
            <w:tcW w:w="308" w:type="pct"/>
            <w:tcBorders>
              <w:top w:val="nil"/>
              <w:left w:val="nil"/>
              <w:bottom w:val="single" w:color="auto" w:sz="4" w:space="0"/>
              <w:right w:val="single" w:color="auto" w:sz="4" w:space="0"/>
            </w:tcBorders>
            <w:shd w:val="clear" w:color="000000" w:fill="FFFFFF"/>
            <w:noWrap/>
            <w:vAlign w:val="center"/>
          </w:tcPr>
          <w:p w14:paraId="6300342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5C4B00FC">
        <w:tblPrEx>
          <w:tblCellMar>
            <w:top w:w="0" w:type="dxa"/>
            <w:left w:w="108" w:type="dxa"/>
            <w:bottom w:w="0" w:type="dxa"/>
            <w:right w:w="108" w:type="dxa"/>
          </w:tblCellMar>
        </w:tblPrEx>
        <w:trPr>
          <w:trHeight w:val="264" w:hRule="atLeast"/>
        </w:trPr>
        <w:tc>
          <w:tcPr>
            <w:tcW w:w="5000" w:type="pct"/>
            <w:gridSpan w:val="13"/>
            <w:tcBorders>
              <w:top w:val="single" w:color="auto" w:sz="4" w:space="0"/>
              <w:left w:val="single" w:color="auto" w:sz="4" w:space="0"/>
              <w:bottom w:val="single" w:color="auto" w:sz="4" w:space="0"/>
              <w:right w:val="single" w:color="000000" w:sz="4" w:space="0"/>
            </w:tcBorders>
            <w:shd w:val="clear" w:color="F3F3F3" w:fill="DAF1F3"/>
            <w:noWrap/>
            <w:vAlign w:val="center"/>
          </w:tcPr>
          <w:p w14:paraId="02F3C14B">
            <w:pPr>
              <w:spacing w:line="240" w:lineRule="auto"/>
              <w:jc w:val="center"/>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r>
      <w:tr w14:paraId="0DF37264">
        <w:tblPrEx>
          <w:tblCellMar>
            <w:top w:w="0" w:type="dxa"/>
            <w:left w:w="108" w:type="dxa"/>
            <w:bottom w:w="0" w:type="dxa"/>
            <w:right w:w="108" w:type="dxa"/>
          </w:tblCellMar>
        </w:tblPrEx>
        <w:trPr>
          <w:trHeight w:val="348"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447199DE">
            <w:pPr>
              <w:spacing w:line="240" w:lineRule="auto"/>
              <w:rPr>
                <w:rFonts w:ascii="Times New Roman" w:hAnsi="Times New Roman" w:eastAsia="Times New Roman" w:cs="Times New Roman"/>
                <w:b/>
                <w:bCs/>
                <w:i/>
                <w:iCs/>
                <w:sz w:val="16"/>
                <w:szCs w:val="16"/>
                <w:lang w:val="en-IN"/>
              </w:rPr>
            </w:pPr>
            <w:r>
              <w:rPr>
                <w:rFonts w:ascii="Times New Roman" w:hAnsi="Times New Roman" w:eastAsia="Times New Roman" w:cs="Times New Roman"/>
                <w:b/>
                <w:bCs/>
                <w:i/>
                <w:iCs/>
                <w:sz w:val="16"/>
                <w:szCs w:val="16"/>
                <w:lang w:val="en-IN"/>
              </w:rPr>
              <w:t>Asset Efficiency Ratio</w:t>
            </w:r>
          </w:p>
        </w:tc>
        <w:tc>
          <w:tcPr>
            <w:tcW w:w="591" w:type="pct"/>
            <w:tcBorders>
              <w:top w:val="nil"/>
              <w:left w:val="nil"/>
              <w:bottom w:val="single" w:color="auto" w:sz="4" w:space="0"/>
              <w:right w:val="single" w:color="auto" w:sz="4" w:space="0"/>
            </w:tcBorders>
            <w:shd w:val="clear" w:color="000000" w:fill="FFFFFF"/>
            <w:noWrap/>
            <w:vAlign w:val="center"/>
          </w:tcPr>
          <w:p w14:paraId="5528ADB8">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149D3E0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F61E96F">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77" w:type="pct"/>
            <w:tcBorders>
              <w:top w:val="nil"/>
              <w:left w:val="nil"/>
              <w:bottom w:val="single" w:color="auto" w:sz="4" w:space="0"/>
              <w:right w:val="single" w:color="auto" w:sz="4" w:space="0"/>
            </w:tcBorders>
            <w:shd w:val="clear" w:color="000000" w:fill="FFFFFF"/>
            <w:noWrap/>
            <w:vAlign w:val="center"/>
          </w:tcPr>
          <w:p w14:paraId="1A45456E">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E855B69">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0D10ABCE">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539BBD99">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41" w:type="pct"/>
            <w:tcBorders>
              <w:top w:val="nil"/>
              <w:left w:val="nil"/>
              <w:bottom w:val="single" w:color="auto" w:sz="4" w:space="0"/>
              <w:right w:val="single" w:color="auto" w:sz="4" w:space="0"/>
            </w:tcBorders>
            <w:shd w:val="clear" w:color="000000" w:fill="FFFFFF"/>
            <w:noWrap/>
            <w:vAlign w:val="center"/>
          </w:tcPr>
          <w:p w14:paraId="18C58687">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CC6AAC1">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4" w:type="pct"/>
            <w:tcBorders>
              <w:top w:val="nil"/>
              <w:left w:val="nil"/>
              <w:bottom w:val="single" w:color="auto" w:sz="4" w:space="0"/>
              <w:right w:val="single" w:color="auto" w:sz="4" w:space="0"/>
            </w:tcBorders>
            <w:shd w:val="clear" w:color="000000" w:fill="FFFFFF"/>
            <w:noWrap/>
            <w:vAlign w:val="center"/>
          </w:tcPr>
          <w:p w14:paraId="1C91936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17D13987">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8" w:type="pct"/>
            <w:tcBorders>
              <w:top w:val="nil"/>
              <w:left w:val="nil"/>
              <w:bottom w:val="single" w:color="auto" w:sz="4" w:space="0"/>
              <w:right w:val="single" w:color="auto" w:sz="4" w:space="0"/>
            </w:tcBorders>
            <w:shd w:val="clear" w:color="000000" w:fill="FFFFFF"/>
            <w:noWrap/>
            <w:vAlign w:val="center"/>
          </w:tcPr>
          <w:p w14:paraId="5098B8B9">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1DB8050A">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4F78305B">
            <w:pPr>
              <w:spacing w:line="240" w:lineRule="auto"/>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Accounts Receivable Turnover</w:t>
            </w:r>
          </w:p>
        </w:tc>
        <w:tc>
          <w:tcPr>
            <w:tcW w:w="591" w:type="pct"/>
            <w:vMerge w:val="restart"/>
            <w:tcBorders>
              <w:top w:val="nil"/>
              <w:left w:val="single" w:color="auto" w:sz="4" w:space="0"/>
              <w:bottom w:val="single" w:color="auto" w:sz="4" w:space="0"/>
              <w:right w:val="single" w:color="auto" w:sz="4" w:space="0"/>
            </w:tcBorders>
            <w:shd w:val="clear" w:color="FCE5CD" w:fill="FFFFFF"/>
            <w:vAlign w:val="center"/>
          </w:tcPr>
          <w:p w14:paraId="50E3FE94">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Trade Revenue / Average Accounts Receivable</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55AA66B4">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$13857 / $1875 = 7.39 Times</w:t>
            </w:r>
          </w:p>
        </w:tc>
        <w:tc>
          <w:tcPr>
            <w:tcW w:w="288" w:type="pct"/>
            <w:tcBorders>
              <w:top w:val="nil"/>
              <w:left w:val="nil"/>
              <w:bottom w:val="single" w:color="auto" w:sz="4" w:space="0"/>
              <w:right w:val="single" w:color="auto" w:sz="4" w:space="0"/>
            </w:tcBorders>
            <w:shd w:val="clear" w:color="FFFF00" w:fill="FFFFFF"/>
            <w:noWrap/>
            <w:vAlign w:val="center"/>
          </w:tcPr>
          <w:p w14:paraId="0532F9A9">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7.39</w:t>
            </w:r>
          </w:p>
        </w:tc>
        <w:tc>
          <w:tcPr>
            <w:tcW w:w="377" w:type="pct"/>
            <w:vMerge w:val="restart"/>
            <w:tcBorders>
              <w:top w:val="nil"/>
              <w:left w:val="single" w:color="auto" w:sz="4" w:space="0"/>
              <w:bottom w:val="single" w:color="auto" w:sz="4" w:space="0"/>
              <w:right w:val="single" w:color="auto" w:sz="4" w:space="0"/>
            </w:tcBorders>
            <w:shd w:val="clear" w:color="F3F3F3" w:fill="FEF2CD"/>
            <w:vAlign w:val="center"/>
          </w:tcPr>
          <w:p w14:paraId="0FA07BF3">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$20773 / $2277 = 9.12 Times</w:t>
            </w:r>
          </w:p>
        </w:tc>
        <w:tc>
          <w:tcPr>
            <w:tcW w:w="288" w:type="pct"/>
            <w:tcBorders>
              <w:top w:val="nil"/>
              <w:left w:val="nil"/>
              <w:bottom w:val="single" w:color="auto" w:sz="4" w:space="0"/>
              <w:right w:val="single" w:color="auto" w:sz="4" w:space="0"/>
            </w:tcBorders>
            <w:shd w:val="clear" w:color="FFFF00" w:fill="FFFFFF"/>
            <w:noWrap/>
            <w:vAlign w:val="center"/>
          </w:tcPr>
          <w:p w14:paraId="1ABFCB8F">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9.12</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4AF0DBDB">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$23713 / $2642 = 8.98 Times</w:t>
            </w:r>
          </w:p>
        </w:tc>
        <w:tc>
          <w:tcPr>
            <w:tcW w:w="288" w:type="pct"/>
            <w:tcBorders>
              <w:top w:val="nil"/>
              <w:left w:val="nil"/>
              <w:bottom w:val="single" w:color="auto" w:sz="4" w:space="0"/>
              <w:right w:val="single" w:color="auto" w:sz="4" w:space="0"/>
            </w:tcBorders>
            <w:shd w:val="clear" w:color="FFFF00" w:fill="FFFFFF"/>
            <w:noWrap/>
            <w:vAlign w:val="center"/>
          </w:tcPr>
          <w:p w14:paraId="152F2F29">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8.98</w:t>
            </w:r>
          </w:p>
        </w:tc>
        <w:tc>
          <w:tcPr>
            <w:tcW w:w="341" w:type="pct"/>
            <w:vMerge w:val="restart"/>
            <w:tcBorders>
              <w:top w:val="nil"/>
              <w:left w:val="single" w:color="auto" w:sz="4" w:space="0"/>
              <w:bottom w:val="single" w:color="auto" w:sz="4" w:space="0"/>
              <w:right w:val="single" w:color="auto" w:sz="4" w:space="0"/>
            </w:tcBorders>
            <w:shd w:val="clear" w:color="F3F3F3" w:fill="FEF2CD"/>
            <w:vAlign w:val="center"/>
          </w:tcPr>
          <w:p w14:paraId="4E310020">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$25100 / $2754 = 9.11 Times</w:t>
            </w:r>
          </w:p>
        </w:tc>
        <w:tc>
          <w:tcPr>
            <w:tcW w:w="288" w:type="pct"/>
            <w:tcBorders>
              <w:top w:val="nil"/>
              <w:left w:val="nil"/>
              <w:bottom w:val="single" w:color="auto" w:sz="4" w:space="0"/>
              <w:right w:val="single" w:color="auto" w:sz="4" w:space="0"/>
            </w:tcBorders>
            <w:shd w:val="clear" w:color="FFFF00" w:fill="FFFFFF"/>
            <w:noWrap/>
            <w:vAlign w:val="center"/>
          </w:tcPr>
          <w:p w14:paraId="48DEA95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9.11</w:t>
            </w:r>
          </w:p>
        </w:tc>
        <w:tc>
          <w:tcPr>
            <w:tcW w:w="304" w:type="pct"/>
            <w:vMerge w:val="restart"/>
            <w:tcBorders>
              <w:top w:val="nil"/>
              <w:left w:val="single" w:color="auto" w:sz="4" w:space="0"/>
              <w:bottom w:val="single" w:color="auto" w:sz="4" w:space="0"/>
              <w:right w:val="single" w:color="auto" w:sz="4" w:space="0"/>
            </w:tcBorders>
            <w:shd w:val="clear" w:color="F3F3F3" w:fill="FEF2CD"/>
            <w:vAlign w:val="center"/>
          </w:tcPr>
          <w:p w14:paraId="2114112E">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$26186 / $2852 = 9.18 Times</w:t>
            </w:r>
          </w:p>
        </w:tc>
        <w:tc>
          <w:tcPr>
            <w:tcW w:w="288" w:type="pct"/>
            <w:tcBorders>
              <w:top w:val="nil"/>
              <w:left w:val="nil"/>
              <w:bottom w:val="single" w:color="auto" w:sz="4" w:space="0"/>
              <w:right w:val="single" w:color="auto" w:sz="4" w:space="0"/>
            </w:tcBorders>
            <w:shd w:val="clear" w:color="FFFF00" w:fill="FFFFFF"/>
            <w:noWrap/>
            <w:vAlign w:val="center"/>
          </w:tcPr>
          <w:p w14:paraId="19E3D4A0">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9.18</w:t>
            </w:r>
          </w:p>
        </w:tc>
        <w:tc>
          <w:tcPr>
            <w:tcW w:w="308" w:type="pct"/>
            <w:tcBorders>
              <w:top w:val="nil"/>
              <w:left w:val="nil"/>
              <w:bottom w:val="single" w:color="auto" w:sz="4" w:space="0"/>
              <w:right w:val="single" w:color="auto" w:sz="4" w:space="0"/>
            </w:tcBorders>
            <w:shd w:val="clear" w:color="000000" w:fill="FFFF00"/>
            <w:noWrap/>
            <w:vAlign w:val="center"/>
          </w:tcPr>
          <w:p w14:paraId="5460B978">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15 Times</w:t>
            </w:r>
          </w:p>
        </w:tc>
      </w:tr>
      <w:tr w14:paraId="772F4FB2">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37A61F4F">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Total Revenue</w:t>
            </w:r>
          </w:p>
        </w:tc>
        <w:tc>
          <w:tcPr>
            <w:tcW w:w="591" w:type="pct"/>
            <w:vMerge w:val="continue"/>
            <w:tcBorders>
              <w:top w:val="nil"/>
              <w:left w:val="single" w:color="auto" w:sz="4" w:space="0"/>
              <w:bottom w:val="single" w:color="auto" w:sz="4" w:space="0"/>
              <w:right w:val="single" w:color="auto" w:sz="4" w:space="0"/>
            </w:tcBorders>
            <w:vAlign w:val="center"/>
          </w:tcPr>
          <w:p w14:paraId="7B0BE8E5">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12F2992C">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FEAE9BF">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$13,857.00</w:t>
            </w:r>
          </w:p>
        </w:tc>
        <w:tc>
          <w:tcPr>
            <w:tcW w:w="377" w:type="pct"/>
            <w:vMerge w:val="continue"/>
            <w:tcBorders>
              <w:top w:val="nil"/>
              <w:left w:val="single" w:color="auto" w:sz="4" w:space="0"/>
              <w:bottom w:val="single" w:color="auto" w:sz="4" w:space="0"/>
              <w:right w:val="single" w:color="auto" w:sz="4" w:space="0"/>
            </w:tcBorders>
            <w:vAlign w:val="center"/>
          </w:tcPr>
          <w:p w14:paraId="72165080">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D1B321D">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$20,773.00</w:t>
            </w:r>
          </w:p>
        </w:tc>
        <w:tc>
          <w:tcPr>
            <w:tcW w:w="283" w:type="pct"/>
            <w:vMerge w:val="continue"/>
            <w:tcBorders>
              <w:top w:val="nil"/>
              <w:left w:val="single" w:color="auto" w:sz="4" w:space="0"/>
              <w:bottom w:val="single" w:color="auto" w:sz="4" w:space="0"/>
              <w:right w:val="single" w:color="auto" w:sz="4" w:space="0"/>
            </w:tcBorders>
            <w:vAlign w:val="center"/>
          </w:tcPr>
          <w:p w14:paraId="775E66DC">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B9D0E70">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$23,713.00</w:t>
            </w:r>
          </w:p>
        </w:tc>
        <w:tc>
          <w:tcPr>
            <w:tcW w:w="341" w:type="pct"/>
            <w:vMerge w:val="continue"/>
            <w:tcBorders>
              <w:top w:val="nil"/>
              <w:left w:val="single" w:color="auto" w:sz="4" w:space="0"/>
              <w:bottom w:val="single" w:color="auto" w:sz="4" w:space="0"/>
              <w:right w:val="single" w:color="auto" w:sz="4" w:space="0"/>
            </w:tcBorders>
            <w:vAlign w:val="center"/>
          </w:tcPr>
          <w:p w14:paraId="533FDD17">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411A5AE">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$25,100.00</w:t>
            </w:r>
          </w:p>
        </w:tc>
        <w:tc>
          <w:tcPr>
            <w:tcW w:w="304" w:type="pct"/>
            <w:vMerge w:val="continue"/>
            <w:tcBorders>
              <w:top w:val="nil"/>
              <w:left w:val="single" w:color="auto" w:sz="4" w:space="0"/>
              <w:bottom w:val="single" w:color="auto" w:sz="4" w:space="0"/>
              <w:right w:val="single" w:color="auto" w:sz="4" w:space="0"/>
            </w:tcBorders>
            <w:vAlign w:val="center"/>
          </w:tcPr>
          <w:p w14:paraId="440DD462">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61999B13">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$26,186.00</w:t>
            </w:r>
          </w:p>
        </w:tc>
        <w:tc>
          <w:tcPr>
            <w:tcW w:w="308" w:type="pct"/>
            <w:tcBorders>
              <w:top w:val="nil"/>
              <w:left w:val="nil"/>
              <w:bottom w:val="single" w:color="auto" w:sz="4" w:space="0"/>
              <w:right w:val="single" w:color="auto" w:sz="4" w:space="0"/>
            </w:tcBorders>
            <w:shd w:val="clear" w:color="000000" w:fill="FFFFFF"/>
            <w:noWrap/>
            <w:vAlign w:val="center"/>
          </w:tcPr>
          <w:p w14:paraId="5CDF222F">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11A2C689">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6D114BB5">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Average Accounts Receivable</w:t>
            </w:r>
          </w:p>
        </w:tc>
        <w:tc>
          <w:tcPr>
            <w:tcW w:w="591" w:type="pct"/>
            <w:vMerge w:val="continue"/>
            <w:tcBorders>
              <w:top w:val="nil"/>
              <w:left w:val="single" w:color="auto" w:sz="4" w:space="0"/>
              <w:bottom w:val="single" w:color="auto" w:sz="4" w:space="0"/>
              <w:right w:val="single" w:color="auto" w:sz="4" w:space="0"/>
            </w:tcBorders>
            <w:vAlign w:val="center"/>
          </w:tcPr>
          <w:p w14:paraId="4B925C42">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48EA3368">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BC2F80B">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$1,875.00</w:t>
            </w:r>
          </w:p>
        </w:tc>
        <w:tc>
          <w:tcPr>
            <w:tcW w:w="377" w:type="pct"/>
            <w:vMerge w:val="continue"/>
            <w:tcBorders>
              <w:top w:val="nil"/>
              <w:left w:val="single" w:color="auto" w:sz="4" w:space="0"/>
              <w:bottom w:val="single" w:color="auto" w:sz="4" w:space="0"/>
              <w:right w:val="single" w:color="auto" w:sz="4" w:space="0"/>
            </w:tcBorders>
            <w:vAlign w:val="center"/>
          </w:tcPr>
          <w:p w14:paraId="61B2A0FA">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1CD66EA4">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$2,277.00</w:t>
            </w:r>
          </w:p>
        </w:tc>
        <w:tc>
          <w:tcPr>
            <w:tcW w:w="283" w:type="pct"/>
            <w:vMerge w:val="continue"/>
            <w:tcBorders>
              <w:top w:val="nil"/>
              <w:left w:val="single" w:color="auto" w:sz="4" w:space="0"/>
              <w:bottom w:val="single" w:color="auto" w:sz="4" w:space="0"/>
              <w:right w:val="single" w:color="auto" w:sz="4" w:space="0"/>
            </w:tcBorders>
            <w:vAlign w:val="center"/>
          </w:tcPr>
          <w:p w14:paraId="695F388E">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05099B85">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$2,642.00</w:t>
            </w:r>
          </w:p>
        </w:tc>
        <w:tc>
          <w:tcPr>
            <w:tcW w:w="341" w:type="pct"/>
            <w:vMerge w:val="continue"/>
            <w:tcBorders>
              <w:top w:val="nil"/>
              <w:left w:val="single" w:color="auto" w:sz="4" w:space="0"/>
              <w:bottom w:val="single" w:color="auto" w:sz="4" w:space="0"/>
              <w:right w:val="single" w:color="auto" w:sz="4" w:space="0"/>
            </w:tcBorders>
            <w:vAlign w:val="center"/>
          </w:tcPr>
          <w:p w14:paraId="5CA0016D">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016390B6">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$2,754.00</w:t>
            </w:r>
          </w:p>
        </w:tc>
        <w:tc>
          <w:tcPr>
            <w:tcW w:w="304" w:type="pct"/>
            <w:vMerge w:val="continue"/>
            <w:tcBorders>
              <w:top w:val="nil"/>
              <w:left w:val="single" w:color="auto" w:sz="4" w:space="0"/>
              <w:bottom w:val="single" w:color="auto" w:sz="4" w:space="0"/>
              <w:right w:val="single" w:color="auto" w:sz="4" w:space="0"/>
            </w:tcBorders>
            <w:vAlign w:val="center"/>
          </w:tcPr>
          <w:p w14:paraId="63B34EFC">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0EA1494">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$2,852.00</w:t>
            </w:r>
          </w:p>
        </w:tc>
        <w:tc>
          <w:tcPr>
            <w:tcW w:w="308" w:type="pct"/>
            <w:tcBorders>
              <w:top w:val="nil"/>
              <w:left w:val="nil"/>
              <w:bottom w:val="single" w:color="auto" w:sz="4" w:space="0"/>
              <w:right w:val="single" w:color="auto" w:sz="4" w:space="0"/>
            </w:tcBorders>
            <w:shd w:val="clear" w:color="000000" w:fill="FFFFFF"/>
            <w:noWrap/>
            <w:vAlign w:val="center"/>
          </w:tcPr>
          <w:p w14:paraId="5F2460CF">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274B10DC">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2CA72760">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591" w:type="pct"/>
            <w:tcBorders>
              <w:top w:val="nil"/>
              <w:left w:val="nil"/>
              <w:bottom w:val="single" w:color="auto" w:sz="4" w:space="0"/>
              <w:right w:val="single" w:color="auto" w:sz="4" w:space="0"/>
            </w:tcBorders>
            <w:shd w:val="clear" w:color="000000" w:fill="FFFFFF"/>
            <w:vAlign w:val="center"/>
          </w:tcPr>
          <w:p w14:paraId="239E4ACB">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 </w:t>
            </w:r>
          </w:p>
        </w:tc>
        <w:tc>
          <w:tcPr>
            <w:tcW w:w="283" w:type="pct"/>
            <w:tcBorders>
              <w:top w:val="nil"/>
              <w:left w:val="nil"/>
              <w:bottom w:val="single" w:color="auto" w:sz="4" w:space="0"/>
              <w:right w:val="single" w:color="auto" w:sz="4" w:space="0"/>
            </w:tcBorders>
            <w:shd w:val="clear" w:color="000000" w:fill="FFFFFF"/>
            <w:vAlign w:val="center"/>
          </w:tcPr>
          <w:p w14:paraId="0AA81B13">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E236CC2">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77" w:type="pct"/>
            <w:tcBorders>
              <w:top w:val="nil"/>
              <w:left w:val="nil"/>
              <w:bottom w:val="single" w:color="auto" w:sz="4" w:space="0"/>
              <w:right w:val="single" w:color="auto" w:sz="4" w:space="0"/>
            </w:tcBorders>
            <w:shd w:val="clear" w:color="000000" w:fill="FFFFFF"/>
            <w:vAlign w:val="center"/>
          </w:tcPr>
          <w:p w14:paraId="60104BE8">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C3CDFD1">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vAlign w:val="center"/>
          </w:tcPr>
          <w:p w14:paraId="76633B46">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57E5F16D">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41" w:type="pct"/>
            <w:tcBorders>
              <w:top w:val="nil"/>
              <w:left w:val="nil"/>
              <w:bottom w:val="single" w:color="auto" w:sz="4" w:space="0"/>
              <w:right w:val="single" w:color="auto" w:sz="4" w:space="0"/>
            </w:tcBorders>
            <w:shd w:val="clear" w:color="000000" w:fill="FFFFFF"/>
            <w:vAlign w:val="center"/>
          </w:tcPr>
          <w:p w14:paraId="2B6BCC53">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18A4AF1">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4" w:type="pct"/>
            <w:tcBorders>
              <w:top w:val="nil"/>
              <w:left w:val="nil"/>
              <w:bottom w:val="single" w:color="auto" w:sz="4" w:space="0"/>
              <w:right w:val="single" w:color="auto" w:sz="4" w:space="0"/>
            </w:tcBorders>
            <w:shd w:val="clear" w:color="000000" w:fill="FFFFFF"/>
            <w:vAlign w:val="center"/>
          </w:tcPr>
          <w:p w14:paraId="1169E1A3">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2601D4C7">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8" w:type="pct"/>
            <w:tcBorders>
              <w:top w:val="nil"/>
              <w:left w:val="nil"/>
              <w:bottom w:val="single" w:color="auto" w:sz="4" w:space="0"/>
              <w:right w:val="single" w:color="auto" w:sz="4" w:space="0"/>
            </w:tcBorders>
            <w:shd w:val="clear" w:color="000000" w:fill="FFFFFF"/>
            <w:noWrap/>
            <w:vAlign w:val="center"/>
          </w:tcPr>
          <w:p w14:paraId="2F4C905D">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61893E11">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05D28FEF">
            <w:pPr>
              <w:spacing w:line="240" w:lineRule="auto"/>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Total Asset Turnover</w:t>
            </w:r>
          </w:p>
        </w:tc>
        <w:tc>
          <w:tcPr>
            <w:tcW w:w="591" w:type="pct"/>
            <w:vMerge w:val="restart"/>
            <w:tcBorders>
              <w:top w:val="nil"/>
              <w:left w:val="single" w:color="auto" w:sz="4" w:space="0"/>
              <w:bottom w:val="single" w:color="auto" w:sz="4" w:space="0"/>
              <w:right w:val="single" w:color="auto" w:sz="4" w:space="0"/>
            </w:tcBorders>
            <w:shd w:val="clear" w:color="FCE5CD" w:fill="FFFFFF"/>
            <w:vAlign w:val="center"/>
          </w:tcPr>
          <w:p w14:paraId="79E8664A">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Total Revenue / Average Total Assets</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63A91400">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$13857 / $25127 = 0.55 times</w:t>
            </w:r>
          </w:p>
        </w:tc>
        <w:tc>
          <w:tcPr>
            <w:tcW w:w="288" w:type="pct"/>
            <w:tcBorders>
              <w:top w:val="nil"/>
              <w:left w:val="nil"/>
              <w:bottom w:val="single" w:color="auto" w:sz="4" w:space="0"/>
              <w:right w:val="single" w:color="auto" w:sz="4" w:space="0"/>
            </w:tcBorders>
            <w:shd w:val="clear" w:color="FFFF00" w:fill="FFFFFF"/>
            <w:noWrap/>
            <w:vAlign w:val="center"/>
          </w:tcPr>
          <w:p w14:paraId="68712C39">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0.55</w:t>
            </w:r>
          </w:p>
        </w:tc>
        <w:tc>
          <w:tcPr>
            <w:tcW w:w="377" w:type="pct"/>
            <w:vMerge w:val="restart"/>
            <w:tcBorders>
              <w:top w:val="nil"/>
              <w:left w:val="single" w:color="auto" w:sz="4" w:space="0"/>
              <w:bottom w:val="single" w:color="auto" w:sz="4" w:space="0"/>
              <w:right w:val="single" w:color="auto" w:sz="4" w:space="0"/>
            </w:tcBorders>
            <w:shd w:val="clear" w:color="F3F3F3" w:fill="FEF2CD"/>
            <w:vAlign w:val="center"/>
          </w:tcPr>
          <w:p w14:paraId="58BA79F2">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$20773 / $25184 = 0.82 Times</w:t>
            </w:r>
          </w:p>
        </w:tc>
        <w:tc>
          <w:tcPr>
            <w:tcW w:w="288" w:type="pct"/>
            <w:tcBorders>
              <w:top w:val="nil"/>
              <w:left w:val="nil"/>
              <w:bottom w:val="single" w:color="auto" w:sz="4" w:space="0"/>
              <w:right w:val="single" w:color="auto" w:sz="4" w:space="0"/>
            </w:tcBorders>
            <w:shd w:val="clear" w:color="FFFF00" w:fill="FFFFFF"/>
            <w:noWrap/>
            <w:vAlign w:val="center"/>
          </w:tcPr>
          <w:p w14:paraId="04E520B2">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0.82</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6523EFBB">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$23713 / $25244 = 0.94 Times</w:t>
            </w:r>
          </w:p>
        </w:tc>
        <w:tc>
          <w:tcPr>
            <w:tcW w:w="288" w:type="pct"/>
            <w:tcBorders>
              <w:top w:val="nil"/>
              <w:left w:val="nil"/>
              <w:bottom w:val="single" w:color="auto" w:sz="4" w:space="0"/>
              <w:right w:val="single" w:color="auto" w:sz="4" w:space="0"/>
            </w:tcBorders>
            <w:shd w:val="clear" w:color="FFFF00" w:fill="FFFFFF"/>
            <w:noWrap/>
            <w:vAlign w:val="center"/>
          </w:tcPr>
          <w:p w14:paraId="2EB0B313">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0.94</w:t>
            </w:r>
          </w:p>
        </w:tc>
        <w:tc>
          <w:tcPr>
            <w:tcW w:w="341" w:type="pct"/>
            <w:vMerge w:val="restart"/>
            <w:tcBorders>
              <w:top w:val="nil"/>
              <w:left w:val="single" w:color="auto" w:sz="4" w:space="0"/>
              <w:bottom w:val="single" w:color="auto" w:sz="4" w:space="0"/>
              <w:right w:val="single" w:color="auto" w:sz="4" w:space="0"/>
            </w:tcBorders>
            <w:shd w:val="clear" w:color="F3F3F3" w:fill="FEF2CD"/>
            <w:vAlign w:val="center"/>
          </w:tcPr>
          <w:p w14:paraId="4BD2A715">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$25100 / $25928 = 0.97 Times</w:t>
            </w:r>
          </w:p>
        </w:tc>
        <w:tc>
          <w:tcPr>
            <w:tcW w:w="288" w:type="pct"/>
            <w:tcBorders>
              <w:top w:val="nil"/>
              <w:left w:val="nil"/>
              <w:bottom w:val="single" w:color="auto" w:sz="4" w:space="0"/>
              <w:right w:val="single" w:color="auto" w:sz="4" w:space="0"/>
            </w:tcBorders>
            <w:shd w:val="clear" w:color="FFFF00" w:fill="FFFFFF"/>
            <w:noWrap/>
            <w:vAlign w:val="center"/>
          </w:tcPr>
          <w:p w14:paraId="6B60BFE5">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0.97</w:t>
            </w:r>
          </w:p>
        </w:tc>
        <w:tc>
          <w:tcPr>
            <w:tcW w:w="304" w:type="pct"/>
            <w:vMerge w:val="restart"/>
            <w:tcBorders>
              <w:top w:val="nil"/>
              <w:left w:val="single" w:color="auto" w:sz="4" w:space="0"/>
              <w:bottom w:val="single" w:color="auto" w:sz="4" w:space="0"/>
              <w:right w:val="single" w:color="auto" w:sz="4" w:space="0"/>
            </w:tcBorders>
            <w:shd w:val="clear" w:color="F3F3F3" w:fill="FEF2CD"/>
            <w:vAlign w:val="center"/>
          </w:tcPr>
          <w:p w14:paraId="79AEAA46">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$26186 / $26861 = 0.97 Times</w:t>
            </w:r>
          </w:p>
        </w:tc>
        <w:tc>
          <w:tcPr>
            <w:tcW w:w="288" w:type="pct"/>
            <w:tcBorders>
              <w:top w:val="nil"/>
              <w:left w:val="nil"/>
              <w:bottom w:val="single" w:color="auto" w:sz="4" w:space="0"/>
              <w:right w:val="single" w:color="auto" w:sz="4" w:space="0"/>
            </w:tcBorders>
            <w:shd w:val="clear" w:color="FFFF00" w:fill="FFFFFF"/>
            <w:noWrap/>
            <w:vAlign w:val="center"/>
          </w:tcPr>
          <w:p w14:paraId="3CC749D3">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0.97</w:t>
            </w:r>
          </w:p>
        </w:tc>
        <w:tc>
          <w:tcPr>
            <w:tcW w:w="308" w:type="pct"/>
            <w:tcBorders>
              <w:top w:val="nil"/>
              <w:left w:val="nil"/>
              <w:bottom w:val="single" w:color="auto" w:sz="4" w:space="0"/>
              <w:right w:val="single" w:color="auto" w:sz="4" w:space="0"/>
            </w:tcBorders>
            <w:shd w:val="clear" w:color="000000" w:fill="FFFF00"/>
            <w:noWrap/>
            <w:vAlign w:val="center"/>
          </w:tcPr>
          <w:p w14:paraId="4467EA03">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0.60 Times</w:t>
            </w:r>
          </w:p>
        </w:tc>
      </w:tr>
      <w:tr w14:paraId="4617BB6B">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691F0F3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Total Revenue</w:t>
            </w:r>
          </w:p>
        </w:tc>
        <w:tc>
          <w:tcPr>
            <w:tcW w:w="591" w:type="pct"/>
            <w:vMerge w:val="continue"/>
            <w:tcBorders>
              <w:top w:val="nil"/>
              <w:left w:val="single" w:color="auto" w:sz="4" w:space="0"/>
              <w:bottom w:val="single" w:color="auto" w:sz="4" w:space="0"/>
              <w:right w:val="single" w:color="auto" w:sz="4" w:space="0"/>
            </w:tcBorders>
            <w:vAlign w:val="center"/>
          </w:tcPr>
          <w:p w14:paraId="67982A57">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539D38A0">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19236FA">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$13,857.00</w:t>
            </w:r>
          </w:p>
        </w:tc>
        <w:tc>
          <w:tcPr>
            <w:tcW w:w="377" w:type="pct"/>
            <w:vMerge w:val="continue"/>
            <w:tcBorders>
              <w:top w:val="nil"/>
              <w:left w:val="single" w:color="auto" w:sz="4" w:space="0"/>
              <w:bottom w:val="single" w:color="auto" w:sz="4" w:space="0"/>
              <w:right w:val="single" w:color="auto" w:sz="4" w:space="0"/>
            </w:tcBorders>
            <w:vAlign w:val="center"/>
          </w:tcPr>
          <w:p w14:paraId="71540164">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3EC63ABC">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$20,773.00</w:t>
            </w:r>
          </w:p>
        </w:tc>
        <w:tc>
          <w:tcPr>
            <w:tcW w:w="283" w:type="pct"/>
            <w:vMerge w:val="continue"/>
            <w:tcBorders>
              <w:top w:val="nil"/>
              <w:left w:val="single" w:color="auto" w:sz="4" w:space="0"/>
              <w:bottom w:val="single" w:color="auto" w:sz="4" w:space="0"/>
              <w:right w:val="single" w:color="auto" w:sz="4" w:space="0"/>
            </w:tcBorders>
            <w:vAlign w:val="center"/>
          </w:tcPr>
          <w:p w14:paraId="55C81D3B">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9163F97">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$23,713.00</w:t>
            </w:r>
          </w:p>
        </w:tc>
        <w:tc>
          <w:tcPr>
            <w:tcW w:w="341" w:type="pct"/>
            <w:vMerge w:val="continue"/>
            <w:tcBorders>
              <w:top w:val="nil"/>
              <w:left w:val="single" w:color="auto" w:sz="4" w:space="0"/>
              <w:bottom w:val="single" w:color="auto" w:sz="4" w:space="0"/>
              <w:right w:val="single" w:color="auto" w:sz="4" w:space="0"/>
            </w:tcBorders>
            <w:vAlign w:val="center"/>
          </w:tcPr>
          <w:p w14:paraId="659277EB">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3F0F5A26">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$25,100.00</w:t>
            </w:r>
          </w:p>
        </w:tc>
        <w:tc>
          <w:tcPr>
            <w:tcW w:w="304" w:type="pct"/>
            <w:vMerge w:val="continue"/>
            <w:tcBorders>
              <w:top w:val="nil"/>
              <w:left w:val="single" w:color="auto" w:sz="4" w:space="0"/>
              <w:bottom w:val="single" w:color="auto" w:sz="4" w:space="0"/>
              <w:right w:val="single" w:color="auto" w:sz="4" w:space="0"/>
            </w:tcBorders>
            <w:vAlign w:val="center"/>
          </w:tcPr>
          <w:p w14:paraId="4B022D3C">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2D8E30F0">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$26,186.00</w:t>
            </w:r>
          </w:p>
        </w:tc>
        <w:tc>
          <w:tcPr>
            <w:tcW w:w="308" w:type="pct"/>
            <w:tcBorders>
              <w:top w:val="nil"/>
              <w:left w:val="nil"/>
              <w:bottom w:val="single" w:color="auto" w:sz="4" w:space="0"/>
              <w:right w:val="single" w:color="auto" w:sz="4" w:space="0"/>
            </w:tcBorders>
            <w:shd w:val="clear" w:color="000000" w:fill="FFFFFF"/>
            <w:noWrap/>
            <w:vAlign w:val="center"/>
          </w:tcPr>
          <w:p w14:paraId="42F82E5F">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1B082F13">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177DC799">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Average Total Assets</w:t>
            </w:r>
          </w:p>
        </w:tc>
        <w:tc>
          <w:tcPr>
            <w:tcW w:w="591" w:type="pct"/>
            <w:vMerge w:val="continue"/>
            <w:tcBorders>
              <w:top w:val="nil"/>
              <w:left w:val="single" w:color="auto" w:sz="4" w:space="0"/>
              <w:bottom w:val="single" w:color="auto" w:sz="4" w:space="0"/>
              <w:right w:val="single" w:color="auto" w:sz="4" w:space="0"/>
            </w:tcBorders>
            <w:vAlign w:val="center"/>
          </w:tcPr>
          <w:p w14:paraId="4F5EF63F">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0919BB89">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3B3C38C8">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$25,127.00</w:t>
            </w:r>
          </w:p>
        </w:tc>
        <w:tc>
          <w:tcPr>
            <w:tcW w:w="377" w:type="pct"/>
            <w:vMerge w:val="continue"/>
            <w:tcBorders>
              <w:top w:val="nil"/>
              <w:left w:val="single" w:color="auto" w:sz="4" w:space="0"/>
              <w:bottom w:val="single" w:color="auto" w:sz="4" w:space="0"/>
              <w:right w:val="single" w:color="auto" w:sz="4" w:space="0"/>
            </w:tcBorders>
            <w:vAlign w:val="center"/>
          </w:tcPr>
          <w:p w14:paraId="105B2B79">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149F7A21">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$25,184.00</w:t>
            </w:r>
          </w:p>
        </w:tc>
        <w:tc>
          <w:tcPr>
            <w:tcW w:w="283" w:type="pct"/>
            <w:vMerge w:val="continue"/>
            <w:tcBorders>
              <w:top w:val="nil"/>
              <w:left w:val="single" w:color="auto" w:sz="4" w:space="0"/>
              <w:bottom w:val="single" w:color="auto" w:sz="4" w:space="0"/>
              <w:right w:val="single" w:color="auto" w:sz="4" w:space="0"/>
            </w:tcBorders>
            <w:vAlign w:val="center"/>
          </w:tcPr>
          <w:p w14:paraId="451D0E2B">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06B55AB8">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$25,244.50</w:t>
            </w:r>
          </w:p>
        </w:tc>
        <w:tc>
          <w:tcPr>
            <w:tcW w:w="341" w:type="pct"/>
            <w:vMerge w:val="continue"/>
            <w:tcBorders>
              <w:top w:val="nil"/>
              <w:left w:val="single" w:color="auto" w:sz="4" w:space="0"/>
              <w:bottom w:val="single" w:color="auto" w:sz="4" w:space="0"/>
              <w:right w:val="single" w:color="auto" w:sz="4" w:space="0"/>
            </w:tcBorders>
            <w:vAlign w:val="center"/>
          </w:tcPr>
          <w:p w14:paraId="7666092D">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37AF65D">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$25,928.00</w:t>
            </w:r>
          </w:p>
        </w:tc>
        <w:tc>
          <w:tcPr>
            <w:tcW w:w="304" w:type="pct"/>
            <w:vMerge w:val="continue"/>
            <w:tcBorders>
              <w:top w:val="nil"/>
              <w:left w:val="single" w:color="auto" w:sz="4" w:space="0"/>
              <w:bottom w:val="single" w:color="auto" w:sz="4" w:space="0"/>
              <w:right w:val="single" w:color="auto" w:sz="4" w:space="0"/>
            </w:tcBorders>
            <w:vAlign w:val="center"/>
          </w:tcPr>
          <w:p w14:paraId="5F4A20BB">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39D682B2">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$26,861.00</w:t>
            </w:r>
          </w:p>
        </w:tc>
        <w:tc>
          <w:tcPr>
            <w:tcW w:w="308" w:type="pct"/>
            <w:tcBorders>
              <w:top w:val="nil"/>
              <w:left w:val="nil"/>
              <w:bottom w:val="single" w:color="auto" w:sz="4" w:space="0"/>
              <w:right w:val="single" w:color="auto" w:sz="4" w:space="0"/>
            </w:tcBorders>
            <w:shd w:val="clear" w:color="000000" w:fill="FFFFFF"/>
            <w:noWrap/>
            <w:vAlign w:val="center"/>
          </w:tcPr>
          <w:p w14:paraId="7560BB8E">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141C18BD">
        <w:tblPrEx>
          <w:tblCellMar>
            <w:top w:w="0" w:type="dxa"/>
            <w:left w:w="108" w:type="dxa"/>
            <w:bottom w:w="0" w:type="dxa"/>
            <w:right w:w="108" w:type="dxa"/>
          </w:tblCellMar>
        </w:tblPrEx>
        <w:trPr>
          <w:trHeight w:val="264" w:hRule="atLeast"/>
        </w:trPr>
        <w:tc>
          <w:tcPr>
            <w:tcW w:w="5000" w:type="pct"/>
            <w:gridSpan w:val="13"/>
            <w:tcBorders>
              <w:top w:val="single" w:color="auto" w:sz="4" w:space="0"/>
              <w:left w:val="single" w:color="auto" w:sz="4" w:space="0"/>
              <w:bottom w:val="single" w:color="auto" w:sz="4" w:space="0"/>
              <w:right w:val="single" w:color="000000" w:sz="4" w:space="0"/>
            </w:tcBorders>
            <w:shd w:val="clear" w:color="F3F3F3" w:fill="DAF1F3"/>
            <w:noWrap/>
            <w:vAlign w:val="center"/>
          </w:tcPr>
          <w:p w14:paraId="2402A261">
            <w:pPr>
              <w:spacing w:line="240" w:lineRule="auto"/>
              <w:jc w:val="center"/>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r>
      <w:tr w14:paraId="69F1FC7F">
        <w:tblPrEx>
          <w:tblCellMar>
            <w:top w:w="0" w:type="dxa"/>
            <w:left w:w="108" w:type="dxa"/>
            <w:bottom w:w="0" w:type="dxa"/>
            <w:right w:w="108" w:type="dxa"/>
          </w:tblCellMar>
        </w:tblPrEx>
        <w:trPr>
          <w:trHeight w:val="348"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14EDD8AA">
            <w:pPr>
              <w:spacing w:line="240" w:lineRule="auto"/>
              <w:rPr>
                <w:rFonts w:ascii="Times New Roman" w:hAnsi="Times New Roman" w:eastAsia="Times New Roman" w:cs="Times New Roman"/>
                <w:b/>
                <w:bCs/>
                <w:i/>
                <w:iCs/>
                <w:sz w:val="16"/>
                <w:szCs w:val="16"/>
                <w:lang w:val="en-IN"/>
              </w:rPr>
            </w:pPr>
            <w:r>
              <w:rPr>
                <w:rFonts w:ascii="Times New Roman" w:hAnsi="Times New Roman" w:eastAsia="Times New Roman" w:cs="Times New Roman"/>
                <w:b/>
                <w:bCs/>
                <w:i/>
                <w:iCs/>
                <w:sz w:val="16"/>
                <w:szCs w:val="16"/>
                <w:lang w:val="en-IN"/>
              </w:rPr>
              <w:t>Liquidity Ratios</w:t>
            </w:r>
          </w:p>
        </w:tc>
        <w:tc>
          <w:tcPr>
            <w:tcW w:w="591" w:type="pct"/>
            <w:tcBorders>
              <w:top w:val="nil"/>
              <w:left w:val="nil"/>
              <w:bottom w:val="single" w:color="auto" w:sz="4" w:space="0"/>
              <w:right w:val="single" w:color="auto" w:sz="4" w:space="0"/>
            </w:tcBorders>
            <w:shd w:val="clear" w:color="000000" w:fill="FFFFFF"/>
            <w:noWrap/>
            <w:vAlign w:val="center"/>
          </w:tcPr>
          <w:p w14:paraId="039DA89C">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525A1AA6">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5BD3210">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77" w:type="pct"/>
            <w:tcBorders>
              <w:top w:val="nil"/>
              <w:left w:val="nil"/>
              <w:bottom w:val="single" w:color="auto" w:sz="4" w:space="0"/>
              <w:right w:val="single" w:color="auto" w:sz="4" w:space="0"/>
            </w:tcBorders>
            <w:shd w:val="clear" w:color="000000" w:fill="FFFFFF"/>
            <w:noWrap/>
            <w:vAlign w:val="center"/>
          </w:tcPr>
          <w:p w14:paraId="26366EE6">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1149344A">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4067C057">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74AB20E">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41" w:type="pct"/>
            <w:tcBorders>
              <w:top w:val="nil"/>
              <w:left w:val="nil"/>
              <w:bottom w:val="single" w:color="auto" w:sz="4" w:space="0"/>
              <w:right w:val="single" w:color="auto" w:sz="4" w:space="0"/>
            </w:tcBorders>
            <w:shd w:val="clear" w:color="000000" w:fill="FFFFFF"/>
            <w:noWrap/>
            <w:vAlign w:val="center"/>
          </w:tcPr>
          <w:p w14:paraId="379DA4DE">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35CAB410">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4" w:type="pct"/>
            <w:tcBorders>
              <w:top w:val="nil"/>
              <w:left w:val="nil"/>
              <w:bottom w:val="single" w:color="auto" w:sz="4" w:space="0"/>
              <w:right w:val="single" w:color="auto" w:sz="4" w:space="0"/>
            </w:tcBorders>
            <w:shd w:val="clear" w:color="000000" w:fill="FFFFFF"/>
            <w:noWrap/>
            <w:vAlign w:val="center"/>
          </w:tcPr>
          <w:p w14:paraId="3C6A945E">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5FCAA9B8">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8" w:type="pct"/>
            <w:tcBorders>
              <w:top w:val="nil"/>
              <w:left w:val="nil"/>
              <w:bottom w:val="single" w:color="auto" w:sz="4" w:space="0"/>
              <w:right w:val="single" w:color="auto" w:sz="4" w:space="0"/>
            </w:tcBorders>
            <w:shd w:val="clear" w:color="000000" w:fill="FFFFFF"/>
            <w:noWrap/>
            <w:vAlign w:val="center"/>
          </w:tcPr>
          <w:p w14:paraId="7CDDF44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63232BE7">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03707BC4">
            <w:pPr>
              <w:spacing w:line="240" w:lineRule="auto"/>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Current Ratio</w:t>
            </w:r>
          </w:p>
        </w:tc>
        <w:tc>
          <w:tcPr>
            <w:tcW w:w="591" w:type="pct"/>
            <w:vMerge w:val="restart"/>
            <w:tcBorders>
              <w:top w:val="nil"/>
              <w:left w:val="single" w:color="auto" w:sz="4" w:space="0"/>
              <w:bottom w:val="single" w:color="auto" w:sz="4" w:space="0"/>
              <w:right w:val="single" w:color="auto" w:sz="4" w:space="0"/>
            </w:tcBorders>
            <w:shd w:val="clear" w:color="FCE5CD" w:fill="FFFFFF"/>
            <w:vAlign w:val="center"/>
          </w:tcPr>
          <w:p w14:paraId="0D48C9B3">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Current Assets / Current Liabilities</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3C6E940C">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$3626 / $6407 = 0.57 Times</w:t>
            </w:r>
          </w:p>
        </w:tc>
        <w:tc>
          <w:tcPr>
            <w:tcW w:w="288" w:type="pct"/>
            <w:tcBorders>
              <w:top w:val="nil"/>
              <w:left w:val="nil"/>
              <w:bottom w:val="single" w:color="auto" w:sz="4" w:space="0"/>
              <w:right w:val="single" w:color="auto" w:sz="4" w:space="0"/>
            </w:tcBorders>
            <w:shd w:val="clear" w:color="FFFF00" w:fill="FFFFFF"/>
            <w:noWrap/>
            <w:vAlign w:val="center"/>
          </w:tcPr>
          <w:p w14:paraId="793256CA">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0.57</w:t>
            </w:r>
          </w:p>
        </w:tc>
        <w:tc>
          <w:tcPr>
            <w:tcW w:w="377" w:type="pct"/>
            <w:vMerge w:val="restart"/>
            <w:tcBorders>
              <w:top w:val="nil"/>
              <w:left w:val="single" w:color="auto" w:sz="4" w:space="0"/>
              <w:bottom w:val="single" w:color="auto" w:sz="4" w:space="0"/>
              <w:right w:val="single" w:color="auto" w:sz="4" w:space="0"/>
            </w:tcBorders>
            <w:shd w:val="clear" w:color="F3F3F3" w:fill="FEF2CD"/>
            <w:vAlign w:val="center"/>
          </w:tcPr>
          <w:p w14:paraId="1B3879B2">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$3313 / $7339 = 0.45 Times</w:t>
            </w:r>
          </w:p>
        </w:tc>
        <w:tc>
          <w:tcPr>
            <w:tcW w:w="288" w:type="pct"/>
            <w:tcBorders>
              <w:top w:val="nil"/>
              <w:left w:val="nil"/>
              <w:bottom w:val="single" w:color="auto" w:sz="4" w:space="0"/>
              <w:right w:val="single" w:color="auto" w:sz="4" w:space="0"/>
            </w:tcBorders>
            <w:shd w:val="clear" w:color="FFFF00" w:fill="FFFFFF"/>
            <w:noWrap/>
            <w:vAlign w:val="center"/>
          </w:tcPr>
          <w:p w14:paraId="60A1744F">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0.45</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2CF7E1F4">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$3311 / $7762 = 0.43 Times</w:t>
            </w:r>
          </w:p>
        </w:tc>
        <w:tc>
          <w:tcPr>
            <w:tcW w:w="288" w:type="pct"/>
            <w:tcBorders>
              <w:top w:val="nil"/>
              <w:left w:val="nil"/>
              <w:bottom w:val="single" w:color="auto" w:sz="4" w:space="0"/>
              <w:right w:val="single" w:color="auto" w:sz="4" w:space="0"/>
            </w:tcBorders>
            <w:shd w:val="clear" w:color="FFFF00" w:fill="FFFFFF"/>
            <w:noWrap/>
            <w:vAlign w:val="center"/>
          </w:tcPr>
          <w:p w14:paraId="3CA40CA8">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0.43</w:t>
            </w:r>
          </w:p>
        </w:tc>
        <w:tc>
          <w:tcPr>
            <w:tcW w:w="341" w:type="pct"/>
            <w:vMerge w:val="restart"/>
            <w:tcBorders>
              <w:top w:val="nil"/>
              <w:left w:val="single" w:color="auto" w:sz="4" w:space="0"/>
              <w:bottom w:val="single" w:color="auto" w:sz="4" w:space="0"/>
              <w:right w:val="single" w:color="auto" w:sz="4" w:space="0"/>
            </w:tcBorders>
            <w:shd w:val="clear" w:color="F3F3F3" w:fill="FEF2CD"/>
            <w:vAlign w:val="center"/>
          </w:tcPr>
          <w:p w14:paraId="7C8659A7">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$3485 / $8649 = 0.40 Times</w:t>
            </w:r>
          </w:p>
        </w:tc>
        <w:tc>
          <w:tcPr>
            <w:tcW w:w="288" w:type="pct"/>
            <w:tcBorders>
              <w:top w:val="nil"/>
              <w:left w:val="nil"/>
              <w:bottom w:val="single" w:color="auto" w:sz="4" w:space="0"/>
              <w:right w:val="single" w:color="auto" w:sz="4" w:space="0"/>
            </w:tcBorders>
            <w:shd w:val="clear" w:color="FFFF00" w:fill="FFFFFF"/>
            <w:noWrap/>
            <w:vAlign w:val="center"/>
          </w:tcPr>
          <w:p w14:paraId="492A4697">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0.40</w:t>
            </w:r>
          </w:p>
        </w:tc>
        <w:tc>
          <w:tcPr>
            <w:tcW w:w="304" w:type="pct"/>
            <w:vMerge w:val="restart"/>
            <w:tcBorders>
              <w:top w:val="nil"/>
              <w:left w:val="single" w:color="auto" w:sz="4" w:space="0"/>
              <w:bottom w:val="single" w:color="auto" w:sz="4" w:space="0"/>
              <w:right w:val="single" w:color="auto" w:sz="4" w:space="0"/>
            </w:tcBorders>
            <w:shd w:val="clear" w:color="F3F3F3" w:fill="FEF2CD"/>
            <w:vAlign w:val="center"/>
          </w:tcPr>
          <w:p w14:paraId="75E2F07C">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$3584 / $8398 = 0.43 Times</w:t>
            </w:r>
          </w:p>
        </w:tc>
        <w:tc>
          <w:tcPr>
            <w:tcW w:w="288" w:type="pct"/>
            <w:tcBorders>
              <w:top w:val="nil"/>
              <w:left w:val="nil"/>
              <w:bottom w:val="single" w:color="auto" w:sz="4" w:space="0"/>
              <w:right w:val="single" w:color="auto" w:sz="4" w:space="0"/>
            </w:tcBorders>
            <w:shd w:val="clear" w:color="FFFF00" w:fill="FFFFFF"/>
            <w:noWrap/>
            <w:vAlign w:val="center"/>
          </w:tcPr>
          <w:p w14:paraId="1E30B8E3">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0.43</w:t>
            </w:r>
          </w:p>
        </w:tc>
        <w:tc>
          <w:tcPr>
            <w:tcW w:w="308" w:type="pct"/>
            <w:tcBorders>
              <w:top w:val="nil"/>
              <w:left w:val="nil"/>
              <w:bottom w:val="single" w:color="auto" w:sz="4" w:space="0"/>
              <w:right w:val="single" w:color="auto" w:sz="4" w:space="0"/>
            </w:tcBorders>
            <w:shd w:val="clear" w:color="000000" w:fill="FFFF00"/>
            <w:noWrap/>
            <w:vAlign w:val="center"/>
          </w:tcPr>
          <w:p w14:paraId="4E31AF69">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1.05 Times</w:t>
            </w:r>
          </w:p>
        </w:tc>
      </w:tr>
      <w:tr w14:paraId="235F3AB0">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5758382D">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Current Assets</w:t>
            </w:r>
          </w:p>
        </w:tc>
        <w:tc>
          <w:tcPr>
            <w:tcW w:w="591" w:type="pct"/>
            <w:vMerge w:val="continue"/>
            <w:tcBorders>
              <w:top w:val="nil"/>
              <w:left w:val="single" w:color="auto" w:sz="4" w:space="0"/>
              <w:bottom w:val="single" w:color="auto" w:sz="4" w:space="0"/>
              <w:right w:val="single" w:color="auto" w:sz="4" w:space="0"/>
            </w:tcBorders>
            <w:vAlign w:val="center"/>
          </w:tcPr>
          <w:p w14:paraId="6E6FE877">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5636206E">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586F7E5">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$3,626.00</w:t>
            </w:r>
          </w:p>
        </w:tc>
        <w:tc>
          <w:tcPr>
            <w:tcW w:w="377" w:type="pct"/>
            <w:vMerge w:val="continue"/>
            <w:tcBorders>
              <w:top w:val="nil"/>
              <w:left w:val="single" w:color="auto" w:sz="4" w:space="0"/>
              <w:bottom w:val="single" w:color="auto" w:sz="4" w:space="0"/>
              <w:right w:val="single" w:color="auto" w:sz="4" w:space="0"/>
            </w:tcBorders>
            <w:vAlign w:val="center"/>
          </w:tcPr>
          <w:p w14:paraId="55E10786">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34EA78EC">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$3,313.00</w:t>
            </w:r>
          </w:p>
        </w:tc>
        <w:tc>
          <w:tcPr>
            <w:tcW w:w="283" w:type="pct"/>
            <w:vMerge w:val="continue"/>
            <w:tcBorders>
              <w:top w:val="nil"/>
              <w:left w:val="single" w:color="auto" w:sz="4" w:space="0"/>
              <w:bottom w:val="single" w:color="auto" w:sz="4" w:space="0"/>
              <w:right w:val="single" w:color="auto" w:sz="4" w:space="0"/>
            </w:tcBorders>
            <w:vAlign w:val="center"/>
          </w:tcPr>
          <w:p w14:paraId="222DB606">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EACD82C">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$3,311.00</w:t>
            </w:r>
          </w:p>
        </w:tc>
        <w:tc>
          <w:tcPr>
            <w:tcW w:w="341" w:type="pct"/>
            <w:vMerge w:val="continue"/>
            <w:tcBorders>
              <w:top w:val="nil"/>
              <w:left w:val="single" w:color="auto" w:sz="4" w:space="0"/>
              <w:bottom w:val="single" w:color="auto" w:sz="4" w:space="0"/>
              <w:right w:val="single" w:color="auto" w:sz="4" w:space="0"/>
            </w:tcBorders>
            <w:vAlign w:val="center"/>
          </w:tcPr>
          <w:p w14:paraId="57EE0193">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60BF4C54">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$3,485.00</w:t>
            </w:r>
          </w:p>
        </w:tc>
        <w:tc>
          <w:tcPr>
            <w:tcW w:w="304" w:type="pct"/>
            <w:vMerge w:val="continue"/>
            <w:tcBorders>
              <w:top w:val="nil"/>
              <w:left w:val="single" w:color="auto" w:sz="4" w:space="0"/>
              <w:bottom w:val="single" w:color="auto" w:sz="4" w:space="0"/>
              <w:right w:val="single" w:color="auto" w:sz="4" w:space="0"/>
            </w:tcBorders>
            <w:vAlign w:val="center"/>
          </w:tcPr>
          <w:p w14:paraId="25E009E2">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1EE7F500">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$3,584.00</w:t>
            </w:r>
          </w:p>
        </w:tc>
        <w:tc>
          <w:tcPr>
            <w:tcW w:w="308" w:type="pct"/>
            <w:tcBorders>
              <w:top w:val="nil"/>
              <w:left w:val="nil"/>
              <w:bottom w:val="single" w:color="auto" w:sz="4" w:space="0"/>
              <w:right w:val="single" w:color="auto" w:sz="4" w:space="0"/>
            </w:tcBorders>
            <w:shd w:val="clear" w:color="000000" w:fill="FFFFFF"/>
            <w:noWrap/>
            <w:vAlign w:val="center"/>
          </w:tcPr>
          <w:p w14:paraId="43AEC8EE">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32023F30">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175B3ED1">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Current Liabilities</w:t>
            </w:r>
          </w:p>
        </w:tc>
        <w:tc>
          <w:tcPr>
            <w:tcW w:w="591" w:type="pct"/>
            <w:vMerge w:val="continue"/>
            <w:tcBorders>
              <w:top w:val="nil"/>
              <w:left w:val="single" w:color="auto" w:sz="4" w:space="0"/>
              <w:bottom w:val="single" w:color="auto" w:sz="4" w:space="0"/>
              <w:right w:val="single" w:color="auto" w:sz="4" w:space="0"/>
            </w:tcBorders>
            <w:vAlign w:val="center"/>
          </w:tcPr>
          <w:p w14:paraId="22859957">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7A586808">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2C9BFB69">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$6,407.00</w:t>
            </w:r>
          </w:p>
        </w:tc>
        <w:tc>
          <w:tcPr>
            <w:tcW w:w="377" w:type="pct"/>
            <w:vMerge w:val="continue"/>
            <w:tcBorders>
              <w:top w:val="nil"/>
              <w:left w:val="single" w:color="auto" w:sz="4" w:space="0"/>
              <w:bottom w:val="single" w:color="auto" w:sz="4" w:space="0"/>
              <w:right w:val="single" w:color="auto" w:sz="4" w:space="0"/>
            </w:tcBorders>
            <w:vAlign w:val="center"/>
          </w:tcPr>
          <w:p w14:paraId="7708B266">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23B0E94B">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$7,339.00</w:t>
            </w:r>
          </w:p>
        </w:tc>
        <w:tc>
          <w:tcPr>
            <w:tcW w:w="283" w:type="pct"/>
            <w:vMerge w:val="continue"/>
            <w:tcBorders>
              <w:top w:val="nil"/>
              <w:left w:val="single" w:color="auto" w:sz="4" w:space="0"/>
              <w:bottom w:val="single" w:color="auto" w:sz="4" w:space="0"/>
              <w:right w:val="single" w:color="auto" w:sz="4" w:space="0"/>
            </w:tcBorders>
            <w:vAlign w:val="center"/>
          </w:tcPr>
          <w:p w14:paraId="54F2ADFF">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D0A01F9">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$7,762.00</w:t>
            </w:r>
          </w:p>
        </w:tc>
        <w:tc>
          <w:tcPr>
            <w:tcW w:w="341" w:type="pct"/>
            <w:vMerge w:val="continue"/>
            <w:tcBorders>
              <w:top w:val="nil"/>
              <w:left w:val="single" w:color="auto" w:sz="4" w:space="0"/>
              <w:bottom w:val="single" w:color="auto" w:sz="4" w:space="0"/>
              <w:right w:val="single" w:color="auto" w:sz="4" w:space="0"/>
            </w:tcBorders>
            <w:vAlign w:val="center"/>
          </w:tcPr>
          <w:p w14:paraId="03FAB4B5">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3F331FC">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$8,649.00</w:t>
            </w:r>
          </w:p>
        </w:tc>
        <w:tc>
          <w:tcPr>
            <w:tcW w:w="304" w:type="pct"/>
            <w:vMerge w:val="continue"/>
            <w:tcBorders>
              <w:top w:val="nil"/>
              <w:left w:val="single" w:color="auto" w:sz="4" w:space="0"/>
              <w:bottom w:val="single" w:color="auto" w:sz="4" w:space="0"/>
              <w:right w:val="single" w:color="auto" w:sz="4" w:space="0"/>
            </w:tcBorders>
            <w:vAlign w:val="center"/>
          </w:tcPr>
          <w:p w14:paraId="63D16D28">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45584D9">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$8,398.00</w:t>
            </w:r>
          </w:p>
        </w:tc>
        <w:tc>
          <w:tcPr>
            <w:tcW w:w="308" w:type="pct"/>
            <w:tcBorders>
              <w:top w:val="nil"/>
              <w:left w:val="nil"/>
              <w:bottom w:val="single" w:color="auto" w:sz="4" w:space="0"/>
              <w:right w:val="single" w:color="auto" w:sz="4" w:space="0"/>
            </w:tcBorders>
            <w:shd w:val="clear" w:color="000000" w:fill="FFFFFF"/>
            <w:noWrap/>
            <w:vAlign w:val="center"/>
          </w:tcPr>
          <w:p w14:paraId="0FD67990">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05A4CF4A">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1B3EDEE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591" w:type="pct"/>
            <w:tcBorders>
              <w:top w:val="nil"/>
              <w:left w:val="nil"/>
              <w:bottom w:val="single" w:color="auto" w:sz="4" w:space="0"/>
              <w:right w:val="single" w:color="auto" w:sz="4" w:space="0"/>
            </w:tcBorders>
            <w:shd w:val="clear" w:color="000000" w:fill="FFFFFF"/>
            <w:noWrap/>
            <w:vAlign w:val="center"/>
          </w:tcPr>
          <w:p w14:paraId="55FAA5FA">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0BBE420A">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1CF8216C">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77" w:type="pct"/>
            <w:tcBorders>
              <w:top w:val="nil"/>
              <w:left w:val="nil"/>
              <w:bottom w:val="single" w:color="auto" w:sz="4" w:space="0"/>
              <w:right w:val="single" w:color="auto" w:sz="4" w:space="0"/>
            </w:tcBorders>
            <w:shd w:val="clear" w:color="000000" w:fill="FFFFFF"/>
            <w:noWrap/>
            <w:vAlign w:val="center"/>
          </w:tcPr>
          <w:p w14:paraId="7626F104">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4EF91CEA">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45D71D97">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89708DD">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41" w:type="pct"/>
            <w:tcBorders>
              <w:top w:val="nil"/>
              <w:left w:val="nil"/>
              <w:bottom w:val="single" w:color="auto" w:sz="4" w:space="0"/>
              <w:right w:val="single" w:color="auto" w:sz="4" w:space="0"/>
            </w:tcBorders>
            <w:shd w:val="clear" w:color="000000" w:fill="FFFFFF"/>
            <w:noWrap/>
            <w:vAlign w:val="center"/>
          </w:tcPr>
          <w:p w14:paraId="053BEC6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6E96816">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4" w:type="pct"/>
            <w:tcBorders>
              <w:top w:val="nil"/>
              <w:left w:val="nil"/>
              <w:bottom w:val="single" w:color="auto" w:sz="4" w:space="0"/>
              <w:right w:val="single" w:color="auto" w:sz="4" w:space="0"/>
            </w:tcBorders>
            <w:shd w:val="clear" w:color="000000" w:fill="FFFFFF"/>
            <w:noWrap/>
            <w:vAlign w:val="center"/>
          </w:tcPr>
          <w:p w14:paraId="234AFC12">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0EB4FD7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8" w:type="pct"/>
            <w:tcBorders>
              <w:top w:val="nil"/>
              <w:left w:val="nil"/>
              <w:bottom w:val="single" w:color="auto" w:sz="4" w:space="0"/>
              <w:right w:val="single" w:color="auto" w:sz="4" w:space="0"/>
            </w:tcBorders>
            <w:shd w:val="clear" w:color="000000" w:fill="FFFFFF"/>
            <w:noWrap/>
            <w:vAlign w:val="center"/>
          </w:tcPr>
          <w:p w14:paraId="506D2156">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5F31F787">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1EB104B4">
            <w:pPr>
              <w:spacing w:line="240" w:lineRule="auto"/>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Cash Ratio</w:t>
            </w:r>
          </w:p>
        </w:tc>
        <w:tc>
          <w:tcPr>
            <w:tcW w:w="591" w:type="pct"/>
            <w:vMerge w:val="restart"/>
            <w:tcBorders>
              <w:top w:val="nil"/>
              <w:left w:val="single" w:color="auto" w:sz="4" w:space="0"/>
              <w:bottom w:val="single" w:color="auto" w:sz="4" w:space="0"/>
              <w:right w:val="single" w:color="auto" w:sz="4" w:space="0"/>
            </w:tcBorders>
            <w:shd w:val="clear" w:color="FCE5CD" w:fill="FFFFFF"/>
            <w:vAlign w:val="center"/>
          </w:tcPr>
          <w:p w14:paraId="080E376C">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 xml:space="preserve">Cash &amp; Cash Equivalent / Current </w:t>
            </w:r>
            <w:bookmarkStart w:id="52" w:name="_GoBack"/>
            <w:bookmarkEnd w:id="52"/>
            <w:r>
              <w:rPr>
                <w:rFonts w:ascii="Times New Roman" w:hAnsi="Times New Roman" w:eastAsia="Times New Roman" w:cs="Times New Roman"/>
                <w:i/>
                <w:iCs/>
                <w:sz w:val="16"/>
                <w:szCs w:val="16"/>
                <w:lang w:val="en-IN"/>
              </w:rPr>
              <w:t>Liabilities</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2470EF65">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$1393 / $6407 = 0.22 Times</w:t>
            </w:r>
          </w:p>
        </w:tc>
        <w:tc>
          <w:tcPr>
            <w:tcW w:w="288" w:type="pct"/>
            <w:tcBorders>
              <w:top w:val="nil"/>
              <w:left w:val="nil"/>
              <w:bottom w:val="single" w:color="auto" w:sz="4" w:space="0"/>
              <w:right w:val="single" w:color="auto" w:sz="4" w:space="0"/>
            </w:tcBorders>
            <w:shd w:val="clear" w:color="FFFF00" w:fill="FFFFFF"/>
            <w:noWrap/>
            <w:vAlign w:val="center"/>
          </w:tcPr>
          <w:p w14:paraId="1B9CC245">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0.22</w:t>
            </w:r>
          </w:p>
        </w:tc>
        <w:tc>
          <w:tcPr>
            <w:tcW w:w="377" w:type="pct"/>
            <w:vMerge w:val="restart"/>
            <w:tcBorders>
              <w:top w:val="nil"/>
              <w:left w:val="single" w:color="auto" w:sz="4" w:space="0"/>
              <w:bottom w:val="single" w:color="auto" w:sz="4" w:space="0"/>
              <w:right w:val="single" w:color="auto" w:sz="4" w:space="0"/>
            </w:tcBorders>
            <w:shd w:val="clear" w:color="F3F3F3" w:fill="FEF2CD"/>
            <w:vAlign w:val="center"/>
          </w:tcPr>
          <w:p w14:paraId="67D59CF7">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$507 / $7339 = 0.07 Times</w:t>
            </w:r>
          </w:p>
        </w:tc>
        <w:tc>
          <w:tcPr>
            <w:tcW w:w="288" w:type="pct"/>
            <w:tcBorders>
              <w:top w:val="nil"/>
              <w:left w:val="nil"/>
              <w:bottom w:val="single" w:color="auto" w:sz="4" w:space="0"/>
              <w:right w:val="single" w:color="auto" w:sz="4" w:space="0"/>
            </w:tcBorders>
            <w:shd w:val="clear" w:color="FFFF00" w:fill="FFFFFF"/>
            <w:noWrap/>
            <w:vAlign w:val="center"/>
          </w:tcPr>
          <w:p w14:paraId="08F3B003">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0.07</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07B4155F">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$338 / $7762 = 0.04 Times</w:t>
            </w:r>
          </w:p>
        </w:tc>
        <w:tc>
          <w:tcPr>
            <w:tcW w:w="288" w:type="pct"/>
            <w:tcBorders>
              <w:top w:val="nil"/>
              <w:left w:val="nil"/>
              <w:bottom w:val="single" w:color="auto" w:sz="4" w:space="0"/>
              <w:right w:val="single" w:color="auto" w:sz="4" w:space="0"/>
            </w:tcBorders>
            <w:shd w:val="clear" w:color="FFFF00" w:fill="FFFFFF"/>
            <w:noWrap/>
            <w:vAlign w:val="center"/>
          </w:tcPr>
          <w:p w14:paraId="22A48C6B">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0.04</w:t>
            </w:r>
          </w:p>
        </w:tc>
        <w:tc>
          <w:tcPr>
            <w:tcW w:w="341" w:type="pct"/>
            <w:vMerge w:val="restart"/>
            <w:tcBorders>
              <w:top w:val="nil"/>
              <w:left w:val="single" w:color="auto" w:sz="4" w:space="0"/>
              <w:bottom w:val="single" w:color="auto" w:sz="4" w:space="0"/>
              <w:right w:val="single" w:color="auto" w:sz="4" w:space="0"/>
            </w:tcBorders>
            <w:shd w:val="clear" w:color="F3F3F3" w:fill="FEF2CD"/>
            <w:vAlign w:val="center"/>
          </w:tcPr>
          <w:p w14:paraId="1DABB379">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$396 / $8649 = 0.05 Times</w:t>
            </w:r>
          </w:p>
        </w:tc>
        <w:tc>
          <w:tcPr>
            <w:tcW w:w="288" w:type="pct"/>
            <w:tcBorders>
              <w:top w:val="nil"/>
              <w:left w:val="nil"/>
              <w:bottom w:val="single" w:color="auto" w:sz="4" w:space="0"/>
              <w:right w:val="single" w:color="auto" w:sz="4" w:space="0"/>
            </w:tcBorders>
            <w:shd w:val="clear" w:color="FFFF00" w:fill="FFFFFF"/>
            <w:noWrap/>
            <w:vAlign w:val="center"/>
          </w:tcPr>
          <w:p w14:paraId="5F10F130">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0.05</w:t>
            </w:r>
          </w:p>
        </w:tc>
        <w:tc>
          <w:tcPr>
            <w:tcW w:w="304" w:type="pct"/>
            <w:vMerge w:val="restart"/>
            <w:tcBorders>
              <w:top w:val="nil"/>
              <w:left w:val="single" w:color="auto" w:sz="4" w:space="0"/>
              <w:bottom w:val="single" w:color="auto" w:sz="4" w:space="0"/>
              <w:right w:val="single" w:color="auto" w:sz="4" w:space="0"/>
            </w:tcBorders>
            <w:shd w:val="clear" w:color="F3F3F3" w:fill="FEF2CD"/>
            <w:vAlign w:val="center"/>
          </w:tcPr>
          <w:p w14:paraId="28019C2D">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$358 / $8398 = 0.04 Times</w:t>
            </w:r>
          </w:p>
        </w:tc>
        <w:tc>
          <w:tcPr>
            <w:tcW w:w="288" w:type="pct"/>
            <w:tcBorders>
              <w:top w:val="nil"/>
              <w:left w:val="nil"/>
              <w:bottom w:val="single" w:color="auto" w:sz="4" w:space="0"/>
              <w:right w:val="single" w:color="auto" w:sz="4" w:space="0"/>
            </w:tcBorders>
            <w:shd w:val="clear" w:color="FFFF00" w:fill="FFFFFF"/>
            <w:noWrap/>
            <w:vAlign w:val="center"/>
          </w:tcPr>
          <w:p w14:paraId="60D126BD">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0.04</w:t>
            </w:r>
          </w:p>
        </w:tc>
        <w:tc>
          <w:tcPr>
            <w:tcW w:w="308" w:type="pct"/>
            <w:tcBorders>
              <w:top w:val="nil"/>
              <w:left w:val="nil"/>
              <w:bottom w:val="single" w:color="auto" w:sz="4" w:space="0"/>
              <w:right w:val="single" w:color="auto" w:sz="4" w:space="0"/>
            </w:tcBorders>
            <w:shd w:val="clear" w:color="000000" w:fill="FFFF00"/>
            <w:noWrap/>
            <w:vAlign w:val="center"/>
          </w:tcPr>
          <w:p w14:paraId="52C809EF">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0.45 Times</w:t>
            </w:r>
          </w:p>
        </w:tc>
      </w:tr>
      <w:tr w14:paraId="2741A97D">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1AF1F0DA">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xml:space="preserve">Cash &amp; Cash Equivalent </w:t>
            </w:r>
          </w:p>
        </w:tc>
        <w:tc>
          <w:tcPr>
            <w:tcW w:w="591" w:type="pct"/>
            <w:vMerge w:val="continue"/>
            <w:tcBorders>
              <w:top w:val="nil"/>
              <w:left w:val="single" w:color="auto" w:sz="4" w:space="0"/>
              <w:bottom w:val="single" w:color="auto" w:sz="4" w:space="0"/>
              <w:right w:val="single" w:color="auto" w:sz="4" w:space="0"/>
            </w:tcBorders>
            <w:vAlign w:val="center"/>
          </w:tcPr>
          <w:p w14:paraId="4EB1A9DF">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10CE9F37">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61BEB43B">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$1,393.00</w:t>
            </w:r>
          </w:p>
        </w:tc>
        <w:tc>
          <w:tcPr>
            <w:tcW w:w="377" w:type="pct"/>
            <w:vMerge w:val="continue"/>
            <w:tcBorders>
              <w:top w:val="nil"/>
              <w:left w:val="single" w:color="auto" w:sz="4" w:space="0"/>
              <w:bottom w:val="single" w:color="auto" w:sz="4" w:space="0"/>
              <w:right w:val="single" w:color="auto" w:sz="4" w:space="0"/>
            </w:tcBorders>
            <w:vAlign w:val="center"/>
          </w:tcPr>
          <w:p w14:paraId="6C151E90">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01426012">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$507.00</w:t>
            </w:r>
          </w:p>
        </w:tc>
        <w:tc>
          <w:tcPr>
            <w:tcW w:w="283" w:type="pct"/>
            <w:vMerge w:val="continue"/>
            <w:tcBorders>
              <w:top w:val="nil"/>
              <w:left w:val="single" w:color="auto" w:sz="4" w:space="0"/>
              <w:bottom w:val="single" w:color="auto" w:sz="4" w:space="0"/>
              <w:right w:val="single" w:color="auto" w:sz="4" w:space="0"/>
            </w:tcBorders>
            <w:vAlign w:val="center"/>
          </w:tcPr>
          <w:p w14:paraId="6A6C396D">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4E3EEDA">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$338.00</w:t>
            </w:r>
          </w:p>
        </w:tc>
        <w:tc>
          <w:tcPr>
            <w:tcW w:w="341" w:type="pct"/>
            <w:vMerge w:val="continue"/>
            <w:tcBorders>
              <w:top w:val="nil"/>
              <w:left w:val="single" w:color="auto" w:sz="4" w:space="0"/>
              <w:bottom w:val="single" w:color="auto" w:sz="4" w:space="0"/>
              <w:right w:val="single" w:color="auto" w:sz="4" w:space="0"/>
            </w:tcBorders>
            <w:vAlign w:val="center"/>
          </w:tcPr>
          <w:p w14:paraId="474F07D9">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3DECE3D4">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$396.00</w:t>
            </w:r>
          </w:p>
        </w:tc>
        <w:tc>
          <w:tcPr>
            <w:tcW w:w="304" w:type="pct"/>
            <w:vMerge w:val="continue"/>
            <w:tcBorders>
              <w:top w:val="nil"/>
              <w:left w:val="single" w:color="auto" w:sz="4" w:space="0"/>
              <w:bottom w:val="single" w:color="auto" w:sz="4" w:space="0"/>
              <w:right w:val="single" w:color="auto" w:sz="4" w:space="0"/>
            </w:tcBorders>
            <w:vAlign w:val="center"/>
          </w:tcPr>
          <w:p w14:paraId="43ED073E">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73BBD72">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$358.00</w:t>
            </w:r>
          </w:p>
        </w:tc>
        <w:tc>
          <w:tcPr>
            <w:tcW w:w="308" w:type="pct"/>
            <w:tcBorders>
              <w:top w:val="nil"/>
              <w:left w:val="nil"/>
              <w:bottom w:val="single" w:color="auto" w:sz="4" w:space="0"/>
              <w:right w:val="single" w:color="auto" w:sz="4" w:space="0"/>
            </w:tcBorders>
            <w:shd w:val="clear" w:color="000000" w:fill="FFFFFF"/>
            <w:noWrap/>
            <w:vAlign w:val="center"/>
          </w:tcPr>
          <w:p w14:paraId="49DFBC25">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0F7D005A">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1D0FF648">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Current Liabilities</w:t>
            </w:r>
          </w:p>
        </w:tc>
        <w:tc>
          <w:tcPr>
            <w:tcW w:w="591" w:type="pct"/>
            <w:vMerge w:val="continue"/>
            <w:tcBorders>
              <w:top w:val="nil"/>
              <w:left w:val="single" w:color="auto" w:sz="4" w:space="0"/>
              <w:bottom w:val="single" w:color="auto" w:sz="4" w:space="0"/>
              <w:right w:val="single" w:color="auto" w:sz="4" w:space="0"/>
            </w:tcBorders>
            <w:vAlign w:val="center"/>
          </w:tcPr>
          <w:p w14:paraId="0867E1C8">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144D5CEC">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6F2841A">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$6,407.00</w:t>
            </w:r>
          </w:p>
        </w:tc>
        <w:tc>
          <w:tcPr>
            <w:tcW w:w="377" w:type="pct"/>
            <w:vMerge w:val="continue"/>
            <w:tcBorders>
              <w:top w:val="nil"/>
              <w:left w:val="single" w:color="auto" w:sz="4" w:space="0"/>
              <w:bottom w:val="single" w:color="auto" w:sz="4" w:space="0"/>
              <w:right w:val="single" w:color="auto" w:sz="4" w:space="0"/>
            </w:tcBorders>
            <w:vAlign w:val="center"/>
          </w:tcPr>
          <w:p w14:paraId="50C2C664">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B41C85D">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$7,339.00</w:t>
            </w:r>
          </w:p>
        </w:tc>
        <w:tc>
          <w:tcPr>
            <w:tcW w:w="283" w:type="pct"/>
            <w:vMerge w:val="continue"/>
            <w:tcBorders>
              <w:top w:val="nil"/>
              <w:left w:val="single" w:color="auto" w:sz="4" w:space="0"/>
              <w:bottom w:val="single" w:color="auto" w:sz="4" w:space="0"/>
              <w:right w:val="single" w:color="auto" w:sz="4" w:space="0"/>
            </w:tcBorders>
            <w:vAlign w:val="center"/>
          </w:tcPr>
          <w:p w14:paraId="05B0700E">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CC77B83">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$7,762.00</w:t>
            </w:r>
          </w:p>
        </w:tc>
        <w:tc>
          <w:tcPr>
            <w:tcW w:w="341" w:type="pct"/>
            <w:vMerge w:val="continue"/>
            <w:tcBorders>
              <w:top w:val="nil"/>
              <w:left w:val="single" w:color="auto" w:sz="4" w:space="0"/>
              <w:bottom w:val="single" w:color="auto" w:sz="4" w:space="0"/>
              <w:right w:val="single" w:color="auto" w:sz="4" w:space="0"/>
            </w:tcBorders>
            <w:vAlign w:val="center"/>
          </w:tcPr>
          <w:p w14:paraId="6BDA33CB">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2D01DF78">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$8,649.00</w:t>
            </w:r>
          </w:p>
        </w:tc>
        <w:tc>
          <w:tcPr>
            <w:tcW w:w="304" w:type="pct"/>
            <w:vMerge w:val="continue"/>
            <w:tcBorders>
              <w:top w:val="nil"/>
              <w:left w:val="single" w:color="auto" w:sz="4" w:space="0"/>
              <w:bottom w:val="single" w:color="auto" w:sz="4" w:space="0"/>
              <w:right w:val="single" w:color="auto" w:sz="4" w:space="0"/>
            </w:tcBorders>
            <w:vAlign w:val="center"/>
          </w:tcPr>
          <w:p w14:paraId="3BE6C7A6">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1F8608F8">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$8,398.00</w:t>
            </w:r>
          </w:p>
        </w:tc>
        <w:tc>
          <w:tcPr>
            <w:tcW w:w="308" w:type="pct"/>
            <w:tcBorders>
              <w:top w:val="nil"/>
              <w:left w:val="nil"/>
              <w:bottom w:val="single" w:color="auto" w:sz="4" w:space="0"/>
              <w:right w:val="single" w:color="auto" w:sz="4" w:space="0"/>
            </w:tcBorders>
            <w:shd w:val="clear" w:color="000000" w:fill="FFFFFF"/>
            <w:noWrap/>
            <w:vAlign w:val="center"/>
          </w:tcPr>
          <w:p w14:paraId="7412C784">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49FB4CB9">
        <w:tblPrEx>
          <w:tblCellMar>
            <w:top w:w="0" w:type="dxa"/>
            <w:left w:w="108" w:type="dxa"/>
            <w:bottom w:w="0" w:type="dxa"/>
            <w:right w:w="108" w:type="dxa"/>
          </w:tblCellMar>
        </w:tblPrEx>
        <w:trPr>
          <w:trHeight w:val="264" w:hRule="atLeast"/>
        </w:trPr>
        <w:tc>
          <w:tcPr>
            <w:tcW w:w="5000" w:type="pct"/>
            <w:gridSpan w:val="13"/>
            <w:tcBorders>
              <w:top w:val="single" w:color="auto" w:sz="4" w:space="0"/>
              <w:left w:val="single" w:color="auto" w:sz="4" w:space="0"/>
              <w:bottom w:val="single" w:color="auto" w:sz="4" w:space="0"/>
              <w:right w:val="single" w:color="000000" w:sz="4" w:space="0"/>
            </w:tcBorders>
            <w:shd w:val="clear" w:color="F3F3F3" w:fill="DAF1F3"/>
            <w:noWrap/>
            <w:vAlign w:val="center"/>
          </w:tcPr>
          <w:p w14:paraId="498337AA">
            <w:pPr>
              <w:spacing w:line="240" w:lineRule="auto"/>
              <w:jc w:val="center"/>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r>
      <w:tr w14:paraId="01B3E405">
        <w:tblPrEx>
          <w:tblCellMar>
            <w:top w:w="0" w:type="dxa"/>
            <w:left w:w="108" w:type="dxa"/>
            <w:bottom w:w="0" w:type="dxa"/>
            <w:right w:w="108" w:type="dxa"/>
          </w:tblCellMar>
        </w:tblPrEx>
        <w:trPr>
          <w:trHeight w:val="348"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48BB387D">
            <w:pPr>
              <w:spacing w:line="240" w:lineRule="auto"/>
              <w:rPr>
                <w:rFonts w:ascii="Times New Roman" w:hAnsi="Times New Roman" w:eastAsia="Times New Roman" w:cs="Times New Roman"/>
                <w:b/>
                <w:bCs/>
                <w:i/>
                <w:iCs/>
                <w:sz w:val="16"/>
                <w:szCs w:val="16"/>
                <w:lang w:val="en-IN"/>
              </w:rPr>
            </w:pPr>
            <w:r>
              <w:rPr>
                <w:rFonts w:ascii="Times New Roman" w:hAnsi="Times New Roman" w:eastAsia="Times New Roman" w:cs="Times New Roman"/>
                <w:b/>
                <w:bCs/>
                <w:i/>
                <w:iCs/>
                <w:sz w:val="16"/>
                <w:szCs w:val="16"/>
                <w:lang w:val="en-IN"/>
              </w:rPr>
              <w:t>Investor Ratio</w:t>
            </w:r>
          </w:p>
        </w:tc>
        <w:tc>
          <w:tcPr>
            <w:tcW w:w="591" w:type="pct"/>
            <w:tcBorders>
              <w:top w:val="nil"/>
              <w:left w:val="nil"/>
              <w:bottom w:val="single" w:color="auto" w:sz="4" w:space="0"/>
              <w:right w:val="single" w:color="auto" w:sz="4" w:space="0"/>
            </w:tcBorders>
            <w:shd w:val="clear" w:color="000000" w:fill="FFFFFF"/>
            <w:noWrap/>
            <w:vAlign w:val="center"/>
          </w:tcPr>
          <w:p w14:paraId="5172E0BC">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3F247785">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750A0061">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77" w:type="pct"/>
            <w:tcBorders>
              <w:top w:val="nil"/>
              <w:left w:val="nil"/>
              <w:bottom w:val="single" w:color="auto" w:sz="4" w:space="0"/>
              <w:right w:val="single" w:color="auto" w:sz="4" w:space="0"/>
            </w:tcBorders>
            <w:shd w:val="clear" w:color="000000" w:fill="FFFFFF"/>
            <w:noWrap/>
            <w:vAlign w:val="center"/>
          </w:tcPr>
          <w:p w14:paraId="1BBD8BFE">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51B04166">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71C9D3BF">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6CD4397">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41" w:type="pct"/>
            <w:tcBorders>
              <w:top w:val="nil"/>
              <w:left w:val="nil"/>
              <w:bottom w:val="single" w:color="auto" w:sz="4" w:space="0"/>
              <w:right w:val="single" w:color="auto" w:sz="4" w:space="0"/>
            </w:tcBorders>
            <w:shd w:val="clear" w:color="000000" w:fill="FFFFFF"/>
            <w:noWrap/>
            <w:vAlign w:val="center"/>
          </w:tcPr>
          <w:p w14:paraId="6BA6E5C6">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7CC9C8AC">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4" w:type="pct"/>
            <w:tcBorders>
              <w:top w:val="nil"/>
              <w:left w:val="nil"/>
              <w:bottom w:val="single" w:color="auto" w:sz="4" w:space="0"/>
              <w:right w:val="single" w:color="auto" w:sz="4" w:space="0"/>
            </w:tcBorders>
            <w:shd w:val="clear" w:color="000000" w:fill="FFFFFF"/>
            <w:noWrap/>
            <w:vAlign w:val="center"/>
          </w:tcPr>
          <w:p w14:paraId="6424767A">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5E21A3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8" w:type="pct"/>
            <w:tcBorders>
              <w:top w:val="nil"/>
              <w:left w:val="nil"/>
              <w:bottom w:val="single" w:color="auto" w:sz="4" w:space="0"/>
              <w:right w:val="single" w:color="auto" w:sz="4" w:space="0"/>
            </w:tcBorders>
            <w:shd w:val="clear" w:color="000000" w:fill="FFFFFF"/>
            <w:noWrap/>
            <w:vAlign w:val="center"/>
          </w:tcPr>
          <w:p w14:paraId="2E154990">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03C69DDD">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6D3F4AF6">
            <w:pPr>
              <w:spacing w:line="240" w:lineRule="auto"/>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Earning Per Share (EPS)</w:t>
            </w:r>
          </w:p>
        </w:tc>
        <w:tc>
          <w:tcPr>
            <w:tcW w:w="591" w:type="pct"/>
            <w:vMerge w:val="restart"/>
            <w:tcBorders>
              <w:top w:val="nil"/>
              <w:left w:val="single" w:color="auto" w:sz="4" w:space="0"/>
              <w:bottom w:val="single" w:color="auto" w:sz="4" w:space="0"/>
              <w:right w:val="single" w:color="auto" w:sz="4" w:space="0"/>
            </w:tcBorders>
            <w:shd w:val="clear" w:color="FCE5CD" w:fill="FFFFFF"/>
            <w:vAlign w:val="center"/>
          </w:tcPr>
          <w:p w14:paraId="302BB396">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(Profit Attributable to Ordinary Shareholders / Weighted Average Number of Ordinary Shares)</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17954169">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$1099 / $329 = 3.33 Times</w:t>
            </w:r>
          </w:p>
        </w:tc>
        <w:tc>
          <w:tcPr>
            <w:tcW w:w="288" w:type="pct"/>
            <w:tcBorders>
              <w:top w:val="nil"/>
              <w:left w:val="nil"/>
              <w:bottom w:val="single" w:color="auto" w:sz="4" w:space="0"/>
              <w:right w:val="single" w:color="auto" w:sz="4" w:space="0"/>
            </w:tcBorders>
            <w:shd w:val="clear" w:color="FFFF00" w:fill="FFFFFF"/>
            <w:noWrap/>
            <w:vAlign w:val="center"/>
          </w:tcPr>
          <w:p w14:paraId="53FB0A4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3.33</w:t>
            </w:r>
          </w:p>
        </w:tc>
        <w:tc>
          <w:tcPr>
            <w:tcW w:w="377" w:type="pct"/>
            <w:vMerge w:val="restart"/>
            <w:tcBorders>
              <w:top w:val="nil"/>
              <w:left w:val="single" w:color="auto" w:sz="4" w:space="0"/>
              <w:bottom w:val="single" w:color="auto" w:sz="4" w:space="0"/>
              <w:right w:val="single" w:color="auto" w:sz="4" w:space="0"/>
            </w:tcBorders>
            <w:shd w:val="clear" w:color="F3F3F3" w:fill="FEF2CD"/>
            <w:vAlign w:val="center"/>
          </w:tcPr>
          <w:p w14:paraId="60C6E571">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$2358 / $325.80 = 7.24 Times</w:t>
            </w:r>
          </w:p>
        </w:tc>
        <w:tc>
          <w:tcPr>
            <w:tcW w:w="288" w:type="pct"/>
            <w:tcBorders>
              <w:top w:val="nil"/>
              <w:left w:val="nil"/>
              <w:bottom w:val="single" w:color="auto" w:sz="4" w:space="0"/>
              <w:right w:val="single" w:color="auto" w:sz="4" w:space="0"/>
            </w:tcBorders>
            <w:shd w:val="clear" w:color="FFFF00" w:fill="FFFFFF"/>
            <w:noWrap/>
            <w:vAlign w:val="center"/>
          </w:tcPr>
          <w:p w14:paraId="495D061A">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7.24</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10BFFC6C">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$3083 / $302.90 = 10.18 Times</w:t>
            </w:r>
          </w:p>
        </w:tc>
        <w:tc>
          <w:tcPr>
            <w:tcW w:w="288" w:type="pct"/>
            <w:tcBorders>
              <w:top w:val="nil"/>
              <w:left w:val="nil"/>
              <w:bottom w:val="single" w:color="auto" w:sz="4" w:space="0"/>
              <w:right w:val="single" w:color="auto" w:sz="4" w:space="0"/>
            </w:tcBorders>
            <w:shd w:val="clear" w:color="FFFF00" w:fill="FFFFFF"/>
            <w:noWrap/>
            <w:vAlign w:val="center"/>
          </w:tcPr>
          <w:p w14:paraId="30438112">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10.18</w:t>
            </w:r>
          </w:p>
        </w:tc>
        <w:tc>
          <w:tcPr>
            <w:tcW w:w="341" w:type="pct"/>
            <w:vMerge w:val="restart"/>
            <w:tcBorders>
              <w:top w:val="nil"/>
              <w:left w:val="single" w:color="auto" w:sz="4" w:space="0"/>
              <w:bottom w:val="single" w:color="auto" w:sz="4" w:space="0"/>
              <w:right w:val="single" w:color="auto" w:sz="4" w:space="0"/>
            </w:tcBorders>
            <w:shd w:val="clear" w:color="F3F3F3" w:fill="FEF2CD"/>
            <w:vAlign w:val="center"/>
          </w:tcPr>
          <w:p w14:paraId="28BB4E1B">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$2375 / $285.20 = 8.33 Times</w:t>
            </w:r>
          </w:p>
        </w:tc>
        <w:tc>
          <w:tcPr>
            <w:tcW w:w="288" w:type="pct"/>
            <w:tcBorders>
              <w:top w:val="nil"/>
              <w:left w:val="nil"/>
              <w:bottom w:val="single" w:color="auto" w:sz="4" w:space="0"/>
              <w:right w:val="single" w:color="auto" w:sz="4" w:space="0"/>
            </w:tcBorders>
            <w:shd w:val="clear" w:color="FFFF00" w:fill="FFFFFF"/>
            <w:noWrap/>
            <w:vAlign w:val="center"/>
          </w:tcPr>
          <w:p w14:paraId="34B02EF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8.33</w:t>
            </w:r>
          </w:p>
        </w:tc>
        <w:tc>
          <w:tcPr>
            <w:tcW w:w="304" w:type="pct"/>
            <w:vMerge w:val="restart"/>
            <w:tcBorders>
              <w:top w:val="nil"/>
              <w:left w:val="single" w:color="auto" w:sz="4" w:space="0"/>
              <w:bottom w:val="single" w:color="auto" w:sz="4" w:space="0"/>
              <w:right w:val="single" w:color="auto" w:sz="4" w:space="0"/>
            </w:tcBorders>
            <w:shd w:val="clear" w:color="F3F3F3" w:fill="FEF2CD"/>
            <w:vAlign w:val="center"/>
          </w:tcPr>
          <w:p w14:paraId="660756D5">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$2601 / $273.60 = 9.51 Times</w:t>
            </w:r>
          </w:p>
        </w:tc>
        <w:tc>
          <w:tcPr>
            <w:tcW w:w="288" w:type="pct"/>
            <w:tcBorders>
              <w:top w:val="nil"/>
              <w:left w:val="nil"/>
              <w:bottom w:val="single" w:color="auto" w:sz="4" w:space="0"/>
              <w:right w:val="single" w:color="auto" w:sz="4" w:space="0"/>
            </w:tcBorders>
            <w:shd w:val="clear" w:color="FFFF00" w:fill="FFFFFF"/>
            <w:noWrap/>
            <w:vAlign w:val="center"/>
          </w:tcPr>
          <w:p w14:paraId="429B08B0">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9.51</w:t>
            </w:r>
          </w:p>
        </w:tc>
        <w:tc>
          <w:tcPr>
            <w:tcW w:w="308" w:type="pct"/>
            <w:tcBorders>
              <w:top w:val="nil"/>
              <w:left w:val="nil"/>
              <w:bottom w:val="single" w:color="auto" w:sz="4" w:space="0"/>
              <w:right w:val="single" w:color="auto" w:sz="4" w:space="0"/>
            </w:tcBorders>
            <w:shd w:val="clear" w:color="000000" w:fill="FFFF00"/>
            <w:noWrap/>
            <w:vAlign w:val="center"/>
          </w:tcPr>
          <w:p w14:paraId="50A92393">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$3.80</w:t>
            </w:r>
          </w:p>
        </w:tc>
      </w:tr>
      <w:tr w14:paraId="058F4D96">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75A2EA7E">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Profit Attributable to Ordinary Shareholders</w:t>
            </w:r>
          </w:p>
        </w:tc>
        <w:tc>
          <w:tcPr>
            <w:tcW w:w="591" w:type="pct"/>
            <w:vMerge w:val="continue"/>
            <w:tcBorders>
              <w:top w:val="nil"/>
              <w:left w:val="single" w:color="auto" w:sz="4" w:space="0"/>
              <w:bottom w:val="single" w:color="auto" w:sz="4" w:space="0"/>
              <w:right w:val="single" w:color="auto" w:sz="4" w:space="0"/>
            </w:tcBorders>
            <w:vAlign w:val="center"/>
          </w:tcPr>
          <w:p w14:paraId="060AE15B">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6A742404">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0496A3FE">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$1,099.00</w:t>
            </w:r>
          </w:p>
        </w:tc>
        <w:tc>
          <w:tcPr>
            <w:tcW w:w="377" w:type="pct"/>
            <w:vMerge w:val="continue"/>
            <w:tcBorders>
              <w:top w:val="nil"/>
              <w:left w:val="single" w:color="auto" w:sz="4" w:space="0"/>
              <w:bottom w:val="single" w:color="auto" w:sz="4" w:space="0"/>
              <w:right w:val="single" w:color="auto" w:sz="4" w:space="0"/>
            </w:tcBorders>
            <w:vAlign w:val="center"/>
          </w:tcPr>
          <w:p w14:paraId="221E0863">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53491E2">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$2,358.00</w:t>
            </w:r>
          </w:p>
        </w:tc>
        <w:tc>
          <w:tcPr>
            <w:tcW w:w="283" w:type="pct"/>
            <w:vMerge w:val="continue"/>
            <w:tcBorders>
              <w:top w:val="nil"/>
              <w:left w:val="single" w:color="auto" w:sz="4" w:space="0"/>
              <w:bottom w:val="single" w:color="auto" w:sz="4" w:space="0"/>
              <w:right w:val="single" w:color="auto" w:sz="4" w:space="0"/>
            </w:tcBorders>
            <w:vAlign w:val="center"/>
          </w:tcPr>
          <w:p w14:paraId="7CCD75B9">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12A2653">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$3,083.00</w:t>
            </w:r>
          </w:p>
        </w:tc>
        <w:tc>
          <w:tcPr>
            <w:tcW w:w="341" w:type="pct"/>
            <w:vMerge w:val="continue"/>
            <w:tcBorders>
              <w:top w:val="nil"/>
              <w:left w:val="single" w:color="auto" w:sz="4" w:space="0"/>
              <w:bottom w:val="single" w:color="auto" w:sz="4" w:space="0"/>
              <w:right w:val="single" w:color="auto" w:sz="4" w:space="0"/>
            </w:tcBorders>
            <w:vAlign w:val="center"/>
          </w:tcPr>
          <w:p w14:paraId="790D428C">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0CBEF391">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$2,375.00</w:t>
            </w:r>
          </w:p>
        </w:tc>
        <w:tc>
          <w:tcPr>
            <w:tcW w:w="304" w:type="pct"/>
            <w:vMerge w:val="continue"/>
            <w:tcBorders>
              <w:top w:val="nil"/>
              <w:left w:val="single" w:color="auto" w:sz="4" w:space="0"/>
              <w:bottom w:val="single" w:color="auto" w:sz="4" w:space="0"/>
              <w:right w:val="single" w:color="auto" w:sz="4" w:space="0"/>
            </w:tcBorders>
            <w:vAlign w:val="center"/>
          </w:tcPr>
          <w:p w14:paraId="1492BB26">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C22607E">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$2,601.00</w:t>
            </w:r>
          </w:p>
        </w:tc>
        <w:tc>
          <w:tcPr>
            <w:tcW w:w="308" w:type="pct"/>
            <w:tcBorders>
              <w:top w:val="nil"/>
              <w:left w:val="nil"/>
              <w:bottom w:val="single" w:color="auto" w:sz="4" w:space="0"/>
              <w:right w:val="single" w:color="auto" w:sz="4" w:space="0"/>
            </w:tcBorders>
            <w:shd w:val="clear" w:color="000000" w:fill="FFFFFF"/>
            <w:noWrap/>
            <w:vAlign w:val="center"/>
          </w:tcPr>
          <w:p w14:paraId="2DDCAAC0">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7D97A77D">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65A0320E">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Weighted Average Number of Ordinary Shares</w:t>
            </w:r>
          </w:p>
        </w:tc>
        <w:tc>
          <w:tcPr>
            <w:tcW w:w="591" w:type="pct"/>
            <w:vMerge w:val="continue"/>
            <w:tcBorders>
              <w:top w:val="nil"/>
              <w:left w:val="single" w:color="auto" w:sz="4" w:space="0"/>
              <w:bottom w:val="single" w:color="auto" w:sz="4" w:space="0"/>
              <w:right w:val="single" w:color="auto" w:sz="4" w:space="0"/>
            </w:tcBorders>
            <w:vAlign w:val="center"/>
          </w:tcPr>
          <w:p w14:paraId="4DAD36A0">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0915756A">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17461C75">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329.80</w:t>
            </w:r>
          </w:p>
        </w:tc>
        <w:tc>
          <w:tcPr>
            <w:tcW w:w="377" w:type="pct"/>
            <w:vMerge w:val="continue"/>
            <w:tcBorders>
              <w:top w:val="nil"/>
              <w:left w:val="single" w:color="auto" w:sz="4" w:space="0"/>
              <w:bottom w:val="single" w:color="auto" w:sz="4" w:space="0"/>
              <w:right w:val="single" w:color="auto" w:sz="4" w:space="0"/>
            </w:tcBorders>
            <w:vAlign w:val="center"/>
          </w:tcPr>
          <w:p w14:paraId="77BE69C6">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EECD6C0">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325.80</w:t>
            </w:r>
          </w:p>
        </w:tc>
        <w:tc>
          <w:tcPr>
            <w:tcW w:w="283" w:type="pct"/>
            <w:vMerge w:val="continue"/>
            <w:tcBorders>
              <w:top w:val="nil"/>
              <w:left w:val="single" w:color="auto" w:sz="4" w:space="0"/>
              <w:bottom w:val="single" w:color="auto" w:sz="4" w:space="0"/>
              <w:right w:val="single" w:color="auto" w:sz="4" w:space="0"/>
            </w:tcBorders>
            <w:vAlign w:val="center"/>
          </w:tcPr>
          <w:p w14:paraId="3EF76D79">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352FA01C">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302.90</w:t>
            </w:r>
          </w:p>
        </w:tc>
        <w:tc>
          <w:tcPr>
            <w:tcW w:w="341" w:type="pct"/>
            <w:vMerge w:val="continue"/>
            <w:tcBorders>
              <w:top w:val="nil"/>
              <w:left w:val="single" w:color="auto" w:sz="4" w:space="0"/>
              <w:bottom w:val="single" w:color="auto" w:sz="4" w:space="0"/>
              <w:right w:val="single" w:color="auto" w:sz="4" w:space="0"/>
            </w:tcBorders>
            <w:vAlign w:val="center"/>
          </w:tcPr>
          <w:p w14:paraId="7F1E3440">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4C77289">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285.20</w:t>
            </w:r>
          </w:p>
        </w:tc>
        <w:tc>
          <w:tcPr>
            <w:tcW w:w="304" w:type="pct"/>
            <w:vMerge w:val="continue"/>
            <w:tcBorders>
              <w:top w:val="nil"/>
              <w:left w:val="single" w:color="auto" w:sz="4" w:space="0"/>
              <w:bottom w:val="single" w:color="auto" w:sz="4" w:space="0"/>
              <w:right w:val="single" w:color="auto" w:sz="4" w:space="0"/>
            </w:tcBorders>
            <w:vAlign w:val="center"/>
          </w:tcPr>
          <w:p w14:paraId="3281D234">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3969E5F7">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273.60</w:t>
            </w:r>
          </w:p>
        </w:tc>
        <w:tc>
          <w:tcPr>
            <w:tcW w:w="308" w:type="pct"/>
            <w:tcBorders>
              <w:top w:val="nil"/>
              <w:left w:val="nil"/>
              <w:bottom w:val="single" w:color="auto" w:sz="4" w:space="0"/>
              <w:right w:val="single" w:color="auto" w:sz="4" w:space="0"/>
            </w:tcBorders>
            <w:shd w:val="clear" w:color="000000" w:fill="FFFFFF"/>
            <w:noWrap/>
            <w:vAlign w:val="center"/>
          </w:tcPr>
          <w:p w14:paraId="2EA7FCBD">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76504A84">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3E015587">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591" w:type="pct"/>
            <w:tcBorders>
              <w:top w:val="nil"/>
              <w:left w:val="nil"/>
              <w:bottom w:val="single" w:color="auto" w:sz="4" w:space="0"/>
              <w:right w:val="single" w:color="auto" w:sz="4" w:space="0"/>
            </w:tcBorders>
            <w:shd w:val="clear" w:color="000000" w:fill="FFFFFF"/>
            <w:noWrap/>
            <w:vAlign w:val="center"/>
          </w:tcPr>
          <w:p w14:paraId="543B0444">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771F97F1">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1214E054">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77" w:type="pct"/>
            <w:tcBorders>
              <w:top w:val="nil"/>
              <w:left w:val="nil"/>
              <w:bottom w:val="single" w:color="auto" w:sz="4" w:space="0"/>
              <w:right w:val="single" w:color="auto" w:sz="4" w:space="0"/>
            </w:tcBorders>
            <w:shd w:val="clear" w:color="000000" w:fill="FFFFFF"/>
            <w:noWrap/>
            <w:vAlign w:val="center"/>
          </w:tcPr>
          <w:p w14:paraId="45EEC005">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734960EC">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61182728">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76A3193F">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41" w:type="pct"/>
            <w:tcBorders>
              <w:top w:val="nil"/>
              <w:left w:val="nil"/>
              <w:bottom w:val="single" w:color="auto" w:sz="4" w:space="0"/>
              <w:right w:val="single" w:color="auto" w:sz="4" w:space="0"/>
            </w:tcBorders>
            <w:shd w:val="clear" w:color="000000" w:fill="FFFFFF"/>
            <w:noWrap/>
            <w:vAlign w:val="center"/>
          </w:tcPr>
          <w:p w14:paraId="6A0C7F6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7C811DAF">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4" w:type="pct"/>
            <w:tcBorders>
              <w:top w:val="nil"/>
              <w:left w:val="nil"/>
              <w:bottom w:val="single" w:color="auto" w:sz="4" w:space="0"/>
              <w:right w:val="single" w:color="auto" w:sz="4" w:space="0"/>
            </w:tcBorders>
            <w:shd w:val="clear" w:color="000000" w:fill="FFFFFF"/>
            <w:noWrap/>
            <w:vAlign w:val="center"/>
          </w:tcPr>
          <w:p w14:paraId="005CBF69">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0127C3F0">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8" w:type="pct"/>
            <w:tcBorders>
              <w:top w:val="nil"/>
              <w:left w:val="nil"/>
              <w:bottom w:val="single" w:color="auto" w:sz="4" w:space="0"/>
              <w:right w:val="single" w:color="auto" w:sz="4" w:space="0"/>
            </w:tcBorders>
            <w:shd w:val="clear" w:color="000000" w:fill="FFFFFF"/>
            <w:noWrap/>
            <w:vAlign w:val="center"/>
          </w:tcPr>
          <w:p w14:paraId="6D9488C8">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4ECDF028">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014791BC">
            <w:pPr>
              <w:spacing w:line="240" w:lineRule="auto"/>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Price-to-Earnings (P/E) Ratio</w:t>
            </w:r>
          </w:p>
        </w:tc>
        <w:tc>
          <w:tcPr>
            <w:tcW w:w="591" w:type="pct"/>
            <w:vMerge w:val="restart"/>
            <w:tcBorders>
              <w:top w:val="nil"/>
              <w:left w:val="single" w:color="auto" w:sz="4" w:space="0"/>
              <w:bottom w:val="single" w:color="auto" w:sz="4" w:space="0"/>
              <w:right w:val="single" w:color="auto" w:sz="4" w:space="0"/>
            </w:tcBorders>
            <w:shd w:val="clear" w:color="FCE5CD" w:fill="FFFFFF"/>
            <w:vAlign w:val="center"/>
          </w:tcPr>
          <w:p w14:paraId="31AE7C70">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Market Price Per Share / EPS</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0DE8B5CD">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$148.26 / $3.33 = 44.49 Times</w:t>
            </w:r>
          </w:p>
        </w:tc>
        <w:tc>
          <w:tcPr>
            <w:tcW w:w="288" w:type="pct"/>
            <w:tcBorders>
              <w:top w:val="nil"/>
              <w:left w:val="nil"/>
              <w:bottom w:val="single" w:color="auto" w:sz="4" w:space="0"/>
              <w:right w:val="single" w:color="auto" w:sz="4" w:space="0"/>
            </w:tcBorders>
            <w:shd w:val="clear" w:color="FFFF00" w:fill="FFFFFF"/>
            <w:noWrap/>
            <w:vAlign w:val="center"/>
          </w:tcPr>
          <w:p w14:paraId="339321A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44.49</w:t>
            </w:r>
          </w:p>
        </w:tc>
        <w:tc>
          <w:tcPr>
            <w:tcW w:w="377" w:type="pct"/>
            <w:vMerge w:val="restart"/>
            <w:tcBorders>
              <w:top w:val="nil"/>
              <w:left w:val="single" w:color="auto" w:sz="4" w:space="0"/>
              <w:bottom w:val="single" w:color="auto" w:sz="4" w:space="0"/>
              <w:right w:val="single" w:color="auto" w:sz="4" w:space="0"/>
            </w:tcBorders>
            <w:shd w:val="clear" w:color="F3F3F3" w:fill="FEF2CD"/>
            <w:vAlign w:val="center"/>
          </w:tcPr>
          <w:p w14:paraId="2E7F9B6A">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$159.55 / $7.24 = 22.04 Times</w:t>
            </w:r>
          </w:p>
        </w:tc>
        <w:tc>
          <w:tcPr>
            <w:tcW w:w="288" w:type="pct"/>
            <w:tcBorders>
              <w:top w:val="nil"/>
              <w:left w:val="nil"/>
              <w:bottom w:val="single" w:color="auto" w:sz="4" w:space="0"/>
              <w:right w:val="single" w:color="auto" w:sz="4" w:space="0"/>
            </w:tcBorders>
            <w:shd w:val="clear" w:color="FFFF00" w:fill="FFFFFF"/>
            <w:noWrap/>
            <w:vAlign w:val="center"/>
          </w:tcPr>
          <w:p w14:paraId="7079FE1F">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22.04</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1316CDD5">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$187.55 / $10.18 = 18.43 Times</w:t>
            </w:r>
          </w:p>
        </w:tc>
        <w:tc>
          <w:tcPr>
            <w:tcW w:w="288" w:type="pct"/>
            <w:tcBorders>
              <w:top w:val="nil"/>
              <w:left w:val="nil"/>
              <w:bottom w:val="single" w:color="auto" w:sz="4" w:space="0"/>
              <w:right w:val="single" w:color="auto" w:sz="4" w:space="0"/>
            </w:tcBorders>
            <w:shd w:val="clear" w:color="FFFF00" w:fill="FFFFFF"/>
            <w:noWrap/>
            <w:vAlign w:val="center"/>
          </w:tcPr>
          <w:p w14:paraId="6CE32916">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18.43</w:t>
            </w:r>
          </w:p>
        </w:tc>
        <w:tc>
          <w:tcPr>
            <w:tcW w:w="341" w:type="pct"/>
            <w:vMerge w:val="restart"/>
            <w:tcBorders>
              <w:top w:val="nil"/>
              <w:left w:val="single" w:color="auto" w:sz="4" w:space="0"/>
              <w:bottom w:val="single" w:color="auto" w:sz="4" w:space="0"/>
              <w:right w:val="single" w:color="auto" w:sz="4" w:space="0"/>
            </w:tcBorders>
            <w:shd w:val="clear" w:color="F3F3F3" w:fill="FEF2CD"/>
            <w:vAlign w:val="center"/>
          </w:tcPr>
          <w:p w14:paraId="61AC207C">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$252.21 / $8.33 = 30.29 Times</w:t>
            </w:r>
          </w:p>
        </w:tc>
        <w:tc>
          <w:tcPr>
            <w:tcW w:w="288" w:type="pct"/>
            <w:tcBorders>
              <w:top w:val="nil"/>
              <w:left w:val="nil"/>
              <w:bottom w:val="single" w:color="auto" w:sz="4" w:space="0"/>
              <w:right w:val="single" w:color="auto" w:sz="4" w:space="0"/>
            </w:tcBorders>
            <w:shd w:val="clear" w:color="FFFF00" w:fill="FFFFFF"/>
            <w:noWrap/>
            <w:vAlign w:val="center"/>
          </w:tcPr>
          <w:p w14:paraId="236719AD">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30.29</w:t>
            </w:r>
          </w:p>
        </w:tc>
        <w:tc>
          <w:tcPr>
            <w:tcW w:w="304" w:type="pct"/>
            <w:vMerge w:val="restart"/>
            <w:tcBorders>
              <w:top w:val="nil"/>
              <w:left w:val="single" w:color="auto" w:sz="4" w:space="0"/>
              <w:bottom w:val="single" w:color="auto" w:sz="4" w:space="0"/>
              <w:right w:val="single" w:color="auto" w:sz="4" w:space="0"/>
            </w:tcBorders>
            <w:shd w:val="clear" w:color="F3F3F3" w:fill="FEF2CD"/>
            <w:vAlign w:val="center"/>
          </w:tcPr>
          <w:p w14:paraId="4550D984">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$298.64 / $9.51 = 31.41 Times</w:t>
            </w:r>
          </w:p>
        </w:tc>
        <w:tc>
          <w:tcPr>
            <w:tcW w:w="288" w:type="pct"/>
            <w:tcBorders>
              <w:top w:val="nil"/>
              <w:left w:val="nil"/>
              <w:bottom w:val="single" w:color="auto" w:sz="4" w:space="0"/>
              <w:right w:val="single" w:color="auto" w:sz="4" w:space="0"/>
            </w:tcBorders>
            <w:shd w:val="clear" w:color="FFFF00" w:fill="FFFFFF"/>
            <w:noWrap/>
            <w:vAlign w:val="center"/>
          </w:tcPr>
          <w:p w14:paraId="49B5645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31.41</w:t>
            </w:r>
          </w:p>
        </w:tc>
        <w:tc>
          <w:tcPr>
            <w:tcW w:w="308" w:type="pct"/>
            <w:tcBorders>
              <w:top w:val="nil"/>
              <w:left w:val="nil"/>
              <w:bottom w:val="single" w:color="auto" w:sz="4" w:space="0"/>
              <w:right w:val="single" w:color="auto" w:sz="4" w:space="0"/>
            </w:tcBorders>
            <w:shd w:val="clear" w:color="000000" w:fill="FFFF00"/>
            <w:noWrap/>
            <w:vAlign w:val="center"/>
          </w:tcPr>
          <w:p w14:paraId="4ED7FB3B">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27.50 Times</w:t>
            </w:r>
          </w:p>
        </w:tc>
      </w:tr>
      <w:tr w14:paraId="2209C3D4">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4D8313AF">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Market Price Per Share</w:t>
            </w:r>
          </w:p>
        </w:tc>
        <w:tc>
          <w:tcPr>
            <w:tcW w:w="591" w:type="pct"/>
            <w:vMerge w:val="continue"/>
            <w:tcBorders>
              <w:top w:val="nil"/>
              <w:left w:val="single" w:color="auto" w:sz="4" w:space="0"/>
              <w:bottom w:val="single" w:color="auto" w:sz="4" w:space="0"/>
              <w:right w:val="single" w:color="auto" w:sz="4" w:space="0"/>
            </w:tcBorders>
            <w:vAlign w:val="center"/>
          </w:tcPr>
          <w:p w14:paraId="389702A8">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144DB7F5">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0496EC14">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$148.26</w:t>
            </w:r>
          </w:p>
        </w:tc>
        <w:tc>
          <w:tcPr>
            <w:tcW w:w="377" w:type="pct"/>
            <w:vMerge w:val="continue"/>
            <w:tcBorders>
              <w:top w:val="nil"/>
              <w:left w:val="single" w:color="auto" w:sz="4" w:space="0"/>
              <w:bottom w:val="single" w:color="auto" w:sz="4" w:space="0"/>
              <w:right w:val="single" w:color="auto" w:sz="4" w:space="0"/>
            </w:tcBorders>
            <w:vAlign w:val="center"/>
          </w:tcPr>
          <w:p w14:paraId="2CEB65FA">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DB3EFD3">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$159.55</w:t>
            </w:r>
          </w:p>
        </w:tc>
        <w:tc>
          <w:tcPr>
            <w:tcW w:w="283" w:type="pct"/>
            <w:vMerge w:val="continue"/>
            <w:tcBorders>
              <w:top w:val="nil"/>
              <w:left w:val="single" w:color="auto" w:sz="4" w:space="0"/>
              <w:bottom w:val="single" w:color="auto" w:sz="4" w:space="0"/>
              <w:right w:val="single" w:color="auto" w:sz="4" w:space="0"/>
            </w:tcBorders>
            <w:vAlign w:val="center"/>
          </w:tcPr>
          <w:p w14:paraId="5B0460D8">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2042D96">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$187.55</w:t>
            </w:r>
          </w:p>
        </w:tc>
        <w:tc>
          <w:tcPr>
            <w:tcW w:w="341" w:type="pct"/>
            <w:vMerge w:val="continue"/>
            <w:tcBorders>
              <w:top w:val="nil"/>
              <w:left w:val="single" w:color="auto" w:sz="4" w:space="0"/>
              <w:bottom w:val="single" w:color="auto" w:sz="4" w:space="0"/>
              <w:right w:val="single" w:color="auto" w:sz="4" w:space="0"/>
            </w:tcBorders>
            <w:vAlign w:val="center"/>
          </w:tcPr>
          <w:p w14:paraId="0555BBA5">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50C6ED9">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$252.21</w:t>
            </w:r>
          </w:p>
        </w:tc>
        <w:tc>
          <w:tcPr>
            <w:tcW w:w="304" w:type="pct"/>
            <w:vMerge w:val="continue"/>
            <w:tcBorders>
              <w:top w:val="nil"/>
              <w:left w:val="single" w:color="auto" w:sz="4" w:space="0"/>
              <w:bottom w:val="single" w:color="auto" w:sz="4" w:space="0"/>
              <w:right w:val="single" w:color="auto" w:sz="4" w:space="0"/>
            </w:tcBorders>
            <w:vAlign w:val="center"/>
          </w:tcPr>
          <w:p w14:paraId="090566BC">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2F42DCFD">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$298.64</w:t>
            </w:r>
          </w:p>
        </w:tc>
        <w:tc>
          <w:tcPr>
            <w:tcW w:w="308" w:type="pct"/>
            <w:tcBorders>
              <w:top w:val="nil"/>
              <w:left w:val="nil"/>
              <w:bottom w:val="single" w:color="auto" w:sz="4" w:space="0"/>
              <w:right w:val="single" w:color="auto" w:sz="4" w:space="0"/>
            </w:tcBorders>
            <w:shd w:val="clear" w:color="000000" w:fill="FFFFFF"/>
            <w:noWrap/>
            <w:vAlign w:val="center"/>
          </w:tcPr>
          <w:p w14:paraId="3324B392">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2042011A">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6BAA630C">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Earning Per Share (EPS)</w:t>
            </w:r>
          </w:p>
        </w:tc>
        <w:tc>
          <w:tcPr>
            <w:tcW w:w="591" w:type="pct"/>
            <w:vMerge w:val="continue"/>
            <w:tcBorders>
              <w:top w:val="nil"/>
              <w:left w:val="single" w:color="auto" w:sz="4" w:space="0"/>
              <w:bottom w:val="single" w:color="auto" w:sz="4" w:space="0"/>
              <w:right w:val="single" w:color="auto" w:sz="4" w:space="0"/>
            </w:tcBorders>
            <w:vAlign w:val="center"/>
          </w:tcPr>
          <w:p w14:paraId="02A6A4B2">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4E08F257">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845DDDB">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$3.33</w:t>
            </w:r>
          </w:p>
        </w:tc>
        <w:tc>
          <w:tcPr>
            <w:tcW w:w="377" w:type="pct"/>
            <w:vMerge w:val="continue"/>
            <w:tcBorders>
              <w:top w:val="nil"/>
              <w:left w:val="single" w:color="auto" w:sz="4" w:space="0"/>
              <w:bottom w:val="single" w:color="auto" w:sz="4" w:space="0"/>
              <w:right w:val="single" w:color="auto" w:sz="4" w:space="0"/>
            </w:tcBorders>
            <w:vAlign w:val="center"/>
          </w:tcPr>
          <w:p w14:paraId="3B5CFAC4">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90D13BB">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$7.24</w:t>
            </w:r>
          </w:p>
        </w:tc>
        <w:tc>
          <w:tcPr>
            <w:tcW w:w="283" w:type="pct"/>
            <w:vMerge w:val="continue"/>
            <w:tcBorders>
              <w:top w:val="nil"/>
              <w:left w:val="single" w:color="auto" w:sz="4" w:space="0"/>
              <w:bottom w:val="single" w:color="auto" w:sz="4" w:space="0"/>
              <w:right w:val="single" w:color="auto" w:sz="4" w:space="0"/>
            </w:tcBorders>
            <w:vAlign w:val="center"/>
          </w:tcPr>
          <w:p w14:paraId="05BAE7AC">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6E5652FA">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$10.18</w:t>
            </w:r>
          </w:p>
        </w:tc>
        <w:tc>
          <w:tcPr>
            <w:tcW w:w="341" w:type="pct"/>
            <w:vMerge w:val="continue"/>
            <w:tcBorders>
              <w:top w:val="nil"/>
              <w:left w:val="single" w:color="auto" w:sz="4" w:space="0"/>
              <w:bottom w:val="single" w:color="auto" w:sz="4" w:space="0"/>
              <w:right w:val="single" w:color="auto" w:sz="4" w:space="0"/>
            </w:tcBorders>
            <w:vAlign w:val="center"/>
          </w:tcPr>
          <w:p w14:paraId="00BA2215">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FBA2A69">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$8.33</w:t>
            </w:r>
          </w:p>
        </w:tc>
        <w:tc>
          <w:tcPr>
            <w:tcW w:w="304" w:type="pct"/>
            <w:vMerge w:val="continue"/>
            <w:tcBorders>
              <w:top w:val="nil"/>
              <w:left w:val="single" w:color="auto" w:sz="4" w:space="0"/>
              <w:bottom w:val="single" w:color="auto" w:sz="4" w:space="0"/>
              <w:right w:val="single" w:color="auto" w:sz="4" w:space="0"/>
            </w:tcBorders>
            <w:vAlign w:val="center"/>
          </w:tcPr>
          <w:p w14:paraId="23F9F37C">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6FEAC4C">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$9.51</w:t>
            </w:r>
          </w:p>
        </w:tc>
        <w:tc>
          <w:tcPr>
            <w:tcW w:w="308" w:type="pct"/>
            <w:tcBorders>
              <w:top w:val="nil"/>
              <w:left w:val="nil"/>
              <w:bottom w:val="single" w:color="auto" w:sz="4" w:space="0"/>
              <w:right w:val="single" w:color="auto" w:sz="4" w:space="0"/>
            </w:tcBorders>
            <w:shd w:val="clear" w:color="000000" w:fill="FFFFFF"/>
            <w:noWrap/>
            <w:vAlign w:val="center"/>
          </w:tcPr>
          <w:p w14:paraId="3324A7B1">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34E59822">
        <w:tblPrEx>
          <w:tblCellMar>
            <w:top w:w="0" w:type="dxa"/>
            <w:left w:w="108" w:type="dxa"/>
            <w:bottom w:w="0" w:type="dxa"/>
            <w:right w:w="108" w:type="dxa"/>
          </w:tblCellMar>
        </w:tblPrEx>
        <w:trPr>
          <w:trHeight w:val="312" w:hRule="atLeast"/>
        </w:trPr>
        <w:tc>
          <w:tcPr>
            <w:tcW w:w="4692" w:type="pct"/>
            <w:gridSpan w:val="12"/>
            <w:tcBorders>
              <w:top w:val="single" w:color="auto" w:sz="4" w:space="0"/>
              <w:left w:val="single" w:color="auto" w:sz="4" w:space="0"/>
              <w:bottom w:val="single" w:color="auto" w:sz="4" w:space="0"/>
              <w:right w:val="single" w:color="auto" w:sz="4" w:space="0"/>
            </w:tcBorders>
            <w:shd w:val="clear" w:color="F3F3F3" w:fill="DAF1F3"/>
            <w:noWrap/>
            <w:vAlign w:val="center"/>
          </w:tcPr>
          <w:p w14:paraId="1F310715">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8" w:type="pct"/>
            <w:tcBorders>
              <w:top w:val="nil"/>
              <w:left w:val="nil"/>
              <w:bottom w:val="single" w:color="auto" w:sz="4" w:space="0"/>
              <w:right w:val="single" w:color="auto" w:sz="4" w:space="0"/>
            </w:tcBorders>
            <w:shd w:val="clear" w:color="000000" w:fill="FFFFFF"/>
            <w:noWrap/>
            <w:vAlign w:val="center"/>
          </w:tcPr>
          <w:p w14:paraId="36E972CB">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43F3B434">
        <w:tblPrEx>
          <w:tblCellMar>
            <w:top w:w="0" w:type="dxa"/>
            <w:left w:w="108" w:type="dxa"/>
            <w:bottom w:w="0" w:type="dxa"/>
            <w:right w:w="108" w:type="dxa"/>
          </w:tblCellMar>
        </w:tblPrEx>
        <w:trPr>
          <w:trHeight w:val="348"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670A27A4">
            <w:pPr>
              <w:spacing w:line="240" w:lineRule="auto"/>
              <w:rPr>
                <w:rFonts w:ascii="Times New Roman" w:hAnsi="Times New Roman" w:eastAsia="Times New Roman" w:cs="Times New Roman"/>
                <w:b/>
                <w:bCs/>
                <w:i/>
                <w:iCs/>
                <w:sz w:val="16"/>
                <w:szCs w:val="16"/>
                <w:lang w:val="en-IN"/>
              </w:rPr>
            </w:pPr>
            <w:r>
              <w:rPr>
                <w:rFonts w:ascii="Times New Roman" w:hAnsi="Times New Roman" w:eastAsia="Times New Roman" w:cs="Times New Roman"/>
                <w:b/>
                <w:bCs/>
                <w:i/>
                <w:iCs/>
                <w:sz w:val="16"/>
                <w:szCs w:val="16"/>
                <w:lang w:val="en-IN"/>
              </w:rPr>
              <w:t>Cash Flow</w:t>
            </w:r>
          </w:p>
        </w:tc>
        <w:tc>
          <w:tcPr>
            <w:tcW w:w="591" w:type="pct"/>
            <w:tcBorders>
              <w:top w:val="nil"/>
              <w:left w:val="nil"/>
              <w:bottom w:val="single" w:color="auto" w:sz="4" w:space="0"/>
              <w:right w:val="single" w:color="auto" w:sz="4" w:space="0"/>
            </w:tcBorders>
            <w:shd w:val="clear" w:color="000000" w:fill="FFFFFF"/>
            <w:noWrap/>
            <w:vAlign w:val="center"/>
          </w:tcPr>
          <w:p w14:paraId="0B9FAFE0">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082ACA11">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6C96AFA9">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77" w:type="pct"/>
            <w:tcBorders>
              <w:top w:val="nil"/>
              <w:left w:val="nil"/>
              <w:bottom w:val="single" w:color="auto" w:sz="4" w:space="0"/>
              <w:right w:val="single" w:color="auto" w:sz="4" w:space="0"/>
            </w:tcBorders>
            <w:shd w:val="clear" w:color="000000" w:fill="FFFFFF"/>
            <w:noWrap/>
            <w:vAlign w:val="center"/>
          </w:tcPr>
          <w:p w14:paraId="6BDDDD27">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397A1DA0">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1CCF51BA">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587F14CD">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41" w:type="pct"/>
            <w:tcBorders>
              <w:top w:val="nil"/>
              <w:left w:val="nil"/>
              <w:bottom w:val="single" w:color="auto" w:sz="4" w:space="0"/>
              <w:right w:val="single" w:color="auto" w:sz="4" w:space="0"/>
            </w:tcBorders>
            <w:shd w:val="clear" w:color="000000" w:fill="FFFFFF"/>
            <w:noWrap/>
            <w:vAlign w:val="center"/>
          </w:tcPr>
          <w:p w14:paraId="1E4DDA36">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2BB90603">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4" w:type="pct"/>
            <w:tcBorders>
              <w:top w:val="nil"/>
              <w:left w:val="nil"/>
              <w:bottom w:val="single" w:color="auto" w:sz="4" w:space="0"/>
              <w:right w:val="single" w:color="auto" w:sz="4" w:space="0"/>
            </w:tcBorders>
            <w:shd w:val="clear" w:color="000000" w:fill="FFFFFF"/>
            <w:noWrap/>
            <w:vAlign w:val="center"/>
          </w:tcPr>
          <w:p w14:paraId="742863FF">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4C9135B5">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8" w:type="pct"/>
            <w:tcBorders>
              <w:top w:val="nil"/>
              <w:left w:val="nil"/>
              <w:bottom w:val="single" w:color="auto" w:sz="4" w:space="0"/>
              <w:right w:val="single" w:color="auto" w:sz="4" w:space="0"/>
            </w:tcBorders>
            <w:shd w:val="clear" w:color="000000" w:fill="FFFFFF"/>
            <w:noWrap/>
            <w:vAlign w:val="center"/>
          </w:tcPr>
          <w:p w14:paraId="79C63532">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3D9090BA">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7754FE3D">
            <w:pPr>
              <w:spacing w:line="240" w:lineRule="auto"/>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Operating cash Flow Ratio</w:t>
            </w:r>
          </w:p>
        </w:tc>
        <w:tc>
          <w:tcPr>
            <w:tcW w:w="591" w:type="pct"/>
            <w:vMerge w:val="restart"/>
            <w:tcBorders>
              <w:top w:val="nil"/>
              <w:left w:val="single" w:color="auto" w:sz="4" w:space="0"/>
              <w:bottom w:val="single" w:color="auto" w:sz="4" w:space="0"/>
              <w:right w:val="single" w:color="auto" w:sz="4" w:space="0"/>
            </w:tcBorders>
            <w:shd w:val="clear" w:color="FCE5CD" w:fill="FFFFFF"/>
            <w:vAlign w:val="center"/>
          </w:tcPr>
          <w:p w14:paraId="12AA51B7">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Cash Flow from Operating Activities / Current Liabilities</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2B0D8E28">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$1177 / $6407 = 0.18 Times</w:t>
            </w:r>
          </w:p>
        </w:tc>
        <w:tc>
          <w:tcPr>
            <w:tcW w:w="288" w:type="pct"/>
            <w:tcBorders>
              <w:top w:val="nil"/>
              <w:left w:val="nil"/>
              <w:bottom w:val="single" w:color="auto" w:sz="4" w:space="0"/>
              <w:right w:val="single" w:color="auto" w:sz="4" w:space="0"/>
            </w:tcBorders>
            <w:shd w:val="clear" w:color="FFFF00" w:fill="FFFFFF"/>
            <w:noWrap/>
            <w:vAlign w:val="center"/>
          </w:tcPr>
          <w:p w14:paraId="4213629B">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0.18</w:t>
            </w:r>
          </w:p>
        </w:tc>
        <w:tc>
          <w:tcPr>
            <w:tcW w:w="377" w:type="pct"/>
            <w:vMerge w:val="restart"/>
            <w:tcBorders>
              <w:top w:val="nil"/>
              <w:left w:val="single" w:color="auto" w:sz="4" w:space="0"/>
              <w:bottom w:val="single" w:color="auto" w:sz="4" w:space="0"/>
              <w:right w:val="single" w:color="auto" w:sz="4" w:space="0"/>
            </w:tcBorders>
            <w:shd w:val="clear" w:color="F3F3F3" w:fill="FEF2CD"/>
            <w:vAlign w:val="center"/>
          </w:tcPr>
          <w:p w14:paraId="7CBAB87C">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$2363 / $7339 = 0.32 Times</w:t>
            </w:r>
          </w:p>
        </w:tc>
        <w:tc>
          <w:tcPr>
            <w:tcW w:w="288" w:type="pct"/>
            <w:tcBorders>
              <w:top w:val="nil"/>
              <w:left w:val="nil"/>
              <w:bottom w:val="single" w:color="auto" w:sz="4" w:space="0"/>
              <w:right w:val="single" w:color="auto" w:sz="4" w:space="0"/>
            </w:tcBorders>
            <w:shd w:val="clear" w:color="FFFF00" w:fill="FFFFFF"/>
            <w:noWrap/>
            <w:vAlign w:val="center"/>
          </w:tcPr>
          <w:p w14:paraId="224467A2">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0.32</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35486B9F">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$3170 / $7762 = 0.41 Times</w:t>
            </w:r>
          </w:p>
        </w:tc>
        <w:tc>
          <w:tcPr>
            <w:tcW w:w="288" w:type="pct"/>
            <w:tcBorders>
              <w:top w:val="nil"/>
              <w:left w:val="nil"/>
              <w:bottom w:val="single" w:color="auto" w:sz="4" w:space="0"/>
              <w:right w:val="single" w:color="auto" w:sz="4" w:space="0"/>
            </w:tcBorders>
            <w:shd w:val="clear" w:color="FFFF00" w:fill="FFFFFF"/>
            <w:noWrap/>
            <w:vAlign w:val="center"/>
          </w:tcPr>
          <w:p w14:paraId="36558E53">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0.41</w:t>
            </w:r>
          </w:p>
        </w:tc>
        <w:tc>
          <w:tcPr>
            <w:tcW w:w="341" w:type="pct"/>
            <w:vMerge w:val="restart"/>
            <w:tcBorders>
              <w:top w:val="nil"/>
              <w:left w:val="single" w:color="auto" w:sz="4" w:space="0"/>
              <w:bottom w:val="single" w:color="auto" w:sz="4" w:space="0"/>
              <w:right w:val="single" w:color="auto" w:sz="4" w:space="0"/>
            </w:tcBorders>
            <w:shd w:val="clear" w:color="F3F3F3" w:fill="FEF2CD"/>
            <w:vAlign w:val="center"/>
          </w:tcPr>
          <w:p w14:paraId="0B41DEA5">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$2749 / $8649 = 0.32 Times</w:t>
            </w:r>
          </w:p>
        </w:tc>
        <w:tc>
          <w:tcPr>
            <w:tcW w:w="288" w:type="pct"/>
            <w:tcBorders>
              <w:top w:val="nil"/>
              <w:left w:val="nil"/>
              <w:bottom w:val="single" w:color="auto" w:sz="4" w:space="0"/>
              <w:right w:val="single" w:color="auto" w:sz="4" w:space="0"/>
            </w:tcBorders>
            <w:shd w:val="clear" w:color="FFFF00" w:fill="FFFFFF"/>
            <w:noWrap/>
            <w:vAlign w:val="center"/>
          </w:tcPr>
          <w:p w14:paraId="79072745">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0.32</w:t>
            </w:r>
          </w:p>
        </w:tc>
        <w:tc>
          <w:tcPr>
            <w:tcW w:w="304" w:type="pct"/>
            <w:vMerge w:val="restart"/>
            <w:tcBorders>
              <w:top w:val="nil"/>
              <w:left w:val="single" w:color="auto" w:sz="4" w:space="0"/>
              <w:bottom w:val="single" w:color="auto" w:sz="4" w:space="0"/>
              <w:right w:val="single" w:color="auto" w:sz="4" w:space="0"/>
            </w:tcBorders>
            <w:shd w:val="clear" w:color="F3F3F3" w:fill="FEF2CD"/>
            <w:vAlign w:val="center"/>
          </w:tcPr>
          <w:p w14:paraId="227A7F46">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$3212 / $8398 = 0.38 Times</w:t>
            </w:r>
          </w:p>
        </w:tc>
        <w:tc>
          <w:tcPr>
            <w:tcW w:w="288" w:type="pct"/>
            <w:tcBorders>
              <w:top w:val="nil"/>
              <w:left w:val="nil"/>
              <w:bottom w:val="single" w:color="auto" w:sz="4" w:space="0"/>
              <w:right w:val="single" w:color="auto" w:sz="4" w:space="0"/>
            </w:tcBorders>
            <w:shd w:val="clear" w:color="FFFF00" w:fill="FFFFFF"/>
            <w:noWrap/>
            <w:vAlign w:val="center"/>
          </w:tcPr>
          <w:p w14:paraId="507167F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0.38</w:t>
            </w:r>
          </w:p>
        </w:tc>
        <w:tc>
          <w:tcPr>
            <w:tcW w:w="308" w:type="pct"/>
            <w:tcBorders>
              <w:top w:val="nil"/>
              <w:left w:val="nil"/>
              <w:bottom w:val="single" w:color="auto" w:sz="4" w:space="0"/>
              <w:right w:val="single" w:color="auto" w:sz="4" w:space="0"/>
            </w:tcBorders>
            <w:shd w:val="clear" w:color="000000" w:fill="FFFF00"/>
            <w:noWrap/>
            <w:vAlign w:val="center"/>
          </w:tcPr>
          <w:p w14:paraId="29AF1A4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0.60 Times</w:t>
            </w:r>
          </w:p>
        </w:tc>
      </w:tr>
      <w:tr w14:paraId="033FA027">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6E0D1578">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Cash Flow from Operating Activities</w:t>
            </w:r>
          </w:p>
        </w:tc>
        <w:tc>
          <w:tcPr>
            <w:tcW w:w="591" w:type="pct"/>
            <w:vMerge w:val="continue"/>
            <w:tcBorders>
              <w:top w:val="nil"/>
              <w:left w:val="single" w:color="auto" w:sz="4" w:space="0"/>
              <w:bottom w:val="single" w:color="auto" w:sz="4" w:space="0"/>
              <w:right w:val="single" w:color="auto" w:sz="4" w:space="0"/>
            </w:tcBorders>
            <w:vAlign w:val="center"/>
          </w:tcPr>
          <w:p w14:paraId="06FD9E00">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4AA30DC9">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6C54C32A">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$1,177.00</w:t>
            </w:r>
          </w:p>
        </w:tc>
        <w:tc>
          <w:tcPr>
            <w:tcW w:w="377" w:type="pct"/>
            <w:vMerge w:val="continue"/>
            <w:tcBorders>
              <w:top w:val="nil"/>
              <w:left w:val="single" w:color="auto" w:sz="4" w:space="0"/>
              <w:bottom w:val="single" w:color="auto" w:sz="4" w:space="0"/>
              <w:right w:val="single" w:color="auto" w:sz="4" w:space="0"/>
            </w:tcBorders>
            <w:vAlign w:val="center"/>
          </w:tcPr>
          <w:p w14:paraId="0AD018B9">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6C512B6D">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$2,363.00</w:t>
            </w:r>
          </w:p>
        </w:tc>
        <w:tc>
          <w:tcPr>
            <w:tcW w:w="283" w:type="pct"/>
            <w:vMerge w:val="continue"/>
            <w:tcBorders>
              <w:top w:val="nil"/>
              <w:left w:val="single" w:color="auto" w:sz="4" w:space="0"/>
              <w:bottom w:val="single" w:color="auto" w:sz="4" w:space="0"/>
              <w:right w:val="single" w:color="auto" w:sz="4" w:space="0"/>
            </w:tcBorders>
            <w:vAlign w:val="center"/>
          </w:tcPr>
          <w:p w14:paraId="00FBD39C">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7F1C76F">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$3,170.00</w:t>
            </w:r>
          </w:p>
        </w:tc>
        <w:tc>
          <w:tcPr>
            <w:tcW w:w="341" w:type="pct"/>
            <w:vMerge w:val="continue"/>
            <w:tcBorders>
              <w:top w:val="nil"/>
              <w:left w:val="single" w:color="auto" w:sz="4" w:space="0"/>
              <w:bottom w:val="single" w:color="auto" w:sz="4" w:space="0"/>
              <w:right w:val="single" w:color="auto" w:sz="4" w:space="0"/>
            </w:tcBorders>
            <w:vAlign w:val="center"/>
          </w:tcPr>
          <w:p w14:paraId="717CDD44">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E416D3E">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$2,749.00</w:t>
            </w:r>
          </w:p>
        </w:tc>
        <w:tc>
          <w:tcPr>
            <w:tcW w:w="304" w:type="pct"/>
            <w:vMerge w:val="continue"/>
            <w:tcBorders>
              <w:top w:val="nil"/>
              <w:left w:val="single" w:color="auto" w:sz="4" w:space="0"/>
              <w:bottom w:val="single" w:color="auto" w:sz="4" w:space="0"/>
              <w:right w:val="single" w:color="auto" w:sz="4" w:space="0"/>
            </w:tcBorders>
            <w:vAlign w:val="center"/>
          </w:tcPr>
          <w:p w14:paraId="0F08C0F6">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DDF643F">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$3,212.00</w:t>
            </w:r>
          </w:p>
        </w:tc>
        <w:tc>
          <w:tcPr>
            <w:tcW w:w="308" w:type="pct"/>
            <w:tcBorders>
              <w:top w:val="nil"/>
              <w:left w:val="nil"/>
              <w:bottom w:val="single" w:color="auto" w:sz="4" w:space="0"/>
              <w:right w:val="single" w:color="auto" w:sz="4" w:space="0"/>
            </w:tcBorders>
            <w:shd w:val="clear" w:color="000000" w:fill="FFFFFF"/>
            <w:noWrap/>
            <w:vAlign w:val="center"/>
          </w:tcPr>
          <w:p w14:paraId="5E15BEA5">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46D2C3AC">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3AEFB456">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Current Liabilities</w:t>
            </w:r>
          </w:p>
        </w:tc>
        <w:tc>
          <w:tcPr>
            <w:tcW w:w="591" w:type="pct"/>
            <w:vMerge w:val="continue"/>
            <w:tcBorders>
              <w:top w:val="nil"/>
              <w:left w:val="single" w:color="auto" w:sz="4" w:space="0"/>
              <w:bottom w:val="single" w:color="auto" w:sz="4" w:space="0"/>
              <w:right w:val="single" w:color="auto" w:sz="4" w:space="0"/>
            </w:tcBorders>
            <w:vAlign w:val="center"/>
          </w:tcPr>
          <w:p w14:paraId="18E61B9E">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4EBE34BE">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1FA4DA3">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6,407.00</w:t>
            </w:r>
          </w:p>
        </w:tc>
        <w:tc>
          <w:tcPr>
            <w:tcW w:w="377" w:type="pct"/>
            <w:vMerge w:val="continue"/>
            <w:tcBorders>
              <w:top w:val="nil"/>
              <w:left w:val="single" w:color="auto" w:sz="4" w:space="0"/>
              <w:bottom w:val="single" w:color="auto" w:sz="4" w:space="0"/>
              <w:right w:val="single" w:color="auto" w:sz="4" w:space="0"/>
            </w:tcBorders>
            <w:vAlign w:val="center"/>
          </w:tcPr>
          <w:p w14:paraId="2A8166A5">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14B884E">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7,339.00</w:t>
            </w:r>
          </w:p>
        </w:tc>
        <w:tc>
          <w:tcPr>
            <w:tcW w:w="283" w:type="pct"/>
            <w:vMerge w:val="continue"/>
            <w:tcBorders>
              <w:top w:val="nil"/>
              <w:left w:val="single" w:color="auto" w:sz="4" w:space="0"/>
              <w:bottom w:val="single" w:color="auto" w:sz="4" w:space="0"/>
              <w:right w:val="single" w:color="auto" w:sz="4" w:space="0"/>
            </w:tcBorders>
            <w:vAlign w:val="center"/>
          </w:tcPr>
          <w:p w14:paraId="09B8F34D">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175A9815">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7,762.00</w:t>
            </w:r>
          </w:p>
        </w:tc>
        <w:tc>
          <w:tcPr>
            <w:tcW w:w="341" w:type="pct"/>
            <w:vMerge w:val="continue"/>
            <w:tcBorders>
              <w:top w:val="nil"/>
              <w:left w:val="single" w:color="auto" w:sz="4" w:space="0"/>
              <w:bottom w:val="single" w:color="auto" w:sz="4" w:space="0"/>
              <w:right w:val="single" w:color="auto" w:sz="4" w:space="0"/>
            </w:tcBorders>
            <w:vAlign w:val="center"/>
          </w:tcPr>
          <w:p w14:paraId="09891F92">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6C8CD185">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8,649.00</w:t>
            </w:r>
          </w:p>
        </w:tc>
        <w:tc>
          <w:tcPr>
            <w:tcW w:w="304" w:type="pct"/>
            <w:vMerge w:val="continue"/>
            <w:tcBorders>
              <w:top w:val="nil"/>
              <w:left w:val="single" w:color="auto" w:sz="4" w:space="0"/>
              <w:bottom w:val="single" w:color="auto" w:sz="4" w:space="0"/>
              <w:right w:val="single" w:color="auto" w:sz="4" w:space="0"/>
            </w:tcBorders>
            <w:vAlign w:val="center"/>
          </w:tcPr>
          <w:p w14:paraId="714EBEF8">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5012069">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8,398.00</w:t>
            </w:r>
          </w:p>
        </w:tc>
        <w:tc>
          <w:tcPr>
            <w:tcW w:w="308" w:type="pct"/>
            <w:tcBorders>
              <w:top w:val="nil"/>
              <w:left w:val="nil"/>
              <w:bottom w:val="single" w:color="auto" w:sz="4" w:space="0"/>
              <w:right w:val="single" w:color="auto" w:sz="4" w:space="0"/>
            </w:tcBorders>
            <w:shd w:val="clear" w:color="000000" w:fill="FFFFFF"/>
            <w:noWrap/>
            <w:vAlign w:val="center"/>
          </w:tcPr>
          <w:p w14:paraId="474540C6">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76153BDF">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1EA96BDD">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591" w:type="pct"/>
            <w:tcBorders>
              <w:top w:val="nil"/>
              <w:left w:val="nil"/>
              <w:bottom w:val="single" w:color="auto" w:sz="4" w:space="0"/>
              <w:right w:val="single" w:color="auto" w:sz="4" w:space="0"/>
            </w:tcBorders>
            <w:shd w:val="clear" w:color="000000" w:fill="FFFFFF"/>
            <w:noWrap/>
            <w:vAlign w:val="center"/>
          </w:tcPr>
          <w:p w14:paraId="649BB09C">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43D33AC5">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19827933">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77" w:type="pct"/>
            <w:tcBorders>
              <w:top w:val="nil"/>
              <w:left w:val="nil"/>
              <w:bottom w:val="single" w:color="auto" w:sz="4" w:space="0"/>
              <w:right w:val="single" w:color="auto" w:sz="4" w:space="0"/>
            </w:tcBorders>
            <w:shd w:val="clear" w:color="000000" w:fill="FFFFFF"/>
            <w:noWrap/>
            <w:vAlign w:val="center"/>
          </w:tcPr>
          <w:p w14:paraId="3D706701">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1C2C6429">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3" w:type="pct"/>
            <w:tcBorders>
              <w:top w:val="nil"/>
              <w:left w:val="nil"/>
              <w:bottom w:val="single" w:color="auto" w:sz="4" w:space="0"/>
              <w:right w:val="single" w:color="auto" w:sz="4" w:space="0"/>
            </w:tcBorders>
            <w:shd w:val="clear" w:color="000000" w:fill="FFFFFF"/>
            <w:noWrap/>
            <w:vAlign w:val="center"/>
          </w:tcPr>
          <w:p w14:paraId="6E0B47B7">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41CB3AF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41" w:type="pct"/>
            <w:tcBorders>
              <w:top w:val="nil"/>
              <w:left w:val="nil"/>
              <w:bottom w:val="single" w:color="auto" w:sz="4" w:space="0"/>
              <w:right w:val="single" w:color="auto" w:sz="4" w:space="0"/>
            </w:tcBorders>
            <w:shd w:val="clear" w:color="000000" w:fill="FFFFFF"/>
            <w:noWrap/>
            <w:vAlign w:val="center"/>
          </w:tcPr>
          <w:p w14:paraId="2CA280A2">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712D8B55">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4" w:type="pct"/>
            <w:tcBorders>
              <w:top w:val="nil"/>
              <w:left w:val="nil"/>
              <w:bottom w:val="single" w:color="auto" w:sz="4" w:space="0"/>
              <w:right w:val="single" w:color="auto" w:sz="4" w:space="0"/>
            </w:tcBorders>
            <w:shd w:val="clear" w:color="000000" w:fill="FFFFFF"/>
            <w:noWrap/>
            <w:vAlign w:val="center"/>
          </w:tcPr>
          <w:p w14:paraId="7B473CD4">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288" w:type="pct"/>
            <w:tcBorders>
              <w:top w:val="nil"/>
              <w:left w:val="nil"/>
              <w:bottom w:val="single" w:color="auto" w:sz="4" w:space="0"/>
              <w:right w:val="single" w:color="auto" w:sz="4" w:space="0"/>
            </w:tcBorders>
            <w:shd w:val="clear" w:color="000000" w:fill="FFFFFF"/>
            <w:noWrap/>
            <w:vAlign w:val="center"/>
          </w:tcPr>
          <w:p w14:paraId="76F58214">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c>
          <w:tcPr>
            <w:tcW w:w="308" w:type="pct"/>
            <w:tcBorders>
              <w:top w:val="nil"/>
              <w:left w:val="nil"/>
              <w:bottom w:val="single" w:color="auto" w:sz="4" w:space="0"/>
              <w:right w:val="single" w:color="auto" w:sz="4" w:space="0"/>
            </w:tcBorders>
            <w:shd w:val="clear" w:color="000000" w:fill="FFFFFF"/>
            <w:noWrap/>
            <w:vAlign w:val="center"/>
          </w:tcPr>
          <w:p w14:paraId="438C3D37">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2F8D4D9C">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27A6D280">
            <w:pPr>
              <w:spacing w:line="240" w:lineRule="auto"/>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Free Cash Flow Ratio</w:t>
            </w:r>
          </w:p>
        </w:tc>
        <w:tc>
          <w:tcPr>
            <w:tcW w:w="591" w:type="pct"/>
            <w:vMerge w:val="restart"/>
            <w:tcBorders>
              <w:top w:val="nil"/>
              <w:left w:val="single" w:color="auto" w:sz="4" w:space="0"/>
              <w:bottom w:val="single" w:color="auto" w:sz="4" w:space="0"/>
              <w:right w:val="single" w:color="auto" w:sz="4" w:space="0"/>
            </w:tcBorders>
            <w:shd w:val="clear" w:color="FCE5CD" w:fill="FFFFFF"/>
            <w:vAlign w:val="center"/>
          </w:tcPr>
          <w:p w14:paraId="45E62EF9">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Free Cash Flow (Operating Cash Flow - capital Expenditure) / Total Revenue</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2AA4E252">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$994 / $13857 = 0.07 Times</w:t>
            </w:r>
          </w:p>
        </w:tc>
        <w:tc>
          <w:tcPr>
            <w:tcW w:w="288" w:type="pct"/>
            <w:tcBorders>
              <w:top w:val="nil"/>
              <w:left w:val="nil"/>
              <w:bottom w:val="single" w:color="auto" w:sz="4" w:space="0"/>
              <w:right w:val="single" w:color="auto" w:sz="4" w:space="0"/>
            </w:tcBorders>
            <w:shd w:val="clear" w:color="FFFF00" w:fill="FFFFFF"/>
            <w:noWrap/>
            <w:vAlign w:val="center"/>
          </w:tcPr>
          <w:p w14:paraId="128B31CB">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0.07</w:t>
            </w:r>
          </w:p>
        </w:tc>
        <w:tc>
          <w:tcPr>
            <w:tcW w:w="377" w:type="pct"/>
            <w:vMerge w:val="restart"/>
            <w:tcBorders>
              <w:top w:val="nil"/>
              <w:left w:val="single" w:color="auto" w:sz="4" w:space="0"/>
              <w:bottom w:val="single" w:color="auto" w:sz="4" w:space="0"/>
              <w:right w:val="single" w:color="auto" w:sz="4" w:space="0"/>
            </w:tcBorders>
            <w:shd w:val="clear" w:color="F3F3F3" w:fill="FEF2CD"/>
            <w:vAlign w:val="center"/>
          </w:tcPr>
          <w:p w14:paraId="0101EF99">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$2031 / $20773 = 0.10 Times</w:t>
            </w:r>
          </w:p>
        </w:tc>
        <w:tc>
          <w:tcPr>
            <w:tcW w:w="288" w:type="pct"/>
            <w:tcBorders>
              <w:top w:val="nil"/>
              <w:left w:val="nil"/>
              <w:bottom w:val="single" w:color="auto" w:sz="4" w:space="0"/>
              <w:right w:val="single" w:color="auto" w:sz="4" w:space="0"/>
            </w:tcBorders>
            <w:shd w:val="clear" w:color="FFFF00" w:fill="FFFFFF"/>
            <w:noWrap/>
            <w:vAlign w:val="center"/>
          </w:tcPr>
          <w:p w14:paraId="4251728F">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0.10</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49A4B7B5">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$2718 / $23713 = 0.11 Times</w:t>
            </w:r>
          </w:p>
        </w:tc>
        <w:tc>
          <w:tcPr>
            <w:tcW w:w="288" w:type="pct"/>
            <w:tcBorders>
              <w:top w:val="nil"/>
              <w:left w:val="nil"/>
              <w:bottom w:val="single" w:color="auto" w:sz="4" w:space="0"/>
              <w:right w:val="single" w:color="auto" w:sz="4" w:space="0"/>
            </w:tcBorders>
            <w:shd w:val="clear" w:color="FFFF00" w:fill="FFFFFF"/>
            <w:noWrap/>
            <w:vAlign w:val="center"/>
          </w:tcPr>
          <w:p w14:paraId="4F28854D">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0.11</w:t>
            </w:r>
          </w:p>
        </w:tc>
        <w:tc>
          <w:tcPr>
            <w:tcW w:w="341" w:type="pct"/>
            <w:vMerge w:val="restart"/>
            <w:tcBorders>
              <w:top w:val="nil"/>
              <w:left w:val="single" w:color="auto" w:sz="4" w:space="0"/>
              <w:bottom w:val="single" w:color="auto" w:sz="4" w:space="0"/>
              <w:right w:val="single" w:color="auto" w:sz="4" w:space="0"/>
            </w:tcBorders>
            <w:shd w:val="clear" w:color="F3F3F3" w:fill="FEF2CD"/>
            <w:vAlign w:val="center"/>
          </w:tcPr>
          <w:p w14:paraId="608EC00D">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$1999 / $25100 = 0.08 Times</w:t>
            </w:r>
          </w:p>
        </w:tc>
        <w:tc>
          <w:tcPr>
            <w:tcW w:w="288" w:type="pct"/>
            <w:tcBorders>
              <w:top w:val="nil"/>
              <w:left w:val="nil"/>
              <w:bottom w:val="single" w:color="auto" w:sz="4" w:space="0"/>
              <w:right w:val="single" w:color="auto" w:sz="4" w:space="0"/>
            </w:tcBorders>
            <w:shd w:val="clear" w:color="FFFF00" w:fill="FFFFFF"/>
            <w:noWrap/>
            <w:vAlign w:val="center"/>
          </w:tcPr>
          <w:p w14:paraId="5F6A8DD5">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0.08</w:t>
            </w:r>
          </w:p>
        </w:tc>
        <w:tc>
          <w:tcPr>
            <w:tcW w:w="304" w:type="pct"/>
            <w:vMerge w:val="restart"/>
            <w:tcBorders>
              <w:top w:val="nil"/>
              <w:left w:val="single" w:color="auto" w:sz="4" w:space="0"/>
              <w:bottom w:val="single" w:color="auto" w:sz="4" w:space="0"/>
              <w:right w:val="single" w:color="auto" w:sz="4" w:space="0"/>
            </w:tcBorders>
            <w:shd w:val="clear" w:color="F3F3F3" w:fill="FEF2CD"/>
            <w:vAlign w:val="center"/>
          </w:tcPr>
          <w:p w14:paraId="15D01FCA">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$2608 / $26186 = 0.10 Times</w:t>
            </w:r>
          </w:p>
        </w:tc>
        <w:tc>
          <w:tcPr>
            <w:tcW w:w="288" w:type="pct"/>
            <w:tcBorders>
              <w:top w:val="nil"/>
              <w:left w:val="nil"/>
              <w:bottom w:val="single" w:color="auto" w:sz="4" w:space="0"/>
              <w:right w:val="single" w:color="auto" w:sz="4" w:space="0"/>
            </w:tcBorders>
            <w:shd w:val="clear" w:color="FFFF00" w:fill="FFFFFF"/>
            <w:noWrap/>
            <w:vAlign w:val="center"/>
          </w:tcPr>
          <w:p w14:paraId="6C604213">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0.10</w:t>
            </w:r>
          </w:p>
        </w:tc>
        <w:tc>
          <w:tcPr>
            <w:tcW w:w="308" w:type="pct"/>
            <w:tcBorders>
              <w:top w:val="nil"/>
              <w:left w:val="nil"/>
              <w:bottom w:val="single" w:color="auto" w:sz="4" w:space="0"/>
              <w:right w:val="single" w:color="auto" w:sz="4" w:space="0"/>
            </w:tcBorders>
            <w:shd w:val="clear" w:color="000000" w:fill="FFFF00"/>
            <w:noWrap/>
            <w:vAlign w:val="center"/>
          </w:tcPr>
          <w:p w14:paraId="43D3CDD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0.12 Times</w:t>
            </w:r>
          </w:p>
        </w:tc>
      </w:tr>
      <w:tr w14:paraId="032A55AF">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5AE72799">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xml:space="preserve">Free Cash Flow   </w:t>
            </w:r>
          </w:p>
        </w:tc>
        <w:tc>
          <w:tcPr>
            <w:tcW w:w="591" w:type="pct"/>
            <w:vMerge w:val="continue"/>
            <w:tcBorders>
              <w:top w:val="nil"/>
              <w:left w:val="single" w:color="auto" w:sz="4" w:space="0"/>
              <w:bottom w:val="single" w:color="auto" w:sz="4" w:space="0"/>
              <w:right w:val="single" w:color="auto" w:sz="4" w:space="0"/>
            </w:tcBorders>
            <w:vAlign w:val="center"/>
          </w:tcPr>
          <w:p w14:paraId="70E6EED2">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6664F11D">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982C512">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$994.00</w:t>
            </w:r>
          </w:p>
        </w:tc>
        <w:tc>
          <w:tcPr>
            <w:tcW w:w="377" w:type="pct"/>
            <w:vMerge w:val="continue"/>
            <w:tcBorders>
              <w:top w:val="nil"/>
              <w:left w:val="single" w:color="auto" w:sz="4" w:space="0"/>
              <w:bottom w:val="single" w:color="auto" w:sz="4" w:space="0"/>
              <w:right w:val="single" w:color="auto" w:sz="4" w:space="0"/>
            </w:tcBorders>
            <w:vAlign w:val="center"/>
          </w:tcPr>
          <w:p w14:paraId="38CF0DB8">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A4E1EF0">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$2,031.00</w:t>
            </w:r>
          </w:p>
        </w:tc>
        <w:tc>
          <w:tcPr>
            <w:tcW w:w="283" w:type="pct"/>
            <w:vMerge w:val="continue"/>
            <w:tcBorders>
              <w:top w:val="nil"/>
              <w:left w:val="single" w:color="auto" w:sz="4" w:space="0"/>
              <w:bottom w:val="single" w:color="auto" w:sz="4" w:space="0"/>
              <w:right w:val="single" w:color="auto" w:sz="4" w:space="0"/>
            </w:tcBorders>
            <w:vAlign w:val="center"/>
          </w:tcPr>
          <w:p w14:paraId="2205C7E3">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2D21C1E">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$2,718.00</w:t>
            </w:r>
          </w:p>
        </w:tc>
        <w:tc>
          <w:tcPr>
            <w:tcW w:w="341" w:type="pct"/>
            <w:vMerge w:val="continue"/>
            <w:tcBorders>
              <w:top w:val="nil"/>
              <w:left w:val="single" w:color="auto" w:sz="4" w:space="0"/>
              <w:bottom w:val="single" w:color="auto" w:sz="4" w:space="0"/>
              <w:right w:val="single" w:color="auto" w:sz="4" w:space="0"/>
            </w:tcBorders>
            <w:vAlign w:val="center"/>
          </w:tcPr>
          <w:p w14:paraId="618D7DC4">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0C1EC45D">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$1,999.00</w:t>
            </w:r>
          </w:p>
        </w:tc>
        <w:tc>
          <w:tcPr>
            <w:tcW w:w="304" w:type="pct"/>
            <w:vMerge w:val="continue"/>
            <w:tcBorders>
              <w:top w:val="nil"/>
              <w:left w:val="single" w:color="auto" w:sz="4" w:space="0"/>
              <w:bottom w:val="single" w:color="auto" w:sz="4" w:space="0"/>
              <w:right w:val="single" w:color="auto" w:sz="4" w:space="0"/>
            </w:tcBorders>
            <w:vAlign w:val="center"/>
          </w:tcPr>
          <w:p w14:paraId="135FD671">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EB2586F">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$2,608.00</w:t>
            </w:r>
          </w:p>
        </w:tc>
        <w:tc>
          <w:tcPr>
            <w:tcW w:w="308" w:type="pct"/>
            <w:tcBorders>
              <w:top w:val="nil"/>
              <w:left w:val="nil"/>
              <w:bottom w:val="single" w:color="auto" w:sz="4" w:space="0"/>
              <w:right w:val="single" w:color="auto" w:sz="4" w:space="0"/>
            </w:tcBorders>
            <w:shd w:val="clear" w:color="000000" w:fill="FFFFFF"/>
            <w:noWrap/>
            <w:vAlign w:val="center"/>
          </w:tcPr>
          <w:p w14:paraId="7AF77AAE">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02BF8AD7">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0A25C06B">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Total Revenue</w:t>
            </w:r>
          </w:p>
        </w:tc>
        <w:tc>
          <w:tcPr>
            <w:tcW w:w="591" w:type="pct"/>
            <w:vMerge w:val="continue"/>
            <w:tcBorders>
              <w:top w:val="nil"/>
              <w:left w:val="single" w:color="auto" w:sz="4" w:space="0"/>
              <w:bottom w:val="single" w:color="auto" w:sz="4" w:space="0"/>
              <w:right w:val="single" w:color="auto" w:sz="4" w:space="0"/>
            </w:tcBorders>
            <w:vAlign w:val="center"/>
          </w:tcPr>
          <w:p w14:paraId="655371EF">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4D46BCF9">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2DCC813D">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$13,857.00</w:t>
            </w:r>
          </w:p>
        </w:tc>
        <w:tc>
          <w:tcPr>
            <w:tcW w:w="377" w:type="pct"/>
            <w:vMerge w:val="continue"/>
            <w:tcBorders>
              <w:top w:val="nil"/>
              <w:left w:val="single" w:color="auto" w:sz="4" w:space="0"/>
              <w:bottom w:val="single" w:color="auto" w:sz="4" w:space="0"/>
              <w:right w:val="single" w:color="auto" w:sz="4" w:space="0"/>
            </w:tcBorders>
            <w:vAlign w:val="center"/>
          </w:tcPr>
          <w:p w14:paraId="1986C067">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618FEE95">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$20,773.00</w:t>
            </w:r>
          </w:p>
        </w:tc>
        <w:tc>
          <w:tcPr>
            <w:tcW w:w="283" w:type="pct"/>
            <w:vMerge w:val="continue"/>
            <w:tcBorders>
              <w:top w:val="nil"/>
              <w:left w:val="single" w:color="auto" w:sz="4" w:space="0"/>
              <w:bottom w:val="single" w:color="auto" w:sz="4" w:space="0"/>
              <w:right w:val="single" w:color="auto" w:sz="4" w:space="0"/>
            </w:tcBorders>
            <w:vAlign w:val="center"/>
          </w:tcPr>
          <w:p w14:paraId="69C0A8B0">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1F144A9F">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$23,713.00</w:t>
            </w:r>
          </w:p>
        </w:tc>
        <w:tc>
          <w:tcPr>
            <w:tcW w:w="341" w:type="pct"/>
            <w:vMerge w:val="continue"/>
            <w:tcBorders>
              <w:top w:val="nil"/>
              <w:left w:val="single" w:color="auto" w:sz="4" w:space="0"/>
              <w:bottom w:val="single" w:color="auto" w:sz="4" w:space="0"/>
              <w:right w:val="single" w:color="auto" w:sz="4" w:space="0"/>
            </w:tcBorders>
            <w:vAlign w:val="center"/>
          </w:tcPr>
          <w:p w14:paraId="687F71B4">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C39EC37">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$25,100.00</w:t>
            </w:r>
          </w:p>
        </w:tc>
        <w:tc>
          <w:tcPr>
            <w:tcW w:w="304" w:type="pct"/>
            <w:vMerge w:val="continue"/>
            <w:tcBorders>
              <w:top w:val="nil"/>
              <w:left w:val="single" w:color="auto" w:sz="4" w:space="0"/>
              <w:bottom w:val="single" w:color="auto" w:sz="4" w:space="0"/>
              <w:right w:val="single" w:color="auto" w:sz="4" w:space="0"/>
            </w:tcBorders>
            <w:vAlign w:val="center"/>
          </w:tcPr>
          <w:p w14:paraId="5527F46A">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78D858DA">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$26,186.00</w:t>
            </w:r>
          </w:p>
        </w:tc>
        <w:tc>
          <w:tcPr>
            <w:tcW w:w="308" w:type="pct"/>
            <w:tcBorders>
              <w:top w:val="nil"/>
              <w:left w:val="nil"/>
              <w:bottom w:val="single" w:color="auto" w:sz="4" w:space="0"/>
              <w:right w:val="single" w:color="auto" w:sz="4" w:space="0"/>
            </w:tcBorders>
            <w:shd w:val="clear" w:color="000000" w:fill="FFFFFF"/>
            <w:noWrap/>
            <w:vAlign w:val="center"/>
          </w:tcPr>
          <w:p w14:paraId="1ED594F0">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2D17793E">
        <w:tblPrEx>
          <w:tblCellMar>
            <w:top w:w="0" w:type="dxa"/>
            <w:left w:w="108" w:type="dxa"/>
            <w:bottom w:w="0" w:type="dxa"/>
            <w:right w:w="108" w:type="dxa"/>
          </w:tblCellMar>
        </w:tblPrEx>
        <w:trPr>
          <w:trHeight w:val="300" w:hRule="atLeast"/>
        </w:trPr>
        <w:tc>
          <w:tcPr>
            <w:tcW w:w="5000" w:type="pct"/>
            <w:gridSpan w:val="13"/>
            <w:tcBorders>
              <w:top w:val="single" w:color="auto" w:sz="4" w:space="0"/>
              <w:left w:val="single" w:color="auto" w:sz="4" w:space="0"/>
              <w:bottom w:val="single" w:color="auto" w:sz="4" w:space="0"/>
              <w:right w:val="single" w:color="000000" w:sz="4" w:space="0"/>
            </w:tcBorders>
            <w:shd w:val="clear" w:color="000000" w:fill="DAF1F3"/>
            <w:noWrap/>
            <w:vAlign w:val="center"/>
          </w:tcPr>
          <w:p w14:paraId="093E10CF">
            <w:pPr>
              <w:spacing w:line="240" w:lineRule="auto"/>
              <w:jc w:val="center"/>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 </w:t>
            </w:r>
          </w:p>
        </w:tc>
      </w:tr>
      <w:tr w14:paraId="2F0F6E4D">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78931827">
            <w:pPr>
              <w:spacing w:line="240" w:lineRule="auto"/>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Gearing Ratio</w:t>
            </w:r>
          </w:p>
        </w:tc>
        <w:tc>
          <w:tcPr>
            <w:tcW w:w="591" w:type="pct"/>
            <w:vMerge w:val="restart"/>
            <w:tcBorders>
              <w:top w:val="nil"/>
              <w:left w:val="single" w:color="auto" w:sz="4" w:space="0"/>
              <w:bottom w:val="single" w:color="auto" w:sz="4" w:space="0"/>
              <w:right w:val="single" w:color="auto" w:sz="4" w:space="0"/>
            </w:tcBorders>
            <w:shd w:val="clear" w:color="FCE5CD" w:fill="FFFFFF"/>
            <w:vAlign w:val="center"/>
          </w:tcPr>
          <w:p w14:paraId="3E127C8D">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Total Debt / Total Shareholders Equity * 100</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66411080">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$10138 / $1414 * 100 = 717%</w:t>
            </w:r>
          </w:p>
        </w:tc>
        <w:tc>
          <w:tcPr>
            <w:tcW w:w="288" w:type="pct"/>
            <w:tcBorders>
              <w:top w:val="nil"/>
              <w:left w:val="nil"/>
              <w:bottom w:val="single" w:color="auto" w:sz="4" w:space="0"/>
              <w:right w:val="single" w:color="auto" w:sz="4" w:space="0"/>
            </w:tcBorders>
            <w:shd w:val="clear" w:color="FFFF00" w:fill="FFFFFF"/>
            <w:noWrap/>
            <w:vAlign w:val="center"/>
          </w:tcPr>
          <w:p w14:paraId="6922F230">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717%</w:t>
            </w:r>
          </w:p>
        </w:tc>
        <w:tc>
          <w:tcPr>
            <w:tcW w:w="377" w:type="pct"/>
            <w:vMerge w:val="restart"/>
            <w:tcBorders>
              <w:top w:val="nil"/>
              <w:left w:val="single" w:color="auto" w:sz="4" w:space="0"/>
              <w:bottom w:val="single" w:color="auto" w:sz="4" w:space="0"/>
              <w:right w:val="single" w:color="auto" w:sz="4" w:space="0"/>
            </w:tcBorders>
            <w:shd w:val="clear" w:color="F3F3F3" w:fill="FEF2CD"/>
            <w:vAlign w:val="center"/>
          </w:tcPr>
          <w:p w14:paraId="7CB206A8">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$10064 / $568 * 100 = 1772%</w:t>
            </w:r>
          </w:p>
        </w:tc>
        <w:tc>
          <w:tcPr>
            <w:tcW w:w="288" w:type="pct"/>
            <w:tcBorders>
              <w:top w:val="nil"/>
              <w:left w:val="nil"/>
              <w:bottom w:val="single" w:color="auto" w:sz="4" w:space="0"/>
              <w:right w:val="single" w:color="auto" w:sz="4" w:space="0"/>
            </w:tcBorders>
            <w:shd w:val="clear" w:color="FFFF00" w:fill="FFFFFF"/>
            <w:noWrap/>
            <w:vAlign w:val="center"/>
          </w:tcPr>
          <w:p w14:paraId="54B65876">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1772%</w:t>
            </w:r>
          </w:p>
        </w:tc>
        <w:tc>
          <w:tcPr>
            <w:tcW w:w="283" w:type="pct"/>
            <w:vMerge w:val="restart"/>
            <w:tcBorders>
              <w:top w:val="nil"/>
              <w:left w:val="single" w:color="auto" w:sz="4" w:space="0"/>
              <w:bottom w:val="single" w:color="auto" w:sz="4" w:space="0"/>
              <w:right w:val="single" w:color="auto" w:sz="4" w:space="0"/>
            </w:tcBorders>
            <w:shd w:val="clear" w:color="F3F3F3" w:fill="FEF2CD"/>
            <w:vAlign w:val="center"/>
          </w:tcPr>
          <w:p w14:paraId="726C8367">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$11873 / $682 (Deficit) * 100 = -1741%</w:t>
            </w:r>
          </w:p>
        </w:tc>
        <w:tc>
          <w:tcPr>
            <w:tcW w:w="288" w:type="pct"/>
            <w:tcBorders>
              <w:top w:val="nil"/>
              <w:left w:val="nil"/>
              <w:bottom w:val="single" w:color="auto" w:sz="4" w:space="0"/>
              <w:right w:val="single" w:color="auto" w:sz="4" w:space="0"/>
            </w:tcBorders>
            <w:shd w:val="clear" w:color="FFFF00" w:fill="FFFFFF"/>
            <w:noWrap/>
            <w:vAlign w:val="center"/>
          </w:tcPr>
          <w:p w14:paraId="47F9ECC5">
            <w:pPr>
              <w:spacing w:line="240" w:lineRule="auto"/>
              <w:jc w:val="center"/>
              <w:rPr>
                <w:rFonts w:ascii="Times New Roman" w:hAnsi="Times New Roman" w:eastAsia="Times New Roman" w:cs="Times New Roman"/>
                <w:b/>
                <w:bCs/>
                <w:color w:val="C00000"/>
                <w:sz w:val="16"/>
                <w:szCs w:val="16"/>
                <w:lang w:val="en-IN"/>
              </w:rPr>
            </w:pPr>
            <w:r>
              <w:rPr>
                <w:rFonts w:ascii="Times New Roman" w:hAnsi="Times New Roman" w:eastAsia="Times New Roman" w:cs="Times New Roman"/>
                <w:b/>
                <w:bCs/>
                <w:color w:val="C00000"/>
                <w:sz w:val="16"/>
                <w:szCs w:val="16"/>
                <w:lang w:val="en-IN"/>
              </w:rPr>
              <w:t>1741%</w:t>
            </w:r>
          </w:p>
        </w:tc>
        <w:tc>
          <w:tcPr>
            <w:tcW w:w="341" w:type="pct"/>
            <w:vMerge w:val="restart"/>
            <w:tcBorders>
              <w:top w:val="nil"/>
              <w:left w:val="single" w:color="auto" w:sz="4" w:space="0"/>
              <w:bottom w:val="single" w:color="auto" w:sz="4" w:space="0"/>
              <w:right w:val="single" w:color="auto" w:sz="4" w:space="0"/>
            </w:tcBorders>
            <w:shd w:val="clear" w:color="F3F3F3" w:fill="FEF2CD"/>
            <w:vAlign w:val="center"/>
          </w:tcPr>
          <w:p w14:paraId="59FD2033">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$14447 / $2992 (Deficit) * 100 = - 483%</w:t>
            </w:r>
          </w:p>
        </w:tc>
        <w:tc>
          <w:tcPr>
            <w:tcW w:w="288" w:type="pct"/>
            <w:tcBorders>
              <w:top w:val="nil"/>
              <w:left w:val="nil"/>
              <w:bottom w:val="single" w:color="auto" w:sz="4" w:space="0"/>
              <w:right w:val="single" w:color="auto" w:sz="4" w:space="0"/>
            </w:tcBorders>
            <w:shd w:val="clear" w:color="FFFF00" w:fill="FFFFFF"/>
            <w:noWrap/>
            <w:vAlign w:val="center"/>
          </w:tcPr>
          <w:p w14:paraId="5EC92E2D">
            <w:pPr>
              <w:spacing w:line="240" w:lineRule="auto"/>
              <w:jc w:val="center"/>
              <w:rPr>
                <w:rFonts w:ascii="Times New Roman" w:hAnsi="Times New Roman" w:eastAsia="Times New Roman" w:cs="Times New Roman"/>
                <w:b/>
                <w:bCs/>
                <w:color w:val="C00000"/>
                <w:sz w:val="16"/>
                <w:szCs w:val="16"/>
                <w:lang w:val="en-IN"/>
              </w:rPr>
            </w:pPr>
            <w:r>
              <w:rPr>
                <w:rFonts w:ascii="Times New Roman" w:hAnsi="Times New Roman" w:eastAsia="Times New Roman" w:cs="Times New Roman"/>
                <w:b/>
                <w:bCs/>
                <w:color w:val="C00000"/>
                <w:sz w:val="16"/>
                <w:szCs w:val="16"/>
                <w:lang w:val="en-IN"/>
              </w:rPr>
              <w:t>483%</w:t>
            </w:r>
          </w:p>
        </w:tc>
        <w:tc>
          <w:tcPr>
            <w:tcW w:w="304" w:type="pct"/>
            <w:vMerge w:val="restart"/>
            <w:tcBorders>
              <w:top w:val="nil"/>
              <w:left w:val="single" w:color="auto" w:sz="4" w:space="0"/>
              <w:bottom w:val="single" w:color="auto" w:sz="4" w:space="0"/>
              <w:right w:val="single" w:color="auto" w:sz="4" w:space="0"/>
            </w:tcBorders>
            <w:shd w:val="clear" w:color="F3F3F3" w:fill="FEF2CD"/>
            <w:vAlign w:val="center"/>
          </w:tcPr>
          <w:p w14:paraId="66FD5288">
            <w:pPr>
              <w:spacing w:line="240" w:lineRule="auto"/>
              <w:jc w:val="center"/>
              <w:rPr>
                <w:rFonts w:ascii="Times New Roman" w:hAnsi="Times New Roman" w:eastAsia="Times New Roman" w:cs="Times New Roman"/>
                <w:i/>
                <w:iCs/>
                <w:sz w:val="16"/>
                <w:szCs w:val="16"/>
                <w:lang w:val="en-IN"/>
              </w:rPr>
            </w:pPr>
            <w:r>
              <w:rPr>
                <w:rFonts w:ascii="Times New Roman" w:hAnsi="Times New Roman" w:eastAsia="Times New Roman" w:cs="Times New Roman"/>
                <w:i/>
                <w:iCs/>
                <w:sz w:val="16"/>
                <w:szCs w:val="16"/>
                <w:lang w:val="en-IN"/>
              </w:rPr>
              <w:t>$16204 / $3771 * 100 = - 430% (Deficit)</w:t>
            </w:r>
          </w:p>
        </w:tc>
        <w:tc>
          <w:tcPr>
            <w:tcW w:w="288" w:type="pct"/>
            <w:tcBorders>
              <w:top w:val="nil"/>
              <w:left w:val="nil"/>
              <w:bottom w:val="single" w:color="auto" w:sz="4" w:space="0"/>
              <w:right w:val="single" w:color="auto" w:sz="4" w:space="0"/>
            </w:tcBorders>
            <w:shd w:val="clear" w:color="FFFF00" w:fill="FFFFFF"/>
            <w:noWrap/>
            <w:vAlign w:val="center"/>
          </w:tcPr>
          <w:p w14:paraId="1F54119C">
            <w:pPr>
              <w:spacing w:line="240" w:lineRule="auto"/>
              <w:jc w:val="center"/>
              <w:rPr>
                <w:rFonts w:ascii="Times New Roman" w:hAnsi="Times New Roman" w:eastAsia="Times New Roman" w:cs="Times New Roman"/>
                <w:b/>
                <w:bCs/>
                <w:color w:val="C00000"/>
                <w:sz w:val="16"/>
                <w:szCs w:val="16"/>
                <w:lang w:val="en-IN"/>
              </w:rPr>
            </w:pPr>
            <w:r>
              <w:rPr>
                <w:rFonts w:ascii="Times New Roman" w:hAnsi="Times New Roman" w:eastAsia="Times New Roman" w:cs="Times New Roman"/>
                <w:b/>
                <w:bCs/>
                <w:color w:val="C00000"/>
                <w:sz w:val="16"/>
                <w:szCs w:val="16"/>
                <w:lang w:val="en-IN"/>
              </w:rPr>
              <w:t>430%</w:t>
            </w:r>
          </w:p>
        </w:tc>
        <w:tc>
          <w:tcPr>
            <w:tcW w:w="308" w:type="pct"/>
            <w:tcBorders>
              <w:top w:val="nil"/>
              <w:left w:val="nil"/>
              <w:bottom w:val="single" w:color="auto" w:sz="4" w:space="0"/>
              <w:right w:val="single" w:color="auto" w:sz="4" w:space="0"/>
            </w:tcBorders>
            <w:shd w:val="clear" w:color="000000" w:fill="FFFF00"/>
            <w:noWrap/>
            <w:vAlign w:val="center"/>
          </w:tcPr>
          <w:p w14:paraId="77345E37">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140%</w:t>
            </w:r>
          </w:p>
        </w:tc>
      </w:tr>
      <w:tr w14:paraId="73E69256">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7E073F6F">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Total Debt</w:t>
            </w:r>
          </w:p>
        </w:tc>
        <w:tc>
          <w:tcPr>
            <w:tcW w:w="591" w:type="pct"/>
            <w:vMerge w:val="continue"/>
            <w:tcBorders>
              <w:top w:val="nil"/>
              <w:left w:val="single" w:color="auto" w:sz="4" w:space="0"/>
              <w:bottom w:val="single" w:color="auto" w:sz="4" w:space="0"/>
              <w:right w:val="single" w:color="auto" w:sz="4" w:space="0"/>
            </w:tcBorders>
            <w:vAlign w:val="center"/>
          </w:tcPr>
          <w:p w14:paraId="77197FC1">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284707D3">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803F51B">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$10,138.00</w:t>
            </w:r>
          </w:p>
        </w:tc>
        <w:tc>
          <w:tcPr>
            <w:tcW w:w="377" w:type="pct"/>
            <w:vMerge w:val="continue"/>
            <w:tcBorders>
              <w:top w:val="nil"/>
              <w:left w:val="single" w:color="auto" w:sz="4" w:space="0"/>
              <w:bottom w:val="single" w:color="auto" w:sz="4" w:space="0"/>
              <w:right w:val="single" w:color="auto" w:sz="4" w:space="0"/>
            </w:tcBorders>
            <w:vAlign w:val="center"/>
          </w:tcPr>
          <w:p w14:paraId="5ADEE346">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33C1E5CC">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$10,064.00</w:t>
            </w:r>
          </w:p>
        </w:tc>
        <w:tc>
          <w:tcPr>
            <w:tcW w:w="283" w:type="pct"/>
            <w:vMerge w:val="continue"/>
            <w:tcBorders>
              <w:top w:val="nil"/>
              <w:left w:val="single" w:color="auto" w:sz="4" w:space="0"/>
              <w:bottom w:val="single" w:color="auto" w:sz="4" w:space="0"/>
              <w:right w:val="single" w:color="auto" w:sz="4" w:space="0"/>
            </w:tcBorders>
            <w:vAlign w:val="center"/>
          </w:tcPr>
          <w:p w14:paraId="30999622">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0F2153B9">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$11,873.00</w:t>
            </w:r>
          </w:p>
        </w:tc>
        <w:tc>
          <w:tcPr>
            <w:tcW w:w="341" w:type="pct"/>
            <w:vMerge w:val="continue"/>
            <w:tcBorders>
              <w:top w:val="nil"/>
              <w:left w:val="single" w:color="auto" w:sz="4" w:space="0"/>
              <w:bottom w:val="single" w:color="auto" w:sz="4" w:space="0"/>
              <w:right w:val="single" w:color="auto" w:sz="4" w:space="0"/>
            </w:tcBorders>
            <w:vAlign w:val="center"/>
          </w:tcPr>
          <w:p w14:paraId="0C958A9F">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5FF3A1E5">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$14,447.00</w:t>
            </w:r>
          </w:p>
        </w:tc>
        <w:tc>
          <w:tcPr>
            <w:tcW w:w="304" w:type="pct"/>
            <w:vMerge w:val="continue"/>
            <w:tcBorders>
              <w:top w:val="nil"/>
              <w:left w:val="single" w:color="auto" w:sz="4" w:space="0"/>
              <w:bottom w:val="single" w:color="auto" w:sz="4" w:space="0"/>
              <w:right w:val="single" w:color="auto" w:sz="4" w:space="0"/>
            </w:tcBorders>
            <w:vAlign w:val="center"/>
          </w:tcPr>
          <w:p w14:paraId="2096A782">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EA4ED7C">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$16,204.00</w:t>
            </w:r>
          </w:p>
        </w:tc>
        <w:tc>
          <w:tcPr>
            <w:tcW w:w="308" w:type="pct"/>
            <w:tcBorders>
              <w:top w:val="nil"/>
              <w:left w:val="nil"/>
              <w:bottom w:val="single" w:color="auto" w:sz="4" w:space="0"/>
              <w:right w:val="single" w:color="auto" w:sz="4" w:space="0"/>
            </w:tcBorders>
            <w:shd w:val="clear" w:color="000000" w:fill="FFFFFF"/>
            <w:noWrap/>
            <w:vAlign w:val="center"/>
          </w:tcPr>
          <w:p w14:paraId="28377DEC">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r w14:paraId="3B05D7A6">
        <w:tblPrEx>
          <w:tblCellMar>
            <w:top w:w="0" w:type="dxa"/>
            <w:left w:w="108" w:type="dxa"/>
            <w:bottom w:w="0" w:type="dxa"/>
            <w:right w:w="108" w:type="dxa"/>
          </w:tblCellMar>
        </w:tblPrEx>
        <w:trPr>
          <w:trHeight w:val="312" w:hRule="atLeast"/>
        </w:trPr>
        <w:tc>
          <w:tcPr>
            <w:tcW w:w="1073" w:type="pct"/>
            <w:tcBorders>
              <w:top w:val="nil"/>
              <w:left w:val="single" w:color="auto" w:sz="4" w:space="0"/>
              <w:bottom w:val="single" w:color="auto" w:sz="4" w:space="0"/>
              <w:right w:val="single" w:color="auto" w:sz="4" w:space="0"/>
            </w:tcBorders>
            <w:shd w:val="clear" w:color="000000" w:fill="FFFFFF"/>
            <w:noWrap/>
            <w:vAlign w:val="center"/>
          </w:tcPr>
          <w:p w14:paraId="6F88D1A5">
            <w:pPr>
              <w:spacing w:line="240" w:lineRule="auto"/>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Total Shareholders Equity</w:t>
            </w:r>
          </w:p>
        </w:tc>
        <w:tc>
          <w:tcPr>
            <w:tcW w:w="591" w:type="pct"/>
            <w:vMerge w:val="continue"/>
            <w:tcBorders>
              <w:top w:val="nil"/>
              <w:left w:val="single" w:color="auto" w:sz="4" w:space="0"/>
              <w:bottom w:val="single" w:color="auto" w:sz="4" w:space="0"/>
              <w:right w:val="single" w:color="auto" w:sz="4" w:space="0"/>
            </w:tcBorders>
            <w:vAlign w:val="center"/>
          </w:tcPr>
          <w:p w14:paraId="6EDF9010">
            <w:pPr>
              <w:spacing w:line="240" w:lineRule="auto"/>
              <w:rPr>
                <w:rFonts w:ascii="Times New Roman" w:hAnsi="Times New Roman" w:eastAsia="Times New Roman" w:cs="Times New Roman"/>
                <w:i/>
                <w:iCs/>
                <w:sz w:val="16"/>
                <w:szCs w:val="16"/>
                <w:lang w:val="en-IN"/>
              </w:rPr>
            </w:pPr>
          </w:p>
        </w:tc>
        <w:tc>
          <w:tcPr>
            <w:tcW w:w="283" w:type="pct"/>
            <w:vMerge w:val="continue"/>
            <w:tcBorders>
              <w:top w:val="nil"/>
              <w:left w:val="single" w:color="auto" w:sz="4" w:space="0"/>
              <w:bottom w:val="single" w:color="auto" w:sz="4" w:space="0"/>
              <w:right w:val="single" w:color="auto" w:sz="4" w:space="0"/>
            </w:tcBorders>
            <w:vAlign w:val="center"/>
          </w:tcPr>
          <w:p w14:paraId="11A6B006">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2BB938C">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1,414.00</w:t>
            </w:r>
          </w:p>
        </w:tc>
        <w:tc>
          <w:tcPr>
            <w:tcW w:w="377" w:type="pct"/>
            <w:vMerge w:val="continue"/>
            <w:tcBorders>
              <w:top w:val="nil"/>
              <w:left w:val="single" w:color="auto" w:sz="4" w:space="0"/>
              <w:bottom w:val="single" w:color="auto" w:sz="4" w:space="0"/>
              <w:right w:val="single" w:color="auto" w:sz="4" w:space="0"/>
            </w:tcBorders>
            <w:vAlign w:val="center"/>
          </w:tcPr>
          <w:p w14:paraId="311832A2">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085B435A">
            <w:pPr>
              <w:spacing w:line="240" w:lineRule="auto"/>
              <w:jc w:val="right"/>
              <w:rPr>
                <w:rFonts w:ascii="Times New Roman" w:hAnsi="Times New Roman" w:eastAsia="Times New Roman" w:cs="Times New Roman"/>
                <w:sz w:val="16"/>
                <w:szCs w:val="16"/>
                <w:lang w:val="en-IN"/>
              </w:rPr>
            </w:pPr>
            <w:r>
              <w:rPr>
                <w:rFonts w:ascii="Times New Roman" w:hAnsi="Times New Roman" w:eastAsia="Times New Roman" w:cs="Times New Roman"/>
                <w:sz w:val="16"/>
                <w:szCs w:val="16"/>
                <w:lang w:val="en-IN"/>
              </w:rPr>
              <w:t>568.00</w:t>
            </w:r>
          </w:p>
        </w:tc>
        <w:tc>
          <w:tcPr>
            <w:tcW w:w="283" w:type="pct"/>
            <w:vMerge w:val="continue"/>
            <w:tcBorders>
              <w:top w:val="nil"/>
              <w:left w:val="single" w:color="auto" w:sz="4" w:space="0"/>
              <w:bottom w:val="single" w:color="auto" w:sz="4" w:space="0"/>
              <w:right w:val="single" w:color="auto" w:sz="4" w:space="0"/>
            </w:tcBorders>
            <w:vAlign w:val="center"/>
          </w:tcPr>
          <w:p w14:paraId="303386A6">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43C15590">
            <w:pPr>
              <w:spacing w:line="240" w:lineRule="auto"/>
              <w:jc w:val="right"/>
              <w:rPr>
                <w:rFonts w:ascii="Times New Roman" w:hAnsi="Times New Roman" w:eastAsia="Times New Roman" w:cs="Times New Roman"/>
                <w:color w:val="C00000"/>
                <w:sz w:val="16"/>
                <w:szCs w:val="16"/>
                <w:lang w:val="en-IN"/>
              </w:rPr>
            </w:pPr>
            <w:r>
              <w:rPr>
                <w:rFonts w:ascii="Times New Roman" w:hAnsi="Times New Roman" w:eastAsia="Times New Roman" w:cs="Times New Roman"/>
                <w:color w:val="C00000"/>
                <w:sz w:val="16"/>
                <w:szCs w:val="16"/>
                <w:lang w:val="en-IN"/>
              </w:rPr>
              <w:t>682.00</w:t>
            </w:r>
          </w:p>
        </w:tc>
        <w:tc>
          <w:tcPr>
            <w:tcW w:w="341" w:type="pct"/>
            <w:vMerge w:val="continue"/>
            <w:tcBorders>
              <w:top w:val="nil"/>
              <w:left w:val="single" w:color="auto" w:sz="4" w:space="0"/>
              <w:bottom w:val="single" w:color="auto" w:sz="4" w:space="0"/>
              <w:right w:val="single" w:color="auto" w:sz="4" w:space="0"/>
            </w:tcBorders>
            <w:vAlign w:val="center"/>
          </w:tcPr>
          <w:p w14:paraId="6AFC452F">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6AF70E0A">
            <w:pPr>
              <w:spacing w:line="240" w:lineRule="auto"/>
              <w:jc w:val="right"/>
              <w:rPr>
                <w:rFonts w:ascii="Times New Roman" w:hAnsi="Times New Roman" w:eastAsia="Times New Roman" w:cs="Times New Roman"/>
                <w:color w:val="C00000"/>
                <w:sz w:val="16"/>
                <w:szCs w:val="16"/>
                <w:lang w:val="en-IN"/>
              </w:rPr>
            </w:pPr>
            <w:r>
              <w:rPr>
                <w:rFonts w:ascii="Times New Roman" w:hAnsi="Times New Roman" w:eastAsia="Times New Roman" w:cs="Times New Roman"/>
                <w:color w:val="C00000"/>
                <w:sz w:val="16"/>
                <w:szCs w:val="16"/>
                <w:lang w:val="en-IN"/>
              </w:rPr>
              <w:t>2,992.00</w:t>
            </w:r>
          </w:p>
        </w:tc>
        <w:tc>
          <w:tcPr>
            <w:tcW w:w="304" w:type="pct"/>
            <w:vMerge w:val="continue"/>
            <w:tcBorders>
              <w:top w:val="nil"/>
              <w:left w:val="single" w:color="auto" w:sz="4" w:space="0"/>
              <w:bottom w:val="single" w:color="auto" w:sz="4" w:space="0"/>
              <w:right w:val="single" w:color="auto" w:sz="4" w:space="0"/>
            </w:tcBorders>
            <w:vAlign w:val="center"/>
          </w:tcPr>
          <w:p w14:paraId="22E27A1D">
            <w:pPr>
              <w:spacing w:line="240" w:lineRule="auto"/>
              <w:rPr>
                <w:rFonts w:ascii="Times New Roman" w:hAnsi="Times New Roman" w:eastAsia="Times New Roman" w:cs="Times New Roman"/>
                <w:i/>
                <w:iCs/>
                <w:sz w:val="16"/>
                <w:szCs w:val="16"/>
                <w:lang w:val="en-IN"/>
              </w:rPr>
            </w:pPr>
          </w:p>
        </w:tc>
        <w:tc>
          <w:tcPr>
            <w:tcW w:w="288" w:type="pct"/>
            <w:tcBorders>
              <w:top w:val="nil"/>
              <w:left w:val="nil"/>
              <w:bottom w:val="single" w:color="auto" w:sz="4" w:space="0"/>
              <w:right w:val="single" w:color="auto" w:sz="4" w:space="0"/>
            </w:tcBorders>
            <w:shd w:val="clear" w:color="000000" w:fill="FFFFFF"/>
            <w:noWrap/>
            <w:vAlign w:val="center"/>
          </w:tcPr>
          <w:p w14:paraId="65737456">
            <w:pPr>
              <w:spacing w:line="240" w:lineRule="auto"/>
              <w:jc w:val="right"/>
              <w:rPr>
                <w:rFonts w:ascii="Times New Roman" w:hAnsi="Times New Roman" w:eastAsia="Times New Roman" w:cs="Times New Roman"/>
                <w:color w:val="C00000"/>
                <w:sz w:val="16"/>
                <w:szCs w:val="16"/>
                <w:lang w:val="en-IN"/>
              </w:rPr>
            </w:pPr>
            <w:r>
              <w:rPr>
                <w:rFonts w:ascii="Times New Roman" w:hAnsi="Times New Roman" w:eastAsia="Times New Roman" w:cs="Times New Roman"/>
                <w:color w:val="C00000"/>
                <w:sz w:val="16"/>
                <w:szCs w:val="16"/>
                <w:lang w:val="en-IN"/>
              </w:rPr>
              <w:t>3,771.00</w:t>
            </w:r>
          </w:p>
        </w:tc>
        <w:tc>
          <w:tcPr>
            <w:tcW w:w="308" w:type="pct"/>
            <w:tcBorders>
              <w:top w:val="nil"/>
              <w:left w:val="nil"/>
              <w:bottom w:val="single" w:color="auto" w:sz="4" w:space="0"/>
              <w:right w:val="single" w:color="auto" w:sz="4" w:space="0"/>
            </w:tcBorders>
            <w:shd w:val="clear" w:color="000000" w:fill="FFFFFF"/>
            <w:noWrap/>
            <w:vAlign w:val="center"/>
          </w:tcPr>
          <w:p w14:paraId="1943043A">
            <w:pPr>
              <w:spacing w:line="240" w:lineRule="auto"/>
              <w:jc w:val="center"/>
              <w:rPr>
                <w:rFonts w:ascii="Times New Roman" w:hAnsi="Times New Roman" w:eastAsia="Times New Roman" w:cs="Times New Roman"/>
                <w:b/>
                <w:bCs/>
                <w:sz w:val="16"/>
                <w:szCs w:val="16"/>
                <w:lang w:val="en-IN"/>
              </w:rPr>
            </w:pPr>
            <w:r>
              <w:rPr>
                <w:rFonts w:ascii="Times New Roman" w:hAnsi="Times New Roman" w:eastAsia="Times New Roman" w:cs="Times New Roman"/>
                <w:b/>
                <w:bCs/>
                <w:sz w:val="16"/>
                <w:szCs w:val="16"/>
                <w:lang w:val="en-IN"/>
              </w:rPr>
              <w:t> </w:t>
            </w:r>
          </w:p>
        </w:tc>
      </w:tr>
    </w:tbl>
    <w:p w14:paraId="27EDFA08">
      <w:pPr>
        <w:spacing w:line="360" w:lineRule="auto"/>
        <w:jc w:val="both"/>
        <w:rPr>
          <w:rFonts w:ascii="Times New Roman" w:hAnsi="Times New Roman" w:eastAsia="Times New Roman" w:cs="Times New Roman"/>
          <w:sz w:val="24"/>
          <w:szCs w:val="24"/>
        </w:rPr>
      </w:pPr>
    </w:p>
    <w:sectPr>
      <w:footerReference r:id="rId5" w:type="default"/>
      <w:pgSz w:w="11909" w:h="16834"/>
      <w:pgMar w:top="1440" w:right="1440" w:bottom="1256" w:left="1440" w:header="720" w:footer="720" w:gutter="0"/>
      <w:pgBorders>
        <w:top w:val="none" w:sz="0" w:space="0"/>
        <w:left w:val="none" w:sz="0" w:space="0"/>
        <w:bottom w:val="none" w:sz="0" w:space="0"/>
        <w:right w:val="none" w:sz="0" w:space="0"/>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682D55DC-F7B2-4D80-9056-A166F3C406A0}"/>
  </w:font>
  <w:font w:name="Arial">
    <w:panose1 w:val="020B0604020202020204"/>
    <w:charset w:val="00"/>
    <w:family w:val="swiss"/>
    <w:pitch w:val="default"/>
    <w:sig w:usb0="E0002EFF" w:usb1="C000785B" w:usb2="00000009" w:usb3="00000000" w:csb0="400001FF" w:csb1="FFFF0000"/>
    <w:embedRegular r:id="rId2" w:fontKey="{307219A2-55EB-4194-ABA6-2D3D084826F4}"/>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10FAD9CD-FD8E-40A4-B525-DC9C2E00F40C}"/>
  </w:font>
  <w:font w:name="Wingdings">
    <w:panose1 w:val="05000000000000000000"/>
    <w:charset w:val="02"/>
    <w:family w:val="auto"/>
    <w:pitch w:val="default"/>
    <w:sig w:usb0="00000000" w:usb1="00000000" w:usb2="00000000" w:usb3="00000000" w:csb0="80000000" w:csb1="00000000"/>
    <w:embedRegular r:id="rId4" w:fontKey="{C68B879E-5183-4006-BE83-3B79F4033851}"/>
  </w:font>
  <w:font w:name="Calibri">
    <w:panose1 w:val="020F0502020204030204"/>
    <w:charset w:val="00"/>
    <w:family w:val="swiss"/>
    <w:pitch w:val="default"/>
    <w:sig w:usb0="E4002EFF" w:usb1="C200247B" w:usb2="00000009" w:usb3="00000000" w:csb0="200001FF" w:csb1="00000000"/>
    <w:embedRegular r:id="rId5" w:fontKey="{D49B951D-00E8-4AEA-9846-4A88B516CEFE}"/>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embedRegular r:id="rId6" w:fontKey="{D8490866-1D27-46D5-9B88-09AD56628267}"/>
  </w:font>
  <w:font w:name="Helvetica">
    <w:altName w:val="Arial"/>
    <w:panose1 w:val="00000000000000000000"/>
    <w:charset w:val="00"/>
    <w:family w:val="auto"/>
    <w:pitch w:val="default"/>
    <w:sig w:usb0="00000000" w:usb1="00000000" w:usb2="00000000" w:usb3="00000000" w:csb0="00000000" w:csb1="00000000"/>
    <w:embedRegular r:id="rId7" w:fontKey="{7C4526BC-DCDF-48E0-B0E8-39B371EB3CD2}"/>
  </w:font>
  <w:font w:name="Algerian">
    <w:panose1 w:val="04020705040A02060702"/>
    <w:charset w:val="00"/>
    <w:family w:val="swiss"/>
    <w:pitch w:val="fixed"/>
    <w:sig w:usb0="00000003" w:usb1="00000000" w:usb2="00000000" w:usb3="00000000" w:csb0="20000001" w:csb1="00000000"/>
    <w:embedRegular r:id="rId8" w:fontKey="{3D7FCC95-C520-40F1-A27A-D513E063D36F}"/>
  </w:font>
  <w:font w:name="Cambria">
    <w:panose1 w:val="02040503050406030204"/>
    <w:charset w:val="00"/>
    <w:family w:val="roman"/>
    <w:pitch w:val="default"/>
    <w:sig w:usb0="E00006FF" w:usb1="420024FF" w:usb2="02000000" w:usb3="00000000" w:csb0="2000019F" w:csb1="00000000"/>
    <w:embedRegular r:id="rId9" w:fontKey="{D2DE63CD-9D7D-44BF-8FAC-A349343FC55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FE1B1">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p>
  <w:p w14:paraId="4F01F13B">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removePersonalInformation/>
  <w:embedTrueTypeFonts/>
  <w:bordersDoNotSurroundHeader w:val="0"/>
  <w:bordersDoNotSurroundFooter w:val="0"/>
  <w:documentProtection w:enforcement="0"/>
  <w:defaultTabStop w:val="720"/>
  <w:displayHorizontalDrawingGridEvery w:val="0"/>
  <w:displayVerticalDrawingGridEvery w:val="2"/>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75E"/>
    <w:rsid w:val="003459D6"/>
    <w:rsid w:val="00521A98"/>
    <w:rsid w:val="005A4897"/>
    <w:rsid w:val="0062400B"/>
    <w:rsid w:val="00683CE8"/>
    <w:rsid w:val="007A1E21"/>
    <w:rsid w:val="0086085C"/>
    <w:rsid w:val="008B7C79"/>
    <w:rsid w:val="008D2D96"/>
    <w:rsid w:val="009E1B6D"/>
    <w:rsid w:val="00A074C6"/>
    <w:rsid w:val="00C53230"/>
    <w:rsid w:val="00CF5AB0"/>
    <w:rsid w:val="00CF64E5"/>
    <w:rsid w:val="00DF275E"/>
    <w:rsid w:val="04B86DCC"/>
    <w:rsid w:val="108D3635"/>
    <w:rsid w:val="1AA67F47"/>
    <w:rsid w:val="1D1A7054"/>
    <w:rsid w:val="1D4F3891"/>
    <w:rsid w:val="270934A6"/>
    <w:rsid w:val="28F05A69"/>
    <w:rsid w:val="3A9C054B"/>
    <w:rsid w:val="4E4F55B7"/>
    <w:rsid w:val="4F5D32A4"/>
    <w:rsid w:val="5BA629EB"/>
    <w:rsid w:val="5EF50B59"/>
    <w:rsid w:val="69706409"/>
    <w:rsid w:val="76875D04"/>
    <w:rsid w:val="778F465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spacing w:before="480" w:after="120" w:line="360" w:lineRule="auto"/>
      <w:jc w:val="both"/>
      <w:outlineLvl w:val="0"/>
    </w:pPr>
    <w:rPr>
      <w:rFonts w:ascii="Times New Roman" w:hAnsi="Times New Roman" w:eastAsia="Times New Roman" w:cs="Times New Roman"/>
      <w:b/>
      <w:bCs/>
      <w:sz w:val="28"/>
      <w:szCs w:val="28"/>
    </w:rPr>
  </w:style>
  <w:style w:type="paragraph" w:styleId="3">
    <w:name w:val="heading 2"/>
    <w:basedOn w:val="1"/>
    <w:next w:val="1"/>
    <w:unhideWhenUsed/>
    <w:qFormat/>
    <w:uiPriority w:val="9"/>
    <w:pPr>
      <w:spacing w:before="280" w:after="80" w:line="360" w:lineRule="auto"/>
      <w:jc w:val="both"/>
      <w:outlineLvl w:val="1"/>
    </w:pPr>
    <w:rPr>
      <w:rFonts w:ascii="Times New Roman" w:hAnsi="Times New Roman" w:eastAsia="Times New Roman" w:cs="Times New Roman"/>
      <w:b/>
      <w:bCs/>
      <w:color w:val="000000"/>
      <w:sz w:val="24"/>
      <w:szCs w:val="24"/>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3"/>
    <w:unhideWhenUsed/>
    <w:qFormat/>
    <w:uiPriority w:val="99"/>
    <w:pPr>
      <w:tabs>
        <w:tab w:val="center" w:pos="4513"/>
        <w:tab w:val="right" w:pos="9026"/>
      </w:tabs>
      <w:spacing w:line="240" w:lineRule="auto"/>
    </w:pPr>
  </w:style>
  <w:style w:type="paragraph" w:styleId="11">
    <w:name w:val="header"/>
    <w:basedOn w:val="1"/>
    <w:link w:val="22"/>
    <w:unhideWhenUsed/>
    <w:qFormat/>
    <w:uiPriority w:val="99"/>
    <w:pPr>
      <w:tabs>
        <w:tab w:val="center" w:pos="4513"/>
        <w:tab w:val="right" w:pos="9026"/>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character" w:styleId="13">
    <w:name w:val="Strong"/>
    <w:basedOn w:val="8"/>
    <w:qFormat/>
    <w:uiPriority w:val="22"/>
    <w:rPr>
      <w:b/>
      <w:bCs/>
    </w:rPr>
  </w:style>
  <w:style w:type="paragraph" w:styleId="14">
    <w:name w:val="Subtitle"/>
    <w:basedOn w:val="1"/>
    <w:next w:val="1"/>
    <w:qFormat/>
    <w:uiPriority w:val="11"/>
    <w:pPr>
      <w:keepNext/>
      <w:keepLines/>
      <w:spacing w:after="320"/>
    </w:pPr>
    <w:rPr>
      <w:color w:val="666666"/>
      <w:sz w:val="30"/>
      <w:szCs w:val="30"/>
    </w:rPr>
  </w:style>
  <w:style w:type="table" w:styleId="15">
    <w:name w:val="Table Grid"/>
    <w:basedOn w:val="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Title"/>
    <w:basedOn w:val="1"/>
    <w:next w:val="1"/>
    <w:qFormat/>
    <w:uiPriority w:val="10"/>
    <w:pPr>
      <w:keepNext/>
      <w:keepLines/>
      <w:spacing w:after="60"/>
    </w:pPr>
    <w:rPr>
      <w:sz w:val="52"/>
      <w:szCs w:val="52"/>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qFormat/>
    <w:uiPriority w:val="39"/>
    <w:pPr>
      <w:spacing w:after="100"/>
      <w:ind w:left="220"/>
    </w:pPr>
  </w:style>
  <w:style w:type="table" w:customStyle="1" w:styleId="19">
    <w:name w:val="TableNormal"/>
    <w:qFormat/>
    <w:uiPriority w:val="0"/>
    <w:tblPr>
      <w:tblCellMar>
        <w:top w:w="100" w:type="dxa"/>
        <w:left w:w="100" w:type="dxa"/>
        <w:bottom w:w="100" w:type="dxa"/>
        <w:right w:w="100" w:type="dxa"/>
      </w:tblCellMar>
    </w:tblPr>
  </w:style>
  <w:style w:type="table" w:customStyle="1" w:styleId="20">
    <w:name w:val="_Style 12"/>
    <w:basedOn w:val="19"/>
    <w:qFormat/>
    <w:uiPriority w:val="0"/>
  </w:style>
  <w:style w:type="paragraph" w:customStyle="1" w:styleId="21">
    <w:name w:val="TOC Heading"/>
    <w:basedOn w:val="2"/>
    <w:next w:val="1"/>
    <w:unhideWhenUsed/>
    <w:qFormat/>
    <w:uiPriority w:val="39"/>
    <w:pPr>
      <w:keepNext/>
      <w:keepLines/>
      <w:spacing w:before="240" w:after="0" w:line="259" w:lineRule="auto"/>
      <w:jc w:val="left"/>
      <w:outlineLvl w:val="9"/>
    </w:pPr>
    <w:rPr>
      <w:rFonts w:asciiTheme="majorHAnsi" w:hAnsiTheme="majorHAnsi" w:eastAsiaTheme="majorEastAsia" w:cstheme="majorBidi"/>
      <w:b w:val="0"/>
      <w:bCs w:val="0"/>
      <w:color w:val="376092" w:themeColor="accent1" w:themeShade="BF"/>
      <w:sz w:val="32"/>
      <w:szCs w:val="32"/>
      <w:lang w:val="en-US" w:eastAsia="en-US"/>
    </w:rPr>
  </w:style>
  <w:style w:type="character" w:customStyle="1" w:styleId="22">
    <w:name w:val="Header Char"/>
    <w:basedOn w:val="8"/>
    <w:link w:val="11"/>
    <w:qFormat/>
    <w:uiPriority w:val="99"/>
  </w:style>
  <w:style w:type="character" w:customStyle="1" w:styleId="23">
    <w:name w:val="Footer Char"/>
    <w:basedOn w:val="8"/>
    <w:link w:val="10"/>
    <w:qFormat/>
    <w:uiPriority w:val="99"/>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customXml" Target="../customXml/item1.xml"/><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4" Type="http://schemas.microsoft.com/office/2011/relationships/chartColorStyle" Target="colors4.xml"/><Relationship Id="rId3" Type="http://schemas.microsoft.com/office/2011/relationships/chartStyle" Target="style4.xml"/><Relationship Id="rId2" Type="http://schemas.openxmlformats.org/officeDocument/2006/relationships/themeOverride" Target="../theme/themeOverride4.xml"/><Relationship Id="rId1" Type="http://schemas.openxmlformats.org/officeDocument/2006/relationships/package" Target="../embeddings/Workbook4.xlsx"/></Relationships>
</file>

<file path=word/charts/_rels/chart2.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4" Type="http://schemas.microsoft.com/office/2011/relationships/chartColorStyle" Target="colors5.xml"/><Relationship Id="rId3" Type="http://schemas.microsoft.com/office/2011/relationships/chartStyle" Target="style5.xml"/><Relationship Id="rId2" Type="http://schemas.openxmlformats.org/officeDocument/2006/relationships/themeOverride" Target="../theme/themeOverride5.xml"/><Relationship Id="rId1" Type="http://schemas.openxmlformats.org/officeDocument/2006/relationships/package" Target="../embeddings/Workbook5.xlsx"/></Relationships>
</file>

<file path=word/charts/_rels/chart4.xml.rels><?xml version="1.0" encoding="UTF-8" standalone="yes"?>
<Relationships xmlns="http://schemas.openxmlformats.org/package/2006/relationships"><Relationship Id="rId4" Type="http://schemas.microsoft.com/office/2011/relationships/chartColorStyle" Target="colors6.xml"/><Relationship Id="rId3" Type="http://schemas.microsoft.com/office/2011/relationships/chartStyle" Target="style6.xml"/><Relationship Id="rId2" Type="http://schemas.openxmlformats.org/officeDocument/2006/relationships/themeOverride" Target="../theme/themeOverride6.xml"/><Relationship Id="rId1" Type="http://schemas.openxmlformats.org/officeDocument/2006/relationships/package" Target="../embeddings/Workbook6.xlsx"/></Relationships>
</file>

<file path=word/charts/_rels/chart5.xml.rels><?xml version="1.0" encoding="UTF-8" standalone="yes"?>
<Relationships xmlns="http://schemas.openxmlformats.org/package/2006/relationships"><Relationship Id="rId4" Type="http://schemas.microsoft.com/office/2011/relationships/chartColorStyle" Target="colors3.xml"/><Relationship Id="rId3" Type="http://schemas.microsoft.com/office/2011/relationships/chartStyle" Target="style3.xml"/><Relationship Id="rId2" Type="http://schemas.openxmlformats.org/officeDocument/2006/relationships/themeOverride" Target="../theme/themeOverride3.xml"/><Relationship Id="rId1" Type="http://schemas.openxmlformats.org/officeDocument/2006/relationships/package" Target="../embeddings/Workbook3.xlsx"/></Relationships>
</file>

<file path=word/charts/_rels/chart6.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600" b="1" i="0" u="none" strike="noStrike" kern="1200" cap="none" spc="0" normalizeH="0" baseline="0">
                <a:solidFill>
                  <a:schemeClr val="dk1">
                    <a:lumMod val="50000"/>
                    <a:lumOff val="50000"/>
                  </a:schemeClr>
                </a:solidFill>
                <a:latin typeface="+mj-lt"/>
                <a:ea typeface="+mj-ea"/>
                <a:cs typeface="+mj-cs"/>
              </a:defRPr>
            </a:pPr>
            <a:r>
              <a:rPr lang="en-IN">
                <a:solidFill>
                  <a:srgbClr val="FF0000"/>
                </a:solidFill>
                <a:latin typeface="Algerian" panose="04020705040A02060702" pitchFamily="82" charset="0"/>
              </a:rPr>
              <a:t>Profitability Ratios</a:t>
            </a:r>
            <a:endParaRPr lang="en-IN">
              <a:solidFill>
                <a:srgbClr val="FF0000"/>
              </a:solidFill>
              <a:latin typeface="Algerian" panose="04020705040A02060702" pitchFamily="82" charset="0"/>
            </a:endParaRPr>
          </a:p>
        </c:rich>
      </c:tx>
      <c:layout/>
      <c:overlay val="0"/>
      <c:spPr>
        <a:noFill/>
        <a:ln>
          <a:noFill/>
        </a:ln>
        <a:effectLst/>
      </c:spPr>
    </c:title>
    <c:autoTitleDeleted val="0"/>
    <c:plotArea>
      <c:layout/>
      <c:barChart>
        <c:barDir val="col"/>
        <c:grouping val="clustered"/>
        <c:varyColors val="0"/>
        <c:ser>
          <c:idx val="0"/>
          <c:order val="0"/>
          <c:tx>
            <c:strRef>
              <c:f>Graphs!$A$4</c:f>
              <c:strCache>
                <c:ptCount val="1"/>
                <c:pt idx="0">
                  <c:v>Net Profit Margin</c:v>
                </c:pt>
              </c:strCache>
            </c:strRef>
          </c:tx>
          <c:spPr>
            <a:solidFill>
              <a:schemeClr val="accent6"/>
            </a:solidFill>
            <a:ln>
              <a:noFill/>
            </a:ln>
            <a:effectLst/>
            <a:scene3d>
              <a:camera prst="orthographicFront"/>
              <a:lightRig rig="threePt" dir="t"/>
            </a:scene3d>
            <a:sp3d>
              <a:bevelT w="114300" prst="artDeco"/>
            </a:sp3d>
          </c:spPr>
          <c:invertIfNegative val="0"/>
          <c:dLbls>
            <c:spPr>
              <a:solidFill>
                <a:schemeClr val="accent3">
                  <a:lumMod val="20000"/>
                  <a:lumOff val="8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dk1">
                          <a:lumMod val="35000"/>
                          <a:lumOff val="65000"/>
                        </a:schemeClr>
                      </a:solidFill>
                      <a:round/>
                    </a:ln>
                    <a:effectLst/>
                  </c:spPr>
                </c15:leaderLines>
              </c:ext>
            </c:extLst>
          </c:dLbls>
          <c:cat>
            <c:strRef>
              <c:f>Graphs!$B$2:$F$3</c:f>
              <c:strCache>
                <c:ptCount val="5"/>
                <c:pt idx="0">
                  <c:v>2021</c:v>
                </c:pt>
                <c:pt idx="1">
                  <c:v>2022</c:v>
                </c:pt>
                <c:pt idx="2">
                  <c:v>2023</c:v>
                </c:pt>
                <c:pt idx="3">
                  <c:v>2024</c:v>
                </c:pt>
                <c:pt idx="4">
                  <c:v>2025</c:v>
                </c:pt>
              </c:strCache>
            </c:strRef>
          </c:cat>
          <c:val>
            <c:numRef>
              <c:f>Graphs!$B$4:$F$4</c:f>
              <c:numCache>
                <c:formatCode>0.00%</c:formatCode>
                <c:ptCount val="5"/>
                <c:pt idx="0">
                  <c:v>0.0793</c:v>
                </c:pt>
                <c:pt idx="1">
                  <c:v>0.1135</c:v>
                </c:pt>
                <c:pt idx="2">
                  <c:v>0.13</c:v>
                </c:pt>
                <c:pt idx="3">
                  <c:v>0.0946</c:v>
                </c:pt>
                <c:pt idx="4">
                  <c:v>0.0993</c:v>
                </c:pt>
              </c:numCache>
            </c:numRef>
          </c:val>
        </c:ser>
        <c:ser>
          <c:idx val="1"/>
          <c:order val="1"/>
          <c:tx>
            <c:strRef>
              <c:f>Graphs!$A$5</c:f>
              <c:strCache>
                <c:ptCount val="1"/>
                <c:pt idx="0">
                  <c:v>Operating Profit Margin</c:v>
                </c:pt>
              </c:strCache>
            </c:strRef>
          </c:tx>
          <c:spPr>
            <a:solidFill>
              <a:schemeClr val="accent5"/>
            </a:solidFill>
            <a:ln>
              <a:noFill/>
            </a:ln>
            <a:effectLst/>
            <a:scene3d>
              <a:camera prst="orthographicFront"/>
              <a:lightRig rig="threePt" dir="t"/>
            </a:scene3d>
            <a:sp3d>
              <a:bevelT w="114300" prst="hardEdge"/>
            </a:sp3d>
          </c:spPr>
          <c:invertIfNegative val="0"/>
          <c:dLbls>
            <c:spPr>
              <a:solidFill>
                <a:schemeClr val="accent4">
                  <a:lumMod val="20000"/>
                  <a:lumOff val="8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dk1">
                          <a:lumMod val="35000"/>
                          <a:lumOff val="65000"/>
                        </a:schemeClr>
                      </a:solidFill>
                      <a:round/>
                    </a:ln>
                    <a:effectLst/>
                  </c:spPr>
                </c15:leaderLines>
              </c:ext>
            </c:extLst>
          </c:dLbls>
          <c:cat>
            <c:strRef>
              <c:f>Graphs!$B$2:$F$3</c:f>
              <c:strCache>
                <c:ptCount val="5"/>
                <c:pt idx="0">
                  <c:v>2021</c:v>
                </c:pt>
                <c:pt idx="1">
                  <c:v>2022</c:v>
                </c:pt>
                <c:pt idx="2">
                  <c:v>2023</c:v>
                </c:pt>
                <c:pt idx="3">
                  <c:v>2024</c:v>
                </c:pt>
                <c:pt idx="4">
                  <c:v>2025</c:v>
                </c:pt>
              </c:strCache>
            </c:strRef>
          </c:cat>
          <c:val>
            <c:numRef>
              <c:f>Graphs!$B$5:$F$5</c:f>
              <c:numCache>
                <c:formatCode>0.00%</c:formatCode>
                <c:ptCount val="5"/>
                <c:pt idx="0">
                  <c:v>0.1263</c:v>
                </c:pt>
                <c:pt idx="1">
                  <c:v>0.1667</c:v>
                </c:pt>
                <c:pt idx="2">
                  <c:v>0.1629</c:v>
                </c:pt>
                <c:pt idx="3">
                  <c:v>0.1501</c:v>
                </c:pt>
                <c:pt idx="4">
                  <c:v>0.1581</c:v>
                </c:pt>
              </c:numCache>
            </c:numRef>
          </c:val>
        </c:ser>
        <c:dLbls>
          <c:showLegendKey val="0"/>
          <c:showVal val="1"/>
          <c:showCatName val="0"/>
          <c:showSerName val="0"/>
          <c:showPercent val="0"/>
          <c:showBubbleSize val="0"/>
        </c:dLbls>
        <c:gapWidth val="267"/>
        <c:overlap val="-43"/>
        <c:axId val="1888737280"/>
        <c:axId val="1786272880"/>
      </c:barChart>
      <c:catAx>
        <c:axId val="188873728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lang="en-US" sz="900" b="0" i="0" u="none" strike="noStrike" kern="1200" cap="none" spc="0" normalizeH="0" baseline="0">
                <a:solidFill>
                  <a:schemeClr val="tx1"/>
                </a:solidFill>
                <a:latin typeface="+mn-lt"/>
                <a:ea typeface="+mn-ea"/>
                <a:cs typeface="+mn-cs"/>
              </a:defRPr>
            </a:pPr>
          </a:p>
        </c:txPr>
        <c:crossAx val="1786272880"/>
        <c:crosses val="autoZero"/>
        <c:auto val="1"/>
        <c:lblAlgn val="ctr"/>
        <c:lblOffset val="100"/>
        <c:noMultiLvlLbl val="0"/>
      </c:catAx>
      <c:valAx>
        <c:axId val="1786272880"/>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solidFill>
                <a:latin typeface="+mn-lt"/>
                <a:ea typeface="+mn-ea"/>
                <a:cs typeface="+mn-cs"/>
              </a:defRPr>
            </a:pPr>
          </a:p>
        </c:txPr>
        <c:crossAx val="1888737280"/>
        <c:crosses val="autoZero"/>
        <c:crossBetween val="between"/>
      </c:valAx>
      <c:spPr>
        <a:pattFill prst="ltDnDiag">
          <a:fgClr>
            <a:schemeClr val="dk1">
              <a:lumMod val="15000"/>
              <a:lumOff val="85000"/>
            </a:schemeClr>
          </a:fgClr>
          <a:bgClr>
            <a:schemeClr val="lt1"/>
          </a:bgClr>
        </a:pattFill>
        <a:ln>
          <a:noFill/>
        </a:ln>
        <a:effectLst>
          <a:outerShdw blurRad="50800" dist="38100" algn="l" rotWithShape="0">
            <a:prstClr val="black">
              <a:alpha val="40000"/>
            </a:prstClr>
          </a:outerShdw>
        </a:effectLst>
      </c:spPr>
    </c:plotArea>
    <c:legend>
      <c:legendPos val="b"/>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269aa493-f8f7-4470-9bc0-9d580890363b}"/>
      </c:ext>
    </c:extLst>
  </c:chart>
  <c:spPr>
    <a:solidFill>
      <a:schemeClr val="lt1"/>
    </a:solidFill>
    <a:ln w="9525" cap="flat" cmpd="sng" algn="ctr">
      <a:solidFill>
        <a:schemeClr val="dk1">
          <a:lumMod val="15000"/>
          <a:lumOff val="85000"/>
        </a:schemeClr>
      </a:solidFill>
      <a:round/>
    </a:ln>
    <a:effectLst>
      <a:glow rad="139700">
        <a:schemeClr val="accent6">
          <a:satMod val="175000"/>
          <a:alpha val="40000"/>
        </a:schemeClr>
      </a:glow>
    </a:effectLst>
    <a:scene3d>
      <a:camera prst="orthographicFront"/>
      <a:lightRig rig="threePt" dir="t"/>
    </a:scene3d>
    <a:sp3d>
      <a:bevelT prst="angle"/>
    </a:sp3d>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800" b="1" i="0" u="none" strike="noStrike" kern="1200" baseline="0">
                <a:solidFill>
                  <a:srgbClr val="FF0000"/>
                </a:solidFill>
                <a:latin typeface="Algerian" panose="04020705040A02060702" pitchFamily="82" charset="0"/>
                <a:ea typeface="+mn-ea"/>
                <a:cs typeface="+mn-cs"/>
              </a:defRPr>
            </a:pPr>
            <a:r>
              <a:rPr lang="en-IN">
                <a:solidFill>
                  <a:srgbClr val="FF0000"/>
                </a:solidFill>
                <a:latin typeface="Algerian" panose="04020705040A02060702" pitchFamily="82" charset="0"/>
              </a:rPr>
              <a:t>Liquidity Ratios</a:t>
            </a:r>
            <a:endParaRPr lang="en-IN">
              <a:solidFill>
                <a:srgbClr val="FF0000"/>
              </a:solidFill>
              <a:latin typeface="Algerian" panose="04020705040A02060702" pitchFamily="82" charset="0"/>
            </a:endParaRPr>
          </a:p>
        </c:rich>
      </c:tx>
      <c:layout/>
      <c:overlay val="0"/>
      <c:spPr>
        <a:noFill/>
        <a:ln>
          <a:noFill/>
        </a:ln>
        <a:effectLst/>
      </c:spPr>
    </c:title>
    <c:autoTitleDeleted val="0"/>
    <c:plotArea>
      <c:layout/>
      <c:barChart>
        <c:barDir val="col"/>
        <c:grouping val="clustered"/>
        <c:varyColors val="0"/>
        <c:ser>
          <c:idx val="0"/>
          <c:order val="0"/>
          <c:tx>
            <c:strRef>
              <c:f>Graphs!$A$12</c:f>
              <c:strCache>
                <c:ptCount val="1"/>
                <c:pt idx="0">
                  <c:v>Current Ratio</c:v>
                </c:pt>
              </c:strCache>
            </c:strRef>
          </c:tx>
          <c:spPr>
            <a:solidFill>
              <a:schemeClr val="accent6">
                <a:alpha val="85000"/>
              </a:schemeClr>
            </a:solidFill>
            <a:ln w="9525" cap="flat" cmpd="sng" algn="ctr">
              <a:solidFill>
                <a:schemeClr val="accent6">
                  <a:lumMod val="75000"/>
                </a:schemeClr>
              </a:solidFill>
              <a:round/>
            </a:ln>
            <a:effectLst/>
            <a:scene3d>
              <a:camera prst="orthographicFront"/>
              <a:lightRig rig="threePt" dir="t"/>
            </a:scene3d>
            <a:sp3d contourW="9525">
              <a:bevelT w="114300" prst="artDeco"/>
              <a:contourClr>
                <a:schemeClr val="accent6">
                  <a:lumMod val="75000"/>
                </a:schemeClr>
              </a:contourClr>
            </a:sp3d>
          </c:spPr>
          <c:invertIfNegative val="0"/>
          <c:dLbls>
            <c:spPr>
              <a:solidFill>
                <a:schemeClr val="accent4">
                  <a:lumMod val="20000"/>
                  <a:lumOff val="8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Graphs!$B$10:$F$11</c:f>
              <c:strCache>
                <c:ptCount val="5"/>
                <c:pt idx="0">
                  <c:v>2021</c:v>
                </c:pt>
                <c:pt idx="1">
                  <c:v>2022</c:v>
                </c:pt>
                <c:pt idx="2">
                  <c:v>2023</c:v>
                </c:pt>
                <c:pt idx="3">
                  <c:v>2024</c:v>
                </c:pt>
                <c:pt idx="4">
                  <c:v>2025</c:v>
                </c:pt>
              </c:strCache>
            </c:strRef>
          </c:cat>
          <c:val>
            <c:numRef>
              <c:f>Graphs!$B$12:$F$12</c:f>
              <c:numCache>
                <c:formatCode>General</c:formatCode>
                <c:ptCount val="5"/>
                <c:pt idx="0">
                  <c:v>0.57</c:v>
                </c:pt>
                <c:pt idx="1">
                  <c:v>0.45</c:v>
                </c:pt>
                <c:pt idx="2">
                  <c:v>0.43</c:v>
                </c:pt>
                <c:pt idx="3">
                  <c:v>0.4</c:v>
                </c:pt>
                <c:pt idx="4">
                  <c:v>0.43</c:v>
                </c:pt>
              </c:numCache>
            </c:numRef>
          </c:val>
        </c:ser>
        <c:ser>
          <c:idx val="1"/>
          <c:order val="1"/>
          <c:tx>
            <c:strRef>
              <c:f>Graphs!$A$13</c:f>
              <c:strCache>
                <c:ptCount val="1"/>
                <c:pt idx="0">
                  <c:v>Cash Ratio</c:v>
                </c:pt>
              </c:strCache>
            </c:strRef>
          </c:tx>
          <c:spPr>
            <a:solidFill>
              <a:schemeClr val="accent5">
                <a:alpha val="85000"/>
              </a:schemeClr>
            </a:solidFill>
            <a:ln w="9525" cap="flat" cmpd="sng" algn="ctr">
              <a:solidFill>
                <a:schemeClr val="accent5">
                  <a:lumMod val="75000"/>
                </a:schemeClr>
              </a:solidFill>
              <a:round/>
            </a:ln>
            <a:effectLst/>
            <a:scene3d>
              <a:camera prst="orthographicFront"/>
              <a:lightRig rig="threePt" dir="t"/>
            </a:scene3d>
            <a:sp3d contourW="9525">
              <a:bevelT w="114300" prst="hardEdge"/>
              <a:contourClr>
                <a:schemeClr val="accent5">
                  <a:lumMod val="75000"/>
                </a:schemeClr>
              </a:contourClr>
            </a:sp3d>
          </c:spPr>
          <c:invertIfNegative val="0"/>
          <c:dLbls>
            <c:spPr>
              <a:solidFill>
                <a:schemeClr val="accent3">
                  <a:lumMod val="20000"/>
                  <a:lumOff val="8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Graphs!$B$10:$F$11</c:f>
              <c:strCache>
                <c:ptCount val="5"/>
                <c:pt idx="0">
                  <c:v>2021</c:v>
                </c:pt>
                <c:pt idx="1">
                  <c:v>2022</c:v>
                </c:pt>
                <c:pt idx="2">
                  <c:v>2023</c:v>
                </c:pt>
                <c:pt idx="3">
                  <c:v>2024</c:v>
                </c:pt>
                <c:pt idx="4">
                  <c:v>2025</c:v>
                </c:pt>
              </c:strCache>
            </c:strRef>
          </c:cat>
          <c:val>
            <c:numRef>
              <c:f>Graphs!$B$13:$F$13</c:f>
              <c:numCache>
                <c:formatCode>General</c:formatCode>
                <c:ptCount val="5"/>
                <c:pt idx="0">
                  <c:v>0.22</c:v>
                </c:pt>
                <c:pt idx="1">
                  <c:v>0.07</c:v>
                </c:pt>
                <c:pt idx="2">
                  <c:v>0.04</c:v>
                </c:pt>
                <c:pt idx="3">
                  <c:v>0.05</c:v>
                </c:pt>
                <c:pt idx="4">
                  <c:v>0.04</c:v>
                </c:pt>
              </c:numCache>
            </c:numRef>
          </c:val>
        </c:ser>
        <c:dLbls>
          <c:showLegendKey val="0"/>
          <c:showVal val="1"/>
          <c:showCatName val="0"/>
          <c:showSerName val="0"/>
          <c:showPercent val="0"/>
          <c:showBubbleSize val="0"/>
        </c:dLbls>
        <c:gapWidth val="65"/>
        <c:axId val="2002994736"/>
        <c:axId val="1879942768"/>
      </c:barChart>
      <c:catAx>
        <c:axId val="200299473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US" sz="900" b="0" i="0" u="none" strike="noStrike" kern="1200" cap="all" baseline="0">
                <a:solidFill>
                  <a:sysClr val="windowText" lastClr="000000"/>
                </a:solidFill>
                <a:latin typeface="+mn-lt"/>
                <a:ea typeface="+mn-ea"/>
                <a:cs typeface="+mn-cs"/>
              </a:defRPr>
            </a:pPr>
          </a:p>
        </c:txPr>
        <c:crossAx val="1879942768"/>
        <c:crosses val="autoZero"/>
        <c:auto val="1"/>
        <c:lblAlgn val="ctr"/>
        <c:lblOffset val="100"/>
        <c:noMultiLvlLbl val="0"/>
      </c:catAx>
      <c:valAx>
        <c:axId val="187994276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mn-lt"/>
                <a:ea typeface="+mn-ea"/>
                <a:cs typeface="+mn-cs"/>
              </a:defRPr>
            </a:pPr>
          </a:p>
        </c:txPr>
        <c:crossAx val="2002994736"/>
        <c:crosses val="autoZero"/>
        <c:crossBetween val="between"/>
      </c:valAx>
      <c:spPr>
        <a:noFill/>
        <a:ln>
          <a:noFill/>
        </a:ln>
        <a:effectLst>
          <a:outerShdw blurRad="50800" dist="38100" algn="l" rotWithShape="0">
            <a:prstClr val="black">
              <a:alpha val="40000"/>
            </a:prstClr>
          </a:outerShdw>
        </a:effectLst>
      </c:spPr>
    </c:plotArea>
    <c:legend>
      <c:legendPos val="b"/>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ysClr val="windowText" lastClr="000000"/>
              </a:solidFill>
              <a:latin typeface="+mn-lt"/>
              <a:ea typeface="+mn-ea"/>
              <a:cs typeface="+mn-cs"/>
            </a:defRPr>
          </a:pPr>
        </a:p>
      </c:txPr>
    </c:legend>
    <c:plotVisOnly val="1"/>
    <c:dispBlanksAs val="gap"/>
    <c:showDLblsOverMax val="0"/>
    <c:extLst>
      <c:ext uri="{0b15fc19-7d7d-44ad-8c2d-2c3a37ce22c3}">
        <chartProps xmlns="https://web.wps.cn/et/2018/main" chartId="{ab829654-af6e-4304-b23f-9a58059cc04e}"/>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a:glow rad="139700">
        <a:schemeClr val="accent6">
          <a:satMod val="175000"/>
          <a:alpha val="40000"/>
        </a:schemeClr>
      </a:glow>
    </a:effectLst>
    <a:scene3d>
      <a:camera prst="orthographicFront"/>
      <a:lightRig rig="threePt" dir="t"/>
    </a:scene3d>
    <a:sp3d>
      <a:bevelT prst="angle"/>
    </a:sp3d>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lgerian" panose="04020705040A02060702" pitchFamily="82" charset="0"/>
                <a:ea typeface="+mn-ea"/>
                <a:cs typeface="+mn-cs"/>
              </a:defRPr>
            </a:pPr>
            <a:r>
              <a:rPr lang="en-IN">
                <a:latin typeface="Algerian" panose="04020705040A02060702" pitchFamily="82" charset="0"/>
              </a:rPr>
              <a:t>Asset Efficiency Ratio</a:t>
            </a:r>
            <a:endParaRPr lang="en-IN">
              <a:latin typeface="Algerian" panose="04020705040A02060702" pitchFamily="82" charset="0"/>
            </a:endParaRPr>
          </a:p>
        </c:rich>
      </c:tx>
      <c:layout/>
      <c:overlay val="0"/>
      <c:spPr>
        <a:noFill/>
        <a:ln>
          <a:noFill/>
        </a:ln>
        <a:effectLst/>
      </c:spPr>
    </c:title>
    <c:autoTitleDeleted val="0"/>
    <c:plotArea>
      <c:layout/>
      <c:barChart>
        <c:barDir val="col"/>
        <c:grouping val="clustered"/>
        <c:varyColors val="0"/>
        <c:ser>
          <c:idx val="1"/>
          <c:order val="1"/>
          <c:tx>
            <c:strRef>
              <c:f>Graphs!$A$8</c:f>
              <c:strCache>
                <c:ptCount val="1"/>
                <c:pt idx="0">
                  <c:v>Accounts Receivable Turnover</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lightRig rig="threePt" dir="t"/>
            </a:scene3d>
            <a:sp3d>
              <a:bevelT w="114300" prst="artDeco"/>
            </a:sp3d>
          </c:spPr>
          <c:invertIfNegative val="0"/>
          <c:dLbls>
            <c:spPr>
              <a:solidFill>
                <a:schemeClr val="accent3">
                  <a:lumMod val="20000"/>
                  <a:lumOff val="8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numRef>
              <c:f>Graphs!$B$6:$F$6</c:f>
              <c:numCache>
                <c:formatCode>General</c:formatCode>
                <c:ptCount val="5"/>
                <c:pt idx="0">
                  <c:v>2021</c:v>
                </c:pt>
                <c:pt idx="1">
                  <c:v>2022</c:v>
                </c:pt>
                <c:pt idx="2">
                  <c:v>2023</c:v>
                </c:pt>
                <c:pt idx="3">
                  <c:v>2024</c:v>
                </c:pt>
                <c:pt idx="4">
                  <c:v>2025</c:v>
                </c:pt>
              </c:numCache>
            </c:numRef>
          </c:cat>
          <c:val>
            <c:numRef>
              <c:f>Graphs!$B$8:$F$8</c:f>
              <c:numCache>
                <c:formatCode>General</c:formatCode>
                <c:ptCount val="5"/>
                <c:pt idx="0">
                  <c:v>7.39</c:v>
                </c:pt>
                <c:pt idx="1">
                  <c:v>9.12</c:v>
                </c:pt>
                <c:pt idx="2">
                  <c:v>8.98</c:v>
                </c:pt>
                <c:pt idx="3">
                  <c:v>9.11</c:v>
                </c:pt>
                <c:pt idx="4">
                  <c:v>9.18</c:v>
                </c:pt>
              </c:numCache>
            </c:numRef>
          </c:val>
        </c:ser>
        <c:ser>
          <c:idx val="2"/>
          <c:order val="2"/>
          <c:tx>
            <c:strRef>
              <c:f>Graphs!$A$9</c:f>
              <c:strCache>
                <c:ptCount val="1"/>
                <c:pt idx="0">
                  <c:v>Total Asset Turnover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lightRig rig="threePt" dir="t"/>
            </a:scene3d>
            <a:sp3d>
              <a:bevelT w="114300" prst="hardEdge"/>
            </a:sp3d>
          </c:spPr>
          <c:invertIfNegative val="0"/>
          <c:dLbls>
            <c:spPr>
              <a:solidFill>
                <a:schemeClr val="accent6">
                  <a:lumMod val="20000"/>
                  <a:lumOff val="8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numRef>
              <c:f>Graphs!$B$6:$F$6</c:f>
              <c:numCache>
                <c:formatCode>General</c:formatCode>
                <c:ptCount val="5"/>
                <c:pt idx="0">
                  <c:v>2021</c:v>
                </c:pt>
                <c:pt idx="1">
                  <c:v>2022</c:v>
                </c:pt>
                <c:pt idx="2">
                  <c:v>2023</c:v>
                </c:pt>
                <c:pt idx="3">
                  <c:v>2024</c:v>
                </c:pt>
                <c:pt idx="4">
                  <c:v>2025</c:v>
                </c:pt>
              </c:numCache>
            </c:numRef>
          </c:cat>
          <c:val>
            <c:numRef>
              <c:f>Graphs!$B$9:$F$9</c:f>
              <c:numCache>
                <c:formatCode>General</c:formatCode>
                <c:ptCount val="5"/>
                <c:pt idx="0">
                  <c:v>0.55</c:v>
                </c:pt>
                <c:pt idx="1">
                  <c:v>0.82</c:v>
                </c:pt>
                <c:pt idx="2">
                  <c:v>0.94</c:v>
                </c:pt>
                <c:pt idx="3">
                  <c:v>0.97</c:v>
                </c:pt>
                <c:pt idx="4">
                  <c:v>0.97</c:v>
                </c:pt>
              </c:numCache>
            </c:numRef>
          </c:val>
        </c:ser>
        <c:dLbls>
          <c:showLegendKey val="0"/>
          <c:showVal val="1"/>
          <c:showCatName val="0"/>
          <c:showSerName val="0"/>
          <c:showPercent val="0"/>
          <c:showBubbleSize val="0"/>
        </c:dLbls>
        <c:gapWidth val="100"/>
        <c:overlap val="-24"/>
        <c:axId val="1888760944"/>
        <c:axId val="1786190320"/>
        <c:extLst>
          <c:ext xmlns:c15="http://schemas.microsoft.com/office/drawing/2012/chart" uri="{02D57815-91ED-43cb-92C2-25804820EDAC}">
            <c15:filteredBarSeries>
              <c15:ser>
                <c:idx val="0"/>
                <c:order val="0"/>
                <c:tx>
                  <c:strRef>
                    <c:extLst>
                      <c:ext uri="{02D57815-91ED-43cb-92C2-25804820EDAC}">
                        <c15:formulaRef>
                          <c15:sqref>Graphs!#REF!</c15:sqref>
                        </c15:formulaRef>
                      </c:ext>
                    </c:extLst>
                    <c:strCache>
                      <c:ptCount val="1"/>
                      <c:pt idx="0">
                        <c:v>#REF!</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numRef>
                    <c:extLst>
                      <c:ext uri="{02D57815-91ED-43cb-92C2-25804820EDAC}">
                        <c15:fullRef>
                          <c15:sqref/>
                        </c15:fullRef>
                        <c15:formulaRef>
                          <c15:sqref>Graphs!$B$6:$F$6</c15:sqref>
                        </c15:formulaRef>
                      </c:ext>
                    </c:extLst>
                    <c:numCache>
                      <c:formatCode>General</c:formatCode>
                      <c:ptCount val="5"/>
                      <c:pt idx="0">
                        <c:v>2021</c:v>
                      </c:pt>
                      <c:pt idx="1">
                        <c:v>2022</c:v>
                      </c:pt>
                      <c:pt idx="2">
                        <c:v>2023</c:v>
                      </c:pt>
                      <c:pt idx="3">
                        <c:v>2024</c:v>
                      </c:pt>
                      <c:pt idx="4">
                        <c:v>2025</c:v>
                      </c:pt>
                    </c:numCache>
                  </c:numRef>
                </c:cat>
                <c:val>
                  <c:numRef>
                    <c:extLst>
                      <c:ext uri="{02D57815-91ED-43cb-92C2-25804820EDAC}">
                        <c15:formulaRef>
                          <c15:sqref>Graphs!$B$7:$F$7</c15:sqref>
                        </c15:formulaRef>
                      </c:ext>
                    </c:extLst>
                    <c:numCache>
                      <c:formatCode>General</c:formatCode>
                      <c:ptCount val="5"/>
                    </c:numCache>
                  </c:numRef>
                </c:val>
              </c15:ser>
            </c15:filteredBarSeries>
          </c:ext>
        </c:extLst>
      </c:barChart>
      <c:catAx>
        <c:axId val="188876094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lang="en-US" sz="900" b="0" i="0" u="none" strike="noStrike" kern="1200" baseline="0">
                <a:solidFill>
                  <a:schemeClr val="bg1"/>
                </a:solidFill>
                <a:latin typeface="+mn-lt"/>
                <a:ea typeface="+mn-ea"/>
                <a:cs typeface="+mn-cs"/>
              </a:defRPr>
            </a:pPr>
          </a:p>
        </c:txPr>
        <c:crossAx val="1786190320"/>
        <c:crosses val="autoZero"/>
        <c:auto val="1"/>
        <c:lblAlgn val="ctr"/>
        <c:lblOffset val="100"/>
        <c:noMultiLvlLbl val="0"/>
      </c:catAx>
      <c:valAx>
        <c:axId val="178619032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bg1"/>
                </a:solidFill>
                <a:latin typeface="+mn-lt"/>
                <a:ea typeface="+mn-ea"/>
                <a:cs typeface="+mn-cs"/>
              </a:defRPr>
            </a:pPr>
          </a:p>
        </c:txPr>
        <c:crossAx val="1888760944"/>
        <c:crosses val="autoZero"/>
        <c:crossBetween val="between"/>
      </c:valAx>
      <c:spPr>
        <a:noFill/>
        <a:ln>
          <a:noFill/>
        </a:ln>
        <a:effectLst>
          <a:outerShdw blurRad="50800" dist="38100" sx="101000" sy="101000" algn="l" rotWithShape="0">
            <a:prstClr val="black">
              <a:alpha val="40000"/>
            </a:prstClr>
          </a:outerShdw>
        </a:effectLst>
      </c:spPr>
    </c:plotArea>
    <c:legend>
      <c:legendPos val="b"/>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bg1"/>
              </a:solidFill>
              <a:latin typeface="+mn-lt"/>
              <a:ea typeface="+mn-ea"/>
              <a:cs typeface="+mn-cs"/>
            </a:defRPr>
          </a:pPr>
        </a:p>
      </c:txPr>
    </c:legend>
    <c:plotVisOnly val="1"/>
    <c:dispBlanksAs val="gap"/>
    <c:showDLblsOverMax val="0"/>
    <c:extLst>
      <c:ext uri="{0b15fc19-7d7d-44ad-8c2d-2c3a37ce22c3}">
        <chartProps xmlns="https://web.wps.cn/et/2018/main" chartId="{8359fc1a-1dac-4f30-adeb-631595b59794}"/>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a:glow rad="139700">
        <a:schemeClr val="accent6">
          <a:satMod val="175000"/>
          <a:alpha val="40000"/>
        </a:schemeClr>
      </a:glow>
    </a:effectLst>
    <a:scene3d>
      <a:camera prst="orthographicFront"/>
      <a:lightRig rig="threePt" dir="t"/>
    </a:scene3d>
    <a:sp3d>
      <a:bevelT prst="angle"/>
    </a:sp3d>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lang="en-US" sz="1800" b="1" i="0" u="none" strike="noStrike" kern="1200" baseline="0">
              <a:solidFill>
                <a:srgbClr val="FF0000"/>
              </a:solidFill>
              <a:latin typeface="Algerian" panose="04020705040A02060702" pitchFamily="82" charset="0"/>
              <a:ea typeface="+mn-ea"/>
              <a:cs typeface="+mn-cs"/>
            </a:defRPr>
          </a:pPr>
        </a:p>
      </c:txPr>
    </c:title>
    <c:autoTitleDeleted val="0"/>
    <c:plotArea>
      <c:layout/>
      <c:lineChart>
        <c:grouping val="stacked"/>
        <c:varyColors val="0"/>
        <c:ser>
          <c:idx val="0"/>
          <c:order val="0"/>
          <c:tx>
            <c:strRef>
              <c:f>Graphs!$A$24</c:f>
              <c:strCache>
                <c:ptCount val="1"/>
                <c:pt idx="0">
                  <c:v>Gearing Ratio</c:v>
                </c:pt>
              </c:strCache>
            </c:strRef>
          </c:tx>
          <c:spPr>
            <a:ln w="31750" cap="rnd">
              <a:solidFill>
                <a:schemeClr val="accent6">
                  <a:alpha val="85000"/>
                </a:schemeClr>
              </a:solidFill>
              <a:round/>
            </a:ln>
            <a:effectLst/>
          </c:spPr>
          <c:marker>
            <c:symbol val="circle"/>
            <c:size val="6"/>
            <c:spPr>
              <a:solidFill>
                <a:schemeClr val="accent6">
                  <a:alpha val="85000"/>
                </a:schemeClr>
              </a:solidFill>
              <a:ln>
                <a:noFill/>
              </a:ln>
              <a:effectLst/>
            </c:spPr>
          </c:marker>
          <c:dLbls>
            <c:spPr>
              <a:solidFill>
                <a:schemeClr val="accent6">
                  <a:lumMod val="20000"/>
                  <a:lumOff val="80000"/>
                </a:schemeClr>
              </a:solid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ysClr val="windowText" lastClr="000000"/>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numRef>
              <c:f>Graphs!$B$23:$F$23</c:f>
              <c:numCache>
                <c:formatCode>General</c:formatCode>
                <c:ptCount val="5"/>
                <c:pt idx="0">
                  <c:v>2021</c:v>
                </c:pt>
                <c:pt idx="1">
                  <c:v>2022</c:v>
                </c:pt>
                <c:pt idx="2">
                  <c:v>2023</c:v>
                </c:pt>
                <c:pt idx="3">
                  <c:v>2024</c:v>
                </c:pt>
                <c:pt idx="4">
                  <c:v>2025</c:v>
                </c:pt>
              </c:numCache>
            </c:numRef>
          </c:cat>
          <c:val>
            <c:numRef>
              <c:f>Graphs!$B$24:$F$24</c:f>
              <c:numCache>
                <c:formatCode>0%</c:formatCode>
                <c:ptCount val="5"/>
                <c:pt idx="0">
                  <c:v>7.17</c:v>
                </c:pt>
                <c:pt idx="1">
                  <c:v>17.72</c:v>
                </c:pt>
                <c:pt idx="2">
                  <c:v>-17.41</c:v>
                </c:pt>
                <c:pt idx="3">
                  <c:v>-4.83</c:v>
                </c:pt>
                <c:pt idx="4">
                  <c:v>-4.3</c:v>
                </c:pt>
              </c:numCache>
            </c:numRef>
          </c:val>
          <c:smooth val="0"/>
        </c:ser>
        <c:dLbls>
          <c:showLegendKey val="0"/>
          <c:showVal val="0"/>
          <c:showCatName val="0"/>
          <c:showSerName val="0"/>
          <c:showPercent val="0"/>
          <c:showBubbleSize val="0"/>
        </c:dLbls>
        <c:marker val="1"/>
        <c:smooth val="0"/>
        <c:axId val="614393600"/>
        <c:axId val="614393240"/>
      </c:lineChart>
      <c:catAx>
        <c:axId val="61439360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US" sz="900" b="0" i="0" u="none" strike="noStrike" kern="1200" cap="all" baseline="0">
                <a:solidFill>
                  <a:sysClr val="windowText" lastClr="000000"/>
                </a:solidFill>
                <a:latin typeface="+mn-lt"/>
                <a:ea typeface="+mn-ea"/>
                <a:cs typeface="+mn-cs"/>
              </a:defRPr>
            </a:pPr>
          </a:p>
        </c:txPr>
        <c:crossAx val="614393240"/>
        <c:crosses val="autoZero"/>
        <c:auto val="1"/>
        <c:lblAlgn val="ctr"/>
        <c:lblOffset val="100"/>
        <c:noMultiLvlLbl val="0"/>
      </c:catAx>
      <c:valAx>
        <c:axId val="61439324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mn-lt"/>
                <a:ea typeface="+mn-ea"/>
                <a:cs typeface="+mn-cs"/>
              </a:defRPr>
            </a:pPr>
          </a:p>
        </c:txPr>
        <c:crossAx val="614393600"/>
        <c:crosses val="autoZero"/>
        <c:crossBetween val="between"/>
      </c:valAx>
      <c:spPr>
        <a:noFill/>
        <a:ln>
          <a:noFill/>
        </a:ln>
        <a:effectLst>
          <a:outerShdw blurRad="50800" dist="38100" algn="l" rotWithShape="0">
            <a:prstClr val="black">
              <a:alpha val="40000"/>
            </a:prstClr>
          </a:outerShdw>
        </a:effectLst>
      </c:spPr>
    </c:plotArea>
    <c:plotVisOnly val="1"/>
    <c:dispBlanksAs val="gap"/>
    <c:showDLblsOverMax val="0"/>
    <c:extLst>
      <c:ext uri="{0b15fc19-7d7d-44ad-8c2d-2c3a37ce22c3}">
        <chartProps xmlns="https://web.wps.cn/et/2018/main" chartId="{9e305658-e319-4408-897f-d769d4d57fcf}"/>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a:glow rad="139700">
        <a:schemeClr val="accent6">
          <a:satMod val="175000"/>
          <a:alpha val="40000"/>
        </a:schemeClr>
      </a:glow>
    </a:effectLst>
    <a:scene3d>
      <a:camera prst="orthographicFront"/>
      <a:lightRig rig="threePt" dir="t"/>
    </a:scene3d>
    <a:sp3d>
      <a:bevelT prst="angle"/>
    </a:sp3d>
  </c:spPr>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400" b="1" i="0" u="none" strike="noStrike" kern="1200" cap="none" spc="20" baseline="0">
                <a:solidFill>
                  <a:srgbClr val="FF0000"/>
                </a:solidFill>
                <a:latin typeface="Algerian" panose="04020705040A02060702" pitchFamily="82" charset="0"/>
                <a:ea typeface="+mn-ea"/>
                <a:cs typeface="+mn-cs"/>
              </a:defRPr>
            </a:pPr>
            <a:r>
              <a:rPr lang="en-IN" b="1">
                <a:solidFill>
                  <a:srgbClr val="FF0000"/>
                </a:solidFill>
                <a:latin typeface="Algerian" panose="04020705040A02060702" pitchFamily="82" charset="0"/>
              </a:rPr>
              <a:t>INVESTOR Ratio</a:t>
            </a:r>
            <a:endParaRPr lang="en-IN" b="1">
              <a:solidFill>
                <a:srgbClr val="FF0000"/>
              </a:solidFill>
              <a:latin typeface="Algerian" panose="04020705040A02060702" pitchFamily="82" charset="0"/>
            </a:endParaRPr>
          </a:p>
        </c:rich>
      </c:tx>
      <c:layout/>
      <c:overlay val="0"/>
      <c:spPr>
        <a:noFill/>
        <a:ln>
          <a:noFill/>
        </a:ln>
        <a:effectLst/>
      </c:spPr>
    </c:title>
    <c:autoTitleDeleted val="0"/>
    <c:plotArea>
      <c:layout/>
      <c:lineChart>
        <c:grouping val="standard"/>
        <c:varyColors val="0"/>
        <c:ser>
          <c:idx val="0"/>
          <c:order val="0"/>
          <c:tx>
            <c:strRef>
              <c:f>Graphs!$A$16</c:f>
              <c:strCache>
                <c:ptCount val="1"/>
                <c:pt idx="0">
                  <c:v>Earning Per Share (EPS)</c:v>
                </c:pt>
              </c:strCache>
            </c:strRef>
          </c:tx>
          <c:spPr>
            <a:ln w="22225" cap="rnd" cmpd="sng" algn="ctr">
              <a:solidFill>
                <a:schemeClr val="accent6"/>
              </a:solidFill>
              <a:round/>
            </a:ln>
            <a:effectLst/>
          </c:spPr>
          <c:marker>
            <c:symbol val="none"/>
          </c:marker>
          <c:dLbls>
            <c:spPr>
              <a:solidFill>
                <a:schemeClr val="accent6">
                  <a:lumMod val="20000"/>
                  <a:lumOff val="8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tx1"/>
                    </a:solidFill>
                    <a:latin typeface="+mn-lt"/>
                    <a:ea typeface="+mn-ea"/>
                    <a:cs typeface="+mn-cs"/>
                  </a:defRPr>
                </a:pPr>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strRef>
              <c:f>Graphs!$B$14:$F$15</c:f>
              <c:strCache>
                <c:ptCount val="5"/>
                <c:pt idx="0">
                  <c:v>2021</c:v>
                </c:pt>
                <c:pt idx="1">
                  <c:v>2022</c:v>
                </c:pt>
                <c:pt idx="2">
                  <c:v>2023</c:v>
                </c:pt>
                <c:pt idx="3">
                  <c:v>2024</c:v>
                </c:pt>
                <c:pt idx="4">
                  <c:v>2025</c:v>
                </c:pt>
              </c:strCache>
            </c:strRef>
          </c:cat>
          <c:val>
            <c:numRef>
              <c:f>Graphs!$B$16:$F$16</c:f>
              <c:numCache>
                <c:formatCode>General</c:formatCode>
                <c:ptCount val="5"/>
                <c:pt idx="0">
                  <c:v>3.33</c:v>
                </c:pt>
                <c:pt idx="1">
                  <c:v>7.24</c:v>
                </c:pt>
                <c:pt idx="2">
                  <c:v>10.18</c:v>
                </c:pt>
                <c:pt idx="3">
                  <c:v>8.33</c:v>
                </c:pt>
                <c:pt idx="4">
                  <c:v>9.51</c:v>
                </c:pt>
              </c:numCache>
            </c:numRef>
          </c:val>
          <c:smooth val="0"/>
        </c:ser>
        <c:ser>
          <c:idx val="1"/>
          <c:order val="1"/>
          <c:tx>
            <c:strRef>
              <c:f>Graphs!$A$17</c:f>
              <c:strCache>
                <c:ptCount val="1"/>
                <c:pt idx="0">
                  <c:v>Price-to-Earnings (P/E) Ratio</c:v>
                </c:pt>
              </c:strCache>
            </c:strRef>
          </c:tx>
          <c:spPr>
            <a:ln w="22225" cap="rnd" cmpd="sng" algn="ctr">
              <a:solidFill>
                <a:schemeClr val="accent5"/>
              </a:solidFill>
              <a:round/>
            </a:ln>
            <a:effectLst/>
          </c:spPr>
          <c:marker>
            <c:symbol val="none"/>
          </c:marker>
          <c:dLbls>
            <c:spPr>
              <a:solidFill>
                <a:schemeClr val="accent3">
                  <a:lumMod val="20000"/>
                  <a:lumOff val="8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tx1"/>
                    </a:solidFill>
                    <a:latin typeface="+mn-lt"/>
                    <a:ea typeface="+mn-ea"/>
                    <a:cs typeface="+mn-cs"/>
                  </a:defRPr>
                </a:pPr>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strRef>
              <c:f>Graphs!$B$14:$F$15</c:f>
              <c:strCache>
                <c:ptCount val="5"/>
                <c:pt idx="0">
                  <c:v>2021</c:v>
                </c:pt>
                <c:pt idx="1">
                  <c:v>2022</c:v>
                </c:pt>
                <c:pt idx="2">
                  <c:v>2023</c:v>
                </c:pt>
                <c:pt idx="3">
                  <c:v>2024</c:v>
                </c:pt>
                <c:pt idx="4">
                  <c:v>2025</c:v>
                </c:pt>
              </c:strCache>
            </c:strRef>
          </c:cat>
          <c:val>
            <c:numRef>
              <c:f>Graphs!$B$17:$F$17</c:f>
              <c:numCache>
                <c:formatCode>General</c:formatCode>
                <c:ptCount val="5"/>
                <c:pt idx="0">
                  <c:v>44.49</c:v>
                </c:pt>
                <c:pt idx="1">
                  <c:v>22.04</c:v>
                </c:pt>
                <c:pt idx="2">
                  <c:v>18.43</c:v>
                </c:pt>
                <c:pt idx="3">
                  <c:v>30.29</c:v>
                </c:pt>
                <c:pt idx="4">
                  <c:v>31.41</c:v>
                </c:pt>
              </c:numCache>
            </c:numRef>
          </c:val>
          <c:smooth val="0"/>
        </c:ser>
        <c:dLbls>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marker val="0"/>
        <c:smooth val="0"/>
        <c:axId val="2034663488"/>
        <c:axId val="1879990288"/>
      </c:lineChart>
      <c:catAx>
        <c:axId val="2034663488"/>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lang="en-US" sz="900" b="0" i="0" u="none" strike="noStrike" kern="1200" spc="20" baseline="0">
                <a:solidFill>
                  <a:schemeClr val="tx1"/>
                </a:solidFill>
                <a:latin typeface="+mn-lt"/>
                <a:ea typeface="+mn-ea"/>
                <a:cs typeface="+mn-cs"/>
              </a:defRPr>
            </a:pPr>
          </a:p>
        </c:txPr>
        <c:crossAx val="1879990288"/>
        <c:crosses val="autoZero"/>
        <c:auto val="1"/>
        <c:lblAlgn val="ctr"/>
        <c:lblOffset val="100"/>
        <c:noMultiLvlLbl val="0"/>
      </c:catAx>
      <c:valAx>
        <c:axId val="18799902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spc="20" baseline="0">
                <a:solidFill>
                  <a:schemeClr val="tx1"/>
                </a:solidFill>
                <a:latin typeface="+mn-lt"/>
                <a:ea typeface="+mn-ea"/>
                <a:cs typeface="+mn-cs"/>
              </a:defRPr>
            </a:pPr>
          </a:p>
        </c:txPr>
        <c:crossAx val="2034663488"/>
        <c:crosses val="autoZero"/>
        <c:crossBetween val="between"/>
      </c:valAx>
      <c:spPr>
        <a:gradFill>
          <a:gsLst>
            <a:gs pos="100000">
              <a:schemeClr val="lt1">
                <a:lumMod val="95000"/>
              </a:schemeClr>
            </a:gs>
            <a:gs pos="0">
              <a:schemeClr val="lt1"/>
            </a:gs>
          </a:gsLst>
          <a:lin ang="5400000" scaled="0"/>
        </a:gradFill>
        <a:ln>
          <a:noFill/>
        </a:ln>
        <a:effectLst>
          <a:outerShdw blurRad="50800" dist="38100" algn="l" rotWithShape="0">
            <a:prstClr val="black">
              <a:alpha val="40000"/>
            </a:prstClr>
          </a:outerShdw>
        </a:effectLst>
      </c:spPr>
    </c:plotArea>
    <c:legend>
      <c:legendPos val="b"/>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be0c801c-714c-436f-af04-debf93ad197e}"/>
      </c:ext>
    </c:extLst>
  </c:chart>
  <c:spPr>
    <a:solidFill>
      <a:schemeClr val="lt1"/>
    </a:solidFill>
    <a:ln w="9525" cap="flat" cmpd="sng" algn="ctr">
      <a:solidFill>
        <a:schemeClr val="dk1">
          <a:lumMod val="15000"/>
          <a:lumOff val="85000"/>
        </a:schemeClr>
      </a:solidFill>
      <a:round/>
    </a:ln>
    <a:effectLst>
      <a:glow rad="139700">
        <a:schemeClr val="accent6">
          <a:satMod val="175000"/>
          <a:alpha val="40000"/>
        </a:schemeClr>
      </a:glow>
    </a:effectLst>
    <a:scene3d>
      <a:camera prst="orthographicFront"/>
      <a:lightRig rig="threePt" dir="t"/>
    </a:scene3d>
    <a:sp3d>
      <a:bevelT prst="angle"/>
    </a:sp3d>
  </c:spPr>
  <c:txPr>
    <a:bodyPr/>
    <a:lstStyle/>
    <a:p>
      <a:pPr>
        <a:defRPr lang="en-US"/>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600" b="1" i="0" u="none" strike="noStrike" kern="1200" baseline="0">
                <a:solidFill>
                  <a:srgbClr val="FF0000"/>
                </a:solidFill>
                <a:latin typeface="Algerian" panose="04020705040A02060702" pitchFamily="82" charset="0"/>
                <a:ea typeface="+mn-ea"/>
                <a:cs typeface="+mn-cs"/>
              </a:defRPr>
            </a:pPr>
            <a:r>
              <a:rPr lang="en-IN">
                <a:solidFill>
                  <a:srgbClr val="FF0000"/>
                </a:solidFill>
                <a:latin typeface="Algerian" panose="04020705040A02060702" pitchFamily="82" charset="0"/>
              </a:rPr>
              <a:t>Cash Flow</a:t>
            </a:r>
            <a:endParaRPr lang="en-IN">
              <a:solidFill>
                <a:srgbClr val="FF0000"/>
              </a:solidFill>
              <a:latin typeface="Algerian" panose="04020705040A02060702" pitchFamily="82" charset="0"/>
            </a:endParaRPr>
          </a:p>
        </c:rich>
      </c:tx>
      <c:layout/>
      <c:overlay val="0"/>
      <c:spPr>
        <a:noFill/>
        <a:ln>
          <a:noFill/>
        </a:ln>
        <a:effectLst/>
      </c:spPr>
    </c:title>
    <c:autoTitleDeleted val="0"/>
    <c:plotArea>
      <c:layout/>
      <c:barChart>
        <c:barDir val="bar"/>
        <c:grouping val="clustered"/>
        <c:varyColors val="0"/>
        <c:ser>
          <c:idx val="0"/>
          <c:order val="0"/>
          <c:tx>
            <c:strRef>
              <c:f>Graphs!$A$20</c:f>
              <c:strCache>
                <c:ptCount val="1"/>
                <c:pt idx="0">
                  <c:v>Operating cash Flow Ratio</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lightRig rig="threePt" dir="t"/>
            </a:scene3d>
            <a:sp3d>
              <a:bevelT w="114300" prst="hardEdge"/>
            </a:sp3d>
          </c:spPr>
          <c:invertIfNegative val="0"/>
          <c:dLbls>
            <c:spPr>
              <a:solidFill>
                <a:schemeClr val="accent6">
                  <a:lumMod val="20000"/>
                  <a:lumOff val="8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Graphs!$B$18:$F$19</c:f>
              <c:strCache>
                <c:ptCount val="5"/>
                <c:pt idx="0">
                  <c:v>2021</c:v>
                </c:pt>
                <c:pt idx="1">
                  <c:v>2022</c:v>
                </c:pt>
                <c:pt idx="2">
                  <c:v>2023</c:v>
                </c:pt>
                <c:pt idx="3">
                  <c:v>2024</c:v>
                </c:pt>
                <c:pt idx="4">
                  <c:v>2025</c:v>
                </c:pt>
              </c:strCache>
            </c:strRef>
          </c:cat>
          <c:val>
            <c:numRef>
              <c:f>Graphs!$B$20:$F$20</c:f>
              <c:numCache>
                <c:formatCode>General</c:formatCode>
                <c:ptCount val="5"/>
                <c:pt idx="0">
                  <c:v>0.18</c:v>
                </c:pt>
                <c:pt idx="1">
                  <c:v>0.32</c:v>
                </c:pt>
                <c:pt idx="2">
                  <c:v>0.41</c:v>
                </c:pt>
                <c:pt idx="3">
                  <c:v>0.32</c:v>
                </c:pt>
                <c:pt idx="4">
                  <c:v>0.38</c:v>
                </c:pt>
              </c:numCache>
            </c:numRef>
          </c:val>
        </c:ser>
        <c:ser>
          <c:idx val="1"/>
          <c:order val="1"/>
          <c:tx>
            <c:strRef>
              <c:f>Graphs!$A$21</c:f>
              <c:strCache>
                <c:ptCount val="1"/>
                <c:pt idx="0">
                  <c:v>Free Cash Flow Ratio</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lightRig rig="threePt" dir="t"/>
            </a:scene3d>
            <a:sp3d>
              <a:bevelT w="114300" prst="artDeco"/>
            </a:sp3d>
          </c:spPr>
          <c:invertIfNegative val="0"/>
          <c:dLbls>
            <c:spPr>
              <a:solidFill>
                <a:schemeClr val="accent3">
                  <a:lumMod val="20000"/>
                  <a:lumOff val="8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Graphs!$B$18:$F$19</c:f>
              <c:strCache>
                <c:ptCount val="5"/>
                <c:pt idx="0">
                  <c:v>2021</c:v>
                </c:pt>
                <c:pt idx="1">
                  <c:v>2022</c:v>
                </c:pt>
                <c:pt idx="2">
                  <c:v>2023</c:v>
                </c:pt>
                <c:pt idx="3">
                  <c:v>2024</c:v>
                </c:pt>
                <c:pt idx="4">
                  <c:v>2025</c:v>
                </c:pt>
              </c:strCache>
            </c:strRef>
          </c:cat>
          <c:val>
            <c:numRef>
              <c:f>Graphs!$B$21:$F$21</c:f>
              <c:numCache>
                <c:formatCode>General</c:formatCode>
                <c:ptCount val="5"/>
                <c:pt idx="0">
                  <c:v>0.07</c:v>
                </c:pt>
                <c:pt idx="1">
                  <c:v>0.1</c:v>
                </c:pt>
                <c:pt idx="2">
                  <c:v>0.11</c:v>
                </c:pt>
                <c:pt idx="3">
                  <c:v>0.08</c:v>
                </c:pt>
                <c:pt idx="4">
                  <c:v>0.1</c:v>
                </c:pt>
              </c:numCache>
            </c:numRef>
          </c:val>
        </c:ser>
        <c:dLbls>
          <c:showLegendKey val="0"/>
          <c:showVal val="1"/>
          <c:showCatName val="0"/>
          <c:showSerName val="0"/>
          <c:showPercent val="0"/>
          <c:showBubbleSize val="0"/>
        </c:dLbls>
        <c:gapWidth val="115"/>
        <c:overlap val="-20"/>
        <c:axId val="2045042288"/>
        <c:axId val="1880066608"/>
      </c:barChart>
      <c:catAx>
        <c:axId val="2045042288"/>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mn-lt"/>
                <a:ea typeface="+mn-ea"/>
                <a:cs typeface="+mn-cs"/>
              </a:defRPr>
            </a:pPr>
          </a:p>
        </c:txPr>
        <c:crossAx val="1880066608"/>
        <c:crosses val="autoZero"/>
        <c:auto val="1"/>
        <c:lblAlgn val="ctr"/>
        <c:lblOffset val="100"/>
        <c:noMultiLvlLbl val="0"/>
      </c:catAx>
      <c:valAx>
        <c:axId val="1880066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mn-lt"/>
                <a:ea typeface="+mn-ea"/>
                <a:cs typeface="+mn-cs"/>
              </a:defRPr>
            </a:pPr>
          </a:p>
        </c:txPr>
        <c:crossAx val="2045042288"/>
        <c:crosses val="autoZero"/>
        <c:crossBetween val="between"/>
      </c:valAx>
      <c:spPr>
        <a:noFill/>
        <a:ln>
          <a:noFill/>
        </a:ln>
        <a:effectLst>
          <a:outerShdw blurRad="50800" dist="38100" algn="l" rotWithShape="0">
            <a:prstClr val="black">
              <a:alpha val="40000"/>
            </a:prstClr>
          </a:outerShdw>
        </a:effectLst>
      </c:spPr>
    </c:plotArea>
    <c:legend>
      <c:legendPos val="b"/>
      <c:layout/>
      <c:overlay val="0"/>
      <c:spPr>
        <a:noFill/>
        <a:ln>
          <a:noFill/>
        </a:ln>
        <a:effectLst/>
      </c:spPr>
      <c:txPr>
        <a:bodyPr rot="0" spcFirstLastPara="1" vertOverflow="ellipsis" vert="horz" wrap="square" anchor="ctr" anchorCtr="1"/>
        <a:lstStyle/>
        <a:p>
          <a:pPr>
            <a:defRPr lang="en-US" sz="900" b="0" i="0" u="none" strike="noStrike" kern="1200" baseline="0">
              <a:solidFill>
                <a:sysClr val="windowText" lastClr="000000"/>
              </a:solidFill>
              <a:latin typeface="+mn-lt"/>
              <a:ea typeface="+mn-ea"/>
              <a:cs typeface="+mn-cs"/>
            </a:defRPr>
          </a:pPr>
        </a:p>
      </c:txPr>
    </c:legend>
    <c:plotVisOnly val="1"/>
    <c:dispBlanksAs val="gap"/>
    <c:showDLblsOverMax val="0"/>
    <c:extLst>
      <c:ext uri="{0b15fc19-7d7d-44ad-8c2d-2c3a37ce22c3}">
        <chartProps xmlns="https://web.wps.cn/et/2018/main" chartId="{722960ce-de21-46ab-8fb1-2d031f398462}"/>
      </c:ext>
    </c:extLst>
  </c:chart>
  <c:spPr>
    <a:solidFill>
      <a:schemeClr val="bg1"/>
    </a:solidFill>
    <a:ln w="9525" cap="flat" cmpd="sng" algn="ctr">
      <a:solidFill>
        <a:schemeClr val="tx1">
          <a:lumMod val="15000"/>
          <a:lumOff val="85000"/>
        </a:schemeClr>
      </a:solidFill>
      <a:round/>
    </a:ln>
    <a:effectLst>
      <a:glow rad="139700">
        <a:schemeClr val="accent6">
          <a:satMod val="175000"/>
          <a:alpha val="40000"/>
        </a:schemeClr>
      </a:glow>
    </a:effectLst>
    <a:scene3d>
      <a:camera prst="orthographicFront"/>
      <a:lightRig rig="threePt" dir="t"/>
    </a:scene3d>
    <a:sp3d>
      <a:bevelT prst="angle"/>
    </a:sp3d>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XFQCovZYgYdoXRNt/934Yk4vvA==">CgMxLjAaJQoBMBIgCh4IB0IaCg9UaW1lcyBOZXcgUm9tYW4SB0d1bmdzdWgyDmgubGoyaXF0NGpjYXA4Mg5oLnBybHlxYjd0NGk3MDIOaC5ocjBpYmtodHhtdnUyDmgua21zbDhrYTFzMW5yMg1oLm4xbXk4YWNyeTRyMg5oLjhsODc5cXhpMWFrczINaC42bTNkaWVkemV1cTIOaC43MmE4Ym45Ymt6eWgyDmguZ2tiZXJkeTVldGE4Mg1oLjJvMjJzaHR2bjFwMg5oLjJlMjRjbTFrNDF6OTIOaC5zbGdsNmRxOW12bTkyDmgudjBqMHB4ODcxbmIyMg5oLjF3cWpzejltMnozNzgAciExTjZydkFhNEhoaXNHR2VfeUxELXlaUnFra3k3ZlVza1Y=</go:docsCustomData>
</go:gDocsCustomXmlDataStorage>
</file>

<file path=customXml/itemProps1.xml><?xml version="1.0" encoding="utf-8"?>
<ds:datastoreItem xmlns:ds="http://schemas.openxmlformats.org/officeDocument/2006/customXml" ds:itemID="{8BB95D1B-021A-4D2A-8025-E087F7B6F97F}">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32</Pages>
  <Words>1038</Words>
  <Characters>5739</Characters>
  <Lines>1</Lines>
  <Paragraphs>1</Paragraphs>
  <TotalTime>6</TotalTime>
  <ScaleCrop>false</ScaleCrop>
  <LinksUpToDate>false</LinksUpToDate>
  <CharactersWithSpaces>6632</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2026-08-03T14:16:00Z</dcterms:created>
  <dcterms:modified xsi:type="dcterms:W3CDTF">2026-08-13T10:44:24Z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eyJoZGlkIjoiODc0YWI4MThhOWI1YTUzNjUzZTdiOGMxMmU0MGY1NWUiLCJ1c2VySWQiOiI1NjcwOTM3MjI4NDcifQ==</vt:lpwstr>
  </property>
  <property fmtid="{D5CDD505-2E9C-101B-9397-08002B2CF9AE}" pid="3" name="KSOProductBuildVer">
    <vt:lpwstr>1033-12.1.0.28032</vt:lpwstr>
  </property>
  <property fmtid="{D5CDD505-2E9C-101B-9397-08002B2CF9AE}" pid="4" name="ICV">
    <vt:lpwstr>6B2A7E7058174C8CBD9A3526294432F1_12</vt:lpwstr>
  </property>
</Properties>
</file>