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E56E5" w14:textId="77777777" w:rsidR="005C1E77" w:rsidRPr="007A6AB9" w:rsidRDefault="005C1E77" w:rsidP="005C1E77">
      <w:pPr>
        <w:spacing w:line="360" w:lineRule="auto"/>
        <w:jc w:val="center"/>
        <w:rPr>
          <w:rFonts w:ascii="Arial" w:hAnsi="Arial" w:cs="Arial"/>
          <w:b/>
          <w:bCs/>
          <w:sz w:val="28"/>
          <w:szCs w:val="28"/>
        </w:rPr>
      </w:pPr>
      <w:r w:rsidRPr="007A6AB9">
        <w:rPr>
          <w:rFonts w:ascii="Arial" w:hAnsi="Arial" w:cs="Arial"/>
          <w:b/>
          <w:bCs/>
          <w:sz w:val="28"/>
          <w:szCs w:val="28"/>
        </w:rPr>
        <w:t>BSc (Hons) Health and Social Care</w:t>
      </w:r>
    </w:p>
    <w:p w14:paraId="39F85B18" w14:textId="77777777" w:rsidR="005C1E77" w:rsidRPr="007A6AB9" w:rsidRDefault="005C1E77" w:rsidP="005C1E77">
      <w:pPr>
        <w:spacing w:line="360" w:lineRule="auto"/>
        <w:jc w:val="center"/>
        <w:rPr>
          <w:rFonts w:ascii="Arial" w:hAnsi="Arial" w:cs="Arial"/>
          <w:b/>
          <w:bCs/>
          <w:sz w:val="28"/>
          <w:szCs w:val="28"/>
        </w:rPr>
      </w:pPr>
    </w:p>
    <w:p w14:paraId="07CB81A3" w14:textId="77777777" w:rsidR="005C1E77" w:rsidRPr="007A6AB9" w:rsidRDefault="005C1E77" w:rsidP="005C1E77">
      <w:pPr>
        <w:spacing w:line="360" w:lineRule="auto"/>
        <w:jc w:val="center"/>
        <w:rPr>
          <w:rFonts w:ascii="Arial" w:hAnsi="Arial" w:cs="Arial"/>
          <w:b/>
          <w:bCs/>
          <w:sz w:val="28"/>
          <w:szCs w:val="28"/>
        </w:rPr>
      </w:pPr>
      <w:r w:rsidRPr="007A6AB9">
        <w:rPr>
          <w:rFonts w:ascii="Arial" w:hAnsi="Arial" w:cs="Arial"/>
          <w:b/>
          <w:bCs/>
          <w:sz w:val="28"/>
          <w:szCs w:val="28"/>
        </w:rPr>
        <w:t>Module: Introduction to Independent Research Skills (BMHP5019)</w:t>
      </w:r>
    </w:p>
    <w:p w14:paraId="2538FC7E" w14:textId="77777777" w:rsidR="005C1E77" w:rsidRPr="007A6AB9" w:rsidRDefault="005C1E77" w:rsidP="005C1E77">
      <w:pPr>
        <w:spacing w:line="360" w:lineRule="auto"/>
        <w:jc w:val="center"/>
        <w:rPr>
          <w:rFonts w:ascii="Arial" w:hAnsi="Arial" w:cs="Arial"/>
          <w:sz w:val="28"/>
          <w:szCs w:val="28"/>
        </w:rPr>
      </w:pPr>
    </w:p>
    <w:p w14:paraId="163B430B" w14:textId="77777777" w:rsidR="005C1E77" w:rsidRPr="007A6AB9" w:rsidRDefault="005C1E77" w:rsidP="005C1E77">
      <w:pPr>
        <w:spacing w:line="360" w:lineRule="auto"/>
        <w:jc w:val="center"/>
        <w:rPr>
          <w:rFonts w:ascii="Arial" w:hAnsi="Arial" w:cs="Arial"/>
          <w:sz w:val="28"/>
          <w:szCs w:val="28"/>
        </w:rPr>
      </w:pPr>
      <w:r w:rsidRPr="007A6AB9">
        <w:rPr>
          <w:rFonts w:ascii="Arial" w:hAnsi="Arial" w:cs="Arial"/>
          <w:b/>
          <w:bCs/>
          <w:sz w:val="28"/>
          <w:szCs w:val="28"/>
        </w:rPr>
        <w:t xml:space="preserve">Assessment title: </w:t>
      </w:r>
      <w:r w:rsidRPr="007A6AB9">
        <w:rPr>
          <w:rFonts w:ascii="Arial" w:hAnsi="Arial" w:cs="Arial"/>
          <w:sz w:val="28"/>
          <w:szCs w:val="28"/>
        </w:rPr>
        <w:t xml:space="preserve">Assessment 1 - Research Proposal </w:t>
      </w:r>
    </w:p>
    <w:p w14:paraId="7A87CB98" w14:textId="77777777" w:rsidR="005C1E77" w:rsidRPr="007A6AB9" w:rsidRDefault="005C1E77" w:rsidP="005C1E77">
      <w:pPr>
        <w:spacing w:line="360" w:lineRule="auto"/>
        <w:rPr>
          <w:rFonts w:ascii="Arial" w:hAnsi="Arial" w:cs="Arial"/>
          <w:sz w:val="28"/>
          <w:szCs w:val="28"/>
        </w:rPr>
      </w:pPr>
    </w:p>
    <w:p w14:paraId="469A74D0" w14:textId="77777777" w:rsidR="005C1E77" w:rsidRPr="007A6AB9" w:rsidRDefault="005C1E77" w:rsidP="005C1E77">
      <w:pPr>
        <w:spacing w:line="360" w:lineRule="auto"/>
        <w:rPr>
          <w:rFonts w:ascii="Arial" w:hAnsi="Arial" w:cs="Arial"/>
          <w:sz w:val="28"/>
          <w:szCs w:val="28"/>
        </w:rPr>
      </w:pPr>
    </w:p>
    <w:p w14:paraId="2E802D4D" w14:textId="77777777" w:rsidR="005C1E77" w:rsidRPr="007A6AB9" w:rsidRDefault="005C1E77" w:rsidP="005C1E77">
      <w:pPr>
        <w:spacing w:line="360" w:lineRule="auto"/>
        <w:rPr>
          <w:rFonts w:ascii="Arial" w:hAnsi="Arial" w:cs="Arial"/>
          <w:sz w:val="28"/>
          <w:szCs w:val="28"/>
        </w:rPr>
      </w:pPr>
      <w:r w:rsidRPr="007A6AB9">
        <w:rPr>
          <w:rFonts w:ascii="Arial" w:hAnsi="Arial" w:cs="Arial"/>
          <w:b/>
          <w:bCs/>
          <w:sz w:val="28"/>
          <w:szCs w:val="28"/>
        </w:rPr>
        <w:t>Student ID</w:t>
      </w:r>
      <w:r w:rsidRPr="007A6AB9">
        <w:rPr>
          <w:rFonts w:ascii="Arial" w:hAnsi="Arial" w:cs="Arial"/>
          <w:sz w:val="28"/>
          <w:szCs w:val="28"/>
        </w:rPr>
        <w:t>: 2337100</w:t>
      </w:r>
    </w:p>
    <w:p w14:paraId="06569F5E" w14:textId="77777777" w:rsidR="005C1E77" w:rsidRPr="007A6AB9" w:rsidRDefault="005C1E77" w:rsidP="005C1E77">
      <w:pPr>
        <w:spacing w:line="360" w:lineRule="auto"/>
        <w:rPr>
          <w:rFonts w:ascii="Arial" w:hAnsi="Arial" w:cs="Arial"/>
          <w:sz w:val="28"/>
          <w:szCs w:val="28"/>
        </w:rPr>
      </w:pPr>
    </w:p>
    <w:p w14:paraId="442C9C0F" w14:textId="77777777" w:rsidR="005C1E77" w:rsidRPr="007A6AB9" w:rsidRDefault="005C1E77" w:rsidP="005C1E77">
      <w:pPr>
        <w:spacing w:line="360" w:lineRule="auto"/>
        <w:rPr>
          <w:rFonts w:ascii="Arial" w:hAnsi="Arial" w:cs="Arial"/>
          <w:sz w:val="28"/>
          <w:szCs w:val="28"/>
        </w:rPr>
      </w:pPr>
      <w:r w:rsidRPr="007A6AB9">
        <w:rPr>
          <w:rFonts w:ascii="Arial" w:hAnsi="Arial" w:cs="Arial"/>
          <w:b/>
          <w:bCs/>
          <w:sz w:val="28"/>
          <w:szCs w:val="28"/>
        </w:rPr>
        <w:t>Student Name</w:t>
      </w:r>
      <w:r w:rsidRPr="007A6AB9">
        <w:rPr>
          <w:rFonts w:ascii="Arial" w:hAnsi="Arial" w:cs="Arial"/>
          <w:sz w:val="28"/>
          <w:szCs w:val="28"/>
        </w:rPr>
        <w:t>: Tetyana Tymkova</w:t>
      </w:r>
    </w:p>
    <w:p w14:paraId="7E6BCD27" w14:textId="77777777" w:rsidR="005C1E77" w:rsidRPr="007A6AB9" w:rsidRDefault="005C1E77" w:rsidP="005C1E77">
      <w:pPr>
        <w:spacing w:line="360" w:lineRule="auto"/>
        <w:rPr>
          <w:rFonts w:ascii="Arial" w:hAnsi="Arial" w:cs="Arial"/>
          <w:sz w:val="28"/>
          <w:szCs w:val="28"/>
        </w:rPr>
      </w:pPr>
    </w:p>
    <w:p w14:paraId="08AA4BFB" w14:textId="77777777" w:rsidR="005C1E77" w:rsidRPr="007A6AB9" w:rsidRDefault="005C1E77" w:rsidP="005C1E77">
      <w:pPr>
        <w:spacing w:line="360" w:lineRule="auto"/>
        <w:rPr>
          <w:rFonts w:ascii="Arial" w:hAnsi="Arial" w:cs="Arial"/>
          <w:sz w:val="28"/>
          <w:szCs w:val="28"/>
        </w:rPr>
      </w:pPr>
      <w:r w:rsidRPr="007A6AB9">
        <w:rPr>
          <w:rFonts w:ascii="Arial" w:hAnsi="Arial" w:cs="Arial"/>
          <w:b/>
          <w:bCs/>
          <w:sz w:val="28"/>
          <w:szCs w:val="28"/>
        </w:rPr>
        <w:t>Date of submission</w:t>
      </w:r>
      <w:r w:rsidRPr="007A6AB9">
        <w:rPr>
          <w:rFonts w:ascii="Arial" w:hAnsi="Arial" w:cs="Arial"/>
          <w:sz w:val="28"/>
          <w:szCs w:val="28"/>
        </w:rPr>
        <w:t xml:space="preserve">: 12/03/2026 </w:t>
      </w:r>
    </w:p>
    <w:p w14:paraId="08318493" w14:textId="77777777" w:rsidR="005C1E77" w:rsidRPr="007A6AB9" w:rsidRDefault="005C1E77" w:rsidP="005C1E77">
      <w:pPr>
        <w:spacing w:line="360" w:lineRule="auto"/>
        <w:rPr>
          <w:rFonts w:ascii="Arial" w:hAnsi="Arial" w:cs="Arial"/>
          <w:sz w:val="28"/>
          <w:szCs w:val="28"/>
        </w:rPr>
      </w:pPr>
    </w:p>
    <w:p w14:paraId="6EB7AB34" w14:textId="77777777" w:rsidR="005C1E77" w:rsidRPr="007A6AB9" w:rsidRDefault="005C1E77" w:rsidP="005C1E77">
      <w:pPr>
        <w:spacing w:line="360" w:lineRule="auto"/>
        <w:rPr>
          <w:rFonts w:ascii="Arial" w:hAnsi="Arial" w:cs="Arial"/>
          <w:b/>
          <w:bCs/>
          <w:sz w:val="28"/>
          <w:szCs w:val="28"/>
        </w:rPr>
      </w:pPr>
      <w:r w:rsidRPr="007A6AB9">
        <w:rPr>
          <w:rFonts w:ascii="Arial" w:hAnsi="Arial" w:cs="Arial"/>
          <w:b/>
          <w:bCs/>
          <w:sz w:val="28"/>
          <w:szCs w:val="28"/>
        </w:rPr>
        <w:t>Word count</w:t>
      </w:r>
      <w:r w:rsidRPr="007A6AB9">
        <w:rPr>
          <w:rFonts w:ascii="Arial" w:hAnsi="Arial" w:cs="Arial"/>
          <w:sz w:val="28"/>
          <w:szCs w:val="28"/>
        </w:rPr>
        <w:t>: 445</w:t>
      </w:r>
    </w:p>
    <w:p w14:paraId="172FE5C0" w14:textId="77777777" w:rsidR="005C1E77" w:rsidRPr="007A6AB9" w:rsidRDefault="005C1E77" w:rsidP="005C1E77">
      <w:pPr>
        <w:spacing w:line="360" w:lineRule="auto"/>
        <w:rPr>
          <w:rFonts w:ascii="Arial" w:hAnsi="Arial" w:cs="Arial"/>
          <w:b/>
          <w:bCs/>
        </w:rPr>
      </w:pPr>
    </w:p>
    <w:p w14:paraId="238DB3F8" w14:textId="77777777" w:rsidR="005C1E77" w:rsidRPr="007A6AB9" w:rsidRDefault="005C1E77" w:rsidP="005C1E77">
      <w:pPr>
        <w:spacing w:line="360" w:lineRule="auto"/>
        <w:rPr>
          <w:rFonts w:ascii="Arial" w:hAnsi="Arial" w:cs="Arial"/>
          <w:b/>
          <w:bCs/>
        </w:rPr>
      </w:pPr>
    </w:p>
    <w:p w14:paraId="0E3DF3EF" w14:textId="77777777" w:rsidR="005C1E77" w:rsidRPr="007A6AB9" w:rsidRDefault="005C1E77" w:rsidP="005C1E77">
      <w:pPr>
        <w:spacing w:line="360" w:lineRule="auto"/>
        <w:rPr>
          <w:rFonts w:ascii="Arial" w:hAnsi="Arial" w:cs="Arial"/>
          <w:b/>
          <w:bCs/>
        </w:rPr>
      </w:pPr>
    </w:p>
    <w:p w14:paraId="79C3CC32" w14:textId="77777777" w:rsidR="005C1E77" w:rsidRPr="007A6AB9" w:rsidRDefault="005C1E77" w:rsidP="005C1E77">
      <w:pPr>
        <w:spacing w:line="360" w:lineRule="auto"/>
        <w:rPr>
          <w:rFonts w:ascii="Arial" w:hAnsi="Arial" w:cs="Arial"/>
          <w:b/>
          <w:bCs/>
        </w:rPr>
      </w:pPr>
    </w:p>
    <w:p w14:paraId="677D9917" w14:textId="77777777" w:rsidR="005C1E77" w:rsidRPr="007A6AB9" w:rsidRDefault="005C1E77" w:rsidP="005C1E77">
      <w:pPr>
        <w:spacing w:line="360" w:lineRule="auto"/>
        <w:rPr>
          <w:rFonts w:ascii="Arial" w:hAnsi="Arial" w:cs="Arial"/>
          <w:b/>
          <w:bCs/>
        </w:rPr>
      </w:pPr>
    </w:p>
    <w:p w14:paraId="5866FC2B" w14:textId="77777777" w:rsidR="005C1E77" w:rsidRPr="007A6AB9" w:rsidRDefault="005C1E77" w:rsidP="005C1E77">
      <w:pPr>
        <w:spacing w:line="360" w:lineRule="auto"/>
        <w:rPr>
          <w:rFonts w:ascii="Arial" w:hAnsi="Arial" w:cs="Arial"/>
          <w:b/>
          <w:bCs/>
        </w:rPr>
      </w:pPr>
    </w:p>
    <w:p w14:paraId="01E4DE48" w14:textId="77777777" w:rsidR="005C1E77" w:rsidRPr="007A6AB9" w:rsidRDefault="005C1E77" w:rsidP="005C1E77">
      <w:pPr>
        <w:spacing w:line="360" w:lineRule="auto"/>
        <w:rPr>
          <w:rFonts w:ascii="Arial" w:hAnsi="Arial" w:cs="Arial"/>
          <w:b/>
          <w:bCs/>
        </w:rPr>
      </w:pPr>
    </w:p>
    <w:p w14:paraId="44302FC5" w14:textId="77777777" w:rsidR="005C1E77" w:rsidRPr="007A6AB9" w:rsidRDefault="005C1E77" w:rsidP="005C1E77">
      <w:pPr>
        <w:spacing w:line="360" w:lineRule="auto"/>
        <w:rPr>
          <w:rFonts w:ascii="Arial" w:hAnsi="Arial" w:cs="Arial"/>
          <w:b/>
          <w:bCs/>
        </w:rPr>
      </w:pPr>
    </w:p>
    <w:p w14:paraId="725C3A5B" w14:textId="77777777" w:rsidR="005C1E77" w:rsidRPr="007A6AB9" w:rsidRDefault="005C1E77" w:rsidP="005C1E77">
      <w:pPr>
        <w:spacing w:line="360" w:lineRule="auto"/>
        <w:rPr>
          <w:rFonts w:ascii="Arial" w:hAnsi="Arial" w:cs="Arial"/>
          <w:b/>
          <w:bCs/>
        </w:rPr>
      </w:pPr>
    </w:p>
    <w:p w14:paraId="1C0EFAD0" w14:textId="77777777" w:rsidR="005C1E77" w:rsidRPr="007A6AB9" w:rsidRDefault="005C1E77" w:rsidP="005C1E77">
      <w:pPr>
        <w:spacing w:line="360" w:lineRule="auto"/>
        <w:rPr>
          <w:rFonts w:ascii="Arial" w:hAnsi="Arial" w:cs="Arial"/>
          <w:b/>
          <w:bCs/>
        </w:rPr>
      </w:pPr>
    </w:p>
    <w:p w14:paraId="594D8102" w14:textId="0D9158F9" w:rsidR="005C1E77" w:rsidRPr="007A6AB9" w:rsidRDefault="005C1E77" w:rsidP="005C1E77">
      <w:pPr>
        <w:spacing w:line="360" w:lineRule="auto"/>
        <w:jc w:val="center"/>
        <w:rPr>
          <w:rFonts w:ascii="Arial" w:hAnsi="Arial" w:cs="Arial"/>
          <w:b/>
          <w:bCs/>
        </w:rPr>
      </w:pPr>
      <w:r w:rsidRPr="007A6AB9">
        <w:rPr>
          <w:rFonts w:ascii="Arial" w:hAnsi="Arial" w:cs="Arial"/>
          <w:b/>
          <w:bCs/>
        </w:rPr>
        <w:t>Research Proposal</w:t>
      </w:r>
    </w:p>
    <w:p w14:paraId="0D5B10AE" w14:textId="77777777" w:rsidR="005C1E77" w:rsidRPr="007A6AB9" w:rsidRDefault="005C1E77" w:rsidP="005C1E77">
      <w:pPr>
        <w:spacing w:line="360" w:lineRule="auto"/>
        <w:rPr>
          <w:rFonts w:ascii="Arial" w:hAnsi="Arial" w:cs="Arial"/>
          <w:b/>
          <w:bCs/>
        </w:rPr>
      </w:pPr>
      <w:r w:rsidRPr="007A6AB9">
        <w:rPr>
          <w:rFonts w:ascii="Arial" w:hAnsi="Arial" w:cs="Arial"/>
          <w:b/>
          <w:bCs/>
        </w:rPr>
        <w:t>Topic:</w:t>
      </w:r>
    </w:p>
    <w:p w14:paraId="799BACB6" w14:textId="77777777" w:rsidR="005C1E77" w:rsidRPr="007A6AB9" w:rsidRDefault="005C1E77" w:rsidP="005C1E77">
      <w:pPr>
        <w:spacing w:line="360" w:lineRule="auto"/>
        <w:rPr>
          <w:rFonts w:ascii="Arial" w:hAnsi="Arial" w:cs="Arial"/>
        </w:rPr>
      </w:pPr>
      <w:r w:rsidRPr="007A6AB9">
        <w:rPr>
          <w:rFonts w:ascii="Arial" w:hAnsi="Arial" w:cs="Arial"/>
        </w:rPr>
        <w:t>A Critical Analysis of AI-Powered Digital Tools in Relation to Person-Centred Care and Digital Inclusion among Older Adults in Health and Social Care Settings</w:t>
      </w:r>
    </w:p>
    <w:p w14:paraId="643DC996" w14:textId="77777777" w:rsidR="005C1E77" w:rsidRPr="007A6AB9" w:rsidRDefault="005C1E77" w:rsidP="005C1E77">
      <w:pPr>
        <w:spacing w:line="360" w:lineRule="auto"/>
        <w:rPr>
          <w:rFonts w:ascii="Arial" w:hAnsi="Arial" w:cs="Arial"/>
          <w:b/>
          <w:bCs/>
        </w:rPr>
      </w:pPr>
      <w:r w:rsidRPr="007A6AB9">
        <w:rPr>
          <w:rFonts w:ascii="Arial" w:hAnsi="Arial" w:cs="Arial"/>
          <w:b/>
          <w:bCs/>
        </w:rPr>
        <w:t>1) Review question:</w:t>
      </w:r>
    </w:p>
    <w:p w14:paraId="316B68EB" w14:textId="77777777" w:rsidR="005C1E77" w:rsidRPr="007A6AB9" w:rsidRDefault="005C1E77" w:rsidP="005C1E77">
      <w:pPr>
        <w:spacing w:line="360" w:lineRule="auto"/>
        <w:rPr>
          <w:rFonts w:ascii="Arial" w:hAnsi="Arial" w:cs="Arial"/>
        </w:rPr>
      </w:pPr>
      <w:r w:rsidRPr="007A6AB9">
        <w:rPr>
          <w:rFonts w:ascii="Arial" w:hAnsi="Arial" w:cs="Arial"/>
        </w:rPr>
        <w:t>To what extent do AI-powered digital tools support person-centred care and digital inclusion among older adults in health and social care settings?</w:t>
      </w:r>
    </w:p>
    <w:p w14:paraId="00A4C8A8" w14:textId="77777777" w:rsidR="005C1E77" w:rsidRPr="007A6AB9" w:rsidRDefault="005C1E77" w:rsidP="005C1E77">
      <w:pPr>
        <w:spacing w:line="360" w:lineRule="auto"/>
        <w:rPr>
          <w:rFonts w:ascii="Arial" w:hAnsi="Arial" w:cs="Arial"/>
          <w:b/>
          <w:bCs/>
        </w:rPr>
      </w:pPr>
      <w:r w:rsidRPr="007A6AB9">
        <w:rPr>
          <w:rFonts w:ascii="Arial" w:hAnsi="Arial" w:cs="Arial"/>
          <w:b/>
          <w:bCs/>
        </w:rPr>
        <w:t>2) Objectives:</w:t>
      </w:r>
    </w:p>
    <w:p w14:paraId="4CB27ADF" w14:textId="77777777" w:rsidR="005C1E77" w:rsidRPr="007A6AB9" w:rsidRDefault="005C1E77" w:rsidP="005C1E77">
      <w:pPr>
        <w:spacing w:line="360" w:lineRule="auto"/>
        <w:rPr>
          <w:rFonts w:ascii="Arial" w:hAnsi="Arial" w:cs="Arial"/>
        </w:rPr>
      </w:pPr>
      <w:r w:rsidRPr="007A6AB9">
        <w:rPr>
          <w:rFonts w:ascii="Arial" w:hAnsi="Arial" w:cs="Arial"/>
        </w:rPr>
        <w:t>This study aims to:</w:t>
      </w:r>
    </w:p>
    <w:p w14:paraId="76208C6F" w14:textId="77777777" w:rsidR="005C1E77" w:rsidRPr="007A6AB9" w:rsidRDefault="005C1E77" w:rsidP="005C1E77">
      <w:pPr>
        <w:spacing w:line="360" w:lineRule="auto"/>
        <w:rPr>
          <w:rFonts w:ascii="Arial" w:hAnsi="Arial" w:cs="Arial"/>
        </w:rPr>
      </w:pPr>
      <w:r w:rsidRPr="007A6AB9">
        <w:rPr>
          <w:rFonts w:ascii="Arial" w:hAnsi="Arial" w:cs="Arial"/>
        </w:rPr>
        <w:t>• Define key concepts related to artificial intelligence (AI), person-centred care and digital inclusion in health and social care.</w:t>
      </w:r>
      <w:r w:rsidRPr="007A6AB9">
        <w:rPr>
          <w:rFonts w:ascii="Arial" w:hAnsi="Arial" w:cs="Arial"/>
        </w:rPr>
        <w:br/>
        <w:t>• Examine how AI-powered technologies support older adults.</w:t>
      </w:r>
      <w:r w:rsidRPr="007A6AB9">
        <w:rPr>
          <w:rFonts w:ascii="Arial" w:hAnsi="Arial" w:cs="Arial"/>
        </w:rPr>
        <w:br/>
        <w:t>• Conduct a scoping review of academic literature exploring AI technologies that promote wellbeing and independence among older adults.</w:t>
      </w:r>
      <w:r w:rsidRPr="007A6AB9">
        <w:rPr>
          <w:rFonts w:ascii="Arial" w:hAnsi="Arial" w:cs="Arial"/>
        </w:rPr>
        <w:br/>
        <w:t>• Develop evidence-based recommendations for improving the use of AI technologies in person-centred health and social care.</w:t>
      </w:r>
    </w:p>
    <w:p w14:paraId="59B8784E" w14:textId="77777777" w:rsidR="005C1E77" w:rsidRPr="007A6AB9" w:rsidRDefault="005C1E77" w:rsidP="005C1E77">
      <w:pPr>
        <w:spacing w:line="360" w:lineRule="auto"/>
        <w:rPr>
          <w:rFonts w:ascii="Arial" w:hAnsi="Arial" w:cs="Arial"/>
          <w:b/>
          <w:bCs/>
        </w:rPr>
      </w:pPr>
      <w:r w:rsidRPr="007A6AB9">
        <w:rPr>
          <w:rFonts w:ascii="Arial" w:hAnsi="Arial" w:cs="Arial"/>
          <w:b/>
          <w:bCs/>
        </w:rPr>
        <w:t>3) Rationale:</w:t>
      </w:r>
    </w:p>
    <w:p w14:paraId="14EC3D74" w14:textId="77777777" w:rsidR="005C1E77" w:rsidRPr="007A6AB9" w:rsidRDefault="005C1E77" w:rsidP="005C1E77">
      <w:pPr>
        <w:spacing w:line="360" w:lineRule="auto"/>
        <w:rPr>
          <w:rFonts w:ascii="Arial" w:hAnsi="Arial" w:cs="Arial"/>
        </w:rPr>
      </w:pPr>
      <w:r w:rsidRPr="007A6AB9">
        <w:rPr>
          <w:rFonts w:ascii="Arial" w:hAnsi="Arial" w:cs="Arial"/>
        </w:rPr>
        <w:t>Loneliness and social isolation affect many older adults and are linked to poorer mental wellbeing and increased risk of cognitive decline (Khosravi, Rezvani and Wiewiora, 2019). Declining health, bereavement and reduced social contact increase vulnerability. As populations age, health and social care services must develop innovative approaches to support independence and wellbeing.</w:t>
      </w:r>
    </w:p>
    <w:p w14:paraId="45FE3AF2" w14:textId="77777777" w:rsidR="005C1E77" w:rsidRPr="007A6AB9" w:rsidRDefault="005C1E77" w:rsidP="005C1E77">
      <w:pPr>
        <w:spacing w:line="360" w:lineRule="auto"/>
        <w:rPr>
          <w:rFonts w:ascii="Arial" w:hAnsi="Arial" w:cs="Arial"/>
        </w:rPr>
      </w:pPr>
      <w:r w:rsidRPr="007A6AB9">
        <w:rPr>
          <w:rFonts w:ascii="Arial" w:hAnsi="Arial" w:cs="Arial"/>
        </w:rPr>
        <w:t>Person-centred care is a key principle in health and social care practice. It emphasises respect for individual preferences, dignity and participation in care decisions, ensuring individuals are involved in their care (Peek et al., 2019). This approach promotes autonomy and improves quality of life.</w:t>
      </w:r>
    </w:p>
    <w:p w14:paraId="45282B68" w14:textId="77777777" w:rsidR="005C1E77" w:rsidRPr="007A6AB9" w:rsidRDefault="005C1E77" w:rsidP="005C1E77">
      <w:pPr>
        <w:spacing w:line="360" w:lineRule="auto"/>
        <w:rPr>
          <w:rFonts w:ascii="Arial" w:hAnsi="Arial" w:cs="Arial"/>
        </w:rPr>
      </w:pPr>
      <w:r w:rsidRPr="007A6AB9">
        <w:rPr>
          <w:rFonts w:ascii="Arial" w:hAnsi="Arial" w:cs="Arial"/>
        </w:rPr>
        <w:t>Advances in artificial intelligence have introduced digital tools to support older adults. Technologies such as social robots, digital assistants and monitoring systems can improve social interaction and support independent living (Pu et al., 2019). However, their effectiveness depends on usability and accessibility.</w:t>
      </w:r>
    </w:p>
    <w:p w14:paraId="3116184A" w14:textId="77777777" w:rsidR="005C1E77" w:rsidRPr="007A6AB9" w:rsidRDefault="005C1E77" w:rsidP="005C1E77">
      <w:pPr>
        <w:spacing w:line="360" w:lineRule="auto"/>
        <w:rPr>
          <w:rFonts w:ascii="Arial" w:hAnsi="Arial" w:cs="Arial"/>
        </w:rPr>
      </w:pPr>
      <w:r w:rsidRPr="007A6AB9">
        <w:rPr>
          <w:rFonts w:ascii="Arial" w:hAnsi="Arial" w:cs="Arial"/>
        </w:rPr>
        <w:lastRenderedPageBreak/>
        <w:t>Digital exclusion remains a concern because some older adults face barriers such as limited digital skills or lack of confidence using technology (Seifert, Cotton and Xie, 2021). Research also highlights increasing digitalisation in social care and the need for accessible technologies (</w:t>
      </w:r>
      <w:proofErr w:type="spellStart"/>
      <w:r w:rsidRPr="007A6AB9">
        <w:rPr>
          <w:rFonts w:ascii="Arial" w:hAnsi="Arial" w:cs="Arial"/>
        </w:rPr>
        <w:t>Rousaki</w:t>
      </w:r>
      <w:proofErr w:type="spellEnd"/>
      <w:r w:rsidRPr="007A6AB9">
        <w:rPr>
          <w:rFonts w:ascii="Arial" w:hAnsi="Arial" w:cs="Arial"/>
        </w:rPr>
        <w:t xml:space="preserve"> et al., 2024). Therefore, it is important to examine whether AI technologies support both person-centred care and digital inclusion.</w:t>
      </w:r>
    </w:p>
    <w:p w14:paraId="37AE8AC0" w14:textId="77777777" w:rsidR="005C1E77" w:rsidRPr="007A6AB9" w:rsidRDefault="005C1E77" w:rsidP="005C1E77">
      <w:pPr>
        <w:spacing w:line="360" w:lineRule="auto"/>
        <w:rPr>
          <w:rFonts w:ascii="Arial" w:hAnsi="Arial" w:cs="Arial"/>
          <w:b/>
          <w:bCs/>
        </w:rPr>
      </w:pPr>
      <w:r w:rsidRPr="007A6AB9">
        <w:rPr>
          <w:rFonts w:ascii="Arial" w:hAnsi="Arial" w:cs="Arial"/>
          <w:b/>
          <w:bCs/>
        </w:rPr>
        <w:t>4) Methods:</w:t>
      </w:r>
    </w:p>
    <w:p w14:paraId="3E0DC69C" w14:textId="77777777" w:rsidR="005C1E77" w:rsidRPr="007A6AB9" w:rsidRDefault="005C1E77" w:rsidP="005C1E77">
      <w:pPr>
        <w:spacing w:line="360" w:lineRule="auto"/>
        <w:rPr>
          <w:rFonts w:ascii="Arial" w:hAnsi="Arial" w:cs="Arial"/>
        </w:rPr>
      </w:pPr>
      <w:r w:rsidRPr="007A6AB9">
        <w:rPr>
          <w:rFonts w:ascii="Arial" w:hAnsi="Arial" w:cs="Arial"/>
        </w:rPr>
        <w:t>This study will use a scoping review to examine literature on AI-powered digital tools supporting older adults. Studies will be identified through PubMed and Google Scholar. Inclusion criteria include peer-reviewed studies from 2016 onwards focusing on adults aged 65+ and AI-based interventions in health or social care. Studies not written in English or not focused on older adults will be excluded. Selected studies will be analysed using thematic analysis to identify themes related to effectiveness, user experiences and barriers.</w:t>
      </w:r>
    </w:p>
    <w:p w14:paraId="318926DD" w14:textId="77777777" w:rsidR="005C1E77" w:rsidRPr="007A6AB9" w:rsidRDefault="005C1E77" w:rsidP="005C1E77">
      <w:pPr>
        <w:spacing w:line="360" w:lineRule="auto"/>
        <w:rPr>
          <w:rFonts w:ascii="Arial" w:hAnsi="Arial" w:cs="Arial"/>
          <w:b/>
          <w:bCs/>
        </w:rPr>
      </w:pPr>
      <w:r w:rsidRPr="007A6AB9">
        <w:rPr>
          <w:rFonts w:ascii="Arial" w:hAnsi="Arial" w:cs="Arial"/>
          <w:b/>
          <w:bCs/>
        </w:rPr>
        <w:t>5) Ethical considerations:</w:t>
      </w:r>
    </w:p>
    <w:p w14:paraId="76A140CF" w14:textId="50EE6C42" w:rsidR="005C1E77" w:rsidRPr="007A6AB9" w:rsidRDefault="005C1E77" w:rsidP="005C1E77">
      <w:pPr>
        <w:spacing w:line="360" w:lineRule="auto"/>
        <w:rPr>
          <w:rFonts w:ascii="Arial" w:hAnsi="Arial" w:cs="Arial"/>
        </w:rPr>
      </w:pPr>
      <w:r w:rsidRPr="007A6AB9">
        <w:rPr>
          <w:rFonts w:ascii="Arial" w:hAnsi="Arial" w:cs="Arial"/>
        </w:rPr>
        <w:t>Ethical approval is not required because the study uses secondary data from published literature. The research will maintain academic integrity through accurate referencing and consider ethical issues such as privacy, autonomy and digital inequality when discussing AI technologies in health and social care.</w:t>
      </w:r>
    </w:p>
    <w:p w14:paraId="5B300682" w14:textId="77777777" w:rsidR="00BD4F29" w:rsidRPr="000B02D8" w:rsidRDefault="00BD4F29" w:rsidP="00BD4F29">
      <w:pPr>
        <w:spacing w:line="360" w:lineRule="auto"/>
        <w:rPr>
          <w:rFonts w:ascii="Arial" w:hAnsi="Arial" w:cs="Arial"/>
          <w:b/>
          <w:bCs/>
        </w:rPr>
      </w:pPr>
      <w:r w:rsidRPr="000B02D8">
        <w:rPr>
          <w:rFonts w:ascii="Arial" w:hAnsi="Arial" w:cs="Arial"/>
          <w:b/>
          <w:bCs/>
        </w:rPr>
        <w:t xml:space="preserve">References </w:t>
      </w:r>
    </w:p>
    <w:p w14:paraId="5C7699B1" w14:textId="77777777" w:rsidR="00BD4F29" w:rsidRPr="000B02D8" w:rsidRDefault="00BD4F29" w:rsidP="00BD4F29">
      <w:pPr>
        <w:spacing w:line="360" w:lineRule="auto"/>
        <w:rPr>
          <w:rFonts w:ascii="Arial" w:hAnsi="Arial" w:cs="Arial"/>
        </w:rPr>
      </w:pPr>
      <w:r w:rsidRPr="000B02D8">
        <w:rPr>
          <w:rFonts w:ascii="Arial" w:hAnsi="Arial" w:cs="Arial"/>
        </w:rPr>
        <w:t xml:space="preserve">Khosravi, P., Rezvani, A. and Wiewiora, A. (2019) ‘The impact of technology on older adults’ social isolation’, </w:t>
      </w:r>
      <w:r w:rsidRPr="000B02D8">
        <w:rPr>
          <w:rFonts w:ascii="Arial" w:hAnsi="Arial" w:cs="Arial"/>
          <w:i/>
          <w:iCs/>
        </w:rPr>
        <w:t xml:space="preserve">Computers in Human </w:t>
      </w:r>
      <w:proofErr w:type="spellStart"/>
      <w:r w:rsidRPr="000B02D8">
        <w:rPr>
          <w:rFonts w:ascii="Arial" w:hAnsi="Arial" w:cs="Arial"/>
          <w:i/>
          <w:iCs/>
        </w:rPr>
        <w:t>Behavior</w:t>
      </w:r>
      <w:proofErr w:type="spellEnd"/>
      <w:r w:rsidRPr="000B02D8">
        <w:rPr>
          <w:rFonts w:ascii="Arial" w:hAnsi="Arial" w:cs="Arial"/>
        </w:rPr>
        <w:t>, 98, pp. 1–8.</w:t>
      </w:r>
    </w:p>
    <w:p w14:paraId="4CF30DCA" w14:textId="77777777" w:rsidR="00BD4F29" w:rsidRPr="000B02D8" w:rsidRDefault="00BD4F29" w:rsidP="00BD4F29">
      <w:pPr>
        <w:spacing w:line="360" w:lineRule="auto"/>
        <w:rPr>
          <w:rFonts w:ascii="Arial" w:hAnsi="Arial" w:cs="Arial"/>
        </w:rPr>
      </w:pPr>
      <w:r w:rsidRPr="000B02D8">
        <w:rPr>
          <w:rFonts w:ascii="Arial" w:hAnsi="Arial" w:cs="Arial"/>
        </w:rPr>
        <w:t xml:space="preserve">Peek, S.T.M. et al. (2019) ‘Factors influencing acceptance of technology for aging in place’, </w:t>
      </w:r>
      <w:r w:rsidRPr="000B02D8">
        <w:rPr>
          <w:rFonts w:ascii="Arial" w:hAnsi="Arial" w:cs="Arial"/>
          <w:i/>
          <w:iCs/>
        </w:rPr>
        <w:t>International Journal of Medical Informatics</w:t>
      </w:r>
      <w:r w:rsidRPr="000B02D8">
        <w:rPr>
          <w:rFonts w:ascii="Arial" w:hAnsi="Arial" w:cs="Arial"/>
        </w:rPr>
        <w:t>, 83(4), pp. 235–248.</w:t>
      </w:r>
    </w:p>
    <w:p w14:paraId="2364ED34" w14:textId="77777777" w:rsidR="00BD4F29" w:rsidRPr="000B02D8" w:rsidRDefault="00BD4F29" w:rsidP="00BD4F29">
      <w:pPr>
        <w:spacing w:line="360" w:lineRule="auto"/>
        <w:rPr>
          <w:rFonts w:ascii="Arial" w:hAnsi="Arial" w:cs="Arial"/>
        </w:rPr>
      </w:pPr>
      <w:r w:rsidRPr="000B02D8">
        <w:rPr>
          <w:rFonts w:ascii="Arial" w:hAnsi="Arial" w:cs="Arial"/>
        </w:rPr>
        <w:t xml:space="preserve">Pu, L. et al. (2019) ‘The effectiveness of social robots for older adults’, </w:t>
      </w:r>
      <w:r w:rsidRPr="000B02D8">
        <w:rPr>
          <w:rFonts w:ascii="Arial" w:hAnsi="Arial" w:cs="Arial"/>
          <w:i/>
          <w:iCs/>
        </w:rPr>
        <w:t>Journal of Advanced Nursing</w:t>
      </w:r>
      <w:r w:rsidRPr="000B02D8">
        <w:rPr>
          <w:rFonts w:ascii="Arial" w:hAnsi="Arial" w:cs="Arial"/>
        </w:rPr>
        <w:t>, 75(2), pp. 1–12.</w:t>
      </w:r>
    </w:p>
    <w:p w14:paraId="71ECB02A" w14:textId="77777777" w:rsidR="00BD4F29" w:rsidRPr="000B02D8" w:rsidRDefault="00BD4F29" w:rsidP="00BD4F29">
      <w:pPr>
        <w:spacing w:line="360" w:lineRule="auto"/>
        <w:rPr>
          <w:rFonts w:ascii="Arial" w:hAnsi="Arial" w:cs="Arial"/>
        </w:rPr>
      </w:pPr>
      <w:proofErr w:type="spellStart"/>
      <w:r w:rsidRPr="000B02D8">
        <w:rPr>
          <w:rFonts w:ascii="Arial" w:hAnsi="Arial" w:cs="Arial"/>
        </w:rPr>
        <w:t>Rousaki</w:t>
      </w:r>
      <w:proofErr w:type="spellEnd"/>
      <w:r w:rsidRPr="000B02D8">
        <w:rPr>
          <w:rFonts w:ascii="Arial" w:hAnsi="Arial" w:cs="Arial"/>
        </w:rPr>
        <w:t xml:space="preserve">, A. et al. (2024) ‘The digitalisation of social care in England and its impact on older carers’, </w:t>
      </w:r>
      <w:r w:rsidRPr="000B02D8">
        <w:rPr>
          <w:rFonts w:ascii="Arial" w:hAnsi="Arial" w:cs="Arial"/>
          <w:i/>
          <w:iCs/>
        </w:rPr>
        <w:t>Journal of Medical Internet Research</w:t>
      </w:r>
      <w:r w:rsidRPr="000B02D8">
        <w:rPr>
          <w:rFonts w:ascii="Arial" w:hAnsi="Arial" w:cs="Arial"/>
        </w:rPr>
        <w:t>, 26, e60056.</w:t>
      </w:r>
    </w:p>
    <w:p w14:paraId="202F3804" w14:textId="77777777" w:rsidR="00BD4F29" w:rsidRPr="000B02D8" w:rsidRDefault="00BD4F29" w:rsidP="00BD4F29">
      <w:pPr>
        <w:spacing w:line="360" w:lineRule="auto"/>
        <w:rPr>
          <w:rFonts w:ascii="Arial" w:hAnsi="Arial" w:cs="Arial"/>
        </w:rPr>
      </w:pPr>
      <w:r w:rsidRPr="000B02D8">
        <w:rPr>
          <w:rFonts w:ascii="Arial" w:hAnsi="Arial" w:cs="Arial"/>
        </w:rPr>
        <w:t xml:space="preserve">Seifert, A., Cotton, S.R. and Xie, B. (2021) ‘A double burden of exclusion? Digital and social exclusion of older adults’, </w:t>
      </w:r>
      <w:r w:rsidRPr="000B02D8">
        <w:rPr>
          <w:rFonts w:ascii="Arial" w:hAnsi="Arial" w:cs="Arial"/>
          <w:i/>
          <w:iCs/>
        </w:rPr>
        <w:t>The Journals of Gerontology: Series B</w:t>
      </w:r>
      <w:r w:rsidRPr="000B02D8">
        <w:rPr>
          <w:rFonts w:ascii="Arial" w:hAnsi="Arial" w:cs="Arial"/>
        </w:rPr>
        <w:t>, 76(3), pp. e99–e103.</w:t>
      </w:r>
    </w:p>
    <w:p w14:paraId="66DA2E53" w14:textId="77777777" w:rsidR="00BD4F29" w:rsidRPr="007A6AB9" w:rsidRDefault="00BD4F29" w:rsidP="005C1E77">
      <w:pPr>
        <w:spacing w:line="360" w:lineRule="auto"/>
        <w:rPr>
          <w:rFonts w:ascii="Arial" w:hAnsi="Arial" w:cs="Arial"/>
        </w:rPr>
      </w:pPr>
    </w:p>
    <w:sectPr w:rsidR="00BD4F29" w:rsidRPr="007A6A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E77"/>
    <w:rsid w:val="00182F3D"/>
    <w:rsid w:val="003B7820"/>
    <w:rsid w:val="005C1E77"/>
    <w:rsid w:val="006033AC"/>
    <w:rsid w:val="007A6AB9"/>
    <w:rsid w:val="00BD4F29"/>
    <w:rsid w:val="00C3496D"/>
    <w:rsid w:val="00D95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C933A"/>
  <w15:chartTrackingRefBased/>
  <w15:docId w15:val="{51E65AA4-55AF-4B8E-B4A5-659670CCA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1E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1E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1E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1E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1E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1E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1E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1E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1E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1E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1E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1E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1E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1E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1E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1E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1E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1E77"/>
    <w:rPr>
      <w:rFonts w:eastAsiaTheme="majorEastAsia" w:cstheme="majorBidi"/>
      <w:color w:val="272727" w:themeColor="text1" w:themeTint="D8"/>
    </w:rPr>
  </w:style>
  <w:style w:type="paragraph" w:styleId="Title">
    <w:name w:val="Title"/>
    <w:basedOn w:val="Normal"/>
    <w:next w:val="Normal"/>
    <w:link w:val="TitleChar"/>
    <w:uiPriority w:val="10"/>
    <w:qFormat/>
    <w:rsid w:val="005C1E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1E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1E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1E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1E77"/>
    <w:pPr>
      <w:spacing w:before="160"/>
      <w:jc w:val="center"/>
    </w:pPr>
    <w:rPr>
      <w:i/>
      <w:iCs/>
      <w:color w:val="404040" w:themeColor="text1" w:themeTint="BF"/>
    </w:rPr>
  </w:style>
  <w:style w:type="character" w:customStyle="1" w:styleId="QuoteChar">
    <w:name w:val="Quote Char"/>
    <w:basedOn w:val="DefaultParagraphFont"/>
    <w:link w:val="Quote"/>
    <w:uiPriority w:val="29"/>
    <w:rsid w:val="005C1E77"/>
    <w:rPr>
      <w:i/>
      <w:iCs/>
      <w:color w:val="404040" w:themeColor="text1" w:themeTint="BF"/>
    </w:rPr>
  </w:style>
  <w:style w:type="paragraph" w:styleId="ListParagraph">
    <w:name w:val="List Paragraph"/>
    <w:basedOn w:val="Normal"/>
    <w:uiPriority w:val="34"/>
    <w:qFormat/>
    <w:rsid w:val="005C1E77"/>
    <w:pPr>
      <w:ind w:left="720"/>
      <w:contextualSpacing/>
    </w:pPr>
  </w:style>
  <w:style w:type="character" w:styleId="IntenseEmphasis">
    <w:name w:val="Intense Emphasis"/>
    <w:basedOn w:val="DefaultParagraphFont"/>
    <w:uiPriority w:val="21"/>
    <w:qFormat/>
    <w:rsid w:val="005C1E77"/>
    <w:rPr>
      <w:i/>
      <w:iCs/>
      <w:color w:val="0F4761" w:themeColor="accent1" w:themeShade="BF"/>
    </w:rPr>
  </w:style>
  <w:style w:type="paragraph" w:styleId="IntenseQuote">
    <w:name w:val="Intense Quote"/>
    <w:basedOn w:val="Normal"/>
    <w:next w:val="Normal"/>
    <w:link w:val="IntenseQuoteChar"/>
    <w:uiPriority w:val="30"/>
    <w:qFormat/>
    <w:rsid w:val="005C1E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1E77"/>
    <w:rPr>
      <w:i/>
      <w:iCs/>
      <w:color w:val="0F4761" w:themeColor="accent1" w:themeShade="BF"/>
    </w:rPr>
  </w:style>
  <w:style w:type="character" w:styleId="IntenseReference">
    <w:name w:val="Intense Reference"/>
    <w:basedOn w:val="DefaultParagraphFont"/>
    <w:uiPriority w:val="32"/>
    <w:qFormat/>
    <w:rsid w:val="005C1E7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607</Words>
  <Characters>3615</Characters>
  <Application>Microsoft Office Word</Application>
  <DocSecurity>0</DocSecurity>
  <Lines>82</Lines>
  <Paragraphs>32</Paragraphs>
  <ScaleCrop>false</ScaleCrop>
  <Company/>
  <LinksUpToDate>false</LinksUpToDate>
  <CharactersWithSpaces>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Tetyana Tymkova (2337100)</dc:creator>
  <cp:keywords/>
  <dc:description/>
  <cp:lastModifiedBy>Tetyana Tymkova (2337100)</cp:lastModifiedBy>
  <cp:revision>3</cp:revision>
  <dcterms:created xsi:type="dcterms:W3CDTF">2026-03-06T16:44:00Z</dcterms:created>
  <dcterms:modified xsi:type="dcterms:W3CDTF">2026-03-06T17:01:00Z</dcterms:modified>
</cp:coreProperties>
</file>