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99339" w14:textId="65732CD4" w:rsidR="006E0C3D" w:rsidRPr="005648D8" w:rsidRDefault="00120904">
      <w:pPr>
        <w:rPr>
          <w:rFonts w:ascii="Calibri" w:hAnsi="Calibri" w:cs="Calibri"/>
        </w:rPr>
      </w:pPr>
      <w:r w:rsidRPr="005648D8">
        <w:rPr>
          <w:rFonts w:ascii="Calibri" w:hAnsi="Calibri" w:cs="Calibri"/>
          <w:u w:val="single"/>
        </w:rPr>
        <w:t>Specialist Employment Law –</w:t>
      </w:r>
      <w:r w:rsidR="00F278D3">
        <w:rPr>
          <w:rFonts w:ascii="Calibri" w:hAnsi="Calibri" w:cs="Calibri"/>
          <w:u w:val="single"/>
        </w:rPr>
        <w:t xml:space="preserve"> Gemma Renwick-Simmonds</w:t>
      </w:r>
      <w:r w:rsidR="006324B5">
        <w:rPr>
          <w:rFonts w:ascii="Calibri" w:hAnsi="Calibri" w:cs="Calibri"/>
        </w:rPr>
        <w:t xml:space="preserve">  </w:t>
      </w:r>
    </w:p>
    <w:p w14:paraId="0305E72D" w14:textId="35A193FF" w:rsidR="00120904" w:rsidRPr="005B7E06" w:rsidRDefault="00120904" w:rsidP="00120904">
      <w:pPr>
        <w:pStyle w:val="Body"/>
        <w:numPr>
          <w:ilvl w:val="1"/>
          <w:numId w:val="1"/>
        </w:numPr>
        <w:spacing w:line="240" w:lineRule="auto"/>
        <w:rPr>
          <w:rFonts w:ascii="Calibri" w:hAnsi="Calibri" w:cs="Calibri"/>
          <w:b/>
          <w:bCs/>
          <w:color w:val="000000" w:themeColor="text1"/>
          <w:lang w:val="en-US"/>
        </w:rPr>
      </w:pPr>
      <w:r w:rsidRPr="005B7E06">
        <w:rPr>
          <w:rFonts w:ascii="Calibri" w:hAnsi="Calibri" w:cs="Calibri"/>
          <w:b/>
          <w:bCs/>
          <w:color w:val="000000" w:themeColor="text1"/>
        </w:rPr>
        <w:t xml:space="preserve">- </w:t>
      </w:r>
      <w:r w:rsidR="00545050" w:rsidRPr="005B7E06">
        <w:rPr>
          <w:rFonts w:ascii="Calibri" w:hAnsi="Calibri" w:cs="Calibri"/>
          <w:b/>
          <w:bCs/>
          <w:color w:val="000000" w:themeColor="text1"/>
          <w:lang w:val="en-US"/>
        </w:rPr>
        <w:t>Email 1</w:t>
      </w:r>
      <w:r w:rsidR="00AC75F0" w:rsidRPr="005B7E06">
        <w:rPr>
          <w:rFonts w:ascii="Calibri" w:hAnsi="Calibri" w:cs="Calibri"/>
          <w:b/>
          <w:bCs/>
          <w:color w:val="000000" w:themeColor="text1"/>
          <w:lang w:val="en-US"/>
        </w:rPr>
        <w:t xml:space="preserve"> </w:t>
      </w:r>
    </w:p>
    <w:p w14:paraId="5A5B95ED" w14:textId="77777777" w:rsidR="0068721C" w:rsidRPr="005B7E06" w:rsidRDefault="0068721C" w:rsidP="0068721C">
      <w:pPr>
        <w:pStyle w:val="Body"/>
        <w:spacing w:line="240" w:lineRule="auto"/>
        <w:rPr>
          <w:rFonts w:ascii="Calibri" w:hAnsi="Calibri" w:cs="Calibri"/>
          <w:lang w:val="en-US"/>
        </w:rPr>
      </w:pPr>
    </w:p>
    <w:p w14:paraId="2EB033AB" w14:textId="557AEEBF" w:rsidR="0068721C" w:rsidRPr="005B7E06" w:rsidRDefault="0068721C" w:rsidP="0068721C">
      <w:pPr>
        <w:pStyle w:val="Body"/>
        <w:spacing w:line="240" w:lineRule="auto"/>
        <w:rPr>
          <w:rFonts w:ascii="Calibri" w:hAnsi="Calibri" w:cs="Calibri"/>
          <w:lang w:val="en-US"/>
        </w:rPr>
      </w:pPr>
      <w:r w:rsidRPr="005B7E06">
        <w:rPr>
          <w:rFonts w:ascii="Calibri" w:hAnsi="Calibri" w:cs="Calibri"/>
          <w:lang w:val="en-US"/>
        </w:rPr>
        <w:t xml:space="preserve">Employment regulation </w:t>
      </w:r>
      <w:r w:rsidR="00080345" w:rsidRPr="005B7E06">
        <w:rPr>
          <w:rFonts w:ascii="Calibri" w:hAnsi="Calibri" w:cs="Calibri"/>
          <w:lang w:val="en-US"/>
        </w:rPr>
        <w:t xml:space="preserve">protects both employees and businesses </w:t>
      </w:r>
      <w:r w:rsidR="006A4B2D" w:rsidRPr="005B7E06">
        <w:rPr>
          <w:rFonts w:ascii="Calibri" w:hAnsi="Calibri" w:cs="Calibri"/>
          <w:lang w:val="en-US"/>
        </w:rPr>
        <w:t>by setting standards in the workplace</w:t>
      </w:r>
      <w:r w:rsidR="00801630" w:rsidRPr="005B7E06">
        <w:rPr>
          <w:rFonts w:ascii="Calibri" w:hAnsi="Calibri" w:cs="Calibri"/>
          <w:lang w:val="en-US"/>
        </w:rPr>
        <w:t xml:space="preserve"> for a fair and safe working environment</w:t>
      </w:r>
      <w:r w:rsidR="0076399F" w:rsidRPr="005B7E06">
        <w:rPr>
          <w:rFonts w:ascii="Calibri" w:hAnsi="Calibri" w:cs="Calibri"/>
          <w:lang w:val="en-US"/>
        </w:rPr>
        <w:t>.</w:t>
      </w:r>
      <w:r w:rsidR="00313871" w:rsidRPr="005B7E06">
        <w:rPr>
          <w:rFonts w:ascii="Calibri" w:hAnsi="Calibri" w:cs="Calibri"/>
          <w:lang w:val="en-US"/>
        </w:rPr>
        <w:t xml:space="preserve"> </w:t>
      </w:r>
      <w:r w:rsidR="0076399F" w:rsidRPr="005B7E06">
        <w:rPr>
          <w:rFonts w:ascii="Calibri" w:hAnsi="Calibri" w:cs="Calibri"/>
          <w:lang w:val="en-US"/>
        </w:rPr>
        <w:t xml:space="preserve">Employment </w:t>
      </w:r>
      <w:r w:rsidR="00281A5E" w:rsidRPr="005B7E06">
        <w:rPr>
          <w:rFonts w:ascii="Calibri" w:hAnsi="Calibri" w:cs="Calibri"/>
          <w:lang w:val="en-US"/>
        </w:rPr>
        <w:t>l</w:t>
      </w:r>
      <w:r w:rsidR="0076399F" w:rsidRPr="005B7E06">
        <w:rPr>
          <w:rFonts w:ascii="Calibri" w:hAnsi="Calibri" w:cs="Calibri"/>
          <w:lang w:val="en-US"/>
        </w:rPr>
        <w:t>aw</w:t>
      </w:r>
      <w:r w:rsidR="00D66B16" w:rsidRPr="005B7E06">
        <w:rPr>
          <w:rFonts w:ascii="Calibri" w:hAnsi="Calibri" w:cs="Calibri"/>
          <w:lang w:val="en-US"/>
        </w:rPr>
        <w:t xml:space="preserve"> </w:t>
      </w:r>
      <w:r w:rsidR="00173340" w:rsidRPr="005B7E06">
        <w:rPr>
          <w:rFonts w:ascii="Calibri" w:hAnsi="Calibri" w:cs="Calibri"/>
          <w:lang w:val="en-US"/>
        </w:rPr>
        <w:t>‘</w:t>
      </w:r>
      <w:r w:rsidR="0076399F" w:rsidRPr="005B7E06">
        <w:rPr>
          <w:rFonts w:ascii="Calibri" w:hAnsi="Calibri" w:cs="Calibri"/>
          <w:lang w:val="en-US"/>
        </w:rPr>
        <w:t xml:space="preserve">regulates </w:t>
      </w:r>
      <w:r w:rsidR="006C1176" w:rsidRPr="005B7E06">
        <w:rPr>
          <w:rFonts w:ascii="Calibri" w:hAnsi="Calibri" w:cs="Calibri"/>
          <w:lang w:val="en-US"/>
        </w:rPr>
        <w:t>the relationship</w:t>
      </w:r>
      <w:r w:rsidR="00D66B16" w:rsidRPr="005B7E06">
        <w:rPr>
          <w:rFonts w:ascii="Calibri" w:hAnsi="Calibri" w:cs="Calibri"/>
          <w:lang w:val="en-US"/>
        </w:rPr>
        <w:t xml:space="preserve"> </w:t>
      </w:r>
      <w:r w:rsidR="006C1176" w:rsidRPr="005B7E06">
        <w:rPr>
          <w:rFonts w:ascii="Calibri" w:hAnsi="Calibri" w:cs="Calibri"/>
          <w:lang w:val="en-US"/>
        </w:rPr>
        <w:t>between</w:t>
      </w:r>
      <w:r w:rsidR="00D66B16" w:rsidRPr="005B7E06">
        <w:rPr>
          <w:rFonts w:ascii="Calibri" w:hAnsi="Calibri" w:cs="Calibri"/>
          <w:lang w:val="en-US"/>
        </w:rPr>
        <w:t xml:space="preserve"> the employer and the employee’ (Daniels, </w:t>
      </w:r>
      <w:r w:rsidR="00F17484" w:rsidRPr="005B7E06">
        <w:rPr>
          <w:rFonts w:ascii="Calibri" w:hAnsi="Calibri" w:cs="Calibri"/>
          <w:lang w:val="en-US"/>
        </w:rPr>
        <w:t>2024)</w:t>
      </w:r>
      <w:r w:rsidR="00FC0E6C" w:rsidRPr="005B7E06">
        <w:rPr>
          <w:rFonts w:ascii="Calibri" w:hAnsi="Calibri" w:cs="Calibri"/>
          <w:lang w:val="en-US"/>
        </w:rPr>
        <w:t xml:space="preserve"> outlining</w:t>
      </w:r>
      <w:r w:rsidR="00454E9D" w:rsidRPr="005B7E06">
        <w:rPr>
          <w:rFonts w:ascii="Calibri" w:hAnsi="Calibri" w:cs="Calibri"/>
          <w:lang w:val="en-US"/>
        </w:rPr>
        <w:t xml:space="preserve"> </w:t>
      </w:r>
      <w:r w:rsidR="00E2625E" w:rsidRPr="005B7E06">
        <w:rPr>
          <w:rFonts w:ascii="Calibri" w:hAnsi="Calibri" w:cs="Calibri"/>
          <w:lang w:val="en-US"/>
        </w:rPr>
        <w:t xml:space="preserve">clear </w:t>
      </w:r>
      <w:r w:rsidR="00454E9D" w:rsidRPr="005B7E06">
        <w:rPr>
          <w:rFonts w:ascii="Calibri" w:hAnsi="Calibri" w:cs="Calibri"/>
          <w:lang w:val="en-US"/>
        </w:rPr>
        <w:t>rules and regulations</w:t>
      </w:r>
      <w:r w:rsidR="00FC0E6C" w:rsidRPr="005B7E06">
        <w:rPr>
          <w:rFonts w:ascii="Calibri" w:hAnsi="Calibri" w:cs="Calibri"/>
          <w:lang w:val="en-US"/>
        </w:rPr>
        <w:t xml:space="preserve"> </w:t>
      </w:r>
      <w:r w:rsidR="00643B3A" w:rsidRPr="005B7E06">
        <w:rPr>
          <w:rFonts w:ascii="Calibri" w:hAnsi="Calibri" w:cs="Calibri"/>
          <w:lang w:val="en-US"/>
        </w:rPr>
        <w:t xml:space="preserve">during employment. </w:t>
      </w:r>
      <w:r w:rsidR="008A5532" w:rsidRPr="005B7E06">
        <w:rPr>
          <w:rFonts w:ascii="Calibri" w:hAnsi="Calibri" w:cs="Calibri"/>
          <w:lang w:val="en-US"/>
        </w:rPr>
        <w:t>Ensuring there is legislation and framework in place</w:t>
      </w:r>
      <w:r w:rsidR="00A617DF" w:rsidRPr="005B7E06">
        <w:rPr>
          <w:rFonts w:ascii="Calibri" w:hAnsi="Calibri" w:cs="Calibri"/>
          <w:lang w:val="en-US"/>
        </w:rPr>
        <w:t xml:space="preserve"> on t</w:t>
      </w:r>
      <w:r w:rsidR="00267FCA" w:rsidRPr="005B7E06">
        <w:rPr>
          <w:rFonts w:ascii="Calibri" w:hAnsi="Calibri" w:cs="Calibri"/>
          <w:lang w:val="en-US"/>
        </w:rPr>
        <w:t xml:space="preserve">opics like </w:t>
      </w:r>
      <w:r w:rsidR="00A617DF" w:rsidRPr="005B7E06">
        <w:rPr>
          <w:rFonts w:ascii="Calibri" w:hAnsi="Calibri" w:cs="Calibri"/>
          <w:lang w:val="en-US"/>
        </w:rPr>
        <w:t xml:space="preserve">dismissal, holiday pay and discrimination </w:t>
      </w:r>
      <w:r w:rsidR="006455D4" w:rsidRPr="005B7E06">
        <w:rPr>
          <w:rFonts w:ascii="Calibri" w:hAnsi="Calibri" w:cs="Calibri"/>
          <w:lang w:val="en-US"/>
        </w:rPr>
        <w:t>ensures worker’s rights are protected and</w:t>
      </w:r>
      <w:r w:rsidR="00161735" w:rsidRPr="005B7E06">
        <w:rPr>
          <w:rFonts w:ascii="Calibri" w:hAnsi="Calibri" w:cs="Calibri"/>
          <w:lang w:val="en-US"/>
        </w:rPr>
        <w:t xml:space="preserve"> </w:t>
      </w:r>
      <w:r w:rsidR="001A3931" w:rsidRPr="005B7E06">
        <w:rPr>
          <w:rFonts w:ascii="Calibri" w:hAnsi="Calibri" w:cs="Calibri"/>
          <w:lang w:val="en-US"/>
        </w:rPr>
        <w:t xml:space="preserve">offers safeguarding to businesses too. </w:t>
      </w:r>
      <w:r w:rsidR="003573AF" w:rsidRPr="005B7E06">
        <w:rPr>
          <w:rFonts w:ascii="Calibri" w:hAnsi="Calibri" w:cs="Calibri"/>
          <w:lang w:val="en-US"/>
        </w:rPr>
        <w:t xml:space="preserve">Employment </w:t>
      </w:r>
      <w:r w:rsidR="00FE24FC" w:rsidRPr="005B7E06">
        <w:rPr>
          <w:rFonts w:ascii="Calibri" w:hAnsi="Calibri" w:cs="Calibri"/>
          <w:lang w:val="en-US"/>
        </w:rPr>
        <w:t>l</w:t>
      </w:r>
      <w:r w:rsidR="003573AF" w:rsidRPr="005B7E06">
        <w:rPr>
          <w:rFonts w:ascii="Calibri" w:hAnsi="Calibri" w:cs="Calibri"/>
          <w:lang w:val="en-US"/>
        </w:rPr>
        <w:t xml:space="preserve">aw is </w:t>
      </w:r>
      <w:r w:rsidR="004630EF" w:rsidRPr="005B7E06">
        <w:rPr>
          <w:rFonts w:ascii="Calibri" w:hAnsi="Calibri" w:cs="Calibri"/>
          <w:lang w:val="en-US"/>
        </w:rPr>
        <w:t xml:space="preserve">a </w:t>
      </w:r>
      <w:r w:rsidR="00FE24FC" w:rsidRPr="005B7E06">
        <w:rPr>
          <w:rFonts w:ascii="Calibri" w:hAnsi="Calibri" w:cs="Calibri"/>
          <w:lang w:val="en-US"/>
        </w:rPr>
        <w:t xml:space="preserve">‘contract’ made between an employee and employer </w:t>
      </w:r>
      <w:r w:rsidR="00C65809" w:rsidRPr="005B7E06">
        <w:rPr>
          <w:rFonts w:ascii="Calibri" w:hAnsi="Calibri" w:cs="Calibri"/>
          <w:lang w:val="en-US"/>
        </w:rPr>
        <w:t>which consists of ‘obligations’ on both parties (Daniels, 2024). I</w:t>
      </w:r>
      <w:r w:rsidR="00267FCA" w:rsidRPr="005B7E06">
        <w:rPr>
          <w:rFonts w:ascii="Calibri" w:hAnsi="Calibri" w:cs="Calibri"/>
          <w:lang w:val="en-US"/>
        </w:rPr>
        <w:t>f</w:t>
      </w:r>
      <w:r w:rsidR="00C65809" w:rsidRPr="005B7E06">
        <w:rPr>
          <w:rFonts w:ascii="Calibri" w:hAnsi="Calibri" w:cs="Calibri"/>
          <w:lang w:val="en-US"/>
        </w:rPr>
        <w:t xml:space="preserve"> these obligations </w:t>
      </w:r>
      <w:r w:rsidR="00267FCA" w:rsidRPr="005B7E06">
        <w:rPr>
          <w:rFonts w:ascii="Calibri" w:hAnsi="Calibri" w:cs="Calibri"/>
          <w:lang w:val="en-US"/>
        </w:rPr>
        <w:t>are</w:t>
      </w:r>
      <w:r w:rsidR="00C65809" w:rsidRPr="005B7E06">
        <w:rPr>
          <w:rFonts w:ascii="Calibri" w:hAnsi="Calibri" w:cs="Calibri"/>
          <w:lang w:val="en-US"/>
        </w:rPr>
        <w:t xml:space="preserve"> breached</w:t>
      </w:r>
      <w:r w:rsidR="00FF1212" w:rsidRPr="005B7E06">
        <w:rPr>
          <w:rFonts w:ascii="Calibri" w:hAnsi="Calibri" w:cs="Calibri"/>
          <w:lang w:val="en-US"/>
        </w:rPr>
        <w:t xml:space="preserve">, there can be a dispute ‘under the law of contract’. </w:t>
      </w:r>
    </w:p>
    <w:p w14:paraId="06011AE0" w14:textId="022657BD" w:rsidR="001616E9" w:rsidRPr="005B7E06" w:rsidRDefault="001616E9" w:rsidP="0068721C">
      <w:pPr>
        <w:pStyle w:val="Body"/>
        <w:spacing w:line="240" w:lineRule="auto"/>
        <w:rPr>
          <w:rFonts w:ascii="Calibri" w:hAnsi="Calibri" w:cs="Calibri"/>
          <w:lang w:val="en-US"/>
        </w:rPr>
      </w:pPr>
    </w:p>
    <w:p w14:paraId="4EEFBCB6" w14:textId="3FBE7161" w:rsidR="00DE4DAD" w:rsidRPr="005B7E06" w:rsidRDefault="00857D8B" w:rsidP="0068721C">
      <w:pPr>
        <w:pStyle w:val="Body"/>
        <w:spacing w:line="240" w:lineRule="auto"/>
        <w:rPr>
          <w:rFonts w:ascii="Calibri" w:hAnsi="Calibri" w:cs="Calibri"/>
          <w:lang w:val="en-US"/>
        </w:rPr>
      </w:pPr>
      <w:r w:rsidRPr="005B7E06">
        <w:rPr>
          <w:rFonts w:ascii="Calibri" w:hAnsi="Calibri" w:cs="Calibri"/>
          <w:lang w:val="en-US"/>
        </w:rPr>
        <w:t xml:space="preserve">Employment law </w:t>
      </w:r>
      <w:r w:rsidR="00317E2E" w:rsidRPr="005B7E06">
        <w:rPr>
          <w:rFonts w:ascii="Calibri" w:hAnsi="Calibri" w:cs="Calibri"/>
          <w:lang w:val="en-US"/>
        </w:rPr>
        <w:t xml:space="preserve">is significant; it </w:t>
      </w:r>
      <w:r w:rsidR="009E6EA9" w:rsidRPr="005B7E06">
        <w:rPr>
          <w:rFonts w:ascii="Calibri" w:hAnsi="Calibri" w:cs="Calibri"/>
          <w:lang w:val="en-US"/>
        </w:rPr>
        <w:t>ensures employees are fairly treated</w:t>
      </w:r>
      <w:r w:rsidR="00445D91" w:rsidRPr="005B7E06">
        <w:rPr>
          <w:rFonts w:ascii="Calibri" w:hAnsi="Calibri" w:cs="Calibri"/>
          <w:lang w:val="en-US"/>
        </w:rPr>
        <w:t>, encouraging a safe and inclusive workplace</w:t>
      </w:r>
      <w:r w:rsidR="00103714" w:rsidRPr="005B7E06">
        <w:rPr>
          <w:rFonts w:ascii="Calibri" w:hAnsi="Calibri" w:cs="Calibri"/>
          <w:lang w:val="en-US"/>
        </w:rPr>
        <w:t xml:space="preserve">. </w:t>
      </w:r>
      <w:r w:rsidR="004D3209" w:rsidRPr="005B7E06">
        <w:rPr>
          <w:rFonts w:ascii="Calibri" w:hAnsi="Calibri" w:cs="Calibri"/>
          <w:lang w:val="en-US"/>
        </w:rPr>
        <w:t>Employment regulation encourages businesses to create inclusive environments</w:t>
      </w:r>
      <w:r w:rsidR="00267FCA" w:rsidRPr="005B7E06">
        <w:rPr>
          <w:rFonts w:ascii="Calibri" w:hAnsi="Calibri" w:cs="Calibri"/>
          <w:lang w:val="en-US"/>
        </w:rPr>
        <w:t xml:space="preserve"> </w:t>
      </w:r>
      <w:r w:rsidR="00E7567A" w:rsidRPr="005B7E06">
        <w:rPr>
          <w:rFonts w:ascii="Calibri" w:hAnsi="Calibri" w:cs="Calibri"/>
          <w:lang w:val="en-US"/>
        </w:rPr>
        <w:t>ensur</w:t>
      </w:r>
      <w:r w:rsidR="00267FCA" w:rsidRPr="005B7E06">
        <w:rPr>
          <w:rFonts w:ascii="Calibri" w:hAnsi="Calibri" w:cs="Calibri"/>
          <w:lang w:val="en-US"/>
        </w:rPr>
        <w:t>ing</w:t>
      </w:r>
      <w:r w:rsidR="00E7567A" w:rsidRPr="005B7E06">
        <w:rPr>
          <w:rFonts w:ascii="Calibri" w:hAnsi="Calibri" w:cs="Calibri"/>
          <w:lang w:val="en-US"/>
        </w:rPr>
        <w:t xml:space="preserve"> minority groups are protected</w:t>
      </w:r>
      <w:r w:rsidR="00690030" w:rsidRPr="005B7E06">
        <w:rPr>
          <w:rFonts w:ascii="Calibri" w:hAnsi="Calibri" w:cs="Calibri"/>
          <w:lang w:val="en-US"/>
        </w:rPr>
        <w:t>.</w:t>
      </w:r>
      <w:r w:rsidR="00C25F43" w:rsidRPr="005B7E06">
        <w:rPr>
          <w:rFonts w:ascii="Calibri" w:hAnsi="Calibri" w:cs="Calibri"/>
          <w:lang w:val="en-US"/>
        </w:rPr>
        <w:t xml:space="preserve"> </w:t>
      </w:r>
      <w:r w:rsidR="007D47DD" w:rsidRPr="005B7E06">
        <w:rPr>
          <w:rFonts w:ascii="Calibri" w:hAnsi="Calibri" w:cs="Calibri"/>
          <w:lang w:val="en-US"/>
        </w:rPr>
        <w:t>Complying with leg</w:t>
      </w:r>
      <w:r w:rsidR="00DC56AD" w:rsidRPr="005B7E06">
        <w:rPr>
          <w:rFonts w:ascii="Calibri" w:hAnsi="Calibri" w:cs="Calibri"/>
          <w:lang w:val="en-US"/>
        </w:rPr>
        <w:t>islation</w:t>
      </w:r>
      <w:r w:rsidR="00FD3E20" w:rsidRPr="005B7E06">
        <w:rPr>
          <w:rFonts w:ascii="Calibri" w:hAnsi="Calibri" w:cs="Calibri"/>
          <w:lang w:val="en-US"/>
        </w:rPr>
        <w:t xml:space="preserve"> ensures fairness for every individual </w:t>
      </w:r>
      <w:r w:rsidR="00126D6A" w:rsidRPr="005B7E06">
        <w:rPr>
          <w:rFonts w:ascii="Calibri" w:hAnsi="Calibri" w:cs="Calibri"/>
          <w:lang w:val="en-US"/>
        </w:rPr>
        <w:t xml:space="preserve">in </w:t>
      </w:r>
      <w:r w:rsidR="00DF22B2" w:rsidRPr="005B7E06">
        <w:rPr>
          <w:rFonts w:ascii="Calibri" w:hAnsi="Calibri" w:cs="Calibri"/>
          <w:lang w:val="en-US"/>
        </w:rPr>
        <w:t xml:space="preserve">processes such as </w:t>
      </w:r>
      <w:r w:rsidR="00126D6A" w:rsidRPr="005B7E06">
        <w:rPr>
          <w:rFonts w:ascii="Calibri" w:hAnsi="Calibri" w:cs="Calibri"/>
          <w:lang w:val="en-US"/>
        </w:rPr>
        <w:t>hiring and dismissal</w:t>
      </w:r>
      <w:r w:rsidR="00E27586" w:rsidRPr="005B7E06">
        <w:rPr>
          <w:rFonts w:ascii="Calibri" w:hAnsi="Calibri" w:cs="Calibri"/>
          <w:lang w:val="en-US"/>
        </w:rPr>
        <w:t>.</w:t>
      </w:r>
    </w:p>
    <w:p w14:paraId="28DE4DC1" w14:textId="77777777" w:rsidR="00DE4DAD" w:rsidRPr="005B7E06" w:rsidRDefault="00DE4DAD" w:rsidP="0068721C">
      <w:pPr>
        <w:pStyle w:val="Body"/>
        <w:spacing w:line="240" w:lineRule="auto"/>
        <w:rPr>
          <w:rFonts w:ascii="Calibri" w:hAnsi="Calibri" w:cs="Calibri"/>
          <w:lang w:val="en-US"/>
        </w:rPr>
      </w:pPr>
    </w:p>
    <w:p w14:paraId="0D23C5CE" w14:textId="0207DC57" w:rsidR="00DE4DAD" w:rsidRPr="005B7E06" w:rsidRDefault="00C6009D" w:rsidP="0068721C">
      <w:pPr>
        <w:pStyle w:val="Body"/>
        <w:spacing w:line="240" w:lineRule="auto"/>
        <w:rPr>
          <w:rFonts w:ascii="Calibri" w:hAnsi="Calibri" w:cs="Calibri"/>
          <w:lang w:val="en-US"/>
        </w:rPr>
      </w:pPr>
      <w:r w:rsidRPr="005B7E06">
        <w:rPr>
          <w:rFonts w:ascii="Calibri" w:hAnsi="Calibri" w:cs="Calibri"/>
          <w:lang w:val="en-US"/>
        </w:rPr>
        <w:t xml:space="preserve">Employment law </w:t>
      </w:r>
      <w:r w:rsidR="003D4D36" w:rsidRPr="005B7E06">
        <w:rPr>
          <w:rFonts w:ascii="Calibri" w:hAnsi="Calibri" w:cs="Calibri"/>
          <w:lang w:val="en-US"/>
        </w:rPr>
        <w:t>en</w:t>
      </w:r>
      <w:r w:rsidR="00433603" w:rsidRPr="005B7E06">
        <w:rPr>
          <w:rFonts w:ascii="Calibri" w:hAnsi="Calibri" w:cs="Calibri"/>
          <w:lang w:val="en-US"/>
        </w:rPr>
        <w:t>sures</w:t>
      </w:r>
      <w:r w:rsidR="003D4D36" w:rsidRPr="005B7E06">
        <w:rPr>
          <w:rFonts w:ascii="Calibri" w:hAnsi="Calibri" w:cs="Calibri"/>
          <w:lang w:val="en-US"/>
        </w:rPr>
        <w:t xml:space="preserve"> businesses create inclusive environments and </w:t>
      </w:r>
      <w:r w:rsidRPr="005B7E06">
        <w:rPr>
          <w:rFonts w:ascii="Calibri" w:hAnsi="Calibri" w:cs="Calibri"/>
          <w:lang w:val="en-US"/>
        </w:rPr>
        <w:t>helps eliminate discrimination</w:t>
      </w:r>
      <w:r w:rsidR="00023E02" w:rsidRPr="005B7E06">
        <w:rPr>
          <w:rFonts w:ascii="Calibri" w:hAnsi="Calibri" w:cs="Calibri"/>
          <w:lang w:val="en-US"/>
        </w:rPr>
        <w:t>. The Equality Act 2010</w:t>
      </w:r>
      <w:r w:rsidR="00C9183B" w:rsidRPr="005B7E06">
        <w:rPr>
          <w:rFonts w:ascii="Calibri" w:hAnsi="Calibri" w:cs="Calibri"/>
          <w:lang w:val="en-US"/>
        </w:rPr>
        <w:t xml:space="preserve"> (G</w:t>
      </w:r>
      <w:r w:rsidR="00632966" w:rsidRPr="005B7E06">
        <w:rPr>
          <w:rFonts w:ascii="Calibri" w:hAnsi="Calibri" w:cs="Calibri"/>
          <w:lang w:val="en-US"/>
        </w:rPr>
        <w:t>OV.UK)</w:t>
      </w:r>
      <w:r w:rsidR="00023E02" w:rsidRPr="005B7E06">
        <w:rPr>
          <w:rFonts w:ascii="Calibri" w:hAnsi="Calibri" w:cs="Calibri"/>
          <w:lang w:val="en-US"/>
        </w:rPr>
        <w:t xml:space="preserve"> legally protects people from discrimination in the </w:t>
      </w:r>
      <w:r w:rsidR="009E32E1" w:rsidRPr="005B7E06">
        <w:rPr>
          <w:rFonts w:ascii="Calibri" w:hAnsi="Calibri" w:cs="Calibri"/>
          <w:lang w:val="en-US"/>
        </w:rPr>
        <w:t>workplace,</w:t>
      </w:r>
      <w:r w:rsidRPr="005B7E06">
        <w:rPr>
          <w:rFonts w:ascii="Calibri" w:hAnsi="Calibri" w:cs="Calibri"/>
          <w:lang w:val="en-US"/>
        </w:rPr>
        <w:t xml:space="preserve"> </w:t>
      </w:r>
      <w:r w:rsidR="00E47B7C" w:rsidRPr="005B7E06">
        <w:rPr>
          <w:rFonts w:ascii="Calibri" w:hAnsi="Calibri" w:cs="Calibri"/>
          <w:lang w:val="en-US"/>
        </w:rPr>
        <w:t>help</w:t>
      </w:r>
      <w:r w:rsidR="00C9183B" w:rsidRPr="005B7E06">
        <w:rPr>
          <w:rFonts w:ascii="Calibri" w:hAnsi="Calibri" w:cs="Calibri"/>
          <w:lang w:val="en-US"/>
        </w:rPr>
        <w:t>ing</w:t>
      </w:r>
      <w:r w:rsidRPr="005B7E06">
        <w:rPr>
          <w:rFonts w:ascii="Calibri" w:hAnsi="Calibri" w:cs="Calibri"/>
          <w:lang w:val="en-US"/>
        </w:rPr>
        <w:t xml:space="preserve"> promote equality</w:t>
      </w:r>
      <w:r w:rsidR="00D77568" w:rsidRPr="005B7E06">
        <w:rPr>
          <w:rFonts w:ascii="Calibri" w:hAnsi="Calibri" w:cs="Calibri"/>
          <w:lang w:val="en-US"/>
        </w:rPr>
        <w:t xml:space="preserve"> and inclusivity</w:t>
      </w:r>
      <w:r w:rsidR="00A41B32" w:rsidRPr="005B7E06">
        <w:rPr>
          <w:rFonts w:ascii="Calibri" w:hAnsi="Calibri" w:cs="Calibri"/>
          <w:lang w:val="en-US"/>
        </w:rPr>
        <w:t>.</w:t>
      </w:r>
      <w:r w:rsidR="00E47B7C" w:rsidRPr="005B7E06">
        <w:rPr>
          <w:rFonts w:ascii="Calibri" w:hAnsi="Calibri" w:cs="Calibri"/>
          <w:lang w:val="en-US"/>
        </w:rPr>
        <w:t xml:space="preserve"> </w:t>
      </w:r>
      <w:r w:rsidR="00FC55C8" w:rsidRPr="005B7E06">
        <w:rPr>
          <w:rFonts w:ascii="Calibri" w:hAnsi="Calibri" w:cs="Calibri"/>
          <w:lang w:val="en-US"/>
        </w:rPr>
        <w:t xml:space="preserve">The Act </w:t>
      </w:r>
      <w:r w:rsidR="00C40A42" w:rsidRPr="005B7E06">
        <w:rPr>
          <w:rFonts w:ascii="Calibri" w:hAnsi="Calibri" w:cs="Calibri"/>
          <w:lang w:val="en-US"/>
        </w:rPr>
        <w:t xml:space="preserve">makes it illegal to discriminate based on 9 protected characteristics </w:t>
      </w:r>
      <w:r w:rsidR="00646FFE" w:rsidRPr="005B7E06">
        <w:rPr>
          <w:rFonts w:ascii="Calibri" w:hAnsi="Calibri" w:cs="Calibri"/>
          <w:lang w:val="en-US"/>
        </w:rPr>
        <w:t xml:space="preserve">such as age, disability and gender reassignment. </w:t>
      </w:r>
      <w:r w:rsidR="005F0569" w:rsidRPr="005B7E06">
        <w:rPr>
          <w:rFonts w:ascii="Calibri" w:hAnsi="Calibri" w:cs="Calibri"/>
          <w:lang w:val="en-US"/>
        </w:rPr>
        <w:t xml:space="preserve"> </w:t>
      </w:r>
    </w:p>
    <w:p w14:paraId="7D072C24" w14:textId="77777777" w:rsidR="0004036C" w:rsidRPr="005B7E06" w:rsidRDefault="0004036C" w:rsidP="0068721C">
      <w:pPr>
        <w:pStyle w:val="Body"/>
        <w:spacing w:line="240" w:lineRule="auto"/>
        <w:rPr>
          <w:rFonts w:ascii="Calibri" w:hAnsi="Calibri" w:cs="Calibri"/>
          <w:lang w:val="en-US"/>
        </w:rPr>
      </w:pPr>
    </w:p>
    <w:p w14:paraId="767FF1DD" w14:textId="19C62515" w:rsidR="0004036C" w:rsidRPr="005B7E06" w:rsidRDefault="0051028D" w:rsidP="0068721C">
      <w:pPr>
        <w:pStyle w:val="Body"/>
        <w:spacing w:line="240" w:lineRule="auto"/>
        <w:rPr>
          <w:rFonts w:ascii="Calibri" w:hAnsi="Calibri" w:cs="Calibri"/>
          <w:lang w:val="en-US"/>
        </w:rPr>
      </w:pPr>
      <w:r w:rsidRPr="005B7E06">
        <w:rPr>
          <w:rFonts w:ascii="Calibri" w:hAnsi="Calibri" w:cs="Calibri"/>
          <w:lang w:val="en-US"/>
        </w:rPr>
        <w:t xml:space="preserve">Another piece of vital legislation is </w:t>
      </w:r>
      <w:r w:rsidR="0004036C" w:rsidRPr="005B7E06">
        <w:rPr>
          <w:rFonts w:ascii="Calibri" w:hAnsi="Calibri" w:cs="Calibri"/>
          <w:lang w:val="en-US"/>
        </w:rPr>
        <w:t>The Health and Safety at Work Act 1974</w:t>
      </w:r>
      <w:r w:rsidR="006238CD" w:rsidRPr="005B7E06">
        <w:rPr>
          <w:rFonts w:ascii="Calibri" w:hAnsi="Calibri" w:cs="Calibri"/>
          <w:lang w:val="en-US"/>
        </w:rPr>
        <w:t xml:space="preserve"> (HSE.GOV)</w:t>
      </w:r>
      <w:r w:rsidR="0004036C" w:rsidRPr="005B7E06">
        <w:rPr>
          <w:rFonts w:ascii="Calibri" w:hAnsi="Calibri" w:cs="Calibri"/>
          <w:lang w:val="en-US"/>
        </w:rPr>
        <w:t xml:space="preserve"> </w:t>
      </w:r>
      <w:r w:rsidRPr="005B7E06">
        <w:rPr>
          <w:rFonts w:ascii="Calibri" w:hAnsi="Calibri" w:cs="Calibri"/>
          <w:lang w:val="en-US"/>
        </w:rPr>
        <w:t xml:space="preserve">which </w:t>
      </w:r>
      <w:r w:rsidR="002A6D5C" w:rsidRPr="005B7E06">
        <w:rPr>
          <w:rFonts w:ascii="Calibri" w:hAnsi="Calibri" w:cs="Calibri"/>
          <w:lang w:val="en-US"/>
        </w:rPr>
        <w:t>covers health and safety in the workplace. This Act outlines the responsibilities of both employee</w:t>
      </w:r>
      <w:r w:rsidR="00267FCA" w:rsidRPr="005B7E06">
        <w:rPr>
          <w:rFonts w:ascii="Calibri" w:hAnsi="Calibri" w:cs="Calibri"/>
          <w:lang w:val="en-US"/>
        </w:rPr>
        <w:t>s</w:t>
      </w:r>
      <w:r w:rsidR="002A6D5C" w:rsidRPr="005B7E06">
        <w:rPr>
          <w:rFonts w:ascii="Calibri" w:hAnsi="Calibri" w:cs="Calibri"/>
          <w:lang w:val="en-US"/>
        </w:rPr>
        <w:t xml:space="preserve"> and employer</w:t>
      </w:r>
      <w:r w:rsidR="00267FCA" w:rsidRPr="005B7E06">
        <w:rPr>
          <w:rFonts w:ascii="Calibri" w:hAnsi="Calibri" w:cs="Calibri"/>
          <w:lang w:val="en-US"/>
        </w:rPr>
        <w:t>s</w:t>
      </w:r>
      <w:r w:rsidR="002A6D5C" w:rsidRPr="005B7E06">
        <w:rPr>
          <w:rFonts w:ascii="Calibri" w:hAnsi="Calibri" w:cs="Calibri"/>
          <w:lang w:val="en-US"/>
        </w:rPr>
        <w:t xml:space="preserve"> </w:t>
      </w:r>
      <w:r w:rsidR="00363FA1" w:rsidRPr="005B7E06">
        <w:rPr>
          <w:rFonts w:ascii="Calibri" w:hAnsi="Calibri" w:cs="Calibri"/>
          <w:lang w:val="en-US"/>
        </w:rPr>
        <w:t>to ensure a safe working environment for all. If organisations do not comply with regulations, this may result in legal action against them by employees</w:t>
      </w:r>
      <w:r w:rsidR="00283CAF" w:rsidRPr="005B7E06">
        <w:rPr>
          <w:rFonts w:ascii="Calibri" w:hAnsi="Calibri" w:cs="Calibri"/>
          <w:lang w:val="en-US"/>
        </w:rPr>
        <w:t xml:space="preserve"> who have been hurt or injured at work. </w:t>
      </w:r>
      <w:r w:rsidR="0004036C" w:rsidRPr="005B7E06">
        <w:rPr>
          <w:rFonts w:ascii="Calibri" w:hAnsi="Calibri" w:cs="Calibri"/>
          <w:lang w:val="en-US"/>
        </w:rPr>
        <w:t xml:space="preserve"> </w:t>
      </w:r>
    </w:p>
    <w:p w14:paraId="200B4DAE" w14:textId="77777777" w:rsidR="00690030" w:rsidRPr="005B7E06" w:rsidRDefault="00690030" w:rsidP="0068721C">
      <w:pPr>
        <w:pStyle w:val="Body"/>
        <w:spacing w:line="240" w:lineRule="auto"/>
        <w:rPr>
          <w:rFonts w:ascii="Calibri" w:hAnsi="Calibri" w:cs="Calibri"/>
          <w:lang w:val="en-US"/>
        </w:rPr>
      </w:pPr>
    </w:p>
    <w:p w14:paraId="0BA23CC3" w14:textId="240CCC81" w:rsidR="00BD17ED" w:rsidRPr="005B7E06" w:rsidRDefault="00690030" w:rsidP="0068721C">
      <w:pPr>
        <w:pStyle w:val="Body"/>
        <w:spacing w:line="240" w:lineRule="auto"/>
        <w:rPr>
          <w:rFonts w:ascii="Calibri" w:hAnsi="Calibri" w:cs="Calibri"/>
          <w:lang w:val="en-US"/>
        </w:rPr>
      </w:pPr>
      <w:r w:rsidRPr="005B7E06">
        <w:rPr>
          <w:rFonts w:ascii="Calibri" w:hAnsi="Calibri" w:cs="Calibri"/>
          <w:lang w:val="en-US"/>
        </w:rPr>
        <w:t xml:space="preserve">There are drawbacks of employment </w:t>
      </w:r>
      <w:r w:rsidR="00857FBD" w:rsidRPr="005B7E06">
        <w:rPr>
          <w:rFonts w:ascii="Calibri" w:hAnsi="Calibri" w:cs="Calibri"/>
          <w:lang w:val="en-US"/>
        </w:rPr>
        <w:t>regulation</w:t>
      </w:r>
      <w:r w:rsidR="00FC4A61" w:rsidRPr="005B7E06">
        <w:rPr>
          <w:rFonts w:ascii="Calibri" w:hAnsi="Calibri" w:cs="Calibri"/>
          <w:lang w:val="en-US"/>
        </w:rPr>
        <w:t>;</w:t>
      </w:r>
      <w:r w:rsidR="00011117" w:rsidRPr="005B7E06">
        <w:rPr>
          <w:rFonts w:ascii="Calibri" w:hAnsi="Calibri" w:cs="Calibri"/>
          <w:lang w:val="en-US"/>
        </w:rPr>
        <w:t xml:space="preserve"> it can have</w:t>
      </w:r>
      <w:r w:rsidR="00B62F3D" w:rsidRPr="005B7E06">
        <w:rPr>
          <w:rFonts w:ascii="Calibri" w:hAnsi="Calibri" w:cs="Calibri"/>
          <w:lang w:val="en-US"/>
        </w:rPr>
        <w:t xml:space="preserve"> </w:t>
      </w:r>
      <w:r w:rsidR="00011117" w:rsidRPr="005B7E06">
        <w:rPr>
          <w:rFonts w:ascii="Calibri" w:hAnsi="Calibri" w:cs="Calibri"/>
          <w:lang w:val="en-US"/>
        </w:rPr>
        <w:t xml:space="preserve">unintended consequences. </w:t>
      </w:r>
      <w:r w:rsidR="00E21BA7" w:rsidRPr="005B7E06">
        <w:rPr>
          <w:rFonts w:ascii="Calibri" w:hAnsi="Calibri" w:cs="Calibri"/>
          <w:lang w:val="en-US"/>
        </w:rPr>
        <w:t>For example, it can result in a reduction in employment opportunities for minority groups</w:t>
      </w:r>
      <w:r w:rsidR="001148E8" w:rsidRPr="005B7E06">
        <w:rPr>
          <w:rFonts w:ascii="Calibri" w:hAnsi="Calibri" w:cs="Calibri"/>
          <w:lang w:val="en-US"/>
        </w:rPr>
        <w:t xml:space="preserve">, such </w:t>
      </w:r>
      <w:r w:rsidR="00FC4A61" w:rsidRPr="005B7E06">
        <w:rPr>
          <w:rFonts w:ascii="Calibri" w:hAnsi="Calibri" w:cs="Calibri"/>
          <w:lang w:val="en-US"/>
        </w:rPr>
        <w:t>as</w:t>
      </w:r>
      <w:r w:rsidR="004E484C" w:rsidRPr="005B7E06">
        <w:rPr>
          <w:rFonts w:ascii="Calibri" w:hAnsi="Calibri" w:cs="Calibri"/>
          <w:lang w:val="en-US"/>
        </w:rPr>
        <w:t xml:space="preserve"> business</w:t>
      </w:r>
      <w:r w:rsidR="00FC4A61" w:rsidRPr="005B7E06">
        <w:rPr>
          <w:rFonts w:ascii="Calibri" w:hAnsi="Calibri" w:cs="Calibri"/>
          <w:lang w:val="en-US"/>
        </w:rPr>
        <w:t>’</w:t>
      </w:r>
      <w:r w:rsidR="004E484C" w:rsidRPr="005B7E06">
        <w:rPr>
          <w:rFonts w:ascii="Calibri" w:hAnsi="Calibri" w:cs="Calibri"/>
          <w:lang w:val="en-US"/>
        </w:rPr>
        <w:t xml:space="preserve"> </w:t>
      </w:r>
      <w:r w:rsidR="001148E8" w:rsidRPr="005B7E06">
        <w:rPr>
          <w:rFonts w:ascii="Calibri" w:hAnsi="Calibri" w:cs="Calibri"/>
          <w:lang w:val="en-US"/>
        </w:rPr>
        <w:t xml:space="preserve">deciding not to employ women to </w:t>
      </w:r>
      <w:r w:rsidR="005D0A5F" w:rsidRPr="005B7E06">
        <w:rPr>
          <w:rFonts w:ascii="Calibri" w:hAnsi="Calibri" w:cs="Calibri"/>
          <w:lang w:val="en-US"/>
        </w:rPr>
        <w:t xml:space="preserve">try to </w:t>
      </w:r>
      <w:r w:rsidR="001148E8" w:rsidRPr="005B7E06">
        <w:rPr>
          <w:rFonts w:ascii="Calibri" w:hAnsi="Calibri" w:cs="Calibri"/>
          <w:lang w:val="en-US"/>
        </w:rPr>
        <w:t xml:space="preserve">protect </w:t>
      </w:r>
      <w:r w:rsidR="005D0A5F" w:rsidRPr="005B7E06">
        <w:rPr>
          <w:rFonts w:ascii="Calibri" w:hAnsi="Calibri" w:cs="Calibri"/>
          <w:lang w:val="en-US"/>
        </w:rPr>
        <w:t>the</w:t>
      </w:r>
      <w:r w:rsidR="006A42DA" w:rsidRPr="005B7E06">
        <w:rPr>
          <w:rFonts w:ascii="Calibri" w:hAnsi="Calibri" w:cs="Calibri"/>
          <w:lang w:val="en-US"/>
        </w:rPr>
        <w:t>mselves</w:t>
      </w:r>
      <w:r w:rsidR="005D0A5F" w:rsidRPr="005B7E06">
        <w:rPr>
          <w:rFonts w:ascii="Calibri" w:hAnsi="Calibri" w:cs="Calibri"/>
          <w:lang w:val="en-US"/>
        </w:rPr>
        <w:t xml:space="preserve"> from sexual harassment </w:t>
      </w:r>
      <w:r w:rsidR="00667DF3" w:rsidRPr="005B7E06">
        <w:rPr>
          <w:rFonts w:ascii="Calibri" w:hAnsi="Calibri" w:cs="Calibri"/>
          <w:lang w:val="en-US"/>
        </w:rPr>
        <w:t xml:space="preserve">claims. </w:t>
      </w:r>
      <w:r w:rsidR="00506FCC" w:rsidRPr="005B7E06">
        <w:rPr>
          <w:rFonts w:ascii="Calibri" w:hAnsi="Calibri" w:cs="Calibri"/>
          <w:lang w:val="en-US"/>
        </w:rPr>
        <w:t xml:space="preserve">Employment legislation </w:t>
      </w:r>
      <w:r w:rsidR="009B201E" w:rsidRPr="005B7E06">
        <w:rPr>
          <w:rFonts w:ascii="Calibri" w:hAnsi="Calibri" w:cs="Calibri"/>
          <w:lang w:val="en-US"/>
        </w:rPr>
        <w:t xml:space="preserve">very complex and the enforcement of some laws, such as </w:t>
      </w:r>
      <w:r w:rsidR="00693AD4" w:rsidRPr="005B7E06">
        <w:rPr>
          <w:rFonts w:ascii="Calibri" w:hAnsi="Calibri" w:cs="Calibri"/>
          <w:lang w:val="en-US"/>
        </w:rPr>
        <w:t xml:space="preserve">flexible working </w:t>
      </w:r>
      <w:r w:rsidR="00FC1CA7" w:rsidRPr="005B7E06">
        <w:rPr>
          <w:rFonts w:ascii="Calibri" w:hAnsi="Calibri" w:cs="Calibri"/>
          <w:lang w:val="en-US"/>
        </w:rPr>
        <w:t>requests,</w:t>
      </w:r>
      <w:r w:rsidR="00693AD4" w:rsidRPr="005B7E06">
        <w:rPr>
          <w:rFonts w:ascii="Calibri" w:hAnsi="Calibri" w:cs="Calibri"/>
          <w:lang w:val="en-US"/>
        </w:rPr>
        <w:t xml:space="preserve"> can be challenging for businesses to accommodate. </w:t>
      </w:r>
    </w:p>
    <w:p w14:paraId="00AD9AB6" w14:textId="08192B34" w:rsidR="00693AD4" w:rsidRPr="005B7E06" w:rsidRDefault="00693AD4" w:rsidP="0068721C">
      <w:pPr>
        <w:pStyle w:val="Body"/>
        <w:spacing w:line="240" w:lineRule="auto"/>
        <w:rPr>
          <w:rFonts w:ascii="Calibri" w:hAnsi="Calibri" w:cs="Calibri"/>
          <w:lang w:val="en-US"/>
        </w:rPr>
      </w:pPr>
    </w:p>
    <w:p w14:paraId="42A00526" w14:textId="6BC462CD" w:rsidR="00DE4DAD" w:rsidRPr="005B7E06" w:rsidRDefault="00693AD4" w:rsidP="00DE4DAD">
      <w:pPr>
        <w:pStyle w:val="Body"/>
        <w:spacing w:line="240" w:lineRule="auto"/>
        <w:rPr>
          <w:rFonts w:ascii="Calibri" w:hAnsi="Calibri" w:cs="Calibri"/>
          <w:lang w:val="en-US"/>
        </w:rPr>
      </w:pPr>
      <w:r w:rsidRPr="005B7E06">
        <w:rPr>
          <w:rFonts w:ascii="Calibri" w:hAnsi="Calibri" w:cs="Calibri"/>
          <w:lang w:val="en-US"/>
        </w:rPr>
        <w:t xml:space="preserve">Employment law can is challenging and </w:t>
      </w:r>
      <w:r w:rsidR="00FC1CA7" w:rsidRPr="005B7E06">
        <w:rPr>
          <w:rFonts w:ascii="Calibri" w:hAnsi="Calibri" w:cs="Calibri"/>
          <w:lang w:val="en-US"/>
        </w:rPr>
        <w:t>complex,</w:t>
      </w:r>
      <w:r w:rsidRPr="005B7E06">
        <w:rPr>
          <w:rFonts w:ascii="Calibri" w:hAnsi="Calibri" w:cs="Calibri"/>
          <w:lang w:val="en-US"/>
        </w:rPr>
        <w:t xml:space="preserve"> however</w:t>
      </w:r>
      <w:r w:rsidR="00017315" w:rsidRPr="005B7E06">
        <w:rPr>
          <w:rFonts w:ascii="Calibri" w:hAnsi="Calibri" w:cs="Calibri"/>
          <w:lang w:val="en-US"/>
        </w:rPr>
        <w:t xml:space="preserve"> it is vital for</w:t>
      </w:r>
      <w:r w:rsidR="00D575C3" w:rsidRPr="005B7E06">
        <w:rPr>
          <w:rFonts w:ascii="Calibri" w:hAnsi="Calibri" w:cs="Calibri"/>
          <w:lang w:val="en-US"/>
        </w:rPr>
        <w:t xml:space="preserve"> ensuring a healthy employee</w:t>
      </w:r>
      <w:r w:rsidR="0042167B" w:rsidRPr="005B7E06">
        <w:rPr>
          <w:rFonts w:ascii="Calibri" w:hAnsi="Calibri" w:cs="Calibri"/>
          <w:lang w:val="en-US"/>
        </w:rPr>
        <w:t>/</w:t>
      </w:r>
      <w:r w:rsidR="00D575C3" w:rsidRPr="005B7E06">
        <w:rPr>
          <w:rFonts w:ascii="Calibri" w:hAnsi="Calibri" w:cs="Calibri"/>
          <w:lang w:val="en-US"/>
        </w:rPr>
        <w:t xml:space="preserve">employer relationship. </w:t>
      </w:r>
      <w:r w:rsidR="00DE4DAD" w:rsidRPr="005B7E06">
        <w:rPr>
          <w:rFonts w:ascii="Calibri" w:hAnsi="Calibri" w:cs="Calibri"/>
          <w:lang w:val="en-US"/>
        </w:rPr>
        <w:t>Without legal restrictions, some employers could take advantage of employees, exploiting their power unreasonably. Having employment regulation encourages people to work in the UK – people feel safe when they know there</w:t>
      </w:r>
      <w:r w:rsidR="00D61BC8" w:rsidRPr="005B7E06">
        <w:rPr>
          <w:rFonts w:ascii="Calibri" w:hAnsi="Calibri" w:cs="Calibri"/>
          <w:lang w:val="en-US"/>
        </w:rPr>
        <w:t>’s</w:t>
      </w:r>
      <w:r w:rsidR="00DE4DAD" w:rsidRPr="005B7E06">
        <w:rPr>
          <w:rFonts w:ascii="Calibri" w:hAnsi="Calibri" w:cs="Calibri"/>
          <w:lang w:val="en-US"/>
        </w:rPr>
        <w:t xml:space="preserve"> legislation in place to protect their rights. </w:t>
      </w:r>
    </w:p>
    <w:p w14:paraId="78990C21" w14:textId="41AAF421" w:rsidR="00120904" w:rsidRPr="005B7E06" w:rsidRDefault="00120904" w:rsidP="00120904">
      <w:pPr>
        <w:pStyle w:val="Body"/>
        <w:spacing w:line="240" w:lineRule="auto"/>
        <w:rPr>
          <w:rFonts w:ascii="Calibri" w:eastAsia="Trebuchet MS" w:hAnsi="Calibri" w:cs="Calibri"/>
        </w:rPr>
      </w:pPr>
    </w:p>
    <w:p w14:paraId="35E79D7F" w14:textId="77777777" w:rsidR="00120904" w:rsidRPr="005B7E06" w:rsidRDefault="00120904" w:rsidP="00120904">
      <w:pPr>
        <w:pStyle w:val="Body"/>
        <w:spacing w:line="240" w:lineRule="auto"/>
        <w:rPr>
          <w:rFonts w:ascii="Calibri" w:eastAsia="Trebuchet MS" w:hAnsi="Calibri" w:cs="Calibri"/>
          <w:b/>
          <w:bCs/>
          <w:color w:val="FF0000"/>
        </w:rPr>
      </w:pPr>
    </w:p>
    <w:p w14:paraId="25802F8A" w14:textId="1D970577" w:rsidR="00120904" w:rsidRPr="005B7E06" w:rsidRDefault="003E4A89" w:rsidP="00E545A0">
      <w:pPr>
        <w:pStyle w:val="Body"/>
        <w:numPr>
          <w:ilvl w:val="1"/>
          <w:numId w:val="1"/>
        </w:numPr>
        <w:spacing w:line="240" w:lineRule="auto"/>
        <w:rPr>
          <w:rFonts w:ascii="Calibri" w:hAnsi="Calibri" w:cs="Calibri"/>
          <w:b/>
          <w:bCs/>
          <w:color w:val="auto"/>
          <w:lang w:val="en-US"/>
        </w:rPr>
      </w:pPr>
      <w:r w:rsidRPr="005B7E06">
        <w:rPr>
          <w:rFonts w:ascii="Calibri" w:eastAsia="Trebuchet MS" w:hAnsi="Calibri" w:cs="Calibri"/>
          <w:b/>
          <w:bCs/>
          <w:color w:val="auto"/>
        </w:rPr>
        <w:t xml:space="preserve">- </w:t>
      </w:r>
      <w:r w:rsidR="00545050" w:rsidRPr="005B7E06">
        <w:rPr>
          <w:rFonts w:ascii="Calibri" w:hAnsi="Calibri" w:cs="Calibri"/>
          <w:b/>
          <w:bCs/>
          <w:color w:val="auto"/>
          <w:lang w:val="en-US"/>
        </w:rPr>
        <w:t>Email 2</w:t>
      </w:r>
    </w:p>
    <w:p w14:paraId="2B135935" w14:textId="77777777" w:rsidR="00E545A0" w:rsidRPr="005B7E06" w:rsidRDefault="00E545A0" w:rsidP="00E545A0">
      <w:pPr>
        <w:pStyle w:val="Body"/>
        <w:spacing w:line="240" w:lineRule="auto"/>
        <w:rPr>
          <w:rFonts w:ascii="Calibri" w:hAnsi="Calibri" w:cs="Calibri"/>
          <w:lang w:val="en-US"/>
        </w:rPr>
      </w:pPr>
    </w:p>
    <w:p w14:paraId="10600946" w14:textId="49E2C39C" w:rsidR="009E57B0" w:rsidRPr="005B7E06" w:rsidRDefault="00512697" w:rsidP="00296A55">
      <w:pPr>
        <w:pStyle w:val="Body"/>
        <w:spacing w:line="240" w:lineRule="auto"/>
        <w:rPr>
          <w:rFonts w:ascii="Calibri" w:hAnsi="Calibri" w:cs="Calibri"/>
          <w:lang w:val="en-US"/>
        </w:rPr>
      </w:pPr>
      <w:r w:rsidRPr="005B7E06">
        <w:rPr>
          <w:rFonts w:ascii="Calibri" w:hAnsi="Calibri" w:cs="Calibri"/>
          <w:lang w:val="en-US"/>
        </w:rPr>
        <w:t>When the</w:t>
      </w:r>
      <w:r w:rsidR="007307AD" w:rsidRPr="005B7E06">
        <w:rPr>
          <w:rFonts w:ascii="Calibri" w:hAnsi="Calibri" w:cs="Calibri"/>
          <w:lang w:val="en-US"/>
        </w:rPr>
        <w:t xml:space="preserve"> UK voted to leave the European Union in 2016</w:t>
      </w:r>
      <w:r w:rsidR="008C5F1E" w:rsidRPr="005B7E06">
        <w:rPr>
          <w:rFonts w:ascii="Calibri" w:hAnsi="Calibri" w:cs="Calibri"/>
          <w:lang w:val="en-US"/>
        </w:rPr>
        <w:t xml:space="preserve">, </w:t>
      </w:r>
      <w:r w:rsidRPr="005B7E06">
        <w:rPr>
          <w:rFonts w:ascii="Calibri" w:hAnsi="Calibri" w:cs="Calibri"/>
          <w:lang w:val="en-US"/>
        </w:rPr>
        <w:t>with effec</w:t>
      </w:r>
      <w:r w:rsidR="00DF5D92" w:rsidRPr="005B7E06">
        <w:rPr>
          <w:rFonts w:ascii="Calibri" w:hAnsi="Calibri" w:cs="Calibri"/>
          <w:lang w:val="en-US"/>
        </w:rPr>
        <w:t>t from 31</w:t>
      </w:r>
      <w:r w:rsidR="00DF5D92" w:rsidRPr="005B7E06">
        <w:rPr>
          <w:rFonts w:ascii="Calibri" w:hAnsi="Calibri" w:cs="Calibri"/>
          <w:vertAlign w:val="superscript"/>
          <w:lang w:val="en-US"/>
        </w:rPr>
        <w:t>st</w:t>
      </w:r>
      <w:r w:rsidR="00DF5D92" w:rsidRPr="005B7E06">
        <w:rPr>
          <w:rFonts w:ascii="Calibri" w:hAnsi="Calibri" w:cs="Calibri"/>
          <w:lang w:val="en-US"/>
        </w:rPr>
        <w:t xml:space="preserve"> December 2020</w:t>
      </w:r>
      <w:r w:rsidR="001636CE" w:rsidRPr="005B7E06">
        <w:rPr>
          <w:rFonts w:ascii="Calibri" w:hAnsi="Calibri" w:cs="Calibri"/>
          <w:lang w:val="en-US"/>
        </w:rPr>
        <w:t>,</w:t>
      </w:r>
      <w:r w:rsidR="00DE2A7D" w:rsidRPr="005B7E06">
        <w:rPr>
          <w:rFonts w:ascii="Calibri" w:hAnsi="Calibri" w:cs="Calibri"/>
          <w:lang w:val="en-US"/>
        </w:rPr>
        <w:t xml:space="preserve"> the UK government </w:t>
      </w:r>
      <w:r w:rsidR="00FE07C1" w:rsidRPr="005B7E06">
        <w:rPr>
          <w:rFonts w:ascii="Calibri" w:hAnsi="Calibri" w:cs="Calibri"/>
          <w:lang w:val="en-US"/>
        </w:rPr>
        <w:t>‘</w:t>
      </w:r>
      <w:r w:rsidR="00DE2A7D" w:rsidRPr="005B7E06">
        <w:rPr>
          <w:rFonts w:ascii="Calibri" w:hAnsi="Calibri" w:cs="Calibri"/>
          <w:lang w:val="en-US"/>
        </w:rPr>
        <w:t>gained power to change, or override, existing EU Law</w:t>
      </w:r>
      <w:r w:rsidR="00FE07C1" w:rsidRPr="005B7E06">
        <w:rPr>
          <w:rFonts w:ascii="Calibri" w:hAnsi="Calibri" w:cs="Calibri"/>
          <w:lang w:val="en-US"/>
        </w:rPr>
        <w:t>’</w:t>
      </w:r>
      <w:r w:rsidR="00DE2A7D" w:rsidRPr="005B7E06">
        <w:rPr>
          <w:rFonts w:ascii="Calibri" w:hAnsi="Calibri" w:cs="Calibri"/>
          <w:lang w:val="en-US"/>
        </w:rPr>
        <w:t xml:space="preserve"> (CIPD, </w:t>
      </w:r>
      <w:r w:rsidR="00CB127B" w:rsidRPr="005B7E06">
        <w:rPr>
          <w:rFonts w:ascii="Calibri" w:hAnsi="Calibri" w:cs="Calibri"/>
          <w:lang w:val="en-US"/>
        </w:rPr>
        <w:t xml:space="preserve">2024). </w:t>
      </w:r>
      <w:r w:rsidR="00B61E62" w:rsidRPr="005B7E06">
        <w:rPr>
          <w:rFonts w:ascii="Calibri" w:hAnsi="Calibri" w:cs="Calibri"/>
          <w:lang w:val="en-US"/>
        </w:rPr>
        <w:t xml:space="preserve">Before the UK left the </w:t>
      </w:r>
      <w:r w:rsidR="00471823" w:rsidRPr="005B7E06">
        <w:rPr>
          <w:rFonts w:ascii="Calibri" w:hAnsi="Calibri" w:cs="Calibri"/>
          <w:lang w:val="en-US"/>
        </w:rPr>
        <w:t>EU</w:t>
      </w:r>
      <w:r w:rsidR="00B61E62" w:rsidRPr="005B7E06">
        <w:rPr>
          <w:rFonts w:ascii="Calibri" w:hAnsi="Calibri" w:cs="Calibri"/>
          <w:lang w:val="en-US"/>
        </w:rPr>
        <w:t xml:space="preserve"> in 2020, </w:t>
      </w:r>
      <w:r w:rsidR="00C72548" w:rsidRPr="005B7E06">
        <w:rPr>
          <w:rFonts w:ascii="Calibri" w:hAnsi="Calibri" w:cs="Calibri"/>
          <w:lang w:val="en-US"/>
        </w:rPr>
        <w:t xml:space="preserve">the European Court of Justice (ECJ) had supreme status </w:t>
      </w:r>
      <w:r w:rsidR="00BF3C2A" w:rsidRPr="005B7E06">
        <w:rPr>
          <w:rFonts w:ascii="Calibri" w:hAnsi="Calibri" w:cs="Calibri"/>
          <w:lang w:val="en-US"/>
        </w:rPr>
        <w:t>and could overrule the UK’s Supreme Court (UKSC) on questions of European Law</w:t>
      </w:r>
      <w:r w:rsidR="00813AFE" w:rsidRPr="005B7E06">
        <w:rPr>
          <w:rFonts w:ascii="Calibri" w:hAnsi="Calibri" w:cs="Calibri"/>
          <w:lang w:val="en-US"/>
        </w:rPr>
        <w:t xml:space="preserve"> and the UK courts had to follow </w:t>
      </w:r>
      <w:r w:rsidR="003F51C1" w:rsidRPr="005B7E06">
        <w:rPr>
          <w:rFonts w:ascii="Calibri" w:hAnsi="Calibri" w:cs="Calibri"/>
          <w:lang w:val="en-US"/>
        </w:rPr>
        <w:t>its rules on ‘points of principles’ when deciding cases in the UK</w:t>
      </w:r>
      <w:r w:rsidR="000F2F8A" w:rsidRPr="005B7E06">
        <w:rPr>
          <w:rFonts w:ascii="Calibri" w:hAnsi="Calibri" w:cs="Calibri"/>
          <w:lang w:val="en-US"/>
        </w:rPr>
        <w:t xml:space="preserve"> (CIPD, 2024). </w:t>
      </w:r>
      <w:r w:rsidR="00F70E50" w:rsidRPr="005B7E06">
        <w:rPr>
          <w:rFonts w:ascii="Calibri" w:hAnsi="Calibri" w:cs="Calibri"/>
          <w:lang w:val="en-US"/>
        </w:rPr>
        <w:t>When the Brexit agreement was reached in 2020, a ‘Trade and Cooperation Agreement’ was made</w:t>
      </w:r>
      <w:r w:rsidR="005F42D6" w:rsidRPr="005B7E06">
        <w:rPr>
          <w:rFonts w:ascii="Calibri" w:hAnsi="Calibri" w:cs="Calibri"/>
          <w:lang w:val="en-US"/>
        </w:rPr>
        <w:t>. However,</w:t>
      </w:r>
      <w:r w:rsidR="00165335" w:rsidRPr="005B7E06">
        <w:rPr>
          <w:rFonts w:ascii="Calibri" w:hAnsi="Calibri" w:cs="Calibri"/>
          <w:lang w:val="en-US"/>
        </w:rPr>
        <w:t xml:space="preserve"> the </w:t>
      </w:r>
      <w:r w:rsidR="005F42D6" w:rsidRPr="005B7E06">
        <w:rPr>
          <w:rFonts w:ascii="Calibri" w:hAnsi="Calibri" w:cs="Calibri"/>
          <w:lang w:val="en-US"/>
        </w:rPr>
        <w:t xml:space="preserve">section of the agreement covering employment was law didn’t give a lot of detail. It then decided </w:t>
      </w:r>
      <w:r w:rsidR="00F72AF7" w:rsidRPr="005B7E06">
        <w:rPr>
          <w:rFonts w:ascii="Calibri" w:hAnsi="Calibri" w:cs="Calibri"/>
          <w:lang w:val="en-US"/>
        </w:rPr>
        <w:t>on a ‘non-regression’ arrangement (CIPD, 2024)</w:t>
      </w:r>
      <w:r w:rsidR="00E34F21" w:rsidRPr="005B7E06">
        <w:rPr>
          <w:rFonts w:ascii="Calibri" w:hAnsi="Calibri" w:cs="Calibri"/>
          <w:lang w:val="en-US"/>
        </w:rPr>
        <w:t>, which</w:t>
      </w:r>
      <w:r w:rsidR="00F72AF7" w:rsidRPr="005B7E06">
        <w:rPr>
          <w:rFonts w:ascii="Calibri" w:hAnsi="Calibri" w:cs="Calibri"/>
          <w:lang w:val="en-US"/>
        </w:rPr>
        <w:t xml:space="preserve"> meant any existing employment standards in place in </w:t>
      </w:r>
      <w:r w:rsidR="00F72AF7" w:rsidRPr="005B7E06">
        <w:rPr>
          <w:rFonts w:ascii="Calibri" w:hAnsi="Calibri" w:cs="Calibri"/>
          <w:lang w:val="en-US"/>
        </w:rPr>
        <w:lastRenderedPageBreak/>
        <w:t xml:space="preserve">2020, would </w:t>
      </w:r>
      <w:r w:rsidR="00E34F21" w:rsidRPr="005B7E06">
        <w:rPr>
          <w:rFonts w:ascii="Calibri" w:hAnsi="Calibri" w:cs="Calibri"/>
          <w:lang w:val="en-US"/>
        </w:rPr>
        <w:t>be broadly retained.</w:t>
      </w:r>
      <w:r w:rsidR="00134BED" w:rsidRPr="005B7E06">
        <w:rPr>
          <w:rFonts w:ascii="Calibri" w:hAnsi="Calibri" w:cs="Calibri"/>
          <w:lang w:val="en-US"/>
        </w:rPr>
        <w:t xml:space="preserve"> </w:t>
      </w:r>
      <w:r w:rsidR="0076764E" w:rsidRPr="005B7E06">
        <w:rPr>
          <w:rFonts w:ascii="Calibri" w:hAnsi="Calibri" w:cs="Calibri"/>
          <w:lang w:val="en-US"/>
        </w:rPr>
        <w:t>The UK is free to amend laws, however risk major deregulation tariffs by doing so.</w:t>
      </w:r>
      <w:r w:rsidR="00E34F21" w:rsidRPr="005B7E06">
        <w:rPr>
          <w:rFonts w:ascii="Calibri" w:hAnsi="Calibri" w:cs="Calibri"/>
          <w:lang w:val="en-US"/>
        </w:rPr>
        <w:t xml:space="preserve"> As a result of the agreement, the UK didn’t need to </w:t>
      </w:r>
      <w:r w:rsidR="007737C0" w:rsidRPr="005B7E06">
        <w:rPr>
          <w:rFonts w:ascii="Calibri" w:hAnsi="Calibri" w:cs="Calibri"/>
          <w:lang w:val="en-US"/>
        </w:rPr>
        <w:t>retain all EU regulation or past judgements and as of 1</w:t>
      </w:r>
      <w:r w:rsidR="007737C0" w:rsidRPr="005B7E06">
        <w:rPr>
          <w:rFonts w:ascii="Calibri" w:hAnsi="Calibri" w:cs="Calibri"/>
          <w:vertAlign w:val="superscript"/>
          <w:lang w:val="en-US"/>
        </w:rPr>
        <w:t>st</w:t>
      </w:r>
      <w:r w:rsidR="007737C0" w:rsidRPr="005B7E06">
        <w:rPr>
          <w:rFonts w:ascii="Calibri" w:hAnsi="Calibri" w:cs="Calibri"/>
          <w:lang w:val="en-US"/>
        </w:rPr>
        <w:t xml:space="preserve"> January 2021, the ECJ </w:t>
      </w:r>
      <w:r w:rsidR="00E66F91" w:rsidRPr="005B7E06">
        <w:rPr>
          <w:rFonts w:ascii="Calibri" w:hAnsi="Calibri" w:cs="Calibri"/>
          <w:lang w:val="en-US"/>
        </w:rPr>
        <w:t xml:space="preserve">rulings are no longer binding. </w:t>
      </w:r>
      <w:r w:rsidR="00B2479A" w:rsidRPr="005B7E06">
        <w:rPr>
          <w:rFonts w:ascii="Calibri" w:hAnsi="Calibri" w:cs="Calibri"/>
          <w:lang w:val="en-US"/>
        </w:rPr>
        <w:t xml:space="preserve">The Retained EL Law </w:t>
      </w:r>
      <w:r w:rsidR="00A12A75" w:rsidRPr="005B7E06">
        <w:rPr>
          <w:rFonts w:ascii="Calibri" w:hAnsi="Calibri" w:cs="Calibri"/>
          <w:lang w:val="en-US"/>
        </w:rPr>
        <w:t xml:space="preserve">(Revocation and Reform) Act 2023 </w:t>
      </w:r>
      <w:r w:rsidR="00F86E49" w:rsidRPr="005B7E06">
        <w:rPr>
          <w:rFonts w:ascii="Calibri" w:hAnsi="Calibri" w:cs="Calibri"/>
          <w:lang w:val="en-US"/>
        </w:rPr>
        <w:t xml:space="preserve">(Revocation and Sunset Disapplication) </w:t>
      </w:r>
      <w:r w:rsidR="00DA0520" w:rsidRPr="005B7E06">
        <w:rPr>
          <w:rFonts w:ascii="Calibri" w:hAnsi="Calibri" w:cs="Calibri"/>
          <w:lang w:val="en-US"/>
        </w:rPr>
        <w:t>Regulations 2023 (REUL) were b</w:t>
      </w:r>
      <w:r w:rsidR="00840409" w:rsidRPr="005B7E06">
        <w:rPr>
          <w:rFonts w:ascii="Calibri" w:hAnsi="Calibri" w:cs="Calibri"/>
          <w:lang w:val="en-US"/>
        </w:rPr>
        <w:t xml:space="preserve">rought in and states that most EU laws are retained unless amended/ </w:t>
      </w:r>
      <w:r w:rsidR="00246EED" w:rsidRPr="005B7E06">
        <w:rPr>
          <w:rFonts w:ascii="Calibri" w:hAnsi="Calibri" w:cs="Calibri"/>
          <w:lang w:val="en-US"/>
        </w:rPr>
        <w:t xml:space="preserve">repealed by future governments. </w:t>
      </w:r>
    </w:p>
    <w:p w14:paraId="6B62F654" w14:textId="77777777" w:rsidR="00D12220" w:rsidRPr="005B7E06" w:rsidRDefault="00D12220" w:rsidP="00296A55">
      <w:pPr>
        <w:pStyle w:val="Body"/>
        <w:spacing w:line="240" w:lineRule="auto"/>
        <w:rPr>
          <w:rFonts w:ascii="Calibri" w:hAnsi="Calibri" w:cs="Calibri"/>
          <w:lang w:val="en-US"/>
        </w:rPr>
      </w:pPr>
    </w:p>
    <w:p w14:paraId="282BDE0F" w14:textId="6E8955CD" w:rsidR="00D12220" w:rsidRPr="005B7E06" w:rsidRDefault="00D25FE8" w:rsidP="00296A55">
      <w:pPr>
        <w:pStyle w:val="Body"/>
        <w:spacing w:line="240" w:lineRule="auto"/>
        <w:rPr>
          <w:rFonts w:ascii="Calibri" w:hAnsi="Calibri" w:cs="Calibri"/>
          <w:lang w:val="en-US"/>
        </w:rPr>
      </w:pPr>
      <w:r w:rsidRPr="005B7E06">
        <w:rPr>
          <w:rFonts w:ascii="Calibri" w:hAnsi="Calibri" w:cs="Calibri"/>
          <w:lang w:val="en-US"/>
        </w:rPr>
        <w:t>T</w:t>
      </w:r>
      <w:r w:rsidR="00934C64" w:rsidRPr="005B7E06">
        <w:rPr>
          <w:rFonts w:ascii="Calibri" w:hAnsi="Calibri" w:cs="Calibri"/>
          <w:lang w:val="en-US"/>
        </w:rPr>
        <w:t>he</w:t>
      </w:r>
      <w:r w:rsidR="003652B3" w:rsidRPr="005B7E06">
        <w:rPr>
          <w:rFonts w:ascii="Calibri" w:hAnsi="Calibri" w:cs="Calibri"/>
          <w:lang w:val="en-US"/>
        </w:rPr>
        <w:t xml:space="preserve"> case of </w:t>
      </w:r>
      <w:r w:rsidR="003026AF" w:rsidRPr="005B7E06">
        <w:rPr>
          <w:rFonts w:ascii="Calibri" w:hAnsi="Calibri" w:cs="Calibri"/>
          <w:lang w:val="en-US"/>
        </w:rPr>
        <w:t>Federacion de Servicios de Comisiones Obreras v Deutsche Bank</w:t>
      </w:r>
      <w:r w:rsidR="00942831" w:rsidRPr="005B7E06">
        <w:rPr>
          <w:rFonts w:ascii="Calibri" w:hAnsi="Calibri" w:cs="Calibri"/>
          <w:lang w:val="en-US"/>
        </w:rPr>
        <w:t xml:space="preserve"> SAE</w:t>
      </w:r>
      <w:r w:rsidR="00126E11" w:rsidRPr="005B7E06">
        <w:rPr>
          <w:rFonts w:ascii="Calibri" w:hAnsi="Calibri" w:cs="Calibri"/>
          <w:lang w:val="en-US"/>
        </w:rPr>
        <w:t xml:space="preserve"> illustrates </w:t>
      </w:r>
      <w:r w:rsidR="00B8668A" w:rsidRPr="005B7E06">
        <w:rPr>
          <w:rFonts w:ascii="Calibri" w:hAnsi="Calibri" w:cs="Calibri"/>
          <w:lang w:val="en-US"/>
        </w:rPr>
        <w:t>a relevant example where</w:t>
      </w:r>
      <w:r w:rsidR="00942831" w:rsidRPr="005B7E06">
        <w:rPr>
          <w:rFonts w:ascii="Calibri" w:hAnsi="Calibri" w:cs="Calibri"/>
          <w:lang w:val="en-US"/>
        </w:rPr>
        <w:t xml:space="preserve"> the </w:t>
      </w:r>
      <w:r w:rsidR="00EE1F92" w:rsidRPr="005B7E06">
        <w:rPr>
          <w:rFonts w:ascii="Calibri" w:hAnsi="Calibri" w:cs="Calibri"/>
          <w:lang w:val="en-US"/>
        </w:rPr>
        <w:t xml:space="preserve">ECJ ruled the Working Time Directive required employers </w:t>
      </w:r>
      <w:r w:rsidR="00FE2B8B" w:rsidRPr="005B7E06">
        <w:rPr>
          <w:rFonts w:ascii="Calibri" w:hAnsi="Calibri" w:cs="Calibri"/>
          <w:lang w:val="en-US"/>
        </w:rPr>
        <w:t xml:space="preserve">to measure the daily working time of all workers; specifically </w:t>
      </w:r>
      <w:r w:rsidR="00B30AD5" w:rsidRPr="005B7E06">
        <w:rPr>
          <w:rFonts w:ascii="Calibri" w:hAnsi="Calibri" w:cs="Calibri"/>
          <w:lang w:val="en-US"/>
        </w:rPr>
        <w:t>outlining the need for system</w:t>
      </w:r>
      <w:r w:rsidR="00D61BC8" w:rsidRPr="005B7E06">
        <w:rPr>
          <w:rFonts w:ascii="Calibri" w:hAnsi="Calibri" w:cs="Calibri"/>
          <w:lang w:val="en-US"/>
        </w:rPr>
        <w:t>s</w:t>
      </w:r>
      <w:r w:rsidR="00B30AD5" w:rsidRPr="005B7E06">
        <w:rPr>
          <w:rFonts w:ascii="Calibri" w:hAnsi="Calibri" w:cs="Calibri"/>
          <w:lang w:val="en-US"/>
        </w:rPr>
        <w:t xml:space="preserve"> to record the hours being ‘objective, reliable and accessible’</w:t>
      </w:r>
      <w:r w:rsidR="0084766B" w:rsidRPr="005B7E06">
        <w:rPr>
          <w:rFonts w:ascii="Calibri" w:hAnsi="Calibri" w:cs="Calibri"/>
          <w:lang w:val="en-US"/>
        </w:rPr>
        <w:t xml:space="preserve"> (BDBF, 2023)</w:t>
      </w:r>
      <w:r w:rsidR="00B30AD5" w:rsidRPr="005B7E06">
        <w:rPr>
          <w:rFonts w:ascii="Calibri" w:hAnsi="Calibri" w:cs="Calibri"/>
          <w:lang w:val="en-US"/>
        </w:rPr>
        <w:t xml:space="preserve">. </w:t>
      </w:r>
      <w:r w:rsidR="00FE2B8B" w:rsidRPr="005B7E06">
        <w:rPr>
          <w:rFonts w:ascii="Calibri" w:hAnsi="Calibri" w:cs="Calibri"/>
          <w:lang w:val="en-US"/>
        </w:rPr>
        <w:t xml:space="preserve"> </w:t>
      </w:r>
      <w:r w:rsidR="004A0C09" w:rsidRPr="005B7E06">
        <w:rPr>
          <w:rFonts w:ascii="Calibri" w:hAnsi="Calibri" w:cs="Calibri"/>
          <w:lang w:val="en-US"/>
        </w:rPr>
        <w:t xml:space="preserve">The UK did not implement </w:t>
      </w:r>
      <w:r w:rsidR="00B3239C" w:rsidRPr="005B7E06">
        <w:rPr>
          <w:rFonts w:ascii="Calibri" w:hAnsi="Calibri" w:cs="Calibri"/>
          <w:lang w:val="en-US"/>
        </w:rPr>
        <w:t>this ruling and</w:t>
      </w:r>
      <w:r w:rsidR="004D207E" w:rsidRPr="005B7E06">
        <w:rPr>
          <w:rFonts w:ascii="Calibri" w:hAnsi="Calibri" w:cs="Calibri"/>
          <w:lang w:val="en-US"/>
        </w:rPr>
        <w:t xml:space="preserve"> whilst The Working Time Regulations 1998 remain in force,</w:t>
      </w:r>
      <w:r w:rsidR="00B3239C" w:rsidRPr="005B7E06">
        <w:rPr>
          <w:rFonts w:ascii="Calibri" w:hAnsi="Calibri" w:cs="Calibri"/>
          <w:lang w:val="en-US"/>
        </w:rPr>
        <w:t xml:space="preserve"> it didn’t change </w:t>
      </w:r>
      <w:r w:rsidR="00934C64" w:rsidRPr="005B7E06">
        <w:rPr>
          <w:rFonts w:ascii="Calibri" w:hAnsi="Calibri" w:cs="Calibri"/>
          <w:lang w:val="en-US"/>
        </w:rPr>
        <w:t>its</w:t>
      </w:r>
      <w:r w:rsidR="00B3239C" w:rsidRPr="005B7E06">
        <w:rPr>
          <w:rFonts w:ascii="Calibri" w:hAnsi="Calibri" w:cs="Calibri"/>
          <w:lang w:val="en-US"/>
        </w:rPr>
        <w:t xml:space="preserve"> domestic law</w:t>
      </w:r>
      <w:r w:rsidR="00B57558" w:rsidRPr="005B7E06">
        <w:rPr>
          <w:rFonts w:ascii="Calibri" w:hAnsi="Calibri" w:cs="Calibri"/>
          <w:lang w:val="en-US"/>
        </w:rPr>
        <w:t xml:space="preserve"> to require this of UK employers.</w:t>
      </w:r>
    </w:p>
    <w:p w14:paraId="5B469320" w14:textId="77777777" w:rsidR="00245997" w:rsidRPr="005B7E06" w:rsidRDefault="00245997" w:rsidP="00296A55">
      <w:pPr>
        <w:pStyle w:val="Body"/>
        <w:spacing w:line="240" w:lineRule="auto"/>
        <w:rPr>
          <w:rFonts w:ascii="Calibri" w:hAnsi="Calibri" w:cs="Calibri"/>
          <w:lang w:val="en-US"/>
        </w:rPr>
      </w:pPr>
    </w:p>
    <w:p w14:paraId="0222B935" w14:textId="6F86068E" w:rsidR="00B13742" w:rsidRPr="005B7E06" w:rsidRDefault="007C1BE0" w:rsidP="00296A55">
      <w:pPr>
        <w:pStyle w:val="Body"/>
        <w:spacing w:line="240" w:lineRule="auto"/>
        <w:rPr>
          <w:rFonts w:ascii="Calibri" w:hAnsi="Calibri" w:cs="Calibri"/>
          <w:lang w:val="en-US"/>
        </w:rPr>
      </w:pPr>
      <w:r w:rsidRPr="005B7E06">
        <w:rPr>
          <w:rFonts w:ascii="Calibri" w:hAnsi="Calibri" w:cs="Calibri"/>
          <w:lang w:val="en-US"/>
        </w:rPr>
        <w:t xml:space="preserve">Most employment law falls under civil law. </w:t>
      </w:r>
      <w:r w:rsidR="000D40C8" w:rsidRPr="005B7E06">
        <w:rPr>
          <w:rFonts w:ascii="Calibri" w:hAnsi="Calibri" w:cs="Calibri"/>
          <w:lang w:val="en-US"/>
        </w:rPr>
        <w:t xml:space="preserve">Employment cases can start in the employment tribunal, the civil courts and the county and High Court. </w:t>
      </w:r>
      <w:r w:rsidR="003C4FAC" w:rsidRPr="005B7E06">
        <w:rPr>
          <w:rFonts w:ascii="Calibri" w:hAnsi="Calibri" w:cs="Calibri"/>
          <w:lang w:val="en-US"/>
        </w:rPr>
        <w:t xml:space="preserve">Employment </w:t>
      </w:r>
      <w:r w:rsidR="007D31F3" w:rsidRPr="005B7E06">
        <w:rPr>
          <w:rFonts w:ascii="Calibri" w:hAnsi="Calibri" w:cs="Calibri"/>
          <w:lang w:val="en-US"/>
        </w:rPr>
        <w:t xml:space="preserve">Tribunals are </w:t>
      </w:r>
      <w:r w:rsidR="003C4FAC" w:rsidRPr="005B7E06">
        <w:rPr>
          <w:rFonts w:ascii="Calibri" w:hAnsi="Calibri" w:cs="Calibri"/>
          <w:lang w:val="en-US"/>
        </w:rPr>
        <w:t>usually where employment law cases are heard</w:t>
      </w:r>
      <w:r w:rsidR="00606D0B" w:rsidRPr="005B7E06">
        <w:rPr>
          <w:rFonts w:ascii="Calibri" w:hAnsi="Calibri" w:cs="Calibri"/>
          <w:lang w:val="en-US"/>
        </w:rPr>
        <w:t xml:space="preserve"> for </w:t>
      </w:r>
      <w:r w:rsidR="00BB4E83" w:rsidRPr="005B7E06">
        <w:rPr>
          <w:rFonts w:ascii="Calibri" w:hAnsi="Calibri" w:cs="Calibri"/>
          <w:lang w:val="en-US"/>
        </w:rPr>
        <w:t xml:space="preserve">issues in the workplace </w:t>
      </w:r>
      <w:r w:rsidR="002A6E08" w:rsidRPr="005B7E06">
        <w:rPr>
          <w:rFonts w:ascii="Calibri" w:hAnsi="Calibri" w:cs="Calibri"/>
          <w:lang w:val="en-US"/>
        </w:rPr>
        <w:t>like</w:t>
      </w:r>
      <w:r w:rsidR="00BB4E83" w:rsidRPr="005B7E06">
        <w:rPr>
          <w:rFonts w:ascii="Calibri" w:hAnsi="Calibri" w:cs="Calibri"/>
          <w:lang w:val="en-US"/>
        </w:rPr>
        <w:t xml:space="preserve"> discrimination and </w:t>
      </w:r>
      <w:r w:rsidR="00717D19" w:rsidRPr="005B7E06">
        <w:rPr>
          <w:rFonts w:ascii="Calibri" w:hAnsi="Calibri" w:cs="Calibri"/>
          <w:lang w:val="en-US"/>
        </w:rPr>
        <w:t>unfair dismissal (</w:t>
      </w:r>
      <w:r w:rsidR="00750D33" w:rsidRPr="005B7E06">
        <w:rPr>
          <w:rFonts w:ascii="Calibri" w:hAnsi="Calibri" w:cs="Calibri"/>
          <w:lang w:val="en-US"/>
        </w:rPr>
        <w:t xml:space="preserve">Citizens Advice, </w:t>
      </w:r>
      <w:r w:rsidR="009308C8" w:rsidRPr="005B7E06">
        <w:rPr>
          <w:rFonts w:ascii="Calibri" w:hAnsi="Calibri" w:cs="Calibri"/>
          <w:lang w:val="en-US"/>
        </w:rPr>
        <w:t>2021)</w:t>
      </w:r>
      <w:r w:rsidR="00A423CF" w:rsidRPr="005B7E06">
        <w:rPr>
          <w:rFonts w:ascii="Calibri" w:hAnsi="Calibri" w:cs="Calibri"/>
          <w:lang w:val="en-US"/>
        </w:rPr>
        <w:t xml:space="preserve">. </w:t>
      </w:r>
      <w:r w:rsidR="000501AA" w:rsidRPr="005B7E06">
        <w:rPr>
          <w:rFonts w:ascii="Calibri" w:hAnsi="Calibri" w:cs="Calibri"/>
          <w:lang w:val="en-US"/>
        </w:rPr>
        <w:t>There are exceptions</w:t>
      </w:r>
      <w:r w:rsidR="00D25FE8" w:rsidRPr="005B7E06">
        <w:rPr>
          <w:rFonts w:ascii="Calibri" w:hAnsi="Calibri" w:cs="Calibri"/>
          <w:lang w:val="en-US"/>
        </w:rPr>
        <w:t xml:space="preserve"> - </w:t>
      </w:r>
      <w:r w:rsidR="005B19DD" w:rsidRPr="005B7E06">
        <w:rPr>
          <w:rFonts w:ascii="Calibri" w:hAnsi="Calibri" w:cs="Calibri"/>
          <w:lang w:val="en-US"/>
        </w:rPr>
        <w:t>an</w:t>
      </w:r>
      <w:r w:rsidR="00E2478F" w:rsidRPr="005B7E06">
        <w:rPr>
          <w:rFonts w:ascii="Calibri" w:hAnsi="Calibri" w:cs="Calibri"/>
          <w:lang w:val="en-US"/>
        </w:rPr>
        <w:t xml:space="preserve"> employee needs to bring the claim forward and the compensation being sought is less than £25,000 (CIPD, </w:t>
      </w:r>
      <w:r w:rsidR="00C80848" w:rsidRPr="005B7E06">
        <w:rPr>
          <w:rFonts w:ascii="Calibri" w:hAnsi="Calibri" w:cs="Calibri"/>
          <w:lang w:val="en-US"/>
        </w:rPr>
        <w:t xml:space="preserve">2024). </w:t>
      </w:r>
      <w:r w:rsidR="00232FC7" w:rsidRPr="005B7E06">
        <w:rPr>
          <w:rFonts w:ascii="Calibri" w:hAnsi="Calibri" w:cs="Calibri"/>
          <w:lang w:val="en-US"/>
        </w:rPr>
        <w:t xml:space="preserve">The employee must have attempted an ‘early conciliation’ via ACAS </w:t>
      </w:r>
      <w:r w:rsidR="004D4326" w:rsidRPr="005B7E06">
        <w:rPr>
          <w:rFonts w:ascii="Calibri" w:hAnsi="Calibri" w:cs="Calibri"/>
          <w:lang w:val="en-US"/>
        </w:rPr>
        <w:t xml:space="preserve">and must bring the claim via an ‘ET1 form’ </w:t>
      </w:r>
      <w:r w:rsidR="00D66A49" w:rsidRPr="005B7E06">
        <w:rPr>
          <w:rFonts w:ascii="Calibri" w:hAnsi="Calibri" w:cs="Calibri"/>
          <w:lang w:val="en-US"/>
        </w:rPr>
        <w:t>(CIPD, 2024).</w:t>
      </w:r>
      <w:r w:rsidR="00147BD6" w:rsidRPr="005B7E06">
        <w:rPr>
          <w:rFonts w:ascii="Calibri" w:hAnsi="Calibri" w:cs="Calibri"/>
          <w:lang w:val="en-US"/>
        </w:rPr>
        <w:t xml:space="preserve"> In most cases, tribunals don’t cost employees anything.</w:t>
      </w:r>
      <w:r w:rsidR="004D4326" w:rsidRPr="005B7E06">
        <w:rPr>
          <w:rFonts w:ascii="Calibri" w:hAnsi="Calibri" w:cs="Calibri"/>
          <w:lang w:val="en-US"/>
        </w:rPr>
        <w:t xml:space="preserve"> </w:t>
      </w:r>
      <w:r w:rsidR="00A423CF" w:rsidRPr="005B7E06">
        <w:rPr>
          <w:rFonts w:ascii="Calibri" w:hAnsi="Calibri" w:cs="Calibri"/>
          <w:lang w:val="en-US"/>
        </w:rPr>
        <w:t>An Employment Appeal Tribunal will deal with appeals</w:t>
      </w:r>
      <w:r w:rsidR="00D96D02" w:rsidRPr="005B7E06">
        <w:rPr>
          <w:rFonts w:ascii="Calibri" w:hAnsi="Calibri" w:cs="Calibri"/>
          <w:lang w:val="en-US"/>
        </w:rPr>
        <w:t xml:space="preserve">, which must be ‘based on a point of law or an assertation that the ruling is perverse’ </w:t>
      </w:r>
      <w:r w:rsidR="00C90CA7" w:rsidRPr="005B7E06">
        <w:rPr>
          <w:rFonts w:ascii="Calibri" w:hAnsi="Calibri" w:cs="Calibri"/>
          <w:lang w:val="en-US"/>
        </w:rPr>
        <w:t xml:space="preserve">(Daniels, 2024). </w:t>
      </w:r>
      <w:r w:rsidR="00235932" w:rsidRPr="005B7E06">
        <w:rPr>
          <w:rFonts w:ascii="Calibri" w:hAnsi="Calibri" w:cs="Calibri"/>
          <w:lang w:val="en-US"/>
        </w:rPr>
        <w:t xml:space="preserve">The Court of Appeal </w:t>
      </w:r>
      <w:r w:rsidR="009039FF" w:rsidRPr="005B7E06">
        <w:rPr>
          <w:rFonts w:ascii="Calibri" w:hAnsi="Calibri" w:cs="Calibri"/>
          <w:lang w:val="en-US"/>
        </w:rPr>
        <w:t>and the Supreme Court will hear further appeals</w:t>
      </w:r>
      <w:r w:rsidR="00220B66" w:rsidRPr="005B7E06">
        <w:rPr>
          <w:rFonts w:ascii="Calibri" w:hAnsi="Calibri" w:cs="Calibri"/>
          <w:lang w:val="en-US"/>
        </w:rPr>
        <w:t xml:space="preserve"> and the Supreme Court has the final say in any matter ‘which exclusively concerns UK law’ (CIPD, 2024). </w:t>
      </w:r>
    </w:p>
    <w:p w14:paraId="3A4282B0" w14:textId="1482496C" w:rsidR="00120904" w:rsidRPr="005B7E06" w:rsidRDefault="00120904">
      <w:pPr>
        <w:rPr>
          <w:rFonts w:ascii="Calibri" w:hAnsi="Calibri" w:cs="Calibri"/>
        </w:rPr>
      </w:pPr>
    </w:p>
    <w:p w14:paraId="106A8B40" w14:textId="7D9F11F6" w:rsidR="00B94CF5" w:rsidRPr="005B7E06" w:rsidRDefault="00B94CF5" w:rsidP="00B94CF5">
      <w:pPr>
        <w:pStyle w:val="Body"/>
        <w:spacing w:line="240" w:lineRule="auto"/>
        <w:rPr>
          <w:rFonts w:ascii="Calibri" w:hAnsi="Calibri" w:cs="Calibri"/>
          <w:b/>
          <w:bCs/>
          <w:color w:val="000000" w:themeColor="text1"/>
          <w:lang w:val="en-US"/>
        </w:rPr>
      </w:pPr>
      <w:r w:rsidRPr="005B7E06">
        <w:rPr>
          <w:rFonts w:ascii="Calibri" w:hAnsi="Calibri" w:cs="Calibri"/>
          <w:b/>
          <w:bCs/>
          <w:color w:val="000000" w:themeColor="text1"/>
          <w:lang w:val="en-US"/>
        </w:rPr>
        <w:t xml:space="preserve">2.1 </w:t>
      </w:r>
      <w:r w:rsidR="003E4A89" w:rsidRPr="005B7E06">
        <w:rPr>
          <w:rFonts w:ascii="Calibri" w:hAnsi="Calibri" w:cs="Calibri"/>
          <w:b/>
          <w:bCs/>
          <w:color w:val="000000" w:themeColor="text1"/>
          <w:lang w:val="en-US"/>
        </w:rPr>
        <w:t>-</w:t>
      </w:r>
      <w:r w:rsidRPr="005B7E06">
        <w:rPr>
          <w:rFonts w:ascii="Calibri" w:hAnsi="Calibri" w:cs="Calibri"/>
          <w:b/>
          <w:bCs/>
          <w:color w:val="000000" w:themeColor="text1"/>
          <w:lang w:val="en-US"/>
        </w:rPr>
        <w:t xml:space="preserve"> </w:t>
      </w:r>
      <w:r w:rsidR="00545050" w:rsidRPr="005B7E06">
        <w:rPr>
          <w:rFonts w:ascii="Calibri" w:hAnsi="Calibri" w:cs="Calibri"/>
          <w:b/>
          <w:bCs/>
          <w:color w:val="000000" w:themeColor="text1"/>
          <w:lang w:val="en-US"/>
        </w:rPr>
        <w:t>Email 3</w:t>
      </w:r>
    </w:p>
    <w:p w14:paraId="057FAC5B" w14:textId="1D379FC5" w:rsidR="00450576" w:rsidRPr="005B7E06" w:rsidRDefault="00450576" w:rsidP="00B94CF5">
      <w:pPr>
        <w:pStyle w:val="Body"/>
        <w:spacing w:line="240" w:lineRule="auto"/>
        <w:rPr>
          <w:rFonts w:ascii="Calibri" w:hAnsi="Calibri" w:cs="Calibri"/>
          <w:lang w:val="en-US"/>
        </w:rPr>
      </w:pPr>
    </w:p>
    <w:p w14:paraId="31342168" w14:textId="0566E5A0" w:rsidR="00CE43B7" w:rsidRPr="005B7E06" w:rsidRDefault="003051B7" w:rsidP="00CE43B7">
      <w:pPr>
        <w:pStyle w:val="Body"/>
        <w:spacing w:line="240" w:lineRule="auto"/>
        <w:rPr>
          <w:rFonts w:ascii="Calibri" w:hAnsi="Calibri" w:cs="Calibri"/>
          <w:lang w:val="en-US"/>
        </w:rPr>
      </w:pPr>
      <w:r w:rsidRPr="005B7E06">
        <w:rPr>
          <w:rFonts w:ascii="Calibri" w:hAnsi="Calibri" w:cs="Calibri"/>
          <w:lang w:val="en-US"/>
        </w:rPr>
        <w:t xml:space="preserve">The Equality Act 2010 </w:t>
      </w:r>
      <w:r w:rsidR="007875B9" w:rsidRPr="005B7E06">
        <w:rPr>
          <w:rFonts w:ascii="Calibri" w:hAnsi="Calibri" w:cs="Calibri"/>
          <w:lang w:val="en-US"/>
        </w:rPr>
        <w:t>protects employees from discrimination at work</w:t>
      </w:r>
      <w:r w:rsidR="00AB045E" w:rsidRPr="005B7E06">
        <w:rPr>
          <w:rFonts w:ascii="Calibri" w:hAnsi="Calibri" w:cs="Calibri"/>
          <w:lang w:val="en-US"/>
        </w:rPr>
        <w:t>; it</w:t>
      </w:r>
      <w:r w:rsidR="007875B9" w:rsidRPr="005B7E06">
        <w:rPr>
          <w:rFonts w:ascii="Calibri" w:hAnsi="Calibri" w:cs="Calibri"/>
          <w:lang w:val="en-US"/>
        </w:rPr>
        <w:t xml:space="preserve"> outlines </w:t>
      </w:r>
      <w:r w:rsidR="00C75B6C" w:rsidRPr="005B7E06">
        <w:rPr>
          <w:rFonts w:ascii="Calibri" w:hAnsi="Calibri" w:cs="Calibri"/>
          <w:lang w:val="en-US"/>
        </w:rPr>
        <w:t>9 ‘protected characteristics’ such as age, sex and disability</w:t>
      </w:r>
      <w:r w:rsidR="000E05E4" w:rsidRPr="005B7E06">
        <w:rPr>
          <w:rFonts w:ascii="Calibri" w:hAnsi="Calibri" w:cs="Calibri"/>
          <w:lang w:val="en-US"/>
        </w:rPr>
        <w:t xml:space="preserve"> and </w:t>
      </w:r>
      <w:r w:rsidR="001B183B" w:rsidRPr="005B7E06">
        <w:rPr>
          <w:rFonts w:ascii="Calibri" w:hAnsi="Calibri" w:cs="Calibri"/>
          <w:lang w:val="en-US"/>
        </w:rPr>
        <w:t>ensures th</w:t>
      </w:r>
      <w:r w:rsidR="00CE43B7" w:rsidRPr="005B7E06">
        <w:rPr>
          <w:rFonts w:ascii="Calibri" w:hAnsi="Calibri" w:cs="Calibri"/>
          <w:lang w:val="en-US"/>
        </w:rPr>
        <w:t>ese are free from discrimination</w:t>
      </w:r>
      <w:r w:rsidR="00AB045E" w:rsidRPr="005B7E06">
        <w:rPr>
          <w:rFonts w:ascii="Calibri" w:hAnsi="Calibri" w:cs="Calibri"/>
          <w:lang w:val="en-US"/>
        </w:rPr>
        <w:t xml:space="preserve"> (GOV.UK). </w:t>
      </w:r>
      <w:r w:rsidR="00CE43B7" w:rsidRPr="005B7E06">
        <w:rPr>
          <w:rFonts w:ascii="Calibri" w:hAnsi="Calibri" w:cs="Calibri"/>
          <w:lang w:val="en-US"/>
        </w:rPr>
        <w:t xml:space="preserve"> </w:t>
      </w:r>
    </w:p>
    <w:p w14:paraId="490A8138" w14:textId="77777777" w:rsidR="003051B7" w:rsidRPr="005B7E06" w:rsidRDefault="003051B7" w:rsidP="00B94CF5">
      <w:pPr>
        <w:pStyle w:val="Body"/>
        <w:spacing w:line="240" w:lineRule="auto"/>
        <w:rPr>
          <w:rFonts w:ascii="Calibri" w:hAnsi="Calibri" w:cs="Calibri"/>
          <w:lang w:val="en-US"/>
        </w:rPr>
      </w:pPr>
    </w:p>
    <w:p w14:paraId="6322FE8D" w14:textId="4621D22D" w:rsidR="00E54C1F" w:rsidRPr="005B7E06" w:rsidRDefault="0015262E" w:rsidP="00B94CF5">
      <w:pPr>
        <w:pStyle w:val="Body"/>
        <w:spacing w:line="240" w:lineRule="auto"/>
        <w:rPr>
          <w:rFonts w:ascii="Calibri" w:hAnsi="Calibri" w:cs="Calibri"/>
          <w:lang w:val="en-US"/>
        </w:rPr>
      </w:pPr>
      <w:r w:rsidRPr="005B7E06">
        <w:rPr>
          <w:rFonts w:ascii="Calibri" w:hAnsi="Calibri" w:cs="Calibri"/>
          <w:lang w:val="en-US"/>
        </w:rPr>
        <w:t xml:space="preserve">The </w:t>
      </w:r>
      <w:r w:rsidR="00E54C1F" w:rsidRPr="005B7E06">
        <w:rPr>
          <w:rFonts w:ascii="Calibri" w:hAnsi="Calibri" w:cs="Calibri"/>
          <w:lang w:val="en-US"/>
        </w:rPr>
        <w:t xml:space="preserve">Equality Act </w:t>
      </w:r>
      <w:r w:rsidR="00B53F4F" w:rsidRPr="005B7E06">
        <w:rPr>
          <w:rFonts w:ascii="Calibri" w:hAnsi="Calibri" w:cs="Calibri"/>
          <w:lang w:val="en-US"/>
        </w:rPr>
        <w:t>2010</w:t>
      </w:r>
      <w:r w:rsidRPr="005B7E06">
        <w:rPr>
          <w:rFonts w:ascii="Calibri" w:hAnsi="Calibri" w:cs="Calibri"/>
          <w:lang w:val="en-US"/>
        </w:rPr>
        <w:t xml:space="preserve"> covers sex discrimination. It</w:t>
      </w:r>
      <w:r w:rsidR="000D1645" w:rsidRPr="005B7E06">
        <w:rPr>
          <w:rFonts w:ascii="Calibri" w:hAnsi="Calibri" w:cs="Calibri"/>
          <w:lang w:val="en-US"/>
        </w:rPr>
        <w:t xml:space="preserve"> outlines</w:t>
      </w:r>
      <w:r w:rsidR="00E54C1F" w:rsidRPr="005B7E06">
        <w:rPr>
          <w:rFonts w:ascii="Calibri" w:hAnsi="Calibri" w:cs="Calibri"/>
          <w:lang w:val="en-US"/>
        </w:rPr>
        <w:t xml:space="preserve"> that </w:t>
      </w:r>
      <w:r w:rsidR="0003047A" w:rsidRPr="005B7E06">
        <w:rPr>
          <w:rFonts w:ascii="Calibri" w:hAnsi="Calibri" w:cs="Calibri"/>
          <w:lang w:val="en-US"/>
        </w:rPr>
        <w:t xml:space="preserve">in most cases, when recruiting, organisations </w:t>
      </w:r>
      <w:r w:rsidR="00D021EA" w:rsidRPr="005B7E06">
        <w:rPr>
          <w:rFonts w:ascii="Calibri" w:hAnsi="Calibri" w:cs="Calibri"/>
          <w:lang w:val="en-US"/>
        </w:rPr>
        <w:t xml:space="preserve">cannot stipulate that a job needs to be done by a specific sex (GOV.UK). </w:t>
      </w:r>
      <w:r w:rsidR="0061251B" w:rsidRPr="005B7E06">
        <w:rPr>
          <w:rFonts w:ascii="Calibri" w:hAnsi="Calibri" w:cs="Calibri"/>
          <w:lang w:val="en-US"/>
        </w:rPr>
        <w:t xml:space="preserve">There are occasions where there is a genuine need </w:t>
      </w:r>
      <w:r w:rsidR="00D53524" w:rsidRPr="005B7E06">
        <w:rPr>
          <w:rFonts w:ascii="Calibri" w:hAnsi="Calibri" w:cs="Calibri"/>
          <w:lang w:val="en-US"/>
        </w:rPr>
        <w:t>(occupational requirement) for someone with a protected characteristic to be recruited because of the nature of the job.</w:t>
      </w:r>
      <w:r w:rsidR="00AB045E" w:rsidRPr="005B7E06">
        <w:rPr>
          <w:rFonts w:ascii="Calibri" w:hAnsi="Calibri" w:cs="Calibri"/>
          <w:lang w:val="en-US"/>
        </w:rPr>
        <w:t xml:space="preserve"> A</w:t>
      </w:r>
      <w:r w:rsidR="007B7DBE" w:rsidRPr="005B7E06">
        <w:rPr>
          <w:rFonts w:ascii="Calibri" w:hAnsi="Calibri" w:cs="Calibri"/>
          <w:lang w:val="en-US"/>
        </w:rPr>
        <w:t xml:space="preserve">n example </w:t>
      </w:r>
      <w:r w:rsidR="009442BE" w:rsidRPr="005B7E06">
        <w:rPr>
          <w:rFonts w:ascii="Calibri" w:hAnsi="Calibri" w:cs="Calibri"/>
          <w:lang w:val="en-US"/>
        </w:rPr>
        <w:t xml:space="preserve">is a female carer being required to care for female patients in </w:t>
      </w:r>
      <w:r w:rsidR="00CE43B7" w:rsidRPr="005B7E06">
        <w:rPr>
          <w:rFonts w:ascii="Calibri" w:hAnsi="Calibri" w:cs="Calibri"/>
          <w:lang w:val="en-US"/>
        </w:rPr>
        <w:t xml:space="preserve">a </w:t>
      </w:r>
      <w:r w:rsidR="009442BE" w:rsidRPr="005B7E06">
        <w:rPr>
          <w:rFonts w:ascii="Calibri" w:hAnsi="Calibri" w:cs="Calibri"/>
          <w:lang w:val="en-US"/>
        </w:rPr>
        <w:t>car</w:t>
      </w:r>
      <w:r w:rsidR="00CE43B7" w:rsidRPr="005B7E06">
        <w:rPr>
          <w:rFonts w:ascii="Calibri" w:hAnsi="Calibri" w:cs="Calibri"/>
          <w:lang w:val="en-US"/>
        </w:rPr>
        <w:t>e</w:t>
      </w:r>
      <w:r w:rsidR="009442BE" w:rsidRPr="005B7E06">
        <w:rPr>
          <w:rFonts w:ascii="Calibri" w:hAnsi="Calibri" w:cs="Calibri"/>
          <w:lang w:val="en-US"/>
        </w:rPr>
        <w:t xml:space="preserve"> home where it would be deemed </w:t>
      </w:r>
      <w:r w:rsidR="007B7DBE" w:rsidRPr="005B7E06">
        <w:rPr>
          <w:rFonts w:ascii="Calibri" w:hAnsi="Calibri" w:cs="Calibri"/>
          <w:lang w:val="en-US"/>
        </w:rPr>
        <w:t>‘</w:t>
      </w:r>
      <w:r w:rsidR="00E824B6" w:rsidRPr="005B7E06">
        <w:rPr>
          <w:rFonts w:ascii="Calibri" w:hAnsi="Calibri" w:cs="Calibri"/>
          <w:lang w:val="en-US"/>
        </w:rPr>
        <w:t>inappropriate</w:t>
      </w:r>
      <w:r w:rsidR="007B7DBE" w:rsidRPr="005B7E06">
        <w:rPr>
          <w:rFonts w:ascii="Calibri" w:hAnsi="Calibri" w:cs="Calibri"/>
          <w:lang w:val="en-US"/>
        </w:rPr>
        <w:t>’</w:t>
      </w:r>
      <w:r w:rsidR="00E824B6" w:rsidRPr="005B7E06">
        <w:rPr>
          <w:rFonts w:ascii="Calibri" w:hAnsi="Calibri" w:cs="Calibri"/>
          <w:lang w:val="en-US"/>
        </w:rPr>
        <w:t xml:space="preserve"> for</w:t>
      </w:r>
      <w:r w:rsidR="00B83254" w:rsidRPr="005B7E06">
        <w:rPr>
          <w:rFonts w:ascii="Calibri" w:hAnsi="Calibri" w:cs="Calibri"/>
          <w:lang w:val="en-US"/>
        </w:rPr>
        <w:t xml:space="preserve"> care to be given by a </w:t>
      </w:r>
      <w:r w:rsidR="00B53F4F" w:rsidRPr="005B7E06">
        <w:rPr>
          <w:rFonts w:ascii="Calibri" w:hAnsi="Calibri" w:cs="Calibri"/>
          <w:lang w:val="en-US"/>
        </w:rPr>
        <w:t>male</w:t>
      </w:r>
      <w:r w:rsidR="00B83254" w:rsidRPr="005B7E06">
        <w:rPr>
          <w:rFonts w:ascii="Calibri" w:hAnsi="Calibri" w:cs="Calibri"/>
          <w:lang w:val="en-US"/>
        </w:rPr>
        <w:t xml:space="preserve">. The requirement of one </w:t>
      </w:r>
      <w:r w:rsidR="00CE43B7" w:rsidRPr="005B7E06">
        <w:rPr>
          <w:rFonts w:ascii="Calibri" w:hAnsi="Calibri" w:cs="Calibri"/>
          <w:lang w:val="en-US"/>
        </w:rPr>
        <w:t>sex</w:t>
      </w:r>
      <w:r w:rsidR="00B83254" w:rsidRPr="005B7E06">
        <w:rPr>
          <w:rFonts w:ascii="Calibri" w:hAnsi="Calibri" w:cs="Calibri"/>
          <w:lang w:val="en-US"/>
        </w:rPr>
        <w:t xml:space="preserve"> must be crucial to the role, where there is no other alternative</w:t>
      </w:r>
      <w:r w:rsidR="007B7DBE" w:rsidRPr="005B7E06">
        <w:rPr>
          <w:rFonts w:ascii="Calibri" w:hAnsi="Calibri" w:cs="Calibri"/>
          <w:lang w:val="en-US"/>
        </w:rPr>
        <w:t xml:space="preserve"> (ACAS, 2025)</w:t>
      </w:r>
      <w:r w:rsidR="00B83254" w:rsidRPr="005B7E06">
        <w:rPr>
          <w:rFonts w:ascii="Calibri" w:hAnsi="Calibri" w:cs="Calibri"/>
          <w:lang w:val="en-US"/>
        </w:rPr>
        <w:t xml:space="preserve">. </w:t>
      </w:r>
    </w:p>
    <w:p w14:paraId="74A8EA60" w14:textId="77777777" w:rsidR="00957C27" w:rsidRPr="005B7E06" w:rsidRDefault="00957C27" w:rsidP="00B94CF5">
      <w:pPr>
        <w:pStyle w:val="Body"/>
        <w:spacing w:line="240" w:lineRule="auto"/>
        <w:rPr>
          <w:rFonts w:ascii="Calibri" w:hAnsi="Calibri" w:cs="Calibri"/>
          <w:lang w:val="en-US"/>
        </w:rPr>
      </w:pPr>
    </w:p>
    <w:p w14:paraId="1E05823E" w14:textId="72EEB8F0" w:rsidR="00927C46" w:rsidRPr="005B7E06" w:rsidRDefault="00C2464D" w:rsidP="00B94CF5">
      <w:pPr>
        <w:pStyle w:val="Body"/>
        <w:spacing w:line="240" w:lineRule="auto"/>
        <w:rPr>
          <w:rFonts w:ascii="Calibri" w:hAnsi="Calibri" w:cs="Calibri"/>
          <w:lang w:val="en-US"/>
        </w:rPr>
      </w:pPr>
      <w:r w:rsidRPr="005B7E06">
        <w:rPr>
          <w:rFonts w:ascii="Calibri" w:hAnsi="Calibri" w:cs="Calibri"/>
          <w:lang w:val="en-US"/>
        </w:rPr>
        <w:t xml:space="preserve">Direct discrimination puts organisations at risk of dealing with legal </w:t>
      </w:r>
      <w:r w:rsidR="006B0474" w:rsidRPr="005B7E06">
        <w:rPr>
          <w:rFonts w:ascii="Calibri" w:hAnsi="Calibri" w:cs="Calibri"/>
          <w:lang w:val="en-US"/>
        </w:rPr>
        <w:t>action</w:t>
      </w:r>
      <w:r w:rsidRPr="005B7E06">
        <w:rPr>
          <w:rFonts w:ascii="Calibri" w:hAnsi="Calibri" w:cs="Calibri"/>
          <w:lang w:val="en-US"/>
        </w:rPr>
        <w:t xml:space="preserve"> which impacts </w:t>
      </w:r>
      <w:r w:rsidR="0097363B" w:rsidRPr="005B7E06">
        <w:rPr>
          <w:rFonts w:ascii="Calibri" w:hAnsi="Calibri" w:cs="Calibri"/>
          <w:lang w:val="en-US"/>
        </w:rPr>
        <w:t xml:space="preserve">businesses in many ways. </w:t>
      </w:r>
      <w:r w:rsidR="00C95036" w:rsidRPr="005B7E06">
        <w:rPr>
          <w:rFonts w:ascii="Calibri" w:hAnsi="Calibri" w:cs="Calibri"/>
          <w:lang w:val="en-US"/>
        </w:rPr>
        <w:t>If organisation</w:t>
      </w:r>
      <w:r w:rsidR="001F4177" w:rsidRPr="005B7E06">
        <w:rPr>
          <w:rFonts w:ascii="Calibri" w:hAnsi="Calibri" w:cs="Calibri"/>
          <w:lang w:val="en-US"/>
        </w:rPr>
        <w:t>s</w:t>
      </w:r>
      <w:r w:rsidR="004D1429" w:rsidRPr="005B7E06">
        <w:rPr>
          <w:rFonts w:ascii="Calibri" w:hAnsi="Calibri" w:cs="Calibri"/>
          <w:lang w:val="en-US"/>
        </w:rPr>
        <w:t xml:space="preserve"> </w:t>
      </w:r>
      <w:r w:rsidR="001F4177" w:rsidRPr="005B7E06">
        <w:rPr>
          <w:rFonts w:ascii="Calibri" w:hAnsi="Calibri" w:cs="Calibri"/>
          <w:lang w:val="en-US"/>
        </w:rPr>
        <w:t>are</w:t>
      </w:r>
      <w:r w:rsidR="004D1429" w:rsidRPr="005B7E06">
        <w:rPr>
          <w:rFonts w:ascii="Calibri" w:hAnsi="Calibri" w:cs="Calibri"/>
          <w:lang w:val="en-US"/>
        </w:rPr>
        <w:t xml:space="preserve"> non-compliant, </w:t>
      </w:r>
      <w:r w:rsidR="001F4177" w:rsidRPr="005B7E06">
        <w:rPr>
          <w:rFonts w:ascii="Calibri" w:hAnsi="Calibri" w:cs="Calibri"/>
          <w:lang w:val="en-US"/>
        </w:rPr>
        <w:t xml:space="preserve">they </w:t>
      </w:r>
      <w:r w:rsidR="004D1429" w:rsidRPr="005B7E06">
        <w:rPr>
          <w:rFonts w:ascii="Calibri" w:hAnsi="Calibri" w:cs="Calibri"/>
          <w:lang w:val="en-US"/>
        </w:rPr>
        <w:t xml:space="preserve">risk </w:t>
      </w:r>
      <w:r w:rsidR="009E692A" w:rsidRPr="005B7E06">
        <w:rPr>
          <w:rFonts w:ascii="Calibri" w:hAnsi="Calibri" w:cs="Calibri"/>
          <w:lang w:val="en-US"/>
        </w:rPr>
        <w:t xml:space="preserve">significant financial detriment </w:t>
      </w:r>
      <w:r w:rsidR="006A397B" w:rsidRPr="005B7E06">
        <w:rPr>
          <w:rFonts w:ascii="Calibri" w:hAnsi="Calibri" w:cs="Calibri"/>
          <w:lang w:val="en-US"/>
        </w:rPr>
        <w:t xml:space="preserve">as </w:t>
      </w:r>
      <w:r w:rsidR="001F4177" w:rsidRPr="005B7E06">
        <w:rPr>
          <w:rFonts w:ascii="Calibri" w:hAnsi="Calibri" w:cs="Calibri"/>
          <w:lang w:val="en-US"/>
        </w:rPr>
        <w:t>they</w:t>
      </w:r>
      <w:r w:rsidR="006A397B" w:rsidRPr="005B7E06">
        <w:rPr>
          <w:rFonts w:ascii="Calibri" w:hAnsi="Calibri" w:cs="Calibri"/>
          <w:lang w:val="en-US"/>
        </w:rPr>
        <w:t xml:space="preserve"> become liable for compensation awards.</w:t>
      </w:r>
      <w:r w:rsidR="0097363B" w:rsidRPr="005B7E06">
        <w:rPr>
          <w:rFonts w:ascii="Calibri" w:hAnsi="Calibri" w:cs="Calibri"/>
          <w:lang w:val="en-US"/>
        </w:rPr>
        <w:t xml:space="preserve"> The company’s reputation and culture</w:t>
      </w:r>
      <w:r w:rsidR="00B53F4F" w:rsidRPr="005B7E06">
        <w:rPr>
          <w:rFonts w:ascii="Calibri" w:hAnsi="Calibri" w:cs="Calibri"/>
          <w:lang w:val="en-US"/>
        </w:rPr>
        <w:t xml:space="preserve"> are also impacted</w:t>
      </w:r>
      <w:r w:rsidR="0097363B" w:rsidRPr="005B7E06">
        <w:rPr>
          <w:rFonts w:ascii="Calibri" w:hAnsi="Calibri" w:cs="Calibri"/>
          <w:lang w:val="en-US"/>
        </w:rPr>
        <w:t xml:space="preserve"> </w:t>
      </w:r>
      <w:r w:rsidR="001F4177" w:rsidRPr="005B7E06">
        <w:rPr>
          <w:rFonts w:ascii="Calibri" w:hAnsi="Calibri" w:cs="Calibri"/>
          <w:lang w:val="en-US"/>
        </w:rPr>
        <w:t xml:space="preserve">by tribunal claims. </w:t>
      </w:r>
      <w:r w:rsidR="008D408B" w:rsidRPr="005B7E06">
        <w:rPr>
          <w:rFonts w:ascii="Calibri" w:hAnsi="Calibri" w:cs="Calibri"/>
          <w:lang w:val="en-US"/>
        </w:rPr>
        <w:t xml:space="preserve"> </w:t>
      </w:r>
    </w:p>
    <w:p w14:paraId="59AEAB47" w14:textId="77777777" w:rsidR="00927C46" w:rsidRPr="005B7E06" w:rsidRDefault="00927C46" w:rsidP="00B94CF5">
      <w:pPr>
        <w:pStyle w:val="Body"/>
        <w:spacing w:line="240" w:lineRule="auto"/>
        <w:rPr>
          <w:rFonts w:ascii="Calibri" w:hAnsi="Calibri" w:cs="Calibri"/>
          <w:lang w:val="en-US"/>
        </w:rPr>
      </w:pPr>
    </w:p>
    <w:p w14:paraId="18758475" w14:textId="052C655B" w:rsidR="006C2658" w:rsidRPr="005B7E06" w:rsidRDefault="00FC5A97" w:rsidP="00B94CF5">
      <w:pPr>
        <w:pStyle w:val="Body"/>
        <w:spacing w:line="240" w:lineRule="auto"/>
        <w:rPr>
          <w:rFonts w:ascii="Calibri" w:hAnsi="Calibri" w:cs="Calibri"/>
          <w:lang w:val="en-US"/>
        </w:rPr>
      </w:pPr>
      <w:r w:rsidRPr="005B7E06">
        <w:rPr>
          <w:rFonts w:ascii="Calibri" w:hAnsi="Calibri" w:cs="Calibri"/>
          <w:lang w:val="en-US"/>
        </w:rPr>
        <w:t xml:space="preserve">The case of </w:t>
      </w:r>
      <w:r w:rsidR="009B189A" w:rsidRPr="005B7E06">
        <w:rPr>
          <w:rFonts w:ascii="Calibri" w:hAnsi="Calibri" w:cs="Calibri"/>
          <w:lang w:val="en-US"/>
        </w:rPr>
        <w:t xml:space="preserve">‘Mr N Clements Vs Guy’s and St Thomas NHS Foundation Trust’ illustrates </w:t>
      </w:r>
      <w:r w:rsidR="00971FD6" w:rsidRPr="005B7E06">
        <w:rPr>
          <w:rFonts w:ascii="Calibri" w:hAnsi="Calibri" w:cs="Calibri"/>
          <w:lang w:val="en-US"/>
        </w:rPr>
        <w:t xml:space="preserve">the importance of not discriminating </w:t>
      </w:r>
      <w:r w:rsidR="009365CD" w:rsidRPr="005B7E06">
        <w:rPr>
          <w:rFonts w:ascii="Calibri" w:hAnsi="Calibri" w:cs="Calibri"/>
          <w:lang w:val="en-US"/>
        </w:rPr>
        <w:t xml:space="preserve">against someone because of their sex. Clements was </w:t>
      </w:r>
      <w:r w:rsidR="002D6C22" w:rsidRPr="005B7E06">
        <w:rPr>
          <w:rFonts w:ascii="Calibri" w:hAnsi="Calibri" w:cs="Calibri"/>
          <w:lang w:val="en-US"/>
        </w:rPr>
        <w:t>declined</w:t>
      </w:r>
      <w:r w:rsidR="00043B01" w:rsidRPr="005B7E06">
        <w:rPr>
          <w:rFonts w:ascii="Calibri" w:hAnsi="Calibri" w:cs="Calibri"/>
          <w:lang w:val="en-US"/>
        </w:rPr>
        <w:t xml:space="preserve"> a </w:t>
      </w:r>
      <w:r w:rsidR="00927C46" w:rsidRPr="005B7E06">
        <w:rPr>
          <w:rFonts w:ascii="Calibri" w:hAnsi="Calibri" w:cs="Calibri"/>
          <w:lang w:val="en-US"/>
        </w:rPr>
        <w:t>role</w:t>
      </w:r>
      <w:r w:rsidR="00043B01" w:rsidRPr="005B7E06">
        <w:rPr>
          <w:rFonts w:ascii="Calibri" w:hAnsi="Calibri" w:cs="Calibri"/>
          <w:lang w:val="en-US"/>
        </w:rPr>
        <w:t xml:space="preserve"> because he was not the ‘best fit’ amongst a team of female colleagues</w:t>
      </w:r>
      <w:r w:rsidR="00927C46" w:rsidRPr="005B7E06">
        <w:rPr>
          <w:rFonts w:ascii="Calibri" w:hAnsi="Calibri" w:cs="Calibri"/>
          <w:lang w:val="en-US"/>
        </w:rPr>
        <w:t>. T</w:t>
      </w:r>
      <w:r w:rsidR="00043B01" w:rsidRPr="005B7E06">
        <w:rPr>
          <w:rFonts w:ascii="Calibri" w:hAnsi="Calibri" w:cs="Calibri"/>
          <w:lang w:val="en-US"/>
        </w:rPr>
        <w:t xml:space="preserve">he judge ruled </w:t>
      </w:r>
      <w:r w:rsidR="00F539A3" w:rsidRPr="005B7E06">
        <w:rPr>
          <w:rFonts w:ascii="Calibri" w:hAnsi="Calibri" w:cs="Calibri"/>
          <w:lang w:val="en-US"/>
        </w:rPr>
        <w:t xml:space="preserve">the </w:t>
      </w:r>
      <w:r w:rsidR="002D6C22" w:rsidRPr="005B7E06">
        <w:rPr>
          <w:rFonts w:ascii="Calibri" w:hAnsi="Calibri" w:cs="Calibri"/>
          <w:lang w:val="en-US"/>
        </w:rPr>
        <w:t xml:space="preserve">decision not to give Mr Clements the role was </w:t>
      </w:r>
      <w:r w:rsidR="00817ECB" w:rsidRPr="005B7E06">
        <w:rPr>
          <w:rFonts w:ascii="Calibri" w:hAnsi="Calibri" w:cs="Calibri"/>
          <w:lang w:val="en-US"/>
        </w:rPr>
        <w:t xml:space="preserve">influenced by team members who were ‘predominantly female, with an age range of between 30-32’. </w:t>
      </w:r>
      <w:r w:rsidR="00927C46" w:rsidRPr="005B7E06">
        <w:rPr>
          <w:rFonts w:ascii="Calibri" w:hAnsi="Calibri" w:cs="Calibri"/>
          <w:lang w:val="en-US"/>
        </w:rPr>
        <w:t>T</w:t>
      </w:r>
      <w:r w:rsidR="000A298A" w:rsidRPr="005B7E06">
        <w:rPr>
          <w:rFonts w:ascii="Calibri" w:hAnsi="Calibri" w:cs="Calibri"/>
          <w:lang w:val="en-US"/>
        </w:rPr>
        <w:t xml:space="preserve">he trust was ordered to pay </w:t>
      </w:r>
      <w:r w:rsidR="00175C1F" w:rsidRPr="005B7E06">
        <w:rPr>
          <w:rFonts w:ascii="Calibri" w:hAnsi="Calibri" w:cs="Calibri"/>
          <w:lang w:val="en-US"/>
        </w:rPr>
        <w:t xml:space="preserve">over £7500 in compensation and interest (People Management, </w:t>
      </w:r>
      <w:r w:rsidR="006A3D34" w:rsidRPr="005B7E06">
        <w:rPr>
          <w:rFonts w:ascii="Calibri" w:hAnsi="Calibri" w:cs="Calibri"/>
          <w:lang w:val="en-US"/>
        </w:rPr>
        <w:t xml:space="preserve">2021). </w:t>
      </w:r>
    </w:p>
    <w:p w14:paraId="1E0C3C86" w14:textId="77777777" w:rsidR="008D408B" w:rsidRPr="005B7E06" w:rsidRDefault="008D408B" w:rsidP="00B94CF5">
      <w:pPr>
        <w:pStyle w:val="Body"/>
        <w:spacing w:line="240" w:lineRule="auto"/>
        <w:rPr>
          <w:rFonts w:ascii="Calibri" w:hAnsi="Calibri" w:cs="Calibri"/>
          <w:lang w:val="en-US"/>
        </w:rPr>
      </w:pPr>
    </w:p>
    <w:p w14:paraId="11928168" w14:textId="7F8145A7" w:rsidR="009A3894" w:rsidRPr="005B7E06" w:rsidRDefault="008D408B" w:rsidP="00B94CF5">
      <w:pPr>
        <w:pStyle w:val="Body"/>
        <w:spacing w:line="240" w:lineRule="auto"/>
        <w:rPr>
          <w:rFonts w:ascii="Calibri" w:hAnsi="Calibri" w:cs="Calibri"/>
          <w:lang w:val="en-US"/>
        </w:rPr>
      </w:pPr>
      <w:r w:rsidRPr="005B7E06">
        <w:rPr>
          <w:rFonts w:ascii="Calibri" w:hAnsi="Calibri" w:cs="Calibri"/>
          <w:lang w:val="en-US"/>
        </w:rPr>
        <w:lastRenderedPageBreak/>
        <w:t xml:space="preserve">The Equality and Human Rights Commission </w:t>
      </w:r>
      <w:r w:rsidR="008466EE" w:rsidRPr="005B7E06">
        <w:rPr>
          <w:rFonts w:ascii="Calibri" w:hAnsi="Calibri" w:cs="Calibri"/>
          <w:lang w:val="en-US"/>
        </w:rPr>
        <w:t xml:space="preserve">has published a ‘Code of practice’ </w:t>
      </w:r>
      <w:r w:rsidR="006E08B0" w:rsidRPr="005B7E06">
        <w:rPr>
          <w:rFonts w:ascii="Calibri" w:hAnsi="Calibri" w:cs="Calibri"/>
          <w:lang w:val="en-US"/>
        </w:rPr>
        <w:t>which provides guidance about what the Equality Act</w:t>
      </w:r>
      <w:r w:rsidR="00BC3CE4" w:rsidRPr="005B7E06">
        <w:rPr>
          <w:rFonts w:ascii="Calibri" w:hAnsi="Calibri" w:cs="Calibri"/>
          <w:lang w:val="en-US"/>
        </w:rPr>
        <w:t xml:space="preserve"> says and</w:t>
      </w:r>
      <w:r w:rsidR="006E08B0" w:rsidRPr="005B7E06">
        <w:rPr>
          <w:rFonts w:ascii="Calibri" w:hAnsi="Calibri" w:cs="Calibri"/>
          <w:lang w:val="en-US"/>
        </w:rPr>
        <w:t xml:space="preserve"> means for organisations (EH</w:t>
      </w:r>
      <w:r w:rsidR="00491DB0" w:rsidRPr="005B7E06">
        <w:rPr>
          <w:rFonts w:ascii="Calibri" w:hAnsi="Calibri" w:cs="Calibri"/>
          <w:lang w:val="en-US"/>
        </w:rPr>
        <w:t xml:space="preserve">RC, </w:t>
      </w:r>
      <w:r w:rsidR="00B061F5" w:rsidRPr="005B7E06">
        <w:rPr>
          <w:rFonts w:ascii="Calibri" w:hAnsi="Calibri" w:cs="Calibri"/>
          <w:lang w:val="en-US"/>
        </w:rPr>
        <w:t xml:space="preserve">2015). </w:t>
      </w:r>
      <w:r w:rsidR="007234E0" w:rsidRPr="005B7E06">
        <w:rPr>
          <w:rFonts w:ascii="Calibri" w:hAnsi="Calibri" w:cs="Calibri"/>
          <w:lang w:val="en-US"/>
        </w:rPr>
        <w:t xml:space="preserve">Although this isn’t a legally binding guide, </w:t>
      </w:r>
      <w:r w:rsidR="00634776" w:rsidRPr="005B7E06">
        <w:rPr>
          <w:rFonts w:ascii="Calibri" w:hAnsi="Calibri" w:cs="Calibri"/>
          <w:lang w:val="en-US"/>
        </w:rPr>
        <w:t xml:space="preserve">CIPD suggests that ‘failing to follow’ the guidance could be considered in </w:t>
      </w:r>
      <w:r w:rsidR="0030747E" w:rsidRPr="005B7E06">
        <w:rPr>
          <w:rFonts w:ascii="Calibri" w:hAnsi="Calibri" w:cs="Calibri"/>
          <w:lang w:val="en-US"/>
        </w:rPr>
        <w:t xml:space="preserve">court or tribunal. </w:t>
      </w:r>
    </w:p>
    <w:p w14:paraId="37272D84" w14:textId="77777777" w:rsidR="009A3894" w:rsidRPr="005B7E06" w:rsidRDefault="009A3894" w:rsidP="00B94CF5">
      <w:pPr>
        <w:pStyle w:val="Body"/>
        <w:spacing w:line="240" w:lineRule="auto"/>
        <w:rPr>
          <w:rFonts w:ascii="Calibri" w:hAnsi="Calibri" w:cs="Calibri"/>
          <w:lang w:val="en-US"/>
        </w:rPr>
      </w:pPr>
    </w:p>
    <w:p w14:paraId="6C1A8F41" w14:textId="765F05F7" w:rsidR="00B94CF5" w:rsidRPr="005B7E06" w:rsidRDefault="007E6807" w:rsidP="00B94CF5">
      <w:pPr>
        <w:pStyle w:val="Body"/>
        <w:spacing w:line="240" w:lineRule="auto"/>
        <w:rPr>
          <w:rFonts w:ascii="Calibri" w:hAnsi="Calibri" w:cs="Calibri"/>
          <w:lang w:val="en-US"/>
        </w:rPr>
      </w:pPr>
      <w:r w:rsidRPr="005B7E06">
        <w:rPr>
          <w:rFonts w:ascii="Calibri" w:hAnsi="Calibri" w:cs="Calibri"/>
          <w:lang w:val="en-US"/>
        </w:rPr>
        <w:t xml:space="preserve">CIPD recommends </w:t>
      </w:r>
      <w:r w:rsidR="009A3894" w:rsidRPr="005B7E06">
        <w:rPr>
          <w:rFonts w:ascii="Calibri" w:hAnsi="Calibri" w:cs="Calibri"/>
          <w:lang w:val="en-US"/>
        </w:rPr>
        <w:t>organisations ‘review recruitment and selection</w:t>
      </w:r>
      <w:r w:rsidR="00230166" w:rsidRPr="005B7E06">
        <w:rPr>
          <w:rFonts w:ascii="Calibri" w:hAnsi="Calibri" w:cs="Calibri"/>
          <w:lang w:val="en-US"/>
        </w:rPr>
        <w:t>’ policies ensuring those</w:t>
      </w:r>
      <w:r w:rsidR="00E974A1" w:rsidRPr="005B7E06">
        <w:rPr>
          <w:rFonts w:ascii="Calibri" w:hAnsi="Calibri" w:cs="Calibri"/>
          <w:lang w:val="en-US"/>
        </w:rPr>
        <w:t xml:space="preserve"> </w:t>
      </w:r>
      <w:r w:rsidR="00230166" w:rsidRPr="005B7E06">
        <w:rPr>
          <w:rFonts w:ascii="Calibri" w:hAnsi="Calibri" w:cs="Calibri"/>
          <w:lang w:val="en-US"/>
        </w:rPr>
        <w:t xml:space="preserve">responsible for selection </w:t>
      </w:r>
      <w:r w:rsidR="00526B88" w:rsidRPr="005B7E06">
        <w:rPr>
          <w:rFonts w:ascii="Calibri" w:hAnsi="Calibri" w:cs="Calibri"/>
          <w:lang w:val="en-US"/>
        </w:rPr>
        <w:t>are trained to focus on skills</w:t>
      </w:r>
      <w:r w:rsidR="00303B9A" w:rsidRPr="005B7E06">
        <w:rPr>
          <w:rFonts w:ascii="Calibri" w:hAnsi="Calibri" w:cs="Calibri"/>
          <w:lang w:val="en-US"/>
        </w:rPr>
        <w:t>, experience and ‘personal merit’</w:t>
      </w:r>
      <w:r w:rsidR="004A0FB1" w:rsidRPr="005B7E06">
        <w:rPr>
          <w:rFonts w:ascii="Calibri" w:hAnsi="Calibri" w:cs="Calibri"/>
          <w:lang w:val="en-US"/>
        </w:rPr>
        <w:t xml:space="preserve"> </w:t>
      </w:r>
      <w:r w:rsidR="00245909" w:rsidRPr="005B7E06">
        <w:rPr>
          <w:rFonts w:ascii="Calibri" w:hAnsi="Calibri" w:cs="Calibri"/>
          <w:lang w:val="en-US"/>
        </w:rPr>
        <w:t>enabling a fair assessment process</w:t>
      </w:r>
      <w:r w:rsidR="00E974A1" w:rsidRPr="005B7E06">
        <w:rPr>
          <w:rFonts w:ascii="Calibri" w:hAnsi="Calibri" w:cs="Calibri"/>
          <w:lang w:val="en-US"/>
        </w:rPr>
        <w:t xml:space="preserve">, </w:t>
      </w:r>
      <w:r w:rsidR="007417F2" w:rsidRPr="005B7E06">
        <w:rPr>
          <w:rFonts w:ascii="Calibri" w:hAnsi="Calibri" w:cs="Calibri"/>
          <w:lang w:val="en-US"/>
        </w:rPr>
        <w:t>removing ‘unfair discrimination and bias’</w:t>
      </w:r>
      <w:r w:rsidR="00373A5D" w:rsidRPr="005B7E06">
        <w:rPr>
          <w:rFonts w:ascii="Calibri" w:hAnsi="Calibri" w:cs="Calibri"/>
          <w:lang w:val="en-US"/>
        </w:rPr>
        <w:t xml:space="preserve"> (CIPD, 2025). </w:t>
      </w:r>
      <w:r w:rsidR="00DC3D19" w:rsidRPr="005B7E06">
        <w:rPr>
          <w:rFonts w:ascii="Calibri" w:hAnsi="Calibri" w:cs="Calibri"/>
          <w:lang w:val="en-US"/>
        </w:rPr>
        <w:t xml:space="preserve">During recruitment and selection, discrimination could </w:t>
      </w:r>
      <w:r w:rsidR="00C202EA" w:rsidRPr="005B7E06">
        <w:rPr>
          <w:rFonts w:ascii="Calibri" w:hAnsi="Calibri" w:cs="Calibri"/>
          <w:lang w:val="en-US"/>
        </w:rPr>
        <w:t xml:space="preserve">happen when deciding ‘not to offer someone a job’ </w:t>
      </w:r>
      <w:r w:rsidR="00D165EC" w:rsidRPr="005B7E06">
        <w:rPr>
          <w:rFonts w:ascii="Calibri" w:hAnsi="Calibri" w:cs="Calibri"/>
          <w:lang w:val="en-US"/>
        </w:rPr>
        <w:t xml:space="preserve">(ACAS, 2024). </w:t>
      </w:r>
    </w:p>
    <w:p w14:paraId="1A533BE0" w14:textId="77777777" w:rsidR="003C15AE" w:rsidRPr="005B7E06" w:rsidRDefault="003C15AE" w:rsidP="00B94CF5">
      <w:pPr>
        <w:pStyle w:val="Body"/>
        <w:spacing w:line="240" w:lineRule="auto"/>
        <w:rPr>
          <w:rFonts w:ascii="Calibri" w:hAnsi="Calibri" w:cs="Calibri"/>
          <w:lang w:val="en-US"/>
        </w:rPr>
      </w:pPr>
    </w:p>
    <w:p w14:paraId="7BFC83DD" w14:textId="4EE25F61" w:rsidR="003C15AE" w:rsidRPr="005B7E06" w:rsidRDefault="0040481D" w:rsidP="00B94CF5">
      <w:pPr>
        <w:pStyle w:val="Body"/>
        <w:spacing w:line="240" w:lineRule="auto"/>
        <w:rPr>
          <w:rFonts w:ascii="Calibri" w:hAnsi="Calibri" w:cs="Calibri"/>
          <w:lang w:val="en-US"/>
        </w:rPr>
      </w:pPr>
      <w:r w:rsidRPr="005B7E06">
        <w:rPr>
          <w:rFonts w:ascii="Calibri" w:hAnsi="Calibri" w:cs="Calibri"/>
          <w:lang w:val="en-US"/>
        </w:rPr>
        <w:t xml:space="preserve">To prevent discrimination in recruitment, </w:t>
      </w:r>
      <w:r w:rsidR="000B2AA0" w:rsidRPr="005B7E06">
        <w:rPr>
          <w:rFonts w:ascii="Calibri" w:hAnsi="Calibri" w:cs="Calibri"/>
          <w:lang w:val="en-US"/>
        </w:rPr>
        <w:t xml:space="preserve">organisations should not </w:t>
      </w:r>
      <w:r w:rsidR="00BD20AA" w:rsidRPr="005B7E06">
        <w:rPr>
          <w:rFonts w:ascii="Calibri" w:hAnsi="Calibri" w:cs="Calibri"/>
          <w:lang w:val="en-US"/>
        </w:rPr>
        <w:t xml:space="preserve">imply that anyone will be discriminated against and consider where roles are advertised. </w:t>
      </w:r>
      <w:r w:rsidR="00121228" w:rsidRPr="005B7E06">
        <w:rPr>
          <w:rFonts w:ascii="Calibri" w:hAnsi="Calibri" w:cs="Calibri"/>
          <w:lang w:val="en-US"/>
        </w:rPr>
        <w:t>O</w:t>
      </w:r>
      <w:r w:rsidR="00BD20AA" w:rsidRPr="005B7E06">
        <w:rPr>
          <w:rFonts w:ascii="Calibri" w:hAnsi="Calibri" w:cs="Calibri"/>
          <w:lang w:val="en-US"/>
        </w:rPr>
        <w:t xml:space="preserve">nly </w:t>
      </w:r>
      <w:r w:rsidR="00A46A86" w:rsidRPr="005B7E06">
        <w:rPr>
          <w:rFonts w:ascii="Calibri" w:hAnsi="Calibri" w:cs="Calibri"/>
          <w:lang w:val="en-US"/>
        </w:rPr>
        <w:t>advertising roles</w:t>
      </w:r>
      <w:r w:rsidR="00BD20AA" w:rsidRPr="005B7E06">
        <w:rPr>
          <w:rFonts w:ascii="Calibri" w:hAnsi="Calibri" w:cs="Calibri"/>
          <w:lang w:val="en-US"/>
        </w:rPr>
        <w:t xml:space="preserve"> in men’s magazines is likely to attract more m</w:t>
      </w:r>
      <w:r w:rsidR="00A46A86" w:rsidRPr="005B7E06">
        <w:rPr>
          <w:rFonts w:ascii="Calibri" w:hAnsi="Calibri" w:cs="Calibri"/>
          <w:lang w:val="en-US"/>
        </w:rPr>
        <w:t>ale</w:t>
      </w:r>
      <w:r w:rsidR="00BD20AA" w:rsidRPr="005B7E06">
        <w:rPr>
          <w:rFonts w:ascii="Calibri" w:hAnsi="Calibri" w:cs="Calibri"/>
          <w:lang w:val="en-US"/>
        </w:rPr>
        <w:t xml:space="preserve"> applicants due to the target audience. </w:t>
      </w:r>
      <w:r w:rsidR="00B43B1F" w:rsidRPr="005B7E06">
        <w:rPr>
          <w:rFonts w:ascii="Calibri" w:hAnsi="Calibri" w:cs="Calibri"/>
          <w:lang w:val="en-US"/>
        </w:rPr>
        <w:t xml:space="preserve">Organisations should not ask candidates about ‘protected characteristics’ </w:t>
      </w:r>
      <w:r w:rsidR="00097416" w:rsidRPr="005B7E06">
        <w:rPr>
          <w:rFonts w:ascii="Calibri" w:hAnsi="Calibri" w:cs="Calibri"/>
          <w:lang w:val="en-US"/>
        </w:rPr>
        <w:t xml:space="preserve">but they </w:t>
      </w:r>
      <w:r w:rsidR="00BD21AB" w:rsidRPr="005B7E06">
        <w:rPr>
          <w:rFonts w:ascii="Calibri" w:hAnsi="Calibri" w:cs="Calibri"/>
          <w:lang w:val="en-US"/>
        </w:rPr>
        <w:t xml:space="preserve">are able to employ a candidate who has a protected characteristic over </w:t>
      </w:r>
      <w:r w:rsidR="00B7373B" w:rsidRPr="005B7E06">
        <w:rPr>
          <w:rFonts w:ascii="Calibri" w:hAnsi="Calibri" w:cs="Calibri"/>
          <w:lang w:val="en-US"/>
        </w:rPr>
        <w:t xml:space="preserve">someone who doesn’t if both are ‘suitable’ for the role and if the organisation is </w:t>
      </w:r>
      <w:r w:rsidR="00CB7281" w:rsidRPr="005B7E06">
        <w:rPr>
          <w:rFonts w:ascii="Calibri" w:hAnsi="Calibri" w:cs="Calibri"/>
          <w:lang w:val="en-US"/>
        </w:rPr>
        <w:t xml:space="preserve">‘underrepresented’ within the workforce with that </w:t>
      </w:r>
      <w:r w:rsidR="00A05E12" w:rsidRPr="005B7E06">
        <w:rPr>
          <w:rFonts w:ascii="Calibri" w:hAnsi="Calibri" w:cs="Calibri"/>
          <w:lang w:val="en-US"/>
        </w:rPr>
        <w:t>characteristic</w:t>
      </w:r>
      <w:r w:rsidR="00ED3035" w:rsidRPr="005B7E06">
        <w:rPr>
          <w:rFonts w:ascii="Calibri" w:hAnsi="Calibri" w:cs="Calibri"/>
          <w:lang w:val="en-US"/>
        </w:rPr>
        <w:t xml:space="preserve"> (GOV.UK). </w:t>
      </w:r>
    </w:p>
    <w:p w14:paraId="008FA16D" w14:textId="77777777" w:rsidR="003C15AE" w:rsidRPr="005B7E06" w:rsidRDefault="003C15AE" w:rsidP="00B94CF5">
      <w:pPr>
        <w:pStyle w:val="Body"/>
        <w:spacing w:line="240" w:lineRule="auto"/>
        <w:rPr>
          <w:rFonts w:ascii="Calibri" w:hAnsi="Calibri" w:cs="Calibri"/>
          <w:lang w:val="en-US"/>
        </w:rPr>
      </w:pPr>
    </w:p>
    <w:p w14:paraId="5ACB78A6" w14:textId="2064E95A" w:rsidR="003C15AE" w:rsidRPr="005B7E06" w:rsidRDefault="00ED3035" w:rsidP="00B94CF5">
      <w:pPr>
        <w:pStyle w:val="Body"/>
        <w:spacing w:line="240" w:lineRule="auto"/>
        <w:rPr>
          <w:rFonts w:ascii="Calibri" w:hAnsi="Calibri" w:cs="Calibri"/>
          <w:lang w:val="en-US"/>
        </w:rPr>
      </w:pPr>
      <w:r w:rsidRPr="005B7E06">
        <w:rPr>
          <w:rFonts w:ascii="Calibri" w:hAnsi="Calibri" w:cs="Calibri"/>
          <w:lang w:val="en-US"/>
        </w:rPr>
        <w:t xml:space="preserve">It is vital organisations consider and adhere to </w:t>
      </w:r>
      <w:r w:rsidR="00C0583E" w:rsidRPr="005B7E06">
        <w:rPr>
          <w:rFonts w:ascii="Calibri" w:hAnsi="Calibri" w:cs="Calibri"/>
          <w:lang w:val="en-US"/>
        </w:rPr>
        <w:t>discrimination law in recruitment practices to avoid significant legal and ethical risk</w:t>
      </w:r>
      <w:r w:rsidR="001F4177" w:rsidRPr="005B7E06">
        <w:rPr>
          <w:rFonts w:ascii="Calibri" w:hAnsi="Calibri" w:cs="Calibri"/>
          <w:lang w:val="en-US"/>
        </w:rPr>
        <w:t>s.</w:t>
      </w:r>
      <w:r w:rsidR="006A3D34" w:rsidRPr="005B7E06">
        <w:rPr>
          <w:rFonts w:ascii="Calibri" w:hAnsi="Calibri" w:cs="Calibri"/>
          <w:lang w:val="en-US"/>
        </w:rPr>
        <w:t xml:space="preserve"> </w:t>
      </w:r>
      <w:r w:rsidR="000926D0" w:rsidRPr="005B7E06">
        <w:rPr>
          <w:rFonts w:ascii="Calibri" w:hAnsi="Calibri" w:cs="Calibri"/>
          <w:lang w:val="en-US"/>
        </w:rPr>
        <w:t>Treating an individual less favorably because of their gender is known as ‘direct discrimination’ and cannot be justified (Daniels, 2020).</w:t>
      </w:r>
    </w:p>
    <w:p w14:paraId="3E75D8DF" w14:textId="77777777" w:rsidR="00C0583E" w:rsidRPr="005B7E06" w:rsidRDefault="00C0583E" w:rsidP="00B94CF5">
      <w:pPr>
        <w:pStyle w:val="Body"/>
        <w:spacing w:line="240" w:lineRule="auto"/>
        <w:rPr>
          <w:rFonts w:ascii="Calibri" w:hAnsi="Calibri" w:cs="Calibri"/>
          <w:lang w:val="en-US"/>
        </w:rPr>
      </w:pPr>
    </w:p>
    <w:p w14:paraId="27B213D3" w14:textId="60153366" w:rsidR="00120904" w:rsidRPr="005B7E06" w:rsidRDefault="00644E75">
      <w:pPr>
        <w:rPr>
          <w:rFonts w:ascii="Calibri" w:hAnsi="Calibri" w:cs="Calibri"/>
          <w:b/>
          <w:bCs/>
          <w:color w:val="000000" w:themeColor="text1"/>
        </w:rPr>
      </w:pPr>
      <w:r w:rsidRPr="005B7E06">
        <w:rPr>
          <w:rFonts w:ascii="Calibri" w:hAnsi="Calibri" w:cs="Calibri"/>
          <w:b/>
          <w:bCs/>
          <w:color w:val="000000" w:themeColor="text1"/>
        </w:rPr>
        <w:t xml:space="preserve">2.2. </w:t>
      </w:r>
      <w:r w:rsidR="003E4A89" w:rsidRPr="005B7E06">
        <w:rPr>
          <w:rFonts w:ascii="Calibri" w:hAnsi="Calibri" w:cs="Calibri"/>
          <w:b/>
          <w:bCs/>
          <w:color w:val="000000" w:themeColor="text1"/>
        </w:rPr>
        <w:t>-</w:t>
      </w:r>
      <w:r w:rsidR="000A0695" w:rsidRPr="005B7E06">
        <w:rPr>
          <w:rFonts w:ascii="Calibri" w:hAnsi="Calibri" w:cs="Calibri"/>
          <w:b/>
          <w:bCs/>
          <w:color w:val="000000" w:themeColor="text1"/>
        </w:rPr>
        <w:t xml:space="preserve"> </w:t>
      </w:r>
      <w:r w:rsidR="00545050" w:rsidRPr="005B7E06">
        <w:rPr>
          <w:rFonts w:ascii="Calibri" w:hAnsi="Calibri" w:cs="Calibri"/>
          <w:b/>
          <w:bCs/>
          <w:color w:val="000000" w:themeColor="text1"/>
        </w:rPr>
        <w:t>Email 4</w:t>
      </w:r>
    </w:p>
    <w:p w14:paraId="075BB7F0" w14:textId="77777777" w:rsidR="005903B2" w:rsidRPr="005B7E06" w:rsidRDefault="005903B2" w:rsidP="005903B2">
      <w:pPr>
        <w:rPr>
          <w:rFonts w:ascii="Calibri" w:hAnsi="Calibri" w:cs="Calibri"/>
        </w:rPr>
      </w:pPr>
      <w:r w:rsidRPr="005B7E06">
        <w:rPr>
          <w:rFonts w:ascii="Calibri" w:hAnsi="Calibri" w:cs="Calibri"/>
        </w:rPr>
        <w:t>The law gives women the right to be paid equally as men for similar roles, work deemed as equivalent or work of equivalent value (CIPD, 2025). Equal work doesn’t necessarily mean the job is the same; roles could be different but are class as ‘equal work’ (ACAS, 2024). </w:t>
      </w:r>
    </w:p>
    <w:p w14:paraId="64AC2463" w14:textId="77777777" w:rsidR="005903B2" w:rsidRPr="005B7E06" w:rsidRDefault="005903B2" w:rsidP="005903B2">
      <w:pPr>
        <w:rPr>
          <w:rFonts w:ascii="Calibri" w:hAnsi="Calibri" w:cs="Calibri"/>
        </w:rPr>
      </w:pPr>
      <w:r w:rsidRPr="005B7E06">
        <w:rPr>
          <w:rFonts w:ascii="Calibri" w:hAnsi="Calibri" w:cs="Calibri"/>
        </w:rPr>
        <w:t xml:space="preserve">Equal pay law is covered by the Equality Act 2010 and applies to contractual terms and conditions such as basic salary, pension and working hours (ACAS, 2024). The Equality Act 2010 prohibits sex discrimination in pay which means if men and women are doing the same or similar jobs, they should be paid equally. </w:t>
      </w:r>
      <w:r w:rsidRPr="005B7E06">
        <w:rPr>
          <w:rFonts w:ascii="Calibri" w:hAnsi="Calibri" w:cs="Calibri"/>
          <w:strike/>
        </w:rPr>
        <w:t>The employee’s length or service or type of contract is irrelevant (EHRC, 2025).</w:t>
      </w:r>
      <w:r w:rsidRPr="005B7E06">
        <w:rPr>
          <w:rFonts w:ascii="Calibri" w:hAnsi="Calibri" w:cs="Calibri"/>
        </w:rPr>
        <w:t> </w:t>
      </w:r>
    </w:p>
    <w:p w14:paraId="3AFCDEA1" w14:textId="77777777" w:rsidR="005903B2" w:rsidRPr="005B7E06" w:rsidRDefault="005903B2" w:rsidP="005903B2">
      <w:pPr>
        <w:rPr>
          <w:rFonts w:ascii="Calibri" w:hAnsi="Calibri" w:cs="Calibri"/>
          <w:b/>
          <w:bCs/>
          <w:color w:val="FF0000"/>
        </w:rPr>
      </w:pPr>
      <w:r w:rsidRPr="005B7E06">
        <w:rPr>
          <w:rFonts w:ascii="Calibri" w:hAnsi="Calibri" w:cs="Calibri"/>
        </w:rPr>
        <w:t xml:space="preserve">There are times when differences in pay between genders may be allowed. If someone’s skills are detrimental to their role and it’s hard to recruit for the role, </w:t>
      </w:r>
      <w:r w:rsidRPr="005B7E06">
        <w:rPr>
          <w:rFonts w:ascii="Calibri" w:hAnsi="Calibri" w:cs="Calibri"/>
          <w:color w:val="FF0000"/>
        </w:rPr>
        <w:t xml:space="preserve">if an employee is better qualified </w:t>
      </w:r>
      <w:r w:rsidRPr="005B7E06">
        <w:rPr>
          <w:rFonts w:ascii="Calibri" w:hAnsi="Calibri" w:cs="Calibri"/>
        </w:rPr>
        <w:t>or because of where they are located, in London for example, where the cost of living is higher. </w:t>
      </w:r>
      <w:r w:rsidRPr="005B7E06">
        <w:rPr>
          <w:rFonts w:ascii="Calibri" w:hAnsi="Calibri" w:cs="Calibri"/>
          <w:color w:val="FF0000"/>
        </w:rPr>
        <w:t xml:space="preserve">If the roles and duties are the same and the only difference in pay is the gender of the employee, the trust will be breaking the law and the employees that are at a disadvantage could take the employer to a tribunal and claim compensation (Unison, n.d.). </w:t>
      </w:r>
    </w:p>
    <w:p w14:paraId="11F59936" w14:textId="77777777" w:rsidR="005903B2" w:rsidRPr="005B7E06" w:rsidRDefault="005903B2" w:rsidP="005903B2">
      <w:pPr>
        <w:rPr>
          <w:rFonts w:ascii="Calibri" w:hAnsi="Calibri" w:cs="Calibri"/>
          <w:strike/>
        </w:rPr>
      </w:pPr>
      <w:r w:rsidRPr="005B7E06">
        <w:rPr>
          <w:rFonts w:ascii="Calibri" w:hAnsi="Calibri" w:cs="Calibri"/>
          <w:strike/>
        </w:rPr>
        <w:t>It is important to regularly review pay processes to ensure there are no disparities in the way people are paid. Organisations should have a ‘transparent’ pay system, so all employees understand it. There should be an ‘equal pay policy’ in place and organisations should review job descriptions regularly to ensure accuraty and determine which groups of employees are ‘doing equal work’ (COPD, 2024). There should be regular audits done by organisations, so the pay system is understood and identify if there is disparity in the way men and women are paid. If there are gaps, there should be a clear plan in place to eliminate these. </w:t>
      </w:r>
    </w:p>
    <w:p w14:paraId="1603747A" w14:textId="77777777" w:rsidR="005903B2" w:rsidRPr="005B7E06" w:rsidRDefault="005903B2" w:rsidP="005903B2">
      <w:pPr>
        <w:rPr>
          <w:rFonts w:ascii="Calibri" w:hAnsi="Calibri" w:cs="Calibri"/>
        </w:rPr>
      </w:pPr>
      <w:r w:rsidRPr="005B7E06">
        <w:rPr>
          <w:rFonts w:ascii="Calibri" w:hAnsi="Calibri" w:cs="Calibri"/>
          <w:color w:val="FF0000"/>
        </w:rPr>
        <w:t>The legal implications of not complying with the law regarding equal pay could result in the trust being subject to legal claims that are costly (EHRC, 2021). This is evidenced in the case Asda Stores Ltd V Brierley and others</w:t>
      </w:r>
      <w:r w:rsidRPr="005B7E06">
        <w:rPr>
          <w:rFonts w:ascii="Calibri" w:hAnsi="Calibri" w:cs="Calibri"/>
        </w:rPr>
        <w:t xml:space="preserve">. </w:t>
      </w:r>
      <w:r w:rsidRPr="005B7E06">
        <w:rPr>
          <w:rFonts w:ascii="Calibri" w:hAnsi="Calibri" w:cs="Calibri"/>
          <w:strike/>
        </w:rPr>
        <w:t>There are legal risks to not complying with equal pay law.</w:t>
      </w:r>
      <w:r w:rsidRPr="005B7E06">
        <w:rPr>
          <w:rFonts w:ascii="Calibri" w:hAnsi="Calibri" w:cs="Calibri"/>
        </w:rPr>
        <w:t xml:space="preserve"> In 2021, the Supreme Court ruled Asda’s ‘mostly female’ retail workers had comparable role to distribution workers and therefore, they should have been paid equally. In January 2025, an employment tribunal </w:t>
      </w:r>
      <w:r w:rsidRPr="005B7E06">
        <w:rPr>
          <w:rFonts w:ascii="Calibri" w:hAnsi="Calibri" w:cs="Calibri"/>
        </w:rPr>
        <w:lastRenderedPageBreak/>
        <w:t xml:space="preserve">held that Asda’s attempts to justify </w:t>
      </w:r>
      <w:r w:rsidRPr="005B7E06">
        <w:rPr>
          <w:rFonts w:ascii="Calibri" w:hAnsi="Calibri" w:cs="Calibri"/>
          <w:strike/>
        </w:rPr>
        <w:t>the</w:t>
      </w:r>
      <w:r w:rsidRPr="005B7E06">
        <w:rPr>
          <w:rFonts w:ascii="Calibri" w:hAnsi="Calibri" w:cs="Calibri"/>
        </w:rPr>
        <w:t xml:space="preserve"> differences in pay were not founded. This case involved over 60,000 workers claiming up to ‘£20,000 per individual claim’</w:t>
      </w:r>
      <w:r w:rsidRPr="005B7E06">
        <w:rPr>
          <w:rFonts w:ascii="Calibri" w:hAnsi="Calibri" w:cs="Calibri"/>
          <w:strike/>
        </w:rPr>
        <w:t>. This</w:t>
      </w:r>
      <w:r w:rsidRPr="005B7E06">
        <w:rPr>
          <w:rFonts w:ascii="Calibri" w:hAnsi="Calibri" w:cs="Calibri"/>
        </w:rPr>
        <w:t xml:space="preserve"> highlight</w:t>
      </w:r>
      <w:r w:rsidRPr="005B7E06">
        <w:rPr>
          <w:rFonts w:ascii="Calibri" w:hAnsi="Calibri" w:cs="Calibri"/>
          <w:strike/>
        </w:rPr>
        <w:t>s</w:t>
      </w:r>
      <w:r w:rsidRPr="005B7E06">
        <w:rPr>
          <w:rFonts w:ascii="Calibri" w:hAnsi="Calibri" w:cs="Calibri"/>
          <w:color w:val="FF0000"/>
        </w:rPr>
        <w:t>ing</w:t>
      </w:r>
      <w:r w:rsidRPr="005B7E06">
        <w:rPr>
          <w:rFonts w:ascii="Calibri" w:hAnsi="Calibri" w:cs="Calibri"/>
        </w:rPr>
        <w:t xml:space="preserve"> the significant implications of gender pay disparities </w:t>
      </w:r>
      <w:r w:rsidRPr="005B7E06">
        <w:rPr>
          <w:rFonts w:ascii="Calibri" w:hAnsi="Calibri" w:cs="Calibri"/>
          <w:color w:val="FF0000"/>
        </w:rPr>
        <w:t xml:space="preserve">and how expensive it could be for the trust if it doesn’t pay fairly. </w:t>
      </w:r>
    </w:p>
    <w:p w14:paraId="1D982737" w14:textId="77777777" w:rsidR="005903B2" w:rsidRPr="005B7E06" w:rsidRDefault="005903B2" w:rsidP="005903B2">
      <w:pPr>
        <w:rPr>
          <w:rFonts w:ascii="Calibri" w:hAnsi="Calibri" w:cs="Calibri"/>
        </w:rPr>
      </w:pPr>
      <w:r w:rsidRPr="005B7E06">
        <w:rPr>
          <w:rFonts w:ascii="Calibri" w:hAnsi="Calibri" w:cs="Calibri"/>
          <w:color w:val="FF0000"/>
        </w:rPr>
        <w:t xml:space="preserve">If an employee has a successful employment tribunal claim relating to gender pay concerns, the trust could then be required to complete a pay audit on other employees detailing how the breach was found and steps to avoid further breaches (CIPD, 2024). </w:t>
      </w:r>
      <w:r w:rsidRPr="005B7E06">
        <w:rPr>
          <w:rFonts w:ascii="Calibri" w:hAnsi="Calibri" w:cs="Calibri"/>
          <w:strike/>
        </w:rPr>
        <w:t>Tribunals can request organisations complete ‘equal pay audits’ if they lose a tribunal claim relating to gender pay issues</w:t>
      </w:r>
      <w:r w:rsidRPr="005B7E06">
        <w:rPr>
          <w:rFonts w:ascii="Calibri" w:hAnsi="Calibri" w:cs="Calibri"/>
        </w:rPr>
        <w:t>.</w:t>
      </w:r>
      <w:r w:rsidRPr="005B7E06">
        <w:rPr>
          <w:rFonts w:ascii="Calibri" w:hAnsi="Calibri" w:cs="Calibri"/>
          <w:strike/>
        </w:rPr>
        <w:t xml:space="preserve"> The audit needs to cover how the reason for the ‘breach was identified’ and the steps in place the organisation plan on following to avoid further breaches (CIPD, 2024). </w:t>
      </w:r>
      <w:r w:rsidRPr="005B7E06">
        <w:rPr>
          <w:rFonts w:ascii="Calibri" w:hAnsi="Calibri" w:cs="Calibri"/>
        </w:rPr>
        <w:t xml:space="preserve">The </w:t>
      </w:r>
      <w:r w:rsidRPr="005B7E06">
        <w:rPr>
          <w:rFonts w:ascii="Calibri" w:hAnsi="Calibri" w:cs="Calibri"/>
          <w:strike/>
        </w:rPr>
        <w:t>organisation</w:t>
      </w:r>
      <w:r w:rsidRPr="005B7E06">
        <w:rPr>
          <w:rFonts w:ascii="Calibri" w:hAnsi="Calibri" w:cs="Calibri"/>
        </w:rPr>
        <w:t xml:space="preserve"> </w:t>
      </w:r>
      <w:r w:rsidRPr="005B7E06">
        <w:rPr>
          <w:rFonts w:ascii="Calibri" w:hAnsi="Calibri" w:cs="Calibri"/>
          <w:color w:val="FF0000"/>
        </w:rPr>
        <w:t>trust</w:t>
      </w:r>
      <w:r w:rsidRPr="005B7E06">
        <w:rPr>
          <w:rFonts w:ascii="Calibri" w:hAnsi="Calibri" w:cs="Calibri"/>
        </w:rPr>
        <w:t xml:space="preserve"> </w:t>
      </w:r>
      <w:r w:rsidRPr="005B7E06">
        <w:rPr>
          <w:rFonts w:ascii="Calibri" w:hAnsi="Calibri" w:cs="Calibri"/>
          <w:strike/>
        </w:rPr>
        <w:t>will</w:t>
      </w:r>
      <w:r w:rsidRPr="005B7E06">
        <w:rPr>
          <w:rFonts w:ascii="Calibri" w:hAnsi="Calibri" w:cs="Calibri"/>
        </w:rPr>
        <w:t xml:space="preserve"> </w:t>
      </w:r>
      <w:r w:rsidRPr="005B7E06">
        <w:rPr>
          <w:rFonts w:ascii="Calibri" w:hAnsi="Calibri" w:cs="Calibri"/>
          <w:color w:val="FF0000"/>
        </w:rPr>
        <w:t>would</w:t>
      </w:r>
      <w:r w:rsidRPr="005B7E06">
        <w:rPr>
          <w:rFonts w:ascii="Calibri" w:hAnsi="Calibri" w:cs="Calibri"/>
        </w:rPr>
        <w:t xml:space="preserve"> then submit the audit to the tribunal to review. If satisfied, the tribunal </w:t>
      </w:r>
      <w:r w:rsidRPr="005B7E06">
        <w:rPr>
          <w:rFonts w:ascii="Calibri" w:hAnsi="Calibri" w:cs="Calibri"/>
          <w:color w:val="FF0000"/>
        </w:rPr>
        <w:t>would</w:t>
      </w:r>
      <w:r w:rsidRPr="005B7E06">
        <w:rPr>
          <w:rFonts w:ascii="Calibri" w:hAnsi="Calibri" w:cs="Calibri"/>
        </w:rPr>
        <w:t xml:space="preserve"> </w:t>
      </w:r>
      <w:r w:rsidRPr="005B7E06">
        <w:rPr>
          <w:rFonts w:ascii="Calibri" w:hAnsi="Calibri" w:cs="Calibri"/>
          <w:strike/>
        </w:rPr>
        <w:t>will make a ‘final order’ to</w:t>
      </w:r>
      <w:r w:rsidRPr="005B7E06">
        <w:rPr>
          <w:rFonts w:ascii="Calibri" w:hAnsi="Calibri" w:cs="Calibri"/>
        </w:rPr>
        <w:t xml:space="preserve"> confirm it now complies. Tribunals can ‘impose a penalty’ on organisations of up to £5000 if they do not comply with the audit order. </w:t>
      </w:r>
      <w:r w:rsidRPr="005B7E06">
        <w:rPr>
          <w:rFonts w:ascii="Calibri" w:hAnsi="Calibri" w:cs="Calibri"/>
          <w:strike/>
        </w:rPr>
        <w:t>Paying a higher wage must have nothing to do with gender.</w:t>
      </w:r>
      <w:r w:rsidRPr="005B7E06">
        <w:rPr>
          <w:rFonts w:ascii="Calibri" w:hAnsi="Calibri" w:cs="Calibri"/>
        </w:rPr>
        <w:t xml:space="preserve"> </w:t>
      </w:r>
    </w:p>
    <w:p w14:paraId="712539FA" w14:textId="77777777" w:rsidR="005903B2" w:rsidRPr="005B7E06" w:rsidRDefault="005903B2" w:rsidP="005903B2">
      <w:pPr>
        <w:rPr>
          <w:rFonts w:ascii="Calibri" w:hAnsi="Calibri" w:cs="Calibri"/>
          <w:color w:val="FF0000"/>
        </w:rPr>
      </w:pPr>
      <w:r w:rsidRPr="005B7E06">
        <w:rPr>
          <w:rFonts w:ascii="Calibri" w:hAnsi="Calibri" w:cs="Calibri"/>
          <w:color w:val="FF0000"/>
        </w:rPr>
        <w:t xml:space="preserve">Failure to follow equal pay law could also result in breakdown in relationships with staff affecting culture and morale and reputational damage for the trust (EHRC, 2021). </w:t>
      </w:r>
      <w:r w:rsidRPr="005B7E06">
        <w:rPr>
          <w:rFonts w:ascii="Calibri" w:hAnsi="Calibri" w:cs="Calibri"/>
        </w:rPr>
        <w:t xml:space="preserve">Paying </w:t>
      </w:r>
      <w:r w:rsidRPr="005B7E06">
        <w:rPr>
          <w:rFonts w:ascii="Calibri" w:hAnsi="Calibri" w:cs="Calibri"/>
          <w:color w:val="FF0000"/>
        </w:rPr>
        <w:t>employees</w:t>
      </w:r>
      <w:r w:rsidRPr="005B7E06">
        <w:rPr>
          <w:rFonts w:ascii="Calibri" w:hAnsi="Calibri" w:cs="Calibri"/>
        </w:rPr>
        <w:t xml:space="preserve"> a higher wage must have nothing to do with gender.</w:t>
      </w:r>
    </w:p>
    <w:p w14:paraId="5924FBC0" w14:textId="38094A23" w:rsidR="000A0695" w:rsidRPr="005B7E06" w:rsidRDefault="00622569" w:rsidP="00624D77">
      <w:pPr>
        <w:pStyle w:val="ListParagraph"/>
        <w:numPr>
          <w:ilvl w:val="1"/>
          <w:numId w:val="2"/>
        </w:numPr>
        <w:rPr>
          <w:rFonts w:ascii="Calibri" w:hAnsi="Calibri" w:cs="Calibri"/>
          <w:b/>
          <w:bCs/>
          <w:color w:val="000000" w:themeColor="text1"/>
        </w:rPr>
      </w:pPr>
      <w:r w:rsidRPr="005B7E06">
        <w:rPr>
          <w:rFonts w:ascii="Calibri" w:hAnsi="Calibri" w:cs="Calibri"/>
          <w:b/>
          <w:bCs/>
          <w:color w:val="000000" w:themeColor="text1"/>
        </w:rPr>
        <w:t>-</w:t>
      </w:r>
      <w:r w:rsidR="00545050" w:rsidRPr="005B7E06">
        <w:rPr>
          <w:rFonts w:ascii="Calibri" w:hAnsi="Calibri" w:cs="Calibri"/>
          <w:b/>
          <w:bCs/>
          <w:color w:val="000000" w:themeColor="text1"/>
        </w:rPr>
        <w:t xml:space="preserve"> Email 5</w:t>
      </w:r>
    </w:p>
    <w:p w14:paraId="56242C0B" w14:textId="77777777" w:rsidR="003E7D4D" w:rsidRPr="005B7E06" w:rsidRDefault="003E7D4D" w:rsidP="003E7D4D">
      <w:pPr>
        <w:rPr>
          <w:rFonts w:ascii="Calibri" w:hAnsi="Calibri" w:cs="Calibri"/>
        </w:rPr>
      </w:pPr>
      <w:r w:rsidRPr="005B7E06">
        <w:rPr>
          <w:rFonts w:ascii="Calibri" w:hAnsi="Calibri" w:cs="Calibri"/>
        </w:rPr>
        <w:t>A constructive dismissal claim is when an employee feels they have no other option but to resign because of something their employer has done (ACAS, 2024). Under the Employment Rights Act 1996, a person has 3 months minus 1 day from the effective date of the termination of employment to bring a constructive dismissal claim to a tribunal. </w:t>
      </w:r>
    </w:p>
    <w:p w14:paraId="44BA8E91" w14:textId="77777777" w:rsidR="003E7D4D" w:rsidRPr="005B7E06" w:rsidRDefault="003E7D4D" w:rsidP="003E7D4D">
      <w:pPr>
        <w:rPr>
          <w:rFonts w:ascii="Calibri" w:hAnsi="Calibri" w:cs="Calibri"/>
        </w:rPr>
      </w:pPr>
      <w:r w:rsidRPr="005B7E06">
        <w:rPr>
          <w:rFonts w:ascii="Calibri" w:hAnsi="Calibri" w:cs="Calibri"/>
        </w:rPr>
        <w:t>To initiate a constructive dismissal claim, an employee must demonstrate there was a ‘fundamental breach of contract’ from the employer, that breach caused the employee ‘to resign’ and the employee resigned without delay (Daniel’s, 2024). The reasons an employee leaves their job must be serious. A change situation can constitute a constructive dismissal claim which includes a ‘change in the hours of work’. If the employee ‘resists’ they could argue there’s been a breach in the contract under ‘term of hours of work’ (Daniel’s, 2024). </w:t>
      </w:r>
    </w:p>
    <w:p w14:paraId="43FC3215" w14:textId="77777777" w:rsidR="003E7D4D" w:rsidRPr="005B7E06" w:rsidRDefault="003E7D4D" w:rsidP="003E7D4D">
      <w:pPr>
        <w:rPr>
          <w:rFonts w:ascii="Calibri" w:hAnsi="Calibri" w:cs="Calibri"/>
          <w:color w:val="FF0000"/>
        </w:rPr>
      </w:pPr>
      <w:r w:rsidRPr="005B7E06">
        <w:rPr>
          <w:rFonts w:ascii="Calibri" w:hAnsi="Calibri" w:cs="Calibri"/>
          <w:color w:val="FF0000"/>
        </w:rPr>
        <w:t xml:space="preserve">If changes to an employees’ contract haven’t been agreed and the employee resigns, they could be eligible for a successful constructive dismissal claim. A change in working hours without consultation or without abiding to an employee’s contract could result in a successful constructive dismissal claim at a tribunal if the employee resigns because of this breach to their terms of employment. Changes to contractual terms could be deemed ‘fair’ if the trust makes a change in line with the employees’ contract, if the trust has consulted the employee before making the changes or if the changes avoid something worse such as ‘redundancy’ (Citizens Advice, n.d.). </w:t>
      </w:r>
    </w:p>
    <w:p w14:paraId="3D1A2E90" w14:textId="77777777" w:rsidR="003E7D4D" w:rsidRPr="005B7E06" w:rsidRDefault="003E7D4D" w:rsidP="003E7D4D">
      <w:pPr>
        <w:rPr>
          <w:rFonts w:ascii="Calibri" w:hAnsi="Calibri" w:cs="Calibri"/>
          <w:strike/>
        </w:rPr>
      </w:pPr>
      <w:r w:rsidRPr="005B7E06">
        <w:rPr>
          <w:rFonts w:ascii="Calibri" w:hAnsi="Calibri" w:cs="Calibri"/>
          <w:strike/>
        </w:rPr>
        <w:t>If an organisation wants to make a change to terms of employment, such as changing hours of work, employees must be consulted. There are different processes depending on the number of employees affected by the change. If the change affects more than 20 employees, there should be ‘collective consultation’, done with representatives. If the change affects less than 20 employees, there is no requirement to consult with representatives however there should be consultations with those affected (Daniel’s, 2024). If the consultation has been unsuccessful and the employee does not accept the proposed changes, the employer has 3 options; ‘reconsider the proposed changes, terminate the employment and offer re-engagement on the new terms, or force the changes’, at which point there is a risk the employee could resign and claim constructive dismissal (Daniel’s 2024). </w:t>
      </w:r>
    </w:p>
    <w:p w14:paraId="30792979" w14:textId="77777777" w:rsidR="003E7D4D" w:rsidRPr="005B7E06" w:rsidRDefault="003E7D4D" w:rsidP="003E7D4D">
      <w:pPr>
        <w:rPr>
          <w:rFonts w:ascii="Calibri" w:hAnsi="Calibri" w:cs="Calibri"/>
        </w:rPr>
      </w:pPr>
      <w:r w:rsidRPr="005B7E06">
        <w:rPr>
          <w:rFonts w:ascii="Calibri" w:hAnsi="Calibri" w:cs="Calibri"/>
        </w:rPr>
        <w:lastRenderedPageBreak/>
        <w:t xml:space="preserve">The case of ‘Gregory vs Royal Mail Group Ltd’ highlights a successful constructive dismissal claim where the employee’s working days were altered meaning he was required to work Saturday’s, even when it was previously agreed that he would be exempt. After an unsuccessful grievance and time off, Gregory resigned and claimed constructive dismissal. The tribunal upheld Gregory’s claim as there’d been a ‘unilateral and unwanted variation’ of contract which was fundamental breach. Royal Mail was ordered to pay over £21,000 for loss of earnings. </w:t>
      </w:r>
    </w:p>
    <w:p w14:paraId="3338D4A9" w14:textId="77777777" w:rsidR="003E7D4D" w:rsidRPr="005B7E06" w:rsidRDefault="003E7D4D" w:rsidP="003E7D4D">
      <w:pPr>
        <w:rPr>
          <w:rFonts w:ascii="Calibri" w:hAnsi="Calibri" w:cs="Calibri"/>
          <w:strike/>
        </w:rPr>
      </w:pPr>
      <w:r w:rsidRPr="005B7E06">
        <w:rPr>
          <w:rFonts w:ascii="Calibri" w:hAnsi="Calibri" w:cs="Calibri"/>
          <w:strike/>
        </w:rPr>
        <w:t>An employee must notify ACAS and go through early conciliation before submitting the claim to the tribunal. </w:t>
      </w:r>
    </w:p>
    <w:p w14:paraId="264318BC" w14:textId="77777777" w:rsidR="003E7D4D" w:rsidRPr="005B7E06" w:rsidRDefault="003E7D4D" w:rsidP="003E7D4D">
      <w:pPr>
        <w:rPr>
          <w:rFonts w:ascii="Calibri" w:hAnsi="Calibri" w:cs="Calibri"/>
        </w:rPr>
      </w:pPr>
      <w:r w:rsidRPr="005B7E06">
        <w:rPr>
          <w:rFonts w:ascii="Calibri" w:hAnsi="Calibri" w:cs="Calibri"/>
        </w:rPr>
        <w:t>An organisation can defend claims of constructive dismissal if they can evidence the changes were minor or reasonable or that the changes were necessary due to business needs however, they would need to evidence there was proper consultation and notice provided. </w:t>
      </w:r>
    </w:p>
    <w:p w14:paraId="7718A6C1" w14:textId="77777777" w:rsidR="003E7D4D" w:rsidRPr="005B7E06" w:rsidRDefault="003E7D4D" w:rsidP="003E7D4D">
      <w:pPr>
        <w:rPr>
          <w:rFonts w:ascii="Calibri" w:hAnsi="Calibri" w:cs="Calibri"/>
        </w:rPr>
      </w:pPr>
      <w:r w:rsidRPr="005B7E06">
        <w:rPr>
          <w:rFonts w:ascii="Calibri" w:hAnsi="Calibri" w:cs="Calibri"/>
        </w:rPr>
        <w:t>Compensation for unfair dismissal can be high. The basic award given is length of service x age x a week’s pay as at the effective date of termination. There is also a compensatory award for past and future losses and a cap of 12 months’ pay or statutory cap, whichever is lower. The maximum compensatory award for unfair dismissal is £118,223, if the dismissal was on or after April 6</w:t>
      </w:r>
      <w:r w:rsidRPr="005B7E06">
        <w:rPr>
          <w:rFonts w:ascii="Calibri" w:hAnsi="Calibri" w:cs="Calibri"/>
          <w:vertAlign w:val="superscript"/>
        </w:rPr>
        <w:t>th</w:t>
      </w:r>
      <w:r w:rsidRPr="005B7E06">
        <w:rPr>
          <w:rFonts w:ascii="Calibri" w:hAnsi="Calibri" w:cs="Calibri"/>
        </w:rPr>
        <w:t>, 2024 (Citizens Advice, 2021). An employee needs to have 2 years’ service to bring a constructive unfair dismissal claim. </w:t>
      </w:r>
    </w:p>
    <w:p w14:paraId="27B51D3E" w14:textId="77777777" w:rsidR="003E7D4D" w:rsidRPr="005B7E06" w:rsidRDefault="003E7D4D" w:rsidP="003E7D4D">
      <w:pPr>
        <w:rPr>
          <w:rFonts w:ascii="Calibri" w:hAnsi="Calibri" w:cs="Calibri"/>
          <w:b/>
          <w:bCs/>
          <w:color w:val="000000" w:themeColor="text1"/>
        </w:rPr>
      </w:pPr>
    </w:p>
    <w:p w14:paraId="7CE0AA2B" w14:textId="5D2E0CEE" w:rsidR="00443965" w:rsidRPr="005B7E06" w:rsidRDefault="00622569" w:rsidP="00B43CE3">
      <w:pPr>
        <w:pStyle w:val="ListParagraph"/>
        <w:numPr>
          <w:ilvl w:val="1"/>
          <w:numId w:val="2"/>
        </w:numPr>
        <w:rPr>
          <w:rFonts w:ascii="Calibri" w:hAnsi="Calibri" w:cs="Calibri"/>
          <w:b/>
          <w:bCs/>
          <w:color w:val="000000" w:themeColor="text1"/>
        </w:rPr>
      </w:pPr>
      <w:r w:rsidRPr="005B7E06">
        <w:rPr>
          <w:rFonts w:ascii="Calibri" w:hAnsi="Calibri" w:cs="Calibri"/>
          <w:b/>
          <w:bCs/>
          <w:color w:val="000000" w:themeColor="text1"/>
        </w:rPr>
        <w:t>-</w:t>
      </w:r>
      <w:r w:rsidR="00B83AD1" w:rsidRPr="005B7E06">
        <w:rPr>
          <w:rFonts w:ascii="Calibri" w:hAnsi="Calibri" w:cs="Calibri"/>
          <w:b/>
          <w:bCs/>
          <w:color w:val="000000" w:themeColor="text1"/>
        </w:rPr>
        <w:t xml:space="preserve"> </w:t>
      </w:r>
      <w:r w:rsidR="00545050" w:rsidRPr="005B7E06">
        <w:rPr>
          <w:rFonts w:ascii="Calibri" w:hAnsi="Calibri" w:cs="Calibri"/>
          <w:b/>
          <w:bCs/>
          <w:color w:val="000000" w:themeColor="text1"/>
        </w:rPr>
        <w:t>Email 6</w:t>
      </w:r>
    </w:p>
    <w:p w14:paraId="02EA947C" w14:textId="77777777" w:rsidR="00FD199A" w:rsidRPr="005B7E06" w:rsidRDefault="00FD199A" w:rsidP="00FD199A">
      <w:pPr>
        <w:rPr>
          <w:rFonts w:ascii="Calibri" w:hAnsi="Calibri" w:cs="Calibri"/>
        </w:rPr>
      </w:pPr>
      <w:r w:rsidRPr="005B7E06">
        <w:rPr>
          <w:rFonts w:ascii="Calibri" w:hAnsi="Calibri" w:cs="Calibri"/>
        </w:rPr>
        <w:t>As redundancy is a form of dismissal, it is vital when an organisation is considering making employees redundant, they follow a fair process. It is possible for the dismissal to be ‘unfair’ if the selection process is unfair (Daniel’s, 2024). An organisation should only consider making people redundant if part of the organisation is ‘closing or has already closed, changing location or changing the types or number of roles needed’ (ACAS, 2025). </w:t>
      </w:r>
    </w:p>
    <w:p w14:paraId="7C4F1DE7" w14:textId="77777777" w:rsidR="00FD199A" w:rsidRPr="005B7E06" w:rsidRDefault="00FD199A" w:rsidP="00FD199A">
      <w:pPr>
        <w:rPr>
          <w:rFonts w:ascii="Calibri" w:hAnsi="Calibri" w:cs="Calibri"/>
        </w:rPr>
      </w:pPr>
      <w:r w:rsidRPr="005B7E06">
        <w:rPr>
          <w:rFonts w:ascii="Calibri" w:hAnsi="Calibri" w:cs="Calibri"/>
          <w:color w:val="FF0000"/>
        </w:rPr>
        <w:t xml:space="preserve">Making poor performing employees redundant is legal if there is a clear assessment in place to determine employee’s performance. </w:t>
      </w:r>
      <w:r w:rsidRPr="005B7E06">
        <w:rPr>
          <w:rFonts w:ascii="Calibri" w:hAnsi="Calibri" w:cs="Calibri"/>
        </w:rPr>
        <w:t>Organisations should use a ‘fair and objective’ way of selecting employees for redundancy (GOV.UK). Organisations should determine a ‘selection pool’ to review the employees that conduct a ‘similar role’ and are therefore all at risk. (Daniels, 2024). Organisations should create a list of things that can be used for assessment such as performance, qualifications and attendance record. Length of service can be considered but this cannot be the singular reason nor significant in the decision-making process as older people are more likely to be longer serving members of staff than younger people. If this is used as a singular or a significant reason, this could be ‘indirect age discrimination’ (Daniel’s, 2024). Rolls-Royce v Unite the Union (2009) IRLR 576 ruled that length of service ‘cannot be the only selection criteria and must not be too heavily weighted’. </w:t>
      </w:r>
    </w:p>
    <w:p w14:paraId="023B245B" w14:textId="77777777" w:rsidR="00FD199A" w:rsidRPr="005B7E06" w:rsidRDefault="00FD199A" w:rsidP="00FD199A">
      <w:pPr>
        <w:rPr>
          <w:rFonts w:ascii="Calibri" w:hAnsi="Calibri" w:cs="Calibri"/>
        </w:rPr>
      </w:pPr>
      <w:r w:rsidRPr="005B7E06">
        <w:rPr>
          <w:rFonts w:ascii="Calibri" w:hAnsi="Calibri" w:cs="Calibri"/>
        </w:rPr>
        <w:t>In the case of Williams v Compair Maxam (1982) IRLR 83, guidelines for redundancy were laid out and 2 key points from this is that ‘criteria must ideally relate to objective information’ such as records of performance and that selection must be carried out by ‘assessors who know all the employees’ and are able to ‘assess the criteria correctly’ (Daniel’s, 2024). </w:t>
      </w:r>
    </w:p>
    <w:p w14:paraId="31EE5DCC" w14:textId="77777777" w:rsidR="00FD199A" w:rsidRPr="005B7E06" w:rsidRDefault="00FD199A" w:rsidP="00FD199A">
      <w:pPr>
        <w:rPr>
          <w:rFonts w:ascii="Calibri" w:hAnsi="Calibri" w:cs="Calibri"/>
          <w:color w:val="FF0000"/>
        </w:rPr>
      </w:pPr>
      <w:r w:rsidRPr="005B7E06">
        <w:rPr>
          <w:rFonts w:ascii="Calibri" w:hAnsi="Calibri" w:cs="Calibri"/>
          <w:color w:val="FF0000"/>
        </w:rPr>
        <w:t xml:space="preserve">It is the law in the UK to consult employees when redundancy is required. There are different requirements based on the number of employees involved. As 50 posts are to be lost, the trust is legally required to ‘collectively consult’ (GOV.UK, n.d.). The consultation should include a representative (either an elected employee or a trade union representative) and it should outline the reasons redundancy is required, any ways to avoid it, keeping redundancies to a minimum and how it </w:t>
      </w:r>
      <w:r w:rsidRPr="005B7E06">
        <w:rPr>
          <w:rFonts w:ascii="Calibri" w:hAnsi="Calibri" w:cs="Calibri"/>
          <w:color w:val="FF0000"/>
        </w:rPr>
        <w:lastRenderedPageBreak/>
        <w:t xml:space="preserve">can reduce the consequences for those involved (GOV.UK, n.d.). The consultation should take place at least 30 days before any employees are dismissed.  </w:t>
      </w:r>
    </w:p>
    <w:p w14:paraId="2091316E" w14:textId="77777777" w:rsidR="00FD199A" w:rsidRPr="005B7E06" w:rsidRDefault="00FD199A" w:rsidP="00FD199A">
      <w:pPr>
        <w:rPr>
          <w:rFonts w:ascii="Calibri" w:hAnsi="Calibri" w:cs="Calibri"/>
          <w:strike/>
        </w:rPr>
      </w:pPr>
      <w:r w:rsidRPr="005B7E06">
        <w:rPr>
          <w:rFonts w:ascii="Calibri" w:hAnsi="Calibri" w:cs="Calibri"/>
          <w:strike/>
        </w:rPr>
        <w:t>CIPD recommends following a set of 9 steps when handling redundancies which include ‘identifying the pool for selection’ and making the ‘selections for redundancy’ (CIPD, 2024). These steps highlight the risk of unfair dismissal if employees that are identified as poor performers are the only employees in the selection pool for consideration for redundancy. The selection process should indicate how each employee has scored taking into consideration objective criteria and employees should have opportunity to ‘comment on this’ (CIPD, 2024). </w:t>
      </w:r>
    </w:p>
    <w:p w14:paraId="32FD3831" w14:textId="77777777" w:rsidR="00C35D0F" w:rsidRPr="005B7E06" w:rsidRDefault="00C35D0F" w:rsidP="00C35D0F">
      <w:pPr>
        <w:rPr>
          <w:rFonts w:ascii="Calibri" w:hAnsi="Calibri" w:cs="Calibri"/>
        </w:rPr>
      </w:pPr>
    </w:p>
    <w:p w14:paraId="074B5133" w14:textId="069F909C" w:rsidR="00B43CE3" w:rsidRPr="005B7E06" w:rsidRDefault="00B43CE3" w:rsidP="00B43CE3">
      <w:pPr>
        <w:rPr>
          <w:rFonts w:ascii="Calibri" w:hAnsi="Calibri" w:cs="Calibri"/>
          <w:b/>
          <w:bCs/>
          <w:color w:val="000000" w:themeColor="text1"/>
        </w:rPr>
      </w:pPr>
      <w:r w:rsidRPr="005B7E06">
        <w:rPr>
          <w:rFonts w:ascii="Calibri" w:hAnsi="Calibri" w:cs="Calibri"/>
          <w:b/>
          <w:bCs/>
          <w:color w:val="000000" w:themeColor="text1"/>
        </w:rPr>
        <w:t xml:space="preserve">3.3. </w:t>
      </w:r>
      <w:r w:rsidR="00622569" w:rsidRPr="005B7E06">
        <w:rPr>
          <w:rFonts w:ascii="Calibri" w:hAnsi="Calibri" w:cs="Calibri"/>
          <w:b/>
          <w:bCs/>
          <w:color w:val="000000" w:themeColor="text1"/>
        </w:rPr>
        <w:t>-</w:t>
      </w:r>
      <w:r w:rsidR="00A77239" w:rsidRPr="005B7E06">
        <w:rPr>
          <w:rFonts w:ascii="Calibri" w:hAnsi="Calibri" w:cs="Calibri"/>
          <w:b/>
          <w:bCs/>
          <w:color w:val="000000" w:themeColor="text1"/>
        </w:rPr>
        <w:t xml:space="preserve"> </w:t>
      </w:r>
      <w:r w:rsidR="00B9516B" w:rsidRPr="005B7E06">
        <w:rPr>
          <w:rFonts w:ascii="Calibri" w:hAnsi="Calibri" w:cs="Calibri"/>
          <w:b/>
          <w:bCs/>
          <w:color w:val="000000" w:themeColor="text1"/>
        </w:rPr>
        <w:t>Email 7</w:t>
      </w:r>
    </w:p>
    <w:p w14:paraId="248C19FE" w14:textId="77777777" w:rsidR="00B9516B" w:rsidRPr="005B7E06" w:rsidRDefault="00B9516B" w:rsidP="00B9516B">
      <w:pPr>
        <w:rPr>
          <w:rFonts w:ascii="Calibri" w:hAnsi="Calibri" w:cs="Calibri"/>
        </w:rPr>
      </w:pPr>
      <w:r w:rsidRPr="005B7E06">
        <w:rPr>
          <w:rFonts w:ascii="Calibri" w:hAnsi="Calibri" w:cs="Calibri"/>
        </w:rPr>
        <w:t>TUPE is when a business transfers to someone new or when there is a ‘service provider change’ (ACAS, 2024). Employees have rights under TUPE Regulations 2006 when they transfer to a new employer and these rights give protection to those being transferred. </w:t>
      </w:r>
    </w:p>
    <w:p w14:paraId="51737336" w14:textId="77777777" w:rsidR="00B9516B" w:rsidRPr="005B7E06" w:rsidRDefault="00B9516B" w:rsidP="00B9516B">
      <w:pPr>
        <w:rPr>
          <w:rFonts w:ascii="Calibri" w:hAnsi="Calibri" w:cs="Calibri"/>
        </w:rPr>
      </w:pPr>
      <w:r w:rsidRPr="005B7E06">
        <w:rPr>
          <w:rFonts w:ascii="Calibri" w:hAnsi="Calibri" w:cs="Calibri"/>
        </w:rPr>
        <w:t>When TUPE takes place, all contractual rights of employees such as continuity of service, contracts of employment and trade union recognition are ‘transferred to the new owner’ and any dismissal because of TUPE will be ‘automatically unfair’ (Daniel’s, 2024). </w:t>
      </w:r>
    </w:p>
    <w:p w14:paraId="0B458415" w14:textId="2C5138BB" w:rsidR="00B9516B" w:rsidRPr="005B7E06" w:rsidRDefault="00B9516B" w:rsidP="00B9516B">
      <w:pPr>
        <w:rPr>
          <w:rFonts w:ascii="Calibri" w:hAnsi="Calibri" w:cs="Calibri"/>
        </w:rPr>
      </w:pPr>
      <w:r w:rsidRPr="005B7E06">
        <w:rPr>
          <w:rFonts w:ascii="Calibri" w:hAnsi="Calibri" w:cs="Calibri"/>
        </w:rPr>
        <w:t>The case of Taylor v Connex South Eastern Ltd (2000) ruled that an employee was unfairly dismissed because the employe</w:t>
      </w:r>
      <w:r w:rsidR="008F6F94" w:rsidRPr="005B7E06">
        <w:rPr>
          <w:rFonts w:ascii="Calibri" w:hAnsi="Calibri" w:cs="Calibri"/>
        </w:rPr>
        <w:t>r</w:t>
      </w:r>
      <w:r w:rsidRPr="005B7E06">
        <w:rPr>
          <w:rFonts w:ascii="Calibri" w:hAnsi="Calibri" w:cs="Calibri"/>
        </w:rPr>
        <w:t xml:space="preserve"> changed terms and condition of employment two years after the transfer had </w:t>
      </w:r>
      <w:r w:rsidR="008F6F94" w:rsidRPr="005B7E06">
        <w:rPr>
          <w:rFonts w:ascii="Calibri" w:hAnsi="Calibri" w:cs="Calibri"/>
        </w:rPr>
        <w:t>happened</w:t>
      </w:r>
      <w:r w:rsidRPr="005B7E06">
        <w:rPr>
          <w:rFonts w:ascii="Calibri" w:hAnsi="Calibri" w:cs="Calibri"/>
        </w:rPr>
        <w:t xml:space="preserve">. </w:t>
      </w:r>
      <w:r w:rsidR="00C13D98" w:rsidRPr="005B7E06">
        <w:rPr>
          <w:rFonts w:ascii="Calibri" w:hAnsi="Calibri" w:cs="Calibri"/>
        </w:rPr>
        <w:t>The</w:t>
      </w:r>
      <w:r w:rsidRPr="005B7E06">
        <w:rPr>
          <w:rFonts w:ascii="Calibri" w:hAnsi="Calibri" w:cs="Calibri"/>
        </w:rPr>
        <w:t xml:space="preserve"> employee refused to agree and </w:t>
      </w:r>
      <w:r w:rsidR="00D02045" w:rsidRPr="005B7E06">
        <w:rPr>
          <w:rFonts w:ascii="Calibri" w:hAnsi="Calibri" w:cs="Calibri"/>
        </w:rPr>
        <w:t xml:space="preserve">they </w:t>
      </w:r>
      <w:r w:rsidRPr="005B7E06">
        <w:rPr>
          <w:rFonts w:ascii="Calibri" w:hAnsi="Calibri" w:cs="Calibri"/>
        </w:rPr>
        <w:t xml:space="preserve">were dismissed. The EAT ruled this was </w:t>
      </w:r>
      <w:r w:rsidR="0078465E" w:rsidRPr="005B7E06">
        <w:rPr>
          <w:rFonts w:ascii="Calibri" w:hAnsi="Calibri" w:cs="Calibri"/>
        </w:rPr>
        <w:t>‘</w:t>
      </w:r>
      <w:r w:rsidRPr="005B7E06">
        <w:rPr>
          <w:rFonts w:ascii="Calibri" w:hAnsi="Calibri" w:cs="Calibri"/>
        </w:rPr>
        <w:t xml:space="preserve">unfair’ because it ‘related to the transfer’ even after the time had passed since the transfer. This case clearly </w:t>
      </w:r>
      <w:r w:rsidR="00267E42" w:rsidRPr="005B7E06">
        <w:rPr>
          <w:rFonts w:ascii="Calibri" w:hAnsi="Calibri" w:cs="Calibri"/>
        </w:rPr>
        <w:t>illustrates</w:t>
      </w:r>
      <w:r w:rsidRPr="005B7E06">
        <w:rPr>
          <w:rFonts w:ascii="Calibri" w:hAnsi="Calibri" w:cs="Calibri"/>
        </w:rPr>
        <w:t xml:space="preserve"> there can be no dismissal or variation o</w:t>
      </w:r>
      <w:r w:rsidR="00876220" w:rsidRPr="005B7E06">
        <w:rPr>
          <w:rFonts w:ascii="Calibri" w:hAnsi="Calibri" w:cs="Calibri"/>
        </w:rPr>
        <w:t>f</w:t>
      </w:r>
      <w:r w:rsidRPr="005B7E06">
        <w:rPr>
          <w:rFonts w:ascii="Calibri" w:hAnsi="Calibri" w:cs="Calibri"/>
        </w:rPr>
        <w:t xml:space="preserve"> contract </w:t>
      </w:r>
      <w:r w:rsidR="00876220" w:rsidRPr="005B7E06">
        <w:rPr>
          <w:rFonts w:ascii="Calibri" w:hAnsi="Calibri" w:cs="Calibri"/>
        </w:rPr>
        <w:t xml:space="preserve">such as a change in working hours or a change in job location </w:t>
      </w:r>
      <w:r w:rsidRPr="005B7E06">
        <w:rPr>
          <w:rFonts w:ascii="Calibri" w:hAnsi="Calibri" w:cs="Calibri"/>
        </w:rPr>
        <w:t>as a result of TUPE unless there is an ‘economic, technical or organisational reason’ for it (Daniel’s, 2024). </w:t>
      </w:r>
    </w:p>
    <w:p w14:paraId="31ACA775" w14:textId="38BBFCC4" w:rsidR="001A3F00" w:rsidRPr="005B7E06" w:rsidRDefault="00EB254A" w:rsidP="00B9516B">
      <w:pPr>
        <w:rPr>
          <w:rFonts w:ascii="Calibri" w:hAnsi="Calibri" w:cs="Calibri"/>
        </w:rPr>
      </w:pPr>
      <w:r w:rsidRPr="005B7E06">
        <w:rPr>
          <w:rFonts w:ascii="Calibri" w:hAnsi="Calibri" w:cs="Calibri"/>
        </w:rPr>
        <w:t xml:space="preserve">Employees can decide they don’t want to work for the new </w:t>
      </w:r>
      <w:r w:rsidR="00364A4B" w:rsidRPr="005B7E06">
        <w:rPr>
          <w:rFonts w:ascii="Calibri" w:hAnsi="Calibri" w:cs="Calibri"/>
        </w:rPr>
        <w:t xml:space="preserve">employer; </w:t>
      </w:r>
      <w:r w:rsidR="00395A39" w:rsidRPr="005B7E06">
        <w:rPr>
          <w:rFonts w:ascii="Calibri" w:hAnsi="Calibri" w:cs="Calibri"/>
        </w:rPr>
        <w:t>however,</w:t>
      </w:r>
      <w:r w:rsidR="00364A4B" w:rsidRPr="005B7E06">
        <w:rPr>
          <w:rFonts w:ascii="Calibri" w:hAnsi="Calibri" w:cs="Calibri"/>
        </w:rPr>
        <w:t xml:space="preserve"> this would be treated as ‘resigning’ and they would not usually be able to claim unfair dismissal or redundancy pay (GOV.UK). </w:t>
      </w:r>
    </w:p>
    <w:p w14:paraId="73AC63FC" w14:textId="14952DA0" w:rsidR="00B9516B" w:rsidRPr="005B7E06" w:rsidRDefault="00B9516B" w:rsidP="00B9516B">
      <w:pPr>
        <w:rPr>
          <w:rFonts w:ascii="Calibri" w:hAnsi="Calibri" w:cs="Calibri"/>
        </w:rPr>
      </w:pPr>
      <w:r w:rsidRPr="005B7E06">
        <w:rPr>
          <w:rFonts w:ascii="Calibri" w:hAnsi="Calibri" w:cs="Calibri"/>
        </w:rPr>
        <w:t>Communicating plans and collaborating with employees</w:t>
      </w:r>
      <w:r w:rsidR="00633CCC" w:rsidRPr="005B7E06">
        <w:rPr>
          <w:rFonts w:ascii="Calibri" w:hAnsi="Calibri" w:cs="Calibri"/>
        </w:rPr>
        <w:t xml:space="preserve"> is important and</w:t>
      </w:r>
      <w:r w:rsidRPr="005B7E06">
        <w:rPr>
          <w:rFonts w:ascii="Calibri" w:hAnsi="Calibri" w:cs="Calibri"/>
        </w:rPr>
        <w:t xml:space="preserve"> </w:t>
      </w:r>
      <w:r w:rsidR="00395A39" w:rsidRPr="005B7E06">
        <w:rPr>
          <w:rFonts w:ascii="Calibri" w:hAnsi="Calibri" w:cs="Calibri"/>
        </w:rPr>
        <w:t>considering</w:t>
      </w:r>
      <w:r w:rsidRPr="005B7E06">
        <w:rPr>
          <w:rFonts w:ascii="Calibri" w:hAnsi="Calibri" w:cs="Calibri"/>
        </w:rPr>
        <w:t xml:space="preserve"> their views is</w:t>
      </w:r>
      <w:r w:rsidR="00633CCC" w:rsidRPr="005B7E06">
        <w:rPr>
          <w:rFonts w:ascii="Calibri" w:hAnsi="Calibri" w:cs="Calibri"/>
        </w:rPr>
        <w:t xml:space="preserve"> </w:t>
      </w:r>
      <w:r w:rsidRPr="005B7E06">
        <w:rPr>
          <w:rFonts w:ascii="Calibri" w:hAnsi="Calibri" w:cs="Calibri"/>
        </w:rPr>
        <w:t>likely to ‘maintain morale, build and maintain trust and maintain good working relationships’ (ACAS, 2024). </w:t>
      </w:r>
    </w:p>
    <w:p w14:paraId="77D8221F" w14:textId="77777777" w:rsidR="00B9516B" w:rsidRPr="005B7E06" w:rsidRDefault="00B9516B" w:rsidP="00B9516B">
      <w:pPr>
        <w:rPr>
          <w:rFonts w:ascii="Calibri" w:hAnsi="Calibri" w:cs="Calibri"/>
        </w:rPr>
      </w:pPr>
      <w:r w:rsidRPr="005B7E06">
        <w:rPr>
          <w:rFonts w:ascii="Calibri" w:hAnsi="Calibri" w:cs="Calibri"/>
        </w:rPr>
        <w:t>TUPE requires employees who are going to be affected to be informed and consulted. Failure to consult with appropriate employees could result in a claim for up to ‘13 weeks’ pay per affected employee’ (CIPD, 2024). The details and communication that must be followed are the identity and age of those transferring, employment particulars such as working hours and holiday allowances, details of any disciplinary action or grievances within the last 2 years and ‘details of any legal action’ brought by the employee against the employer over the last 2 years (CIPD, 2024). </w:t>
      </w:r>
    </w:p>
    <w:p w14:paraId="27A91B6D" w14:textId="5CD1CF88" w:rsidR="0078465E" w:rsidRPr="005B7E06" w:rsidRDefault="0078465E" w:rsidP="00B9516B">
      <w:pPr>
        <w:rPr>
          <w:rFonts w:ascii="Calibri" w:hAnsi="Calibri" w:cs="Calibri"/>
        </w:rPr>
      </w:pPr>
    </w:p>
    <w:p w14:paraId="38EDABEC" w14:textId="27C3C8C5" w:rsidR="00B9516B" w:rsidRPr="005B7E06" w:rsidRDefault="000F52B1" w:rsidP="00B9516B">
      <w:pPr>
        <w:rPr>
          <w:rFonts w:ascii="Calibri" w:hAnsi="Calibri" w:cs="Calibri"/>
          <w:b/>
          <w:bCs/>
          <w:color w:val="000000" w:themeColor="text1"/>
        </w:rPr>
      </w:pPr>
      <w:r w:rsidRPr="005B7E06">
        <w:rPr>
          <w:rFonts w:ascii="Calibri" w:hAnsi="Calibri" w:cs="Calibri"/>
          <w:b/>
          <w:bCs/>
          <w:color w:val="000000" w:themeColor="text1"/>
        </w:rPr>
        <w:t xml:space="preserve">4.1 </w:t>
      </w:r>
      <w:r w:rsidR="006324B5" w:rsidRPr="005B7E06">
        <w:rPr>
          <w:rFonts w:ascii="Calibri" w:hAnsi="Calibri" w:cs="Calibri"/>
          <w:b/>
          <w:bCs/>
          <w:color w:val="000000" w:themeColor="text1"/>
        </w:rPr>
        <w:t xml:space="preserve">- </w:t>
      </w:r>
      <w:r w:rsidR="00741F36" w:rsidRPr="005B7E06">
        <w:rPr>
          <w:rFonts w:ascii="Calibri" w:hAnsi="Calibri" w:cs="Calibri"/>
          <w:b/>
          <w:bCs/>
          <w:color w:val="000000" w:themeColor="text1"/>
        </w:rPr>
        <w:t>Email 8</w:t>
      </w:r>
    </w:p>
    <w:p w14:paraId="61C99744" w14:textId="473261A0" w:rsidR="005653D6" w:rsidRPr="005B7E06" w:rsidRDefault="005653D6" w:rsidP="005653D6">
      <w:pPr>
        <w:rPr>
          <w:rFonts w:ascii="Calibri" w:hAnsi="Calibri" w:cs="Calibri"/>
          <w:color w:val="000000" w:themeColor="text1"/>
        </w:rPr>
      </w:pPr>
      <w:r w:rsidRPr="005B7E06">
        <w:rPr>
          <w:rFonts w:ascii="Calibri" w:hAnsi="Calibri" w:cs="Calibri"/>
          <w:color w:val="000000" w:themeColor="text1"/>
        </w:rPr>
        <w:t>Statutory leave or entitlement is a legal right for employees, which in the UK is 5.6 weeks (28 days) a year paid holiday time which is covered under the ‘Working Time Regulations 1998’ (CIPD, 2025).</w:t>
      </w:r>
      <w:r w:rsidR="0016567E" w:rsidRPr="005B7E06">
        <w:rPr>
          <w:rFonts w:ascii="Calibri" w:hAnsi="Calibri" w:cs="Calibri"/>
          <w:color w:val="000000" w:themeColor="text1"/>
        </w:rPr>
        <w:t xml:space="preserve"> </w:t>
      </w:r>
      <w:r w:rsidR="009B5072" w:rsidRPr="005B7E06">
        <w:rPr>
          <w:rFonts w:ascii="Calibri" w:hAnsi="Calibri" w:cs="Calibri"/>
          <w:color w:val="000000" w:themeColor="text1"/>
        </w:rPr>
        <w:t xml:space="preserve">These regulations set out ‘minimum conditions’ which cover working time, and what time off employees are entitled to (CIPD, 2025). Employees have rights and protection under these </w:t>
      </w:r>
      <w:r w:rsidR="009B5072" w:rsidRPr="005B7E06">
        <w:rPr>
          <w:rFonts w:ascii="Calibri" w:hAnsi="Calibri" w:cs="Calibri"/>
          <w:color w:val="000000" w:themeColor="text1"/>
        </w:rPr>
        <w:lastRenderedPageBreak/>
        <w:t xml:space="preserve">regulations such as having a right to 11 hours rest per day and a day off each week. </w:t>
      </w:r>
      <w:r w:rsidRPr="005B7E06">
        <w:rPr>
          <w:rFonts w:ascii="Calibri" w:hAnsi="Calibri" w:cs="Calibri"/>
          <w:color w:val="000000" w:themeColor="text1"/>
        </w:rPr>
        <w:t>Part time workers</w:t>
      </w:r>
      <w:r w:rsidR="001B6CA0" w:rsidRPr="005B7E06">
        <w:rPr>
          <w:rFonts w:ascii="Calibri" w:hAnsi="Calibri" w:cs="Calibri"/>
          <w:color w:val="000000" w:themeColor="text1"/>
        </w:rPr>
        <w:t xml:space="preserve"> </w:t>
      </w:r>
      <w:r w:rsidRPr="005B7E06">
        <w:rPr>
          <w:rFonts w:ascii="Calibri" w:hAnsi="Calibri" w:cs="Calibri"/>
          <w:color w:val="000000" w:themeColor="text1"/>
        </w:rPr>
        <w:t>work</w:t>
      </w:r>
      <w:r w:rsidR="001B6CA0" w:rsidRPr="005B7E06">
        <w:rPr>
          <w:rFonts w:ascii="Calibri" w:hAnsi="Calibri" w:cs="Calibri"/>
          <w:color w:val="000000" w:themeColor="text1"/>
        </w:rPr>
        <w:t>ing</w:t>
      </w:r>
      <w:r w:rsidRPr="005B7E06">
        <w:rPr>
          <w:rFonts w:ascii="Calibri" w:hAnsi="Calibri" w:cs="Calibri"/>
          <w:color w:val="000000" w:themeColor="text1"/>
        </w:rPr>
        <w:t xml:space="preserve"> less than 5 days also get 5.6 weeks but because of their working pattern, this will amount to fewer than 28 days. Part-timer workers cannot be treated ‘less favourably than full time workers’ (ACAS, 2025). Employees working ‘irregular hours’ or ‘part of the year’ are also entitled to the same amount of time, however this will be built using the hours ‘they’ve already worked’. Statutory paid time is limited to ‘28 days’ and bank holidays don’t need to be given as ‘paid leave’. Employers can include bank holidays as part of ‘statutory annual leave’ (GOV.UK). </w:t>
      </w:r>
    </w:p>
    <w:p w14:paraId="252BBB3C" w14:textId="5687E8B5" w:rsidR="005653D6" w:rsidRPr="005B7E06" w:rsidRDefault="005653D6" w:rsidP="005653D6">
      <w:pPr>
        <w:rPr>
          <w:rFonts w:ascii="Calibri" w:hAnsi="Calibri" w:cs="Calibri"/>
          <w:color w:val="000000" w:themeColor="text1"/>
        </w:rPr>
      </w:pPr>
      <w:r w:rsidRPr="005B7E06">
        <w:rPr>
          <w:rFonts w:ascii="Calibri" w:hAnsi="Calibri" w:cs="Calibri"/>
          <w:color w:val="000000" w:themeColor="text1"/>
        </w:rPr>
        <w:t xml:space="preserve">Workers have the right to receive holiday pay, build up holiday entitlement during certain types of leave such as maternity and paternity leave and will also accrue holiday entitlement when they are absent from work </w:t>
      </w:r>
      <w:r w:rsidR="001B6CA0" w:rsidRPr="005B7E06">
        <w:rPr>
          <w:rFonts w:ascii="Calibri" w:hAnsi="Calibri" w:cs="Calibri"/>
          <w:color w:val="000000" w:themeColor="text1"/>
        </w:rPr>
        <w:t>unwell</w:t>
      </w:r>
      <w:r w:rsidRPr="005B7E06">
        <w:rPr>
          <w:rFonts w:ascii="Calibri" w:hAnsi="Calibri" w:cs="Calibri"/>
          <w:color w:val="000000" w:themeColor="text1"/>
        </w:rPr>
        <w:t>. </w:t>
      </w:r>
    </w:p>
    <w:p w14:paraId="3390FE7B" w14:textId="0DE281EC" w:rsidR="005653D6" w:rsidRPr="005B7E06" w:rsidRDefault="005653D6" w:rsidP="005653D6">
      <w:pPr>
        <w:rPr>
          <w:rFonts w:ascii="Calibri" w:hAnsi="Calibri" w:cs="Calibri"/>
          <w:color w:val="000000" w:themeColor="text1"/>
        </w:rPr>
      </w:pPr>
      <w:r w:rsidRPr="005B7E06">
        <w:rPr>
          <w:rFonts w:ascii="Calibri" w:hAnsi="Calibri" w:cs="Calibri"/>
          <w:color w:val="000000" w:themeColor="text1"/>
        </w:rPr>
        <w:t>In April 2024, there were some changes made to holiday pay by the government which impacted employees work</w:t>
      </w:r>
      <w:r w:rsidR="009B5072" w:rsidRPr="005B7E06">
        <w:rPr>
          <w:rFonts w:ascii="Calibri" w:hAnsi="Calibri" w:cs="Calibri"/>
          <w:color w:val="000000" w:themeColor="text1"/>
        </w:rPr>
        <w:t>ing</w:t>
      </w:r>
      <w:r w:rsidRPr="005B7E06">
        <w:rPr>
          <w:rFonts w:ascii="Calibri" w:hAnsi="Calibri" w:cs="Calibri"/>
          <w:color w:val="000000" w:themeColor="text1"/>
        </w:rPr>
        <w:t xml:space="preserve"> part time or irregular hours. ‘Rolled up holiday pay’ was introduced </w:t>
      </w:r>
      <w:r w:rsidR="009B5072" w:rsidRPr="005B7E06">
        <w:rPr>
          <w:rFonts w:ascii="Calibri" w:hAnsi="Calibri" w:cs="Calibri"/>
          <w:color w:val="000000" w:themeColor="text1"/>
        </w:rPr>
        <w:t>which</w:t>
      </w:r>
      <w:r w:rsidRPr="005B7E06">
        <w:rPr>
          <w:rFonts w:ascii="Calibri" w:hAnsi="Calibri" w:cs="Calibri"/>
          <w:color w:val="000000" w:themeColor="text1"/>
        </w:rPr>
        <w:t xml:space="preserve"> calculates that those employees that work part time or irregular hours should be paid ‘12.07%’ of the hours worked in the ‘previous pay period’ (CIPD, 2025). These changes also covered those employees on sick leave outlining they continue accruing statutory holidays and employers cannot force those absent to take holidays when </w:t>
      </w:r>
      <w:r w:rsidR="00E30BBB" w:rsidRPr="005B7E06">
        <w:rPr>
          <w:rFonts w:ascii="Calibri" w:hAnsi="Calibri" w:cs="Calibri"/>
          <w:color w:val="000000" w:themeColor="text1"/>
        </w:rPr>
        <w:t>absent</w:t>
      </w:r>
      <w:r w:rsidRPr="005B7E06">
        <w:rPr>
          <w:rFonts w:ascii="Calibri" w:hAnsi="Calibri" w:cs="Calibri"/>
          <w:color w:val="000000" w:themeColor="text1"/>
        </w:rPr>
        <w:t xml:space="preserve"> on sick leave. When calculating holiday pay, employers should include ‘regular overtime, commission and payments based on length of service’ when paying the first 4 weeks of holiday pay. The remaining 1.6 weeks can be paid using old legislation covered under the ‘Employment Rights Act 1996’ (CIPD, 2025). </w:t>
      </w:r>
    </w:p>
    <w:p w14:paraId="328904F7" w14:textId="3D9F221A" w:rsidR="005653D6" w:rsidRPr="005B7E06" w:rsidRDefault="004F7CAD" w:rsidP="005653D6">
      <w:pPr>
        <w:rPr>
          <w:rFonts w:ascii="Calibri" w:hAnsi="Calibri" w:cs="Calibri"/>
          <w:b/>
          <w:bCs/>
          <w:color w:val="000000" w:themeColor="text1"/>
        </w:rPr>
      </w:pPr>
      <w:r w:rsidRPr="005B7E06">
        <w:rPr>
          <w:rFonts w:ascii="Calibri" w:hAnsi="Calibri" w:cs="Calibri"/>
          <w:b/>
          <w:bCs/>
          <w:color w:val="000000" w:themeColor="text1"/>
        </w:rPr>
        <w:t xml:space="preserve">4.2 </w:t>
      </w:r>
      <w:r w:rsidR="00622569" w:rsidRPr="005B7E06">
        <w:rPr>
          <w:rFonts w:ascii="Calibri" w:hAnsi="Calibri" w:cs="Calibri"/>
          <w:b/>
          <w:bCs/>
          <w:color w:val="000000" w:themeColor="text1"/>
        </w:rPr>
        <w:t>-</w:t>
      </w:r>
      <w:r w:rsidRPr="005B7E06">
        <w:rPr>
          <w:rFonts w:ascii="Calibri" w:hAnsi="Calibri" w:cs="Calibri"/>
          <w:b/>
          <w:bCs/>
          <w:color w:val="000000" w:themeColor="text1"/>
        </w:rPr>
        <w:t xml:space="preserve"> Email 9 </w:t>
      </w:r>
    </w:p>
    <w:p w14:paraId="2A7439A9" w14:textId="27FB1C94" w:rsidR="00FD1888" w:rsidRPr="005B7E06" w:rsidRDefault="00FD1888" w:rsidP="00FD1888">
      <w:pPr>
        <w:rPr>
          <w:rFonts w:ascii="Calibri" w:hAnsi="Calibri" w:cs="Calibri"/>
          <w:color w:val="000000" w:themeColor="text1"/>
        </w:rPr>
      </w:pPr>
      <w:r w:rsidRPr="005B7E06">
        <w:rPr>
          <w:rFonts w:ascii="Calibri" w:hAnsi="Calibri" w:cs="Calibri"/>
          <w:color w:val="000000" w:themeColor="text1"/>
        </w:rPr>
        <w:t xml:space="preserve">In the UK, employees can take up to 52 weeks off work as maternity leave; covered under the ‘Social Security Contributions and Benefits Act 1992’ (GOV.UK). This leave can only be used by the birthing mother. The 52 weeks is split into two; the first 26 weeks </w:t>
      </w:r>
      <w:r w:rsidR="00B05C8E" w:rsidRPr="005B7E06">
        <w:rPr>
          <w:rFonts w:ascii="Calibri" w:hAnsi="Calibri" w:cs="Calibri"/>
          <w:color w:val="000000" w:themeColor="text1"/>
        </w:rPr>
        <w:t>is</w:t>
      </w:r>
      <w:r w:rsidRPr="005B7E06">
        <w:rPr>
          <w:rFonts w:ascii="Calibri" w:hAnsi="Calibri" w:cs="Calibri"/>
          <w:color w:val="000000" w:themeColor="text1"/>
        </w:rPr>
        <w:t xml:space="preserve"> ‘ordinary maternity leave’ and the second 26 weeks </w:t>
      </w:r>
      <w:r w:rsidR="00B05C8E" w:rsidRPr="005B7E06">
        <w:rPr>
          <w:rFonts w:ascii="Calibri" w:hAnsi="Calibri" w:cs="Calibri"/>
          <w:color w:val="000000" w:themeColor="text1"/>
        </w:rPr>
        <w:t>is</w:t>
      </w:r>
      <w:r w:rsidRPr="005B7E06">
        <w:rPr>
          <w:rFonts w:ascii="Calibri" w:hAnsi="Calibri" w:cs="Calibri"/>
          <w:color w:val="000000" w:themeColor="text1"/>
        </w:rPr>
        <w:t xml:space="preserve"> ‘additional maternity leave’ which starts immediately after the ordinary maternity leave </w:t>
      </w:r>
      <w:r w:rsidR="002842FB" w:rsidRPr="005B7E06">
        <w:rPr>
          <w:rFonts w:ascii="Calibri" w:hAnsi="Calibri" w:cs="Calibri"/>
          <w:color w:val="000000" w:themeColor="text1"/>
        </w:rPr>
        <w:t>is</w:t>
      </w:r>
      <w:r w:rsidRPr="005B7E06">
        <w:rPr>
          <w:rFonts w:ascii="Calibri" w:hAnsi="Calibri" w:cs="Calibri"/>
          <w:color w:val="000000" w:themeColor="text1"/>
        </w:rPr>
        <w:t xml:space="preserve"> taken (GOV.UK). This is a day 1 right for all employees (ACAS, 2025). </w:t>
      </w:r>
    </w:p>
    <w:p w14:paraId="4ABEC313" w14:textId="5273C83E" w:rsidR="00FD1888" w:rsidRPr="005B7E06" w:rsidRDefault="00FD1888" w:rsidP="00FD1888">
      <w:pPr>
        <w:rPr>
          <w:rFonts w:ascii="Calibri" w:hAnsi="Calibri" w:cs="Calibri"/>
          <w:color w:val="000000" w:themeColor="text1"/>
        </w:rPr>
      </w:pPr>
      <w:r w:rsidRPr="005B7E06">
        <w:rPr>
          <w:rFonts w:ascii="Calibri" w:hAnsi="Calibri" w:cs="Calibri"/>
          <w:color w:val="000000" w:themeColor="text1"/>
        </w:rPr>
        <w:t>Maternity leave can begin ‘up to 11 weeks’ before the due date, or sooner if the baby is born earlier. Maternity leave will ‘start automatically’ if an employee is absent from work for pregnancy related absence in the last 4 weeks before the baby is due (ACAS, 2025). By law, employees must take off at least 2 weeks after having a baby or 4 if they are a factory worker. </w:t>
      </w:r>
    </w:p>
    <w:p w14:paraId="48827EA0" w14:textId="46F551D2" w:rsidR="00FD1888" w:rsidRPr="005B7E06" w:rsidRDefault="00FD1888" w:rsidP="00FD1888">
      <w:pPr>
        <w:rPr>
          <w:rFonts w:ascii="Calibri" w:hAnsi="Calibri" w:cs="Calibri"/>
          <w:color w:val="000000" w:themeColor="text1"/>
        </w:rPr>
      </w:pPr>
      <w:r w:rsidRPr="005B7E06">
        <w:rPr>
          <w:rFonts w:ascii="Calibri" w:hAnsi="Calibri" w:cs="Calibri"/>
          <w:color w:val="000000" w:themeColor="text1"/>
        </w:rPr>
        <w:t>Employees may be eligible for paid maternity leave, depending on length of service and average earnings</w:t>
      </w:r>
      <w:r w:rsidR="00175F75" w:rsidRPr="005B7E06">
        <w:rPr>
          <w:rFonts w:ascii="Calibri" w:hAnsi="Calibri" w:cs="Calibri"/>
          <w:color w:val="000000" w:themeColor="text1"/>
        </w:rPr>
        <w:t>. E</w:t>
      </w:r>
      <w:r w:rsidRPr="005B7E06">
        <w:rPr>
          <w:rFonts w:ascii="Calibri" w:hAnsi="Calibri" w:cs="Calibri"/>
          <w:color w:val="000000" w:themeColor="text1"/>
        </w:rPr>
        <w:t>mployee</w:t>
      </w:r>
      <w:r w:rsidR="00175F75" w:rsidRPr="005B7E06">
        <w:rPr>
          <w:rFonts w:ascii="Calibri" w:hAnsi="Calibri" w:cs="Calibri"/>
          <w:color w:val="000000" w:themeColor="text1"/>
        </w:rPr>
        <w:t>s</w:t>
      </w:r>
      <w:r w:rsidRPr="005B7E06">
        <w:rPr>
          <w:rFonts w:ascii="Calibri" w:hAnsi="Calibri" w:cs="Calibri"/>
          <w:color w:val="000000" w:themeColor="text1"/>
        </w:rPr>
        <w:t xml:space="preserve"> must have worked for the same organisation ‘continuously for 26 weeks’ and</w:t>
      </w:r>
      <w:r w:rsidR="002842FB" w:rsidRPr="005B7E06">
        <w:rPr>
          <w:rFonts w:ascii="Calibri" w:hAnsi="Calibri" w:cs="Calibri"/>
          <w:color w:val="000000" w:themeColor="text1"/>
        </w:rPr>
        <w:t xml:space="preserve"> </w:t>
      </w:r>
      <w:r w:rsidRPr="005B7E06">
        <w:rPr>
          <w:rFonts w:ascii="Calibri" w:hAnsi="Calibri" w:cs="Calibri"/>
          <w:color w:val="000000" w:themeColor="text1"/>
        </w:rPr>
        <w:t>must have earned an average of ‘at least £125 a week’ for 8 weeks before their ‘qualifying week’. The qualifying week is the 15th week before the baby is due. Employees will usually receive 39 weeks</w:t>
      </w:r>
      <w:r w:rsidR="002842FB" w:rsidRPr="005B7E06">
        <w:rPr>
          <w:rFonts w:ascii="Calibri" w:hAnsi="Calibri" w:cs="Calibri"/>
          <w:color w:val="000000" w:themeColor="text1"/>
        </w:rPr>
        <w:t xml:space="preserve"> </w:t>
      </w:r>
      <w:r w:rsidRPr="005B7E06">
        <w:rPr>
          <w:rFonts w:ascii="Calibri" w:hAnsi="Calibri" w:cs="Calibri"/>
          <w:color w:val="000000" w:themeColor="text1"/>
        </w:rPr>
        <w:t>statutory maternity pay (ACAS, 2025). In the first 6 weeks, employees will receive 90% of their average weekly earnings and the remaining 33 weeks, either £187.18 a week or 90% of their average weekly earnings, whichever is lower (CIPD, 2025). If the full 52 weeks maternity leave is taken, the last 13 weeks are unpaid unless employees have contracts which cover this period. Some employers offer ‘enhanced’ or ‘contractual’ maternity pay which may offer 26 weeks of full pay followed by 13 weeks of statutory maternity pay. (ACAS, 2025). </w:t>
      </w:r>
    </w:p>
    <w:p w14:paraId="3545B714" w14:textId="07847CD2" w:rsidR="00FD1888" w:rsidRPr="005B7E06" w:rsidRDefault="00FD1888" w:rsidP="00FD1888">
      <w:pPr>
        <w:rPr>
          <w:rFonts w:ascii="Calibri" w:hAnsi="Calibri" w:cs="Calibri"/>
          <w:color w:val="000000" w:themeColor="text1"/>
        </w:rPr>
      </w:pPr>
      <w:r w:rsidRPr="005B7E06">
        <w:rPr>
          <w:rFonts w:ascii="Calibri" w:hAnsi="Calibri" w:cs="Calibri"/>
          <w:color w:val="000000" w:themeColor="text1"/>
        </w:rPr>
        <w:t xml:space="preserve">Shared parental leave is when both parents share leave and pay after a birthing mother ends her maternity leave; after the 2 weeks she legally </w:t>
      </w:r>
      <w:r w:rsidR="00116E14" w:rsidRPr="005B7E06">
        <w:rPr>
          <w:rFonts w:ascii="Calibri" w:hAnsi="Calibri" w:cs="Calibri"/>
          <w:color w:val="000000" w:themeColor="text1"/>
        </w:rPr>
        <w:t>must</w:t>
      </w:r>
      <w:r w:rsidRPr="005B7E06">
        <w:rPr>
          <w:rFonts w:ascii="Calibri" w:hAnsi="Calibri" w:cs="Calibri"/>
          <w:color w:val="000000" w:themeColor="text1"/>
        </w:rPr>
        <w:t xml:space="preserve"> take if both parents are eligible (GOV.UK). Up to 50 weeks of leave and up to 37 weeks of pay can be shared between both parents, if eligible (GOV.UK). </w:t>
      </w:r>
    </w:p>
    <w:p w14:paraId="1C17818E" w14:textId="4D770C36" w:rsidR="00FD1888" w:rsidRPr="005B7E06" w:rsidRDefault="00FD1888" w:rsidP="00FD1888">
      <w:pPr>
        <w:rPr>
          <w:rFonts w:ascii="Calibri" w:hAnsi="Calibri" w:cs="Calibri"/>
          <w:color w:val="000000" w:themeColor="text1"/>
        </w:rPr>
      </w:pPr>
      <w:r w:rsidRPr="005B7E06">
        <w:rPr>
          <w:rFonts w:ascii="Calibri" w:hAnsi="Calibri" w:cs="Calibri"/>
          <w:color w:val="000000" w:themeColor="text1"/>
        </w:rPr>
        <w:lastRenderedPageBreak/>
        <w:t xml:space="preserve">To be eligible, both parents must have worked for their employers ‘continuously for at least 26 weeks’ up to the ‘15th week before’ the expected week of childbirth. The amount of shared parental leave will depend on how much ‘maternity leave’ </w:t>
      </w:r>
      <w:r w:rsidR="00116E14" w:rsidRPr="005B7E06">
        <w:rPr>
          <w:rFonts w:ascii="Calibri" w:hAnsi="Calibri" w:cs="Calibri"/>
          <w:color w:val="000000" w:themeColor="text1"/>
        </w:rPr>
        <w:t xml:space="preserve">has been </w:t>
      </w:r>
      <w:r w:rsidR="005C425B" w:rsidRPr="005B7E06">
        <w:rPr>
          <w:rFonts w:ascii="Calibri" w:hAnsi="Calibri" w:cs="Calibri"/>
          <w:color w:val="000000" w:themeColor="text1"/>
        </w:rPr>
        <w:t>used</w:t>
      </w:r>
      <w:r w:rsidR="00116E14" w:rsidRPr="005B7E06">
        <w:rPr>
          <w:rFonts w:ascii="Calibri" w:hAnsi="Calibri" w:cs="Calibri"/>
          <w:color w:val="000000" w:themeColor="text1"/>
        </w:rPr>
        <w:t xml:space="preserve"> </w:t>
      </w:r>
      <w:r w:rsidRPr="005B7E06">
        <w:rPr>
          <w:rFonts w:ascii="Calibri" w:hAnsi="Calibri" w:cs="Calibri"/>
          <w:color w:val="000000" w:themeColor="text1"/>
        </w:rPr>
        <w:t xml:space="preserve">(ACAS, 2025). For example, if 10 weeks maternity leave </w:t>
      </w:r>
      <w:r w:rsidR="00116E14" w:rsidRPr="005B7E06">
        <w:rPr>
          <w:rFonts w:ascii="Calibri" w:hAnsi="Calibri" w:cs="Calibri"/>
          <w:color w:val="000000" w:themeColor="text1"/>
        </w:rPr>
        <w:t>is</w:t>
      </w:r>
      <w:r w:rsidRPr="005B7E06">
        <w:rPr>
          <w:rFonts w:ascii="Calibri" w:hAnsi="Calibri" w:cs="Calibri"/>
          <w:color w:val="000000" w:themeColor="text1"/>
        </w:rPr>
        <w:t xml:space="preserve"> used, 42 weeks of shared parental leave is available. </w:t>
      </w:r>
    </w:p>
    <w:p w14:paraId="2CF845D8" w14:textId="77D934A7" w:rsidR="00FD1888" w:rsidRPr="005B7E06" w:rsidRDefault="00FD1888" w:rsidP="00FD1888">
      <w:pPr>
        <w:rPr>
          <w:rFonts w:ascii="Calibri" w:hAnsi="Calibri" w:cs="Calibri"/>
          <w:color w:val="000000" w:themeColor="text1"/>
        </w:rPr>
      </w:pPr>
      <w:r w:rsidRPr="005B7E06">
        <w:rPr>
          <w:rFonts w:ascii="Calibri" w:hAnsi="Calibri" w:cs="Calibri"/>
          <w:color w:val="000000" w:themeColor="text1"/>
        </w:rPr>
        <w:t xml:space="preserve">Shared parental leave can be taken at the same time by both parents </w:t>
      </w:r>
      <w:r w:rsidR="00B27193" w:rsidRPr="005B7E06">
        <w:rPr>
          <w:rFonts w:ascii="Calibri" w:hAnsi="Calibri" w:cs="Calibri"/>
          <w:color w:val="000000" w:themeColor="text1"/>
        </w:rPr>
        <w:t>and</w:t>
      </w:r>
      <w:r w:rsidRPr="005B7E06">
        <w:rPr>
          <w:rFonts w:ascii="Calibri" w:hAnsi="Calibri" w:cs="Calibri"/>
          <w:color w:val="000000" w:themeColor="text1"/>
        </w:rPr>
        <w:t xml:space="preserve"> they can decide to alternate this. Shared parental leave needs to be used in the first year</w:t>
      </w:r>
      <w:r w:rsidR="00116E14" w:rsidRPr="005B7E06">
        <w:rPr>
          <w:rFonts w:ascii="Calibri" w:hAnsi="Calibri" w:cs="Calibri"/>
          <w:color w:val="000000" w:themeColor="text1"/>
        </w:rPr>
        <w:t xml:space="preserve"> </w:t>
      </w:r>
      <w:r w:rsidRPr="005B7E06">
        <w:rPr>
          <w:rFonts w:ascii="Calibri" w:hAnsi="Calibri" w:cs="Calibri"/>
          <w:color w:val="000000" w:themeColor="text1"/>
        </w:rPr>
        <w:t>the child is born. </w:t>
      </w:r>
    </w:p>
    <w:p w14:paraId="423FD534" w14:textId="561F3B8A" w:rsidR="00FD1888" w:rsidRPr="005B7E06" w:rsidRDefault="00FD1888" w:rsidP="00FD1888">
      <w:pPr>
        <w:rPr>
          <w:rFonts w:ascii="Calibri" w:hAnsi="Calibri" w:cs="Calibri"/>
          <w:color w:val="000000" w:themeColor="text1"/>
        </w:rPr>
      </w:pPr>
      <w:r w:rsidRPr="005B7E06">
        <w:rPr>
          <w:rFonts w:ascii="Calibri" w:hAnsi="Calibri" w:cs="Calibri"/>
          <w:color w:val="000000" w:themeColor="text1"/>
        </w:rPr>
        <w:t>Shared parental leave pay is £187.18 a week or 90% of the average weekly earnings, whichever is lower. If an employee wants to take shared parental leave, parent</w:t>
      </w:r>
      <w:r w:rsidR="00116E14" w:rsidRPr="005B7E06">
        <w:rPr>
          <w:rFonts w:ascii="Calibri" w:hAnsi="Calibri" w:cs="Calibri"/>
          <w:color w:val="000000" w:themeColor="text1"/>
        </w:rPr>
        <w:t>s</w:t>
      </w:r>
      <w:r w:rsidRPr="005B7E06">
        <w:rPr>
          <w:rFonts w:ascii="Calibri" w:hAnsi="Calibri" w:cs="Calibri"/>
          <w:color w:val="000000" w:themeColor="text1"/>
        </w:rPr>
        <w:t xml:space="preserve"> must give their employer ‘notice of entitlement’ which outlines their request, how much maternity</w:t>
      </w:r>
      <w:r w:rsidR="00B27193" w:rsidRPr="005B7E06">
        <w:rPr>
          <w:rFonts w:ascii="Calibri" w:hAnsi="Calibri" w:cs="Calibri"/>
          <w:color w:val="000000" w:themeColor="text1"/>
        </w:rPr>
        <w:t xml:space="preserve"> leave</w:t>
      </w:r>
      <w:r w:rsidRPr="005B7E06">
        <w:rPr>
          <w:rFonts w:ascii="Calibri" w:hAnsi="Calibri" w:cs="Calibri"/>
          <w:color w:val="000000" w:themeColor="text1"/>
        </w:rPr>
        <w:t xml:space="preserve"> has been used, the leave and pay </w:t>
      </w:r>
      <w:r w:rsidR="00B01228" w:rsidRPr="005B7E06">
        <w:rPr>
          <w:rFonts w:ascii="Calibri" w:hAnsi="Calibri" w:cs="Calibri"/>
          <w:color w:val="000000" w:themeColor="text1"/>
        </w:rPr>
        <w:t>remaining</w:t>
      </w:r>
      <w:r w:rsidRPr="005B7E06">
        <w:rPr>
          <w:rFonts w:ascii="Calibri" w:hAnsi="Calibri" w:cs="Calibri"/>
          <w:color w:val="000000" w:themeColor="text1"/>
        </w:rPr>
        <w:t xml:space="preserve"> from the </w:t>
      </w:r>
      <w:r w:rsidR="00B27193" w:rsidRPr="005B7E06">
        <w:rPr>
          <w:rFonts w:ascii="Calibri" w:hAnsi="Calibri" w:cs="Calibri"/>
          <w:color w:val="000000" w:themeColor="text1"/>
        </w:rPr>
        <w:t>maternity</w:t>
      </w:r>
      <w:r w:rsidRPr="005B7E06">
        <w:rPr>
          <w:rFonts w:ascii="Calibri" w:hAnsi="Calibri" w:cs="Calibri"/>
          <w:color w:val="000000" w:themeColor="text1"/>
        </w:rPr>
        <w:t xml:space="preserve"> entitlement, how much leave each parent wants to take and when they plan on taking it. This document should be signed by both parents (ACAS, 2025). </w:t>
      </w:r>
    </w:p>
    <w:p w14:paraId="019A3CBB" w14:textId="287EB819" w:rsidR="004F7464" w:rsidRPr="006D7F08" w:rsidRDefault="003D20FF" w:rsidP="00FD1888">
      <w:pPr>
        <w:rPr>
          <w:rFonts w:ascii="Calibri" w:hAnsi="Calibri" w:cs="Calibri"/>
          <w:b/>
          <w:bCs/>
        </w:rPr>
      </w:pPr>
      <w:r w:rsidRPr="005B7E06">
        <w:rPr>
          <w:rFonts w:ascii="Calibri" w:hAnsi="Calibri" w:cs="Calibri"/>
          <w:b/>
          <w:bCs/>
        </w:rPr>
        <w:t xml:space="preserve">4.4 </w:t>
      </w:r>
      <w:r w:rsidR="00622569" w:rsidRPr="005B7E06">
        <w:rPr>
          <w:rFonts w:ascii="Calibri" w:hAnsi="Calibri" w:cs="Calibri"/>
          <w:b/>
          <w:bCs/>
        </w:rPr>
        <w:t>-</w:t>
      </w:r>
      <w:r w:rsidR="00F708E1" w:rsidRPr="005B7E06">
        <w:rPr>
          <w:rFonts w:ascii="Calibri" w:hAnsi="Calibri" w:cs="Calibri"/>
          <w:b/>
          <w:bCs/>
        </w:rPr>
        <w:t xml:space="preserve"> </w:t>
      </w:r>
      <w:r w:rsidRPr="005B7E06">
        <w:rPr>
          <w:rFonts w:ascii="Calibri" w:hAnsi="Calibri" w:cs="Calibri"/>
          <w:b/>
          <w:bCs/>
        </w:rPr>
        <w:t>Email 10</w:t>
      </w:r>
      <w:r w:rsidR="006D7F08">
        <w:rPr>
          <w:rFonts w:ascii="Calibri" w:hAnsi="Calibri" w:cs="Calibri"/>
          <w:b/>
          <w:bCs/>
        </w:rPr>
        <w:t xml:space="preserve"> </w:t>
      </w:r>
    </w:p>
    <w:p w14:paraId="65888F2A" w14:textId="77777777" w:rsidR="0009222E" w:rsidRPr="006D7F08" w:rsidRDefault="0009222E" w:rsidP="0009222E">
      <w:pPr>
        <w:rPr>
          <w:rFonts w:ascii="Calibri" w:hAnsi="Calibri" w:cs="Calibri"/>
        </w:rPr>
      </w:pPr>
      <w:r w:rsidRPr="006D7F08">
        <w:rPr>
          <w:rFonts w:ascii="Calibri" w:hAnsi="Calibri" w:cs="Calibri"/>
        </w:rPr>
        <w:t xml:space="preserve">The Employee Rights Act 1996 gives employees the right to apply to work flexibly. </w:t>
      </w:r>
      <w:r>
        <w:rPr>
          <w:rFonts w:ascii="Calibri" w:hAnsi="Calibri" w:cs="Calibri"/>
        </w:rPr>
        <w:t>F</w:t>
      </w:r>
      <w:r w:rsidRPr="006D7F08">
        <w:rPr>
          <w:rFonts w:ascii="Calibri" w:hAnsi="Calibri" w:cs="Calibri"/>
        </w:rPr>
        <w:t xml:space="preserve">rom 6th April 2024, </w:t>
      </w:r>
      <w:r>
        <w:rPr>
          <w:rFonts w:ascii="Calibri" w:hAnsi="Calibri" w:cs="Calibri"/>
        </w:rPr>
        <w:t>it’s a day 1 right. P</w:t>
      </w:r>
      <w:r w:rsidRPr="006D7F08">
        <w:rPr>
          <w:rFonts w:ascii="Calibri" w:hAnsi="Calibri" w:cs="Calibri"/>
        </w:rPr>
        <w:t xml:space="preserve">rior to this, an employee needed to be </w:t>
      </w:r>
      <w:r>
        <w:rPr>
          <w:rFonts w:ascii="Calibri" w:hAnsi="Calibri" w:cs="Calibri"/>
        </w:rPr>
        <w:t>employed</w:t>
      </w:r>
      <w:r w:rsidRPr="006D7F08">
        <w:rPr>
          <w:rFonts w:ascii="Calibri" w:hAnsi="Calibri" w:cs="Calibri"/>
        </w:rPr>
        <w:t xml:space="preserve"> for at least 26 weeks prior (CIPD, 2025). </w:t>
      </w:r>
    </w:p>
    <w:p w14:paraId="42E91A92" w14:textId="77777777" w:rsidR="0009222E" w:rsidRDefault="0009222E" w:rsidP="0009222E">
      <w:pPr>
        <w:rPr>
          <w:rFonts w:ascii="Calibri" w:hAnsi="Calibri" w:cs="Calibri"/>
        </w:rPr>
      </w:pPr>
      <w:r w:rsidRPr="006D7F08">
        <w:rPr>
          <w:rFonts w:ascii="Calibri" w:hAnsi="Calibri" w:cs="Calibri"/>
        </w:rPr>
        <w:t>The CIPD argues that employers have a ‘duty to consider’ a flexible working request in a reasonable manner</w:t>
      </w:r>
      <w:r>
        <w:rPr>
          <w:rFonts w:ascii="Calibri" w:hAnsi="Calibri" w:cs="Calibri"/>
        </w:rPr>
        <w:t>. R</w:t>
      </w:r>
      <w:r w:rsidRPr="006D7F08">
        <w:rPr>
          <w:rFonts w:ascii="Calibri" w:hAnsi="Calibri" w:cs="Calibri"/>
        </w:rPr>
        <w:t>equest</w:t>
      </w:r>
      <w:r w:rsidRPr="003F3A3F">
        <w:rPr>
          <w:rFonts w:ascii="Calibri" w:hAnsi="Calibri" w:cs="Calibri"/>
          <w:color w:val="FF0000"/>
        </w:rPr>
        <w:t>s</w:t>
      </w:r>
      <w:r w:rsidRPr="006D7F08">
        <w:rPr>
          <w:rFonts w:ascii="Calibri" w:hAnsi="Calibri" w:cs="Calibri"/>
        </w:rPr>
        <w:t xml:space="preserve"> can only be refused on certain grounds which are set out in the Employment Rights Act 1996</w:t>
      </w:r>
      <w:r>
        <w:rPr>
          <w:rFonts w:ascii="Calibri" w:hAnsi="Calibri" w:cs="Calibri"/>
        </w:rPr>
        <w:t xml:space="preserve"> and include reasons such as ‘the inability to recruit additional staff’ and there being a ‘detrimental impact on quality or performance’ </w:t>
      </w:r>
      <w:r w:rsidRPr="006D7F08">
        <w:rPr>
          <w:rFonts w:ascii="Calibri" w:hAnsi="Calibri" w:cs="Calibri"/>
        </w:rPr>
        <w:t>(ACAS, 2024)</w:t>
      </w:r>
      <w:r>
        <w:rPr>
          <w:rFonts w:ascii="Calibri" w:hAnsi="Calibri" w:cs="Calibri"/>
        </w:rPr>
        <w:t xml:space="preserve">. </w:t>
      </w:r>
      <w:r w:rsidRPr="001014E8">
        <w:rPr>
          <w:rFonts w:ascii="Calibri" w:hAnsi="Calibri" w:cs="Calibri"/>
          <w:color w:val="FF0000"/>
        </w:rPr>
        <w:t xml:space="preserve">The trust should review each request on its own merit and whilst it’s understanding that allowing a request could encourage others to request to work flexibly, setting a precedent isn’t a valid reason to refuse a flexible working request. </w:t>
      </w:r>
      <w:r>
        <w:rPr>
          <w:rFonts w:ascii="Calibri" w:hAnsi="Calibri" w:cs="Calibri"/>
          <w:color w:val="FF0000"/>
        </w:rPr>
        <w:t xml:space="preserve">If a request is accommodated for one employee, it doesn’t mean that this will be the case for another – each employee has their own individual reasons for their request and these should be considered and explored if possible. </w:t>
      </w:r>
    </w:p>
    <w:p w14:paraId="03AD247D" w14:textId="77777777" w:rsidR="0009222E" w:rsidRPr="006D7F08" w:rsidRDefault="0009222E" w:rsidP="0009222E">
      <w:pPr>
        <w:rPr>
          <w:rFonts w:ascii="Calibri" w:hAnsi="Calibri" w:cs="Calibri"/>
        </w:rPr>
      </w:pPr>
      <w:r w:rsidRPr="006D7F08">
        <w:rPr>
          <w:rFonts w:ascii="Calibri" w:hAnsi="Calibri" w:cs="Calibri"/>
        </w:rPr>
        <w:t>Employers should ‘allow’ flexible working where possible, using a 3-month trial for consideration</w:t>
      </w:r>
      <w:r>
        <w:rPr>
          <w:rFonts w:ascii="Calibri" w:hAnsi="Calibri" w:cs="Calibri"/>
        </w:rPr>
        <w:t xml:space="preserve"> </w:t>
      </w:r>
      <w:r w:rsidRPr="006D7F08">
        <w:rPr>
          <w:rFonts w:ascii="Calibri" w:hAnsi="Calibri" w:cs="Calibri"/>
        </w:rPr>
        <w:t>(CIPD, 2024). Employees have</w:t>
      </w:r>
      <w:r>
        <w:rPr>
          <w:rFonts w:ascii="Calibri" w:hAnsi="Calibri" w:cs="Calibri"/>
        </w:rPr>
        <w:t xml:space="preserve"> the</w:t>
      </w:r>
      <w:r w:rsidRPr="006D7F08">
        <w:rPr>
          <w:rFonts w:ascii="Calibri" w:hAnsi="Calibri" w:cs="Calibri"/>
        </w:rPr>
        <w:t xml:space="preserve"> right to make 2 flexible working requests in a 12-month period</w:t>
      </w:r>
      <w:r>
        <w:rPr>
          <w:rFonts w:ascii="Calibri" w:hAnsi="Calibri" w:cs="Calibri"/>
        </w:rPr>
        <w:t xml:space="preserve">, </w:t>
      </w:r>
      <w:r w:rsidRPr="006D7F08">
        <w:rPr>
          <w:rFonts w:ascii="Calibri" w:hAnsi="Calibri" w:cs="Calibri"/>
        </w:rPr>
        <w:t xml:space="preserve">employers must respond and </w:t>
      </w:r>
      <w:r>
        <w:rPr>
          <w:rFonts w:ascii="Calibri" w:hAnsi="Calibri" w:cs="Calibri"/>
        </w:rPr>
        <w:t>decide</w:t>
      </w:r>
      <w:r w:rsidRPr="006D7F08">
        <w:rPr>
          <w:rFonts w:ascii="Calibri" w:hAnsi="Calibri" w:cs="Calibri"/>
        </w:rPr>
        <w:t xml:space="preserve"> within 2 months (CIPD, 2024). The effects of the change for employee</w:t>
      </w:r>
      <w:r>
        <w:rPr>
          <w:rFonts w:ascii="Calibri" w:hAnsi="Calibri" w:cs="Calibri"/>
        </w:rPr>
        <w:t>s</w:t>
      </w:r>
      <w:r w:rsidRPr="006D7F08">
        <w:rPr>
          <w:rFonts w:ascii="Calibri" w:hAnsi="Calibri" w:cs="Calibri"/>
        </w:rPr>
        <w:t xml:space="preserve"> and employer</w:t>
      </w:r>
      <w:r>
        <w:rPr>
          <w:rFonts w:ascii="Calibri" w:hAnsi="Calibri" w:cs="Calibri"/>
        </w:rPr>
        <w:t>s</w:t>
      </w:r>
      <w:r w:rsidRPr="006D7F08">
        <w:rPr>
          <w:rFonts w:ascii="Calibri" w:hAnsi="Calibri" w:cs="Calibri"/>
        </w:rPr>
        <w:t xml:space="preserve"> should be fully considered before </w:t>
      </w:r>
      <w:r>
        <w:rPr>
          <w:rFonts w:ascii="Calibri" w:hAnsi="Calibri" w:cs="Calibri"/>
        </w:rPr>
        <w:t>deciding</w:t>
      </w:r>
      <w:r w:rsidRPr="006D7F08">
        <w:rPr>
          <w:rFonts w:ascii="Calibri" w:hAnsi="Calibri" w:cs="Calibri"/>
        </w:rPr>
        <w:t>. </w:t>
      </w:r>
    </w:p>
    <w:p w14:paraId="245D93E6" w14:textId="77777777" w:rsidR="0009222E" w:rsidRPr="00707DE0" w:rsidRDefault="0009222E" w:rsidP="0009222E">
      <w:pPr>
        <w:rPr>
          <w:rFonts w:ascii="Calibri" w:hAnsi="Calibri" w:cs="Calibri"/>
          <w:strike/>
        </w:rPr>
      </w:pPr>
      <w:r w:rsidRPr="00707DE0">
        <w:rPr>
          <w:rFonts w:ascii="Calibri" w:hAnsi="Calibri" w:cs="Calibri"/>
          <w:strike/>
        </w:rPr>
        <w:t>The importance of dealing with flexible working requests within timeframes is illustrated in the case ‘Wilson Vs The Financial Conduct Authority’. A manager applied to work fully remotely which was declined deemed it would ‘detrimentally affect her performance’. This case was taken to a tribunal, the judge ruled the time limit the request was responded to was ‘breached by 21 days’ (CIPD, 2024). The company was ordered to pay £643, one week’s pay as compensation. </w:t>
      </w:r>
    </w:p>
    <w:p w14:paraId="34FF92C8" w14:textId="77777777" w:rsidR="0009222E" w:rsidRPr="006D7F08" w:rsidRDefault="0009222E" w:rsidP="0009222E">
      <w:pPr>
        <w:rPr>
          <w:rFonts w:ascii="Calibri" w:hAnsi="Calibri" w:cs="Calibri"/>
        </w:rPr>
      </w:pPr>
      <w:r w:rsidRPr="006D7F08">
        <w:rPr>
          <w:rFonts w:ascii="Calibri" w:hAnsi="Calibri" w:cs="Calibri"/>
        </w:rPr>
        <w:t xml:space="preserve">If an initial request is denied, employers should communicate with the employee to review </w:t>
      </w:r>
      <w:r w:rsidRPr="008618EA">
        <w:rPr>
          <w:rFonts w:ascii="Calibri" w:hAnsi="Calibri" w:cs="Calibri"/>
          <w:strike/>
        </w:rPr>
        <w:t>whether there are</w:t>
      </w:r>
      <w:r w:rsidRPr="006D7F08">
        <w:rPr>
          <w:rFonts w:ascii="Calibri" w:hAnsi="Calibri" w:cs="Calibri"/>
        </w:rPr>
        <w:t xml:space="preserve"> any adjustments tha</w:t>
      </w:r>
      <w:r>
        <w:rPr>
          <w:rFonts w:ascii="Calibri" w:hAnsi="Calibri" w:cs="Calibri"/>
        </w:rPr>
        <w:t>t</w:t>
      </w:r>
      <w:r w:rsidRPr="006D7F08">
        <w:rPr>
          <w:rFonts w:ascii="Calibri" w:hAnsi="Calibri" w:cs="Calibri"/>
        </w:rPr>
        <w:t xml:space="preserve"> can be made to the initial request for further consideration (ACAS, 2024).</w:t>
      </w:r>
    </w:p>
    <w:p w14:paraId="4BAECD49" w14:textId="77777777" w:rsidR="0009222E" w:rsidRDefault="0009222E" w:rsidP="0009222E">
      <w:pPr>
        <w:rPr>
          <w:rFonts w:ascii="Calibri" w:hAnsi="Calibri" w:cs="Calibri"/>
        </w:rPr>
      </w:pPr>
      <w:r w:rsidRPr="006D7F08">
        <w:rPr>
          <w:rFonts w:ascii="Calibri" w:hAnsi="Calibri" w:cs="Calibri"/>
        </w:rPr>
        <w:t>Whilst there is no right for an employee to work flexibly, employees do have the right to request</w:t>
      </w:r>
      <w:r>
        <w:rPr>
          <w:rFonts w:ascii="Calibri" w:hAnsi="Calibri" w:cs="Calibri"/>
        </w:rPr>
        <w:t xml:space="preserve"> which should</w:t>
      </w:r>
      <w:r w:rsidRPr="006D7F08">
        <w:rPr>
          <w:rFonts w:ascii="Calibri" w:hAnsi="Calibri" w:cs="Calibri"/>
        </w:rPr>
        <w:t xml:space="preserve"> be ‘formally considered’ (CIPD, 2024). </w:t>
      </w:r>
      <w:r>
        <w:rPr>
          <w:rFonts w:ascii="Calibri" w:hAnsi="Calibri" w:cs="Calibri"/>
        </w:rPr>
        <w:t xml:space="preserve">ACAS consider within most organisations, some flexibility can be accommodated (ACAS, 2024). </w:t>
      </w:r>
    </w:p>
    <w:p w14:paraId="0C064011" w14:textId="77777777" w:rsidR="0009222E" w:rsidRPr="006D7F08" w:rsidRDefault="0009222E" w:rsidP="0009222E">
      <w:pPr>
        <w:rPr>
          <w:rFonts w:ascii="Calibri" w:hAnsi="Calibri" w:cs="Calibri"/>
        </w:rPr>
      </w:pPr>
      <w:r w:rsidRPr="006D7F08">
        <w:rPr>
          <w:rFonts w:ascii="Calibri" w:hAnsi="Calibri" w:cs="Calibri"/>
        </w:rPr>
        <w:t>The decision</w:t>
      </w:r>
      <w:r>
        <w:rPr>
          <w:rFonts w:ascii="Calibri" w:hAnsi="Calibri" w:cs="Calibri"/>
        </w:rPr>
        <w:t xml:space="preserve"> </w:t>
      </w:r>
      <w:r w:rsidRPr="006D7F08">
        <w:rPr>
          <w:rFonts w:ascii="Calibri" w:hAnsi="Calibri" w:cs="Calibri"/>
        </w:rPr>
        <w:t>should be communicated in writing to the employee detailing</w:t>
      </w:r>
      <w:r>
        <w:rPr>
          <w:rFonts w:ascii="Calibri" w:hAnsi="Calibri" w:cs="Calibri"/>
        </w:rPr>
        <w:t xml:space="preserve"> the outcome,</w:t>
      </w:r>
      <w:r w:rsidRPr="006D7F08">
        <w:rPr>
          <w:rFonts w:ascii="Calibri" w:hAnsi="Calibri" w:cs="Calibri"/>
        </w:rPr>
        <w:t xml:space="preserve"> agreements made and outlining the dates of a trial period if agreed. There is no statutory right to appeal the refusal of a request, however it’s good practice for organisations to allow this. </w:t>
      </w:r>
    </w:p>
    <w:p w14:paraId="66D477C8" w14:textId="77777777" w:rsidR="0009222E" w:rsidRDefault="0009222E" w:rsidP="0009222E">
      <w:pPr>
        <w:rPr>
          <w:rFonts w:ascii="Calibri" w:hAnsi="Calibri" w:cs="Calibri"/>
        </w:rPr>
      </w:pPr>
      <w:r>
        <w:rPr>
          <w:rFonts w:ascii="Calibri" w:hAnsi="Calibri" w:cs="Calibri"/>
        </w:rPr>
        <w:lastRenderedPageBreak/>
        <w:t xml:space="preserve">There are benefits to both the employee and employer of flexible working. Flexible working can help with a work-life balance and improve overall wellbeing. Flexible working can help create a positive culture, attract and keep staff and recruit for jobs that are usually hard to fill. (ACAS, 2024). </w:t>
      </w:r>
    </w:p>
    <w:p w14:paraId="52A6DBAE" w14:textId="77777777" w:rsidR="00120904" w:rsidRDefault="00120904"/>
    <w:p w14:paraId="26E9A7D5" w14:textId="77777777" w:rsidR="00120904" w:rsidRDefault="00120904"/>
    <w:p w14:paraId="0AAA9D53" w14:textId="77777777" w:rsidR="002E4DF7" w:rsidRDefault="002E4DF7"/>
    <w:p w14:paraId="201DBDD1" w14:textId="77777777" w:rsidR="005B7E06" w:rsidRDefault="005B7E06"/>
    <w:p w14:paraId="336F636F" w14:textId="77777777" w:rsidR="005B7E06" w:rsidRDefault="005B7E06"/>
    <w:p w14:paraId="4EC8BA6F" w14:textId="77777777" w:rsidR="005B7E06" w:rsidRDefault="005B7E06"/>
    <w:p w14:paraId="2645C824" w14:textId="77777777" w:rsidR="005B7E06" w:rsidRDefault="005B7E06"/>
    <w:p w14:paraId="6D31F12A" w14:textId="77777777" w:rsidR="005B7E06" w:rsidRDefault="005B7E06"/>
    <w:p w14:paraId="369A0D4F" w14:textId="77777777" w:rsidR="005B7E06" w:rsidRDefault="005B7E06"/>
    <w:p w14:paraId="6714EF5A" w14:textId="77777777" w:rsidR="005B7E06" w:rsidRDefault="005B7E06"/>
    <w:p w14:paraId="133F0897" w14:textId="77777777" w:rsidR="005B7E06" w:rsidRDefault="005B7E06"/>
    <w:p w14:paraId="51D8058B" w14:textId="77777777" w:rsidR="005B7E06" w:rsidRDefault="005B7E06"/>
    <w:p w14:paraId="70290FE5" w14:textId="77777777" w:rsidR="005B7E06" w:rsidRDefault="005B7E06"/>
    <w:p w14:paraId="0EC554EE" w14:textId="77777777" w:rsidR="005B7E06" w:rsidRDefault="005B7E06"/>
    <w:p w14:paraId="28316455" w14:textId="77777777" w:rsidR="002E4DF7" w:rsidRDefault="002E4DF7"/>
    <w:p w14:paraId="6050B227" w14:textId="77777777" w:rsidR="002E4DF7" w:rsidRDefault="002E4DF7"/>
    <w:p w14:paraId="3BCF5EF2" w14:textId="77777777" w:rsidR="002E4DF7" w:rsidRDefault="002E4DF7"/>
    <w:p w14:paraId="75EADBC4" w14:textId="77777777" w:rsidR="002E4DF7" w:rsidRDefault="002E4DF7"/>
    <w:p w14:paraId="20796B7F" w14:textId="77777777" w:rsidR="002E4DF7" w:rsidRDefault="002E4DF7"/>
    <w:p w14:paraId="2830B7A0" w14:textId="77777777" w:rsidR="002E4DF7" w:rsidRDefault="002E4DF7"/>
    <w:p w14:paraId="7AB588A0" w14:textId="77777777" w:rsidR="002E4DF7" w:rsidRDefault="002E4DF7"/>
    <w:p w14:paraId="4C1AF0AC" w14:textId="77777777" w:rsidR="002E4DF7" w:rsidRDefault="002E4DF7"/>
    <w:p w14:paraId="6B70CCB5" w14:textId="77777777" w:rsidR="002E4DF7" w:rsidRDefault="002E4DF7"/>
    <w:p w14:paraId="3EB40F6A" w14:textId="77777777" w:rsidR="002E4DF7" w:rsidRDefault="002E4DF7"/>
    <w:p w14:paraId="158BC7FF" w14:textId="77777777" w:rsidR="002E4DF7" w:rsidRDefault="002E4DF7"/>
    <w:p w14:paraId="2218BE26" w14:textId="77777777" w:rsidR="002E4DF7" w:rsidRDefault="002E4DF7"/>
    <w:p w14:paraId="784391A5" w14:textId="77777777" w:rsidR="002E4DF7" w:rsidRDefault="002E4DF7"/>
    <w:p w14:paraId="0BD0D268" w14:textId="77777777" w:rsidR="002E4DF7" w:rsidRDefault="002E4DF7"/>
    <w:p w14:paraId="40E8F894" w14:textId="77777777" w:rsidR="002E4DF7" w:rsidRDefault="002E4DF7"/>
    <w:p w14:paraId="4303EC24" w14:textId="77777777" w:rsidR="002E4DF7" w:rsidRPr="00D46DAC" w:rsidRDefault="002E4DF7" w:rsidP="002E4DF7">
      <w:pPr>
        <w:rPr>
          <w:u w:val="single"/>
        </w:rPr>
      </w:pPr>
      <w:r w:rsidRPr="00D46DAC">
        <w:rPr>
          <w:u w:val="single"/>
        </w:rPr>
        <w:lastRenderedPageBreak/>
        <w:t xml:space="preserve">Bibliography – Employment Law </w:t>
      </w:r>
    </w:p>
    <w:p w14:paraId="08870197" w14:textId="77777777" w:rsidR="002E4DF7" w:rsidRDefault="002E4DF7" w:rsidP="002E4DF7">
      <w:r w:rsidRPr="00E05A22">
        <w:t>ACAS (2024). </w:t>
      </w:r>
      <w:r w:rsidRPr="00E05A22">
        <w:rPr>
          <w:i/>
          <w:iCs/>
        </w:rPr>
        <w:t>Checking Holiday Entitlement</w:t>
      </w:r>
      <w:r w:rsidRPr="00E05A22">
        <w:t xml:space="preserve">. [online] Acas.org.uk. Available at: </w:t>
      </w:r>
      <w:hyperlink r:id="rId5" w:history="1">
        <w:r w:rsidRPr="00D35194">
          <w:rPr>
            <w:rStyle w:val="Hyperlink"/>
          </w:rPr>
          <w:t>https://www.acas.org.uk/checking-holiday-entitlement</w:t>
        </w:r>
      </w:hyperlink>
      <w:r w:rsidRPr="00E05A22">
        <w:t>.</w:t>
      </w:r>
    </w:p>
    <w:p w14:paraId="3E54AF89" w14:textId="77777777" w:rsidR="002E4DF7" w:rsidRDefault="002E4DF7" w:rsidP="002E4DF7">
      <w:r w:rsidRPr="007B594A">
        <w:t>ACAS (2024). </w:t>
      </w:r>
      <w:r w:rsidRPr="007B594A">
        <w:rPr>
          <w:i/>
          <w:iCs/>
        </w:rPr>
        <w:t>Code of Practice on requests for flexible working</w:t>
      </w:r>
      <w:r w:rsidRPr="007B594A">
        <w:t xml:space="preserve">. [online] Acas. Available at: </w:t>
      </w:r>
      <w:hyperlink r:id="rId6" w:anchor="consideringarequest" w:history="1">
        <w:r w:rsidRPr="00D35194">
          <w:rPr>
            <w:rStyle w:val="Hyperlink"/>
          </w:rPr>
          <w:t>https://www.acas.org.uk/acas-code-of-practice-on-flexible-working-requests/html#consideringarequest</w:t>
        </w:r>
      </w:hyperlink>
      <w:r w:rsidRPr="007B594A">
        <w:t>.</w:t>
      </w:r>
    </w:p>
    <w:p w14:paraId="51DEDEA7" w14:textId="77777777" w:rsidR="002E4DF7" w:rsidRDefault="002E4DF7" w:rsidP="002E4DF7">
      <w:r w:rsidRPr="004D1697">
        <w:t>A</w:t>
      </w:r>
      <w:r>
        <w:t>CAS</w:t>
      </w:r>
      <w:r w:rsidRPr="004D1697">
        <w:t xml:space="preserve"> (2024). </w:t>
      </w:r>
      <w:r w:rsidRPr="004D1697">
        <w:rPr>
          <w:i/>
          <w:iCs/>
        </w:rPr>
        <w:t>Constructive dismissal</w:t>
      </w:r>
      <w:r w:rsidRPr="004D1697">
        <w:t xml:space="preserve">. [online] www.acas.org.uk. Available at: </w:t>
      </w:r>
      <w:hyperlink r:id="rId7" w:history="1">
        <w:r w:rsidRPr="00D35194">
          <w:rPr>
            <w:rStyle w:val="Hyperlink"/>
          </w:rPr>
          <w:t>https://www.acas.org.uk/dismissals/constructive-dismissal</w:t>
        </w:r>
      </w:hyperlink>
      <w:r w:rsidRPr="004D1697">
        <w:t>.</w:t>
      </w:r>
    </w:p>
    <w:p w14:paraId="6E109C3C" w14:textId="77777777" w:rsidR="002E4DF7" w:rsidRDefault="002E4DF7" w:rsidP="002E4DF7">
      <w:r w:rsidRPr="00890082">
        <w:t>ACAS (2024). </w:t>
      </w:r>
      <w:r w:rsidRPr="00890082">
        <w:rPr>
          <w:i/>
          <w:iCs/>
        </w:rPr>
        <w:t>Equal Pay and the Law</w:t>
      </w:r>
      <w:r w:rsidRPr="00890082">
        <w:t xml:space="preserve">. [online] ACAS. Available at: </w:t>
      </w:r>
      <w:hyperlink r:id="rId8" w:history="1">
        <w:r w:rsidRPr="00D35194">
          <w:rPr>
            <w:rStyle w:val="Hyperlink"/>
          </w:rPr>
          <w:t>https://www.acas.org.uk/equal-pay/equal-pay-law</w:t>
        </w:r>
      </w:hyperlink>
      <w:r w:rsidRPr="00890082">
        <w:t>.</w:t>
      </w:r>
    </w:p>
    <w:p w14:paraId="0E469566" w14:textId="77777777" w:rsidR="002E4DF7" w:rsidRDefault="002E4DF7" w:rsidP="002E4DF7">
      <w:r w:rsidRPr="00AC3BCB">
        <w:t>ACAS (2024). </w:t>
      </w:r>
      <w:r w:rsidRPr="00AC3BCB">
        <w:rPr>
          <w:i/>
          <w:iCs/>
        </w:rPr>
        <w:t>Following discrimination law - Recruitment - Acas</w:t>
      </w:r>
      <w:r w:rsidRPr="00AC3BCB">
        <w:t xml:space="preserve">. [online] Acas. Available at: </w:t>
      </w:r>
      <w:hyperlink r:id="rId9" w:history="1">
        <w:r w:rsidRPr="00D35194">
          <w:rPr>
            <w:rStyle w:val="Hyperlink"/>
          </w:rPr>
          <w:t>https://www.acas.org.uk/recruitment/follow-discrimination-law</w:t>
        </w:r>
      </w:hyperlink>
    </w:p>
    <w:p w14:paraId="44DE173D" w14:textId="77777777" w:rsidR="002E4DF7" w:rsidRDefault="002E4DF7" w:rsidP="002E4DF7">
      <w:r w:rsidRPr="002E33C8">
        <w:t>ACAS (2025). </w:t>
      </w:r>
      <w:r w:rsidRPr="002E33C8">
        <w:rPr>
          <w:i/>
          <w:iCs/>
        </w:rPr>
        <w:t>Shared Parental Leave and Pay | Acas</w:t>
      </w:r>
      <w:r w:rsidRPr="002E33C8">
        <w:t xml:space="preserve">. [online] www.acas.org.uk. Available at: </w:t>
      </w:r>
      <w:hyperlink r:id="rId10" w:history="1">
        <w:r w:rsidRPr="00D35194">
          <w:rPr>
            <w:rStyle w:val="Hyperlink"/>
          </w:rPr>
          <w:t>https://www.acas.org.uk/shared-parental-leave-and-pay</w:t>
        </w:r>
      </w:hyperlink>
      <w:r w:rsidRPr="002E33C8">
        <w:t>.</w:t>
      </w:r>
    </w:p>
    <w:p w14:paraId="172E46F2" w14:textId="77777777" w:rsidR="002E4DF7" w:rsidRDefault="002E4DF7" w:rsidP="002E4DF7">
      <w:r w:rsidRPr="00AD502E">
        <w:t>ACAS (2023). </w:t>
      </w:r>
      <w:r w:rsidRPr="00AD502E">
        <w:rPr>
          <w:i/>
          <w:iCs/>
        </w:rPr>
        <w:t>Taking maternity leave | Acas</w:t>
      </w:r>
      <w:r w:rsidRPr="00AD502E">
        <w:t xml:space="preserve">. [online] www.acas.org.uk. Available at: </w:t>
      </w:r>
      <w:hyperlink r:id="rId11" w:history="1">
        <w:r w:rsidRPr="00D35194">
          <w:rPr>
            <w:rStyle w:val="Hyperlink"/>
          </w:rPr>
          <w:t>https://www.acas.org.uk/your-maternity-leave-pay-and-other-rights/taking-maternity-leave</w:t>
        </w:r>
      </w:hyperlink>
    </w:p>
    <w:p w14:paraId="656465D6" w14:textId="77777777" w:rsidR="002E4DF7" w:rsidRDefault="002E4DF7" w:rsidP="002E4DF7">
      <w:r w:rsidRPr="00275292">
        <w:t>ACAS (2024). </w:t>
      </w:r>
      <w:r w:rsidRPr="00275292">
        <w:rPr>
          <w:i/>
          <w:iCs/>
        </w:rPr>
        <w:t>What a TUPE Transfer Is - TUPE - Acas</w:t>
      </w:r>
      <w:r w:rsidRPr="00275292">
        <w:t xml:space="preserve">. [online] Acas. Available at: </w:t>
      </w:r>
      <w:hyperlink r:id="rId12" w:history="1">
        <w:r w:rsidRPr="00D35194">
          <w:rPr>
            <w:rStyle w:val="Hyperlink"/>
          </w:rPr>
          <w:t>https://www.acas.org.uk/tupe/advice-for-employers-and-employees</w:t>
        </w:r>
      </w:hyperlink>
      <w:r w:rsidRPr="00275292">
        <w:t>.</w:t>
      </w:r>
    </w:p>
    <w:p w14:paraId="57A3BE39" w14:textId="77777777" w:rsidR="002E4DF7" w:rsidRDefault="002E4DF7" w:rsidP="002E4DF7">
      <w:r w:rsidRPr="00F50F6C">
        <w:t>ACAS (2024). </w:t>
      </w:r>
      <w:r w:rsidRPr="00F50F6C">
        <w:rPr>
          <w:i/>
          <w:iCs/>
        </w:rPr>
        <w:t>What flexible working is - Statutory flexible working requests</w:t>
      </w:r>
      <w:r w:rsidRPr="00F50F6C">
        <w:t xml:space="preserve">. [online] Acas. Available at: </w:t>
      </w:r>
      <w:hyperlink r:id="rId13" w:history="1">
        <w:r w:rsidRPr="00D35194">
          <w:rPr>
            <w:rStyle w:val="Hyperlink"/>
          </w:rPr>
          <w:t>https://www.acas.org.uk/statutory-flexible-working-requests</w:t>
        </w:r>
      </w:hyperlink>
    </w:p>
    <w:p w14:paraId="3FC577BC" w14:textId="77777777" w:rsidR="002E4DF7" w:rsidRDefault="002E4DF7" w:rsidP="002E4DF7">
      <w:r w:rsidRPr="00640478">
        <w:t>ACAS (2024). </w:t>
      </w:r>
      <w:r w:rsidRPr="00640478">
        <w:rPr>
          <w:i/>
          <w:iCs/>
        </w:rPr>
        <w:t>Your maternity leave, pay and other rights | Acas</w:t>
      </w:r>
      <w:r w:rsidRPr="00640478">
        <w:t>. [online] Acas.org.uk. Available at: https://www.acas.org.uk/your-maternity-leave-pay-and-other-rights.</w:t>
      </w:r>
    </w:p>
    <w:p w14:paraId="158F37C6" w14:textId="77777777" w:rsidR="002E4DF7" w:rsidRDefault="002E4DF7" w:rsidP="002E4DF7">
      <w:r w:rsidRPr="00077398">
        <w:t>ACAS (2025). </w:t>
      </w:r>
      <w:r w:rsidRPr="00077398">
        <w:rPr>
          <w:i/>
          <w:iCs/>
        </w:rPr>
        <w:t>Your Rights During Redundancy</w:t>
      </w:r>
      <w:r w:rsidRPr="00077398">
        <w:t xml:space="preserve">. [online] Acas.org.uk. Available at: </w:t>
      </w:r>
      <w:hyperlink r:id="rId14" w:history="1">
        <w:r w:rsidRPr="00D35194">
          <w:rPr>
            <w:rStyle w:val="Hyperlink"/>
          </w:rPr>
          <w:t>https://www.acas.org.uk/your-rights-during-redundancy</w:t>
        </w:r>
      </w:hyperlink>
      <w:r w:rsidRPr="00077398">
        <w:t>.</w:t>
      </w:r>
    </w:p>
    <w:p w14:paraId="325B5D8E" w14:textId="77777777" w:rsidR="002E4DF7" w:rsidRDefault="002E4DF7" w:rsidP="002E4DF7">
      <w:r w:rsidRPr="00B548FF">
        <w:t>Ayling, L. and Suff, R. (2024). </w:t>
      </w:r>
      <w:r w:rsidRPr="00B548FF">
        <w:rPr>
          <w:i/>
          <w:iCs/>
        </w:rPr>
        <w:t>Working Hours &amp; Time Off Work | Factsheets</w:t>
      </w:r>
      <w:r w:rsidRPr="00B548FF">
        <w:t xml:space="preserve">. [online] CIPD. Available at: </w:t>
      </w:r>
      <w:hyperlink r:id="rId15" w:history="1">
        <w:r w:rsidRPr="00D35194">
          <w:rPr>
            <w:rStyle w:val="Hyperlink"/>
          </w:rPr>
          <w:t>https://www.cipd.org/uk/knowledge/factsheets/working-time-factsheet/</w:t>
        </w:r>
      </w:hyperlink>
    </w:p>
    <w:p w14:paraId="7620D405" w14:textId="77777777" w:rsidR="002E4DF7" w:rsidRDefault="002E4DF7" w:rsidP="002E4DF7">
      <w:r w:rsidRPr="00711829">
        <w:t>BDBF Solicitors (2023). </w:t>
      </w:r>
      <w:r w:rsidRPr="00711829">
        <w:rPr>
          <w:i/>
          <w:iCs/>
        </w:rPr>
        <w:t>Working Time Regulation Changes in 2024| Read| BDBF LLP</w:t>
      </w:r>
      <w:r w:rsidRPr="00711829">
        <w:t>. [online] BDBF LLP. Available at: https://www.bdbf.co.uk/government-confirms-wide-ranging-changes-to-the-working-time-regulations-and-tupe-from-1-january-2024/.</w:t>
      </w:r>
    </w:p>
    <w:p w14:paraId="6472AFF0" w14:textId="77777777" w:rsidR="002E4DF7" w:rsidRDefault="002E4DF7" w:rsidP="002E4DF7">
      <w:r w:rsidRPr="0000279A">
        <w:t>Butler, S. (2025). </w:t>
      </w:r>
      <w:r w:rsidRPr="0000279A">
        <w:rPr>
          <w:i/>
          <w:iCs/>
        </w:rPr>
        <w:t>Thousands of Asda workers win latest stage in decade-long equal pay case</w:t>
      </w:r>
      <w:r w:rsidRPr="0000279A">
        <w:t xml:space="preserve">. [online] the Guardian. Available at: </w:t>
      </w:r>
      <w:hyperlink r:id="rId16" w:history="1">
        <w:r w:rsidRPr="00D35194">
          <w:rPr>
            <w:rStyle w:val="Hyperlink"/>
          </w:rPr>
          <w:t>https://www.theguardian.com/business/2025/feb/03/thousands-asda-workers-win-latest-stage-equal-pay-case</w:t>
        </w:r>
      </w:hyperlink>
      <w:r w:rsidRPr="0000279A">
        <w:t>.</w:t>
      </w:r>
    </w:p>
    <w:p w14:paraId="1ED4683A" w14:textId="77777777" w:rsidR="002E4DF7" w:rsidRDefault="002E4DF7" w:rsidP="002E4DF7">
      <w:r w:rsidRPr="001B69E0">
        <w:t>CIPD (2024). </w:t>
      </w:r>
      <w:r w:rsidRPr="001B69E0">
        <w:rPr>
          <w:i/>
          <w:iCs/>
        </w:rPr>
        <w:t>A guide to TUPE transfers</w:t>
      </w:r>
      <w:r w:rsidRPr="001B69E0">
        <w:t xml:space="preserve">. [online] CIPD. Available at: </w:t>
      </w:r>
      <w:hyperlink r:id="rId17" w:history="1">
        <w:r w:rsidRPr="00D35194">
          <w:rPr>
            <w:rStyle w:val="Hyperlink"/>
          </w:rPr>
          <w:t>https://www.cipd.org/uk/knowledge/guides/tupe-guide/</w:t>
        </w:r>
      </w:hyperlink>
      <w:r w:rsidRPr="001B69E0">
        <w:t>.</w:t>
      </w:r>
    </w:p>
    <w:p w14:paraId="55AF2AF9" w14:textId="77777777" w:rsidR="002E4DF7" w:rsidRDefault="002E4DF7" w:rsidP="002E4DF7">
      <w:r w:rsidRPr="003F1145">
        <w:t>CIPD (2024). </w:t>
      </w:r>
      <w:r w:rsidRPr="003F1145">
        <w:rPr>
          <w:i/>
          <w:iCs/>
        </w:rPr>
        <w:t>CIPD | The UK’s relationship with EU employment law post-Brexit</w:t>
      </w:r>
      <w:r w:rsidRPr="003F1145">
        <w:t>. [online] CIPD. Available at: https://www.cipd.org/uk/knowledge/employment-law/uk-employment-law-eu/.</w:t>
      </w:r>
    </w:p>
    <w:p w14:paraId="3C106B3F" w14:textId="77777777" w:rsidR="002E4DF7" w:rsidRDefault="002E4DF7" w:rsidP="002E4DF7">
      <w:r w:rsidRPr="00724233">
        <w:lastRenderedPageBreak/>
        <w:t>CIPD (2019).</w:t>
      </w:r>
      <w:r w:rsidRPr="00724233">
        <w:rPr>
          <w:i/>
          <w:iCs/>
        </w:rPr>
        <w:t xml:space="preserve"> Discrimination in the workplace</w:t>
      </w:r>
      <w:r w:rsidRPr="00724233">
        <w:t xml:space="preserve">. [online] CIPD. Available at: </w:t>
      </w:r>
      <w:hyperlink r:id="rId18" w:anchor="good-employment-practices" w:history="1">
        <w:r w:rsidRPr="00D35194">
          <w:rPr>
            <w:rStyle w:val="Hyperlink"/>
          </w:rPr>
          <w:t>https://www.cipd.org/uk/knowledge/factsheets/discrimination-workplace-factsheet/#good-employment-practices</w:t>
        </w:r>
      </w:hyperlink>
      <w:r w:rsidRPr="00724233">
        <w:t>.</w:t>
      </w:r>
    </w:p>
    <w:p w14:paraId="5CEF3317" w14:textId="77777777" w:rsidR="002E4DF7" w:rsidRDefault="002E4DF7" w:rsidP="002E4DF7">
      <w:r w:rsidRPr="00F252C3">
        <w:t>CIPD (2024). </w:t>
      </w:r>
      <w:r w:rsidRPr="00F252C3">
        <w:rPr>
          <w:i/>
          <w:iCs/>
        </w:rPr>
        <w:t>Dismissal: UK employment law</w:t>
      </w:r>
      <w:r w:rsidRPr="00F252C3">
        <w:t xml:space="preserve">. [online] CIPD. Available at: </w:t>
      </w:r>
      <w:hyperlink r:id="rId19" w:history="1">
        <w:r w:rsidRPr="00D35194">
          <w:rPr>
            <w:rStyle w:val="Hyperlink"/>
          </w:rPr>
          <w:t>https://www.cipd.org/uk/knowledge/employment-law/dismissal/</w:t>
        </w:r>
      </w:hyperlink>
      <w:r w:rsidRPr="00F252C3">
        <w:t>.</w:t>
      </w:r>
    </w:p>
    <w:p w14:paraId="5F87E613" w14:textId="77777777" w:rsidR="002E4DF7" w:rsidRDefault="002E4DF7" w:rsidP="002E4DF7">
      <w:r w:rsidRPr="00866456">
        <w:t>CIPD (2024). </w:t>
      </w:r>
      <w:r w:rsidRPr="00866456">
        <w:rPr>
          <w:i/>
          <w:iCs/>
        </w:rPr>
        <w:t>Employment law in the UK: How it is made</w:t>
      </w:r>
      <w:r w:rsidRPr="00866456">
        <w:t xml:space="preserve">. [online] CIPD. Available at: </w:t>
      </w:r>
      <w:hyperlink r:id="rId20" w:history="1">
        <w:r w:rsidRPr="00D35194">
          <w:rPr>
            <w:rStyle w:val="Hyperlink"/>
          </w:rPr>
          <w:t>https://www.cipd.org/uk/knowledge/employment-law/employment-law-uk-how-made/</w:t>
        </w:r>
      </w:hyperlink>
      <w:r w:rsidRPr="00866456">
        <w:t>.</w:t>
      </w:r>
    </w:p>
    <w:p w14:paraId="7B92563E" w14:textId="77777777" w:rsidR="002E4DF7" w:rsidRDefault="002E4DF7" w:rsidP="002E4DF7">
      <w:r w:rsidRPr="00284D88">
        <w:t>CIPD (2025). </w:t>
      </w:r>
      <w:r w:rsidRPr="00284D88">
        <w:rPr>
          <w:i/>
          <w:iCs/>
        </w:rPr>
        <w:t>Equal Pay: UK Employment Law</w:t>
      </w:r>
      <w:r w:rsidRPr="00284D88">
        <w:t xml:space="preserve">. [online] CIPD. Available at: </w:t>
      </w:r>
      <w:hyperlink r:id="rId21" w:history="1">
        <w:r w:rsidRPr="00D35194">
          <w:rPr>
            <w:rStyle w:val="Hyperlink"/>
          </w:rPr>
          <w:t>https://www.cipd.org/uk/knowledge/employment-law/equal-pay/</w:t>
        </w:r>
      </w:hyperlink>
      <w:r w:rsidRPr="00284D88">
        <w:t>.</w:t>
      </w:r>
    </w:p>
    <w:p w14:paraId="38038594" w14:textId="77777777" w:rsidR="002E4DF7" w:rsidRDefault="002E4DF7" w:rsidP="002E4DF7">
      <w:r w:rsidRPr="0027540C">
        <w:t>CIPD. (2024). </w:t>
      </w:r>
      <w:r w:rsidRPr="0027540C">
        <w:rPr>
          <w:i/>
          <w:iCs/>
        </w:rPr>
        <w:t>Managing the Redundancy Process</w:t>
      </w:r>
      <w:r w:rsidRPr="0027540C">
        <w:t xml:space="preserve">. [online] Available at: https://www.cipd.org/uk/knowledge/guides/managing-the-redundancy-process/#5-make-the-selections-for-redundancy [Accessed </w:t>
      </w:r>
      <w:r>
        <w:t>10</w:t>
      </w:r>
      <w:r w:rsidRPr="0027540C">
        <w:rPr>
          <w:vertAlign w:val="superscript"/>
        </w:rPr>
        <w:t>th</w:t>
      </w:r>
      <w:r w:rsidRPr="0027540C">
        <w:t xml:space="preserve"> May 2025].</w:t>
      </w:r>
    </w:p>
    <w:p w14:paraId="7A285EBF" w14:textId="77777777" w:rsidR="002E4DF7" w:rsidRDefault="002E4DF7" w:rsidP="002E4DF7">
      <w:r w:rsidRPr="0068321D">
        <w:t>CIPD. (n.d.). </w:t>
      </w:r>
      <w:r w:rsidRPr="0068321D">
        <w:rPr>
          <w:i/>
          <w:iCs/>
        </w:rPr>
        <w:t>CIPD | On this page</w:t>
      </w:r>
      <w:r w:rsidRPr="0068321D">
        <w:t xml:space="preserve">. [online] Available at: </w:t>
      </w:r>
      <w:hyperlink r:id="rId22" w:anchor="UKlegal" w:history="1">
        <w:r w:rsidRPr="00D35194">
          <w:rPr>
            <w:rStyle w:val="Hyperlink"/>
          </w:rPr>
          <w:t>https://www.cipd.org/uk/knowledge/factsheets/maternity-paternity-rights-factsheet/#UKlegal</w:t>
        </w:r>
      </w:hyperlink>
      <w:r w:rsidRPr="0068321D">
        <w:t>.</w:t>
      </w:r>
    </w:p>
    <w:p w14:paraId="79C7B95F" w14:textId="77777777" w:rsidR="002E4DF7" w:rsidRDefault="002E4DF7" w:rsidP="002E4DF7">
      <w:r w:rsidRPr="005E611F">
        <w:t>CIPD. (n.d.). </w:t>
      </w:r>
      <w:r w:rsidRPr="005E611F">
        <w:rPr>
          <w:i/>
          <w:iCs/>
        </w:rPr>
        <w:t>CIPD | Flexible and hybrid working: UK employment law</w:t>
      </w:r>
      <w:r w:rsidRPr="005E611F">
        <w:t xml:space="preserve">. [online] Available at: </w:t>
      </w:r>
      <w:hyperlink r:id="rId23" w:anchor="legislation-overview" w:history="1">
        <w:r w:rsidRPr="00D35194">
          <w:rPr>
            <w:rStyle w:val="Hyperlink"/>
          </w:rPr>
          <w:t>https://www.cipd.org/uk/knowledge/employment-law/flexible-working/#legislation-overview</w:t>
        </w:r>
      </w:hyperlink>
      <w:r w:rsidRPr="005E611F">
        <w:t>.</w:t>
      </w:r>
    </w:p>
    <w:p w14:paraId="7E1F789B" w14:textId="77777777" w:rsidR="002E4DF7" w:rsidRDefault="002E4DF7" w:rsidP="002E4DF7">
      <w:r w:rsidRPr="003B3DFA">
        <w:t>Citizens Advice (2024). </w:t>
      </w:r>
      <w:r w:rsidRPr="003B3DFA">
        <w:rPr>
          <w:i/>
          <w:iCs/>
        </w:rPr>
        <w:t>Check what compensation you can get for unfair dismissal</w:t>
      </w:r>
      <w:r w:rsidRPr="003B3DFA">
        <w:t xml:space="preserve">. [online] Citizens Advice. Available at: </w:t>
      </w:r>
      <w:hyperlink r:id="rId24" w:history="1">
        <w:r w:rsidRPr="00D35194">
          <w:rPr>
            <w:rStyle w:val="Hyperlink"/>
          </w:rPr>
          <w:t>https://www.citizensadvice.org.uk/work/employment-tribunal/employment-tribunals/before-you-go-to-the-tribunal/check-what-compensation-you-can-get-for-unfair-dismissal/</w:t>
        </w:r>
      </w:hyperlink>
      <w:r w:rsidRPr="003B3DFA">
        <w:t>.</w:t>
      </w:r>
    </w:p>
    <w:p w14:paraId="5673547F" w14:textId="1E42C62F" w:rsidR="004A5153" w:rsidRPr="004A5153" w:rsidRDefault="004A5153" w:rsidP="002E4DF7">
      <w:pPr>
        <w:rPr>
          <w:color w:val="FF0000"/>
        </w:rPr>
      </w:pPr>
      <w:r w:rsidRPr="004A5153">
        <w:rPr>
          <w:color w:val="FF0000"/>
        </w:rPr>
        <w:t>Citizens Advice (2025). </w:t>
      </w:r>
      <w:r w:rsidRPr="004A5153">
        <w:rPr>
          <w:i/>
          <w:iCs/>
          <w:color w:val="FF0000"/>
        </w:rPr>
        <w:t>Claiming constructive dismissal</w:t>
      </w:r>
      <w:r w:rsidRPr="004A5153">
        <w:rPr>
          <w:color w:val="FF0000"/>
        </w:rPr>
        <w:t xml:space="preserve">. [online] Citizens Advice. Available at: </w:t>
      </w:r>
      <w:hyperlink r:id="rId25" w:history="1">
        <w:r w:rsidRPr="004A5153">
          <w:rPr>
            <w:rStyle w:val="Hyperlink"/>
            <w:color w:val="FF0000"/>
          </w:rPr>
          <w:t>https://www.citizensadvice.org.uk/work/dismissal/check-your-rights-if-youre-dismissed/claiming-constructive-dismissal/</w:t>
        </w:r>
      </w:hyperlink>
      <w:r w:rsidRPr="004A5153">
        <w:rPr>
          <w:color w:val="FF0000"/>
        </w:rPr>
        <w:t>.</w:t>
      </w:r>
      <w:r w:rsidRPr="004A5153">
        <w:rPr>
          <w:color w:val="FF0000"/>
        </w:rPr>
        <w:t xml:space="preserve"> </w:t>
      </w:r>
      <w:r>
        <w:rPr>
          <w:color w:val="FF0000"/>
        </w:rPr>
        <w:t>Accessed – 1</w:t>
      </w:r>
      <w:r w:rsidRPr="004A5153">
        <w:rPr>
          <w:color w:val="FF0000"/>
          <w:vertAlign w:val="superscript"/>
        </w:rPr>
        <w:t>st</w:t>
      </w:r>
      <w:r>
        <w:rPr>
          <w:color w:val="FF0000"/>
        </w:rPr>
        <w:t xml:space="preserve"> August 2025.</w:t>
      </w:r>
    </w:p>
    <w:p w14:paraId="1862BF55" w14:textId="77777777" w:rsidR="002E4DF7" w:rsidRDefault="002E4DF7" w:rsidP="002E4DF7">
      <w:r w:rsidRPr="008C65AC">
        <w:t>Citizens Advice. (n.d.). </w:t>
      </w:r>
      <w:r w:rsidRPr="008C65AC">
        <w:rPr>
          <w:i/>
          <w:iCs/>
        </w:rPr>
        <w:t>If you’re thinking of making a claim to an employment tribunal</w:t>
      </w:r>
      <w:r w:rsidRPr="008C65AC">
        <w:t xml:space="preserve">. [online] Available at: </w:t>
      </w:r>
      <w:hyperlink r:id="rId26" w:history="1">
        <w:r w:rsidRPr="00D35194">
          <w:rPr>
            <w:rStyle w:val="Hyperlink"/>
          </w:rPr>
          <w:t>https://www.citizensadvice.org.uk/work/employment-tribunal/employment-tribunals/before-you-go-to-the-tribunal/if-youre-thinking-of-making-a-claim-to-an-employment-tribunal/</w:t>
        </w:r>
      </w:hyperlink>
      <w:r w:rsidRPr="008C65AC">
        <w:t>.</w:t>
      </w:r>
    </w:p>
    <w:p w14:paraId="1F52DE72" w14:textId="77777777" w:rsidR="002E4DF7" w:rsidRDefault="002E4DF7" w:rsidP="002E4DF7">
      <w:r w:rsidRPr="00695AB8">
        <w:t>Daniels, K., 2025. </w:t>
      </w:r>
      <w:r w:rsidRPr="00695AB8">
        <w:rPr>
          <w:i/>
          <w:iCs/>
        </w:rPr>
        <w:t>Introduction to Employment Law</w:t>
      </w:r>
      <w:r w:rsidRPr="00695AB8">
        <w:t xml:space="preserve">. 5th ed. London: Pearson Education. pp. </w:t>
      </w:r>
      <w:r>
        <w:t>7</w:t>
      </w:r>
    </w:p>
    <w:p w14:paraId="492C8897" w14:textId="77777777" w:rsidR="002E4DF7" w:rsidRDefault="002E4DF7" w:rsidP="002E4DF7">
      <w:r w:rsidRPr="00695AB8">
        <w:t>Daniels, K., 2025. </w:t>
      </w:r>
      <w:r w:rsidRPr="00695AB8">
        <w:rPr>
          <w:i/>
          <w:iCs/>
        </w:rPr>
        <w:t>Introduction to Employment Law</w:t>
      </w:r>
      <w:r w:rsidRPr="00695AB8">
        <w:t xml:space="preserve">. 5th ed. London: Pearson Education. pp. </w:t>
      </w:r>
      <w:r>
        <w:t>74</w:t>
      </w:r>
    </w:p>
    <w:p w14:paraId="4C80E624" w14:textId="77777777" w:rsidR="002E4DF7" w:rsidRDefault="002E4DF7" w:rsidP="002E4DF7">
      <w:r w:rsidRPr="00695AB8">
        <w:t>Daniels, K., 2025. </w:t>
      </w:r>
      <w:r w:rsidRPr="00695AB8">
        <w:rPr>
          <w:i/>
          <w:iCs/>
        </w:rPr>
        <w:t>Introduction to Employment Law</w:t>
      </w:r>
      <w:r w:rsidRPr="00695AB8">
        <w:t xml:space="preserve">. 5th ed. London: Pearson Education. pp. </w:t>
      </w:r>
      <w:r>
        <w:t>116</w:t>
      </w:r>
    </w:p>
    <w:p w14:paraId="0809D264" w14:textId="77777777" w:rsidR="002E4DF7" w:rsidRDefault="002E4DF7" w:rsidP="002E4DF7">
      <w:r w:rsidRPr="00695AB8">
        <w:t>Daniels, K., 2025. </w:t>
      </w:r>
      <w:r w:rsidRPr="00695AB8">
        <w:rPr>
          <w:i/>
          <w:iCs/>
        </w:rPr>
        <w:t>Introduction to Employment Law</w:t>
      </w:r>
      <w:r w:rsidRPr="00695AB8">
        <w:t xml:space="preserve">. 5th ed. London: Pearson Education. pp. </w:t>
      </w:r>
      <w:r>
        <w:t>182</w:t>
      </w:r>
      <w:r w:rsidRPr="00695AB8">
        <w:t>-</w:t>
      </w:r>
      <w:r>
        <w:t>183</w:t>
      </w:r>
    </w:p>
    <w:p w14:paraId="7BD8FB99" w14:textId="77777777" w:rsidR="002E4DF7" w:rsidRDefault="002E4DF7" w:rsidP="002E4DF7">
      <w:r w:rsidRPr="00695AB8">
        <w:t>Daniels, K., 2025. </w:t>
      </w:r>
      <w:r w:rsidRPr="00695AB8">
        <w:rPr>
          <w:i/>
          <w:iCs/>
        </w:rPr>
        <w:t>Introduction to Employment Law</w:t>
      </w:r>
      <w:r w:rsidRPr="00695AB8">
        <w:t xml:space="preserve">. 5th ed. London: Pearson Education. pp. </w:t>
      </w:r>
      <w:r>
        <w:t>202-205</w:t>
      </w:r>
    </w:p>
    <w:p w14:paraId="3DB31E9D" w14:textId="44485F12" w:rsidR="008A7BB0" w:rsidRPr="008A7BB0" w:rsidRDefault="008A7BB0" w:rsidP="002E4DF7">
      <w:pPr>
        <w:rPr>
          <w:color w:val="FF0000"/>
        </w:rPr>
      </w:pPr>
      <w:r w:rsidRPr="008A7BB0">
        <w:rPr>
          <w:color w:val="FF0000"/>
        </w:rPr>
        <w:t>EHRC (2021). </w:t>
      </w:r>
      <w:r w:rsidRPr="008A7BB0">
        <w:rPr>
          <w:i/>
          <w:iCs/>
          <w:color w:val="FF0000"/>
        </w:rPr>
        <w:t>Equal pay | EHRC</w:t>
      </w:r>
      <w:r w:rsidRPr="008A7BB0">
        <w:rPr>
          <w:color w:val="FF0000"/>
        </w:rPr>
        <w:t xml:space="preserve">. [online] www.equalityhumanrights.com. Available at: </w:t>
      </w:r>
      <w:hyperlink r:id="rId27" w:history="1">
        <w:r w:rsidRPr="0095546E">
          <w:rPr>
            <w:rStyle w:val="Hyperlink"/>
          </w:rPr>
          <w:t>https://www.equalityhumanrights.com/guidance/equal-pay</w:t>
        </w:r>
      </w:hyperlink>
      <w:r w:rsidRPr="008A7BB0">
        <w:rPr>
          <w:color w:val="FF0000"/>
        </w:rPr>
        <w:t>.</w:t>
      </w:r>
      <w:r>
        <w:rPr>
          <w:color w:val="FF0000"/>
        </w:rPr>
        <w:t xml:space="preserve"> Accessed – 1</w:t>
      </w:r>
      <w:r w:rsidRPr="008A7BB0">
        <w:rPr>
          <w:color w:val="FF0000"/>
          <w:vertAlign w:val="superscript"/>
        </w:rPr>
        <w:t>st</w:t>
      </w:r>
      <w:r>
        <w:rPr>
          <w:color w:val="FF0000"/>
        </w:rPr>
        <w:t xml:space="preserve"> August 2025. </w:t>
      </w:r>
    </w:p>
    <w:p w14:paraId="4E392267" w14:textId="77777777" w:rsidR="002E4DF7" w:rsidRDefault="002E4DF7" w:rsidP="002E4DF7">
      <w:r w:rsidRPr="00DC0EE5">
        <w:rPr>
          <w:i/>
          <w:iCs/>
        </w:rPr>
        <w:t>Employment: Code of Practice |</w:t>
      </w:r>
      <w:r w:rsidRPr="00DC0EE5">
        <w:t xml:space="preserve"> (2015). </w:t>
      </w:r>
      <w:r>
        <w:t xml:space="preserve">| </w:t>
      </w:r>
      <w:r w:rsidRPr="00DC0EE5">
        <w:rPr>
          <w:i/>
          <w:iCs/>
        </w:rPr>
        <w:t>EHRC</w:t>
      </w:r>
      <w:r w:rsidRPr="00DC0EE5">
        <w:t xml:space="preserve">. [online] Available at: </w:t>
      </w:r>
      <w:hyperlink r:id="rId28" w:history="1">
        <w:r w:rsidRPr="00D35194">
          <w:rPr>
            <w:rStyle w:val="Hyperlink"/>
          </w:rPr>
          <w:t>https://www.equalityhumanrights.com/equality/equality-act-2010/codes-practice/employment-code-practice-0</w:t>
        </w:r>
      </w:hyperlink>
      <w:r w:rsidRPr="00DC0EE5">
        <w:t>.</w:t>
      </w:r>
    </w:p>
    <w:p w14:paraId="00E9B325" w14:textId="77777777" w:rsidR="002E4DF7" w:rsidRDefault="002E4DF7" w:rsidP="002E4DF7">
      <w:r w:rsidRPr="00DF3460">
        <w:lastRenderedPageBreak/>
        <w:t>Equality And Human Rights Commission (2021). </w:t>
      </w:r>
      <w:r w:rsidRPr="00DF3460">
        <w:rPr>
          <w:i/>
          <w:iCs/>
        </w:rPr>
        <w:t>Equal pay | EHRC</w:t>
      </w:r>
      <w:r w:rsidRPr="00DF3460">
        <w:t xml:space="preserve">. [online] www.equalityhumanrights.com. Available at: </w:t>
      </w:r>
      <w:hyperlink r:id="rId29" w:history="1">
        <w:r w:rsidRPr="00D35194">
          <w:rPr>
            <w:rStyle w:val="Hyperlink"/>
          </w:rPr>
          <w:t>https://www.equalityhumanrights.com/guidance/equal-pay</w:t>
        </w:r>
      </w:hyperlink>
      <w:r w:rsidRPr="00DF3460">
        <w:t>.</w:t>
      </w:r>
    </w:p>
    <w:p w14:paraId="208A513C" w14:textId="77777777" w:rsidR="002E4DF7" w:rsidRDefault="002E4DF7" w:rsidP="002E4DF7">
      <w:r w:rsidRPr="00DF254E">
        <w:t>GOV.UK (2024). </w:t>
      </w:r>
      <w:r w:rsidRPr="00DF254E">
        <w:rPr>
          <w:i/>
          <w:iCs/>
        </w:rPr>
        <w:t>Employers: Preventing Discrimination</w:t>
      </w:r>
      <w:r w:rsidRPr="00DF254E">
        <w:t>. [online] GOV.UK. Available at: https://www.gov.uk/employer-preventing-discrimination/recruitment.</w:t>
      </w:r>
    </w:p>
    <w:p w14:paraId="755B2683" w14:textId="77777777" w:rsidR="002E4DF7" w:rsidRDefault="002E4DF7" w:rsidP="002E4DF7">
      <w:r w:rsidRPr="00F90F7B">
        <w:t>GOV.UK (2015). </w:t>
      </w:r>
      <w:r w:rsidRPr="00F90F7B">
        <w:rPr>
          <w:i/>
          <w:iCs/>
        </w:rPr>
        <w:t>Equality Act 2010</w:t>
      </w:r>
      <w:r w:rsidRPr="00F90F7B">
        <w:t xml:space="preserve">. [online] Gov.UK. Available at: </w:t>
      </w:r>
      <w:hyperlink r:id="rId30" w:history="1">
        <w:r w:rsidRPr="00D35194">
          <w:rPr>
            <w:rStyle w:val="Hyperlink"/>
          </w:rPr>
          <w:t>https://www.gov.uk/guidance/equality-act-2010-guidance</w:t>
        </w:r>
      </w:hyperlink>
      <w:r w:rsidRPr="00F90F7B">
        <w:t>.</w:t>
      </w:r>
    </w:p>
    <w:p w14:paraId="44E17261" w14:textId="77777777" w:rsidR="002E4DF7" w:rsidRDefault="002E4DF7" w:rsidP="002E4DF7">
      <w:r w:rsidRPr="00DF254E">
        <w:t>GOV.UK (n.d.). </w:t>
      </w:r>
      <w:r w:rsidRPr="00DF254E">
        <w:rPr>
          <w:i/>
          <w:iCs/>
        </w:rPr>
        <w:t>Redundancy: your rights</w:t>
      </w:r>
      <w:r w:rsidRPr="00DF254E">
        <w:t xml:space="preserve">. [online] GOV.UK. Available at: </w:t>
      </w:r>
      <w:hyperlink r:id="rId31" w:history="1">
        <w:r w:rsidRPr="00D35194">
          <w:rPr>
            <w:rStyle w:val="Hyperlink"/>
          </w:rPr>
          <w:t>https://www.gov.uk/redundancy-your-rights/being-selected-for-redundancy</w:t>
        </w:r>
      </w:hyperlink>
      <w:r w:rsidRPr="00DF254E">
        <w:t>.</w:t>
      </w:r>
    </w:p>
    <w:p w14:paraId="17EDBBFF" w14:textId="77777777" w:rsidR="002E4DF7" w:rsidRDefault="002E4DF7" w:rsidP="002E4DF7">
      <w:r w:rsidRPr="0051480A">
        <w:t>GOV.UK (2024). </w:t>
      </w:r>
      <w:r w:rsidRPr="0051480A">
        <w:rPr>
          <w:i/>
          <w:iCs/>
        </w:rPr>
        <w:t>Business transfers, takeovers and TUPE</w:t>
      </w:r>
      <w:r w:rsidRPr="0051480A">
        <w:t xml:space="preserve">. [online] GOV.UK. Available at: </w:t>
      </w:r>
      <w:hyperlink r:id="rId32" w:history="1">
        <w:r w:rsidRPr="00D35194">
          <w:rPr>
            <w:rStyle w:val="Hyperlink"/>
          </w:rPr>
          <w:t>https://www.gov.uk/transfers-takeovers/transfers-of-employment-contracts</w:t>
        </w:r>
      </w:hyperlink>
      <w:r w:rsidRPr="0051480A">
        <w:t>.</w:t>
      </w:r>
    </w:p>
    <w:p w14:paraId="1651E76D" w14:textId="77777777" w:rsidR="002E4DF7" w:rsidRDefault="002E4DF7" w:rsidP="002E4DF7">
      <w:r w:rsidRPr="009A78DD">
        <w:t>G</w:t>
      </w:r>
      <w:r>
        <w:t>OV</w:t>
      </w:r>
      <w:r w:rsidRPr="009A78DD">
        <w:t>.</w:t>
      </w:r>
      <w:r>
        <w:t>UK</w:t>
      </w:r>
      <w:r w:rsidRPr="009A78DD">
        <w:t xml:space="preserve"> (2024). </w:t>
      </w:r>
      <w:r w:rsidRPr="009A78DD">
        <w:rPr>
          <w:i/>
          <w:iCs/>
        </w:rPr>
        <w:t>Statutory Maternity Pay and Leave: employer guide</w:t>
      </w:r>
      <w:r w:rsidRPr="009A78DD">
        <w:t xml:space="preserve">. [online] GOV.UK. Available at: </w:t>
      </w:r>
      <w:hyperlink r:id="rId33" w:history="1">
        <w:r w:rsidRPr="00D35194">
          <w:rPr>
            <w:rStyle w:val="Hyperlink"/>
          </w:rPr>
          <w:t>https://www.gov.uk/employers-maternity-pay-leave</w:t>
        </w:r>
      </w:hyperlink>
      <w:r w:rsidRPr="009A78DD">
        <w:t>.</w:t>
      </w:r>
    </w:p>
    <w:p w14:paraId="5F280681" w14:textId="77777777" w:rsidR="002E4DF7" w:rsidRDefault="002E4DF7" w:rsidP="002E4DF7">
      <w:r w:rsidRPr="00A54C18">
        <w:t>G</w:t>
      </w:r>
      <w:r>
        <w:t>OV</w:t>
      </w:r>
      <w:r w:rsidRPr="00A54C18">
        <w:t>.</w:t>
      </w:r>
      <w:r>
        <w:t>UK</w:t>
      </w:r>
      <w:r w:rsidRPr="00A54C18">
        <w:t xml:space="preserve"> (2025). </w:t>
      </w:r>
      <w:r w:rsidRPr="00A54C18">
        <w:rPr>
          <w:i/>
          <w:iCs/>
        </w:rPr>
        <w:t>Holiday Entitlement</w:t>
      </w:r>
      <w:r w:rsidRPr="00A54C18">
        <w:t xml:space="preserve">. [online] gov.uk. Available at: </w:t>
      </w:r>
      <w:hyperlink r:id="rId34" w:history="1">
        <w:r w:rsidRPr="00D35194">
          <w:rPr>
            <w:rStyle w:val="Hyperlink"/>
          </w:rPr>
          <w:t>https://www.gov.uk/holiday-entitlement-rights</w:t>
        </w:r>
      </w:hyperlink>
      <w:r w:rsidRPr="00A54C18">
        <w:t>.</w:t>
      </w:r>
    </w:p>
    <w:p w14:paraId="1D8E6EC3" w14:textId="77777777" w:rsidR="002E4DF7" w:rsidRDefault="002E4DF7" w:rsidP="002E4DF7">
      <w:r w:rsidRPr="00A2265E">
        <w:t>HSE (2024). </w:t>
      </w:r>
      <w:r w:rsidRPr="00A2265E">
        <w:rPr>
          <w:i/>
          <w:iCs/>
        </w:rPr>
        <w:t>Health and Safety at Work Act 1974</w:t>
      </w:r>
      <w:r w:rsidRPr="00A2265E">
        <w:t xml:space="preserve">. [online] Hse.gov.uk. Available at: </w:t>
      </w:r>
      <w:hyperlink r:id="rId35" w:history="1">
        <w:r w:rsidRPr="00D35194">
          <w:rPr>
            <w:rStyle w:val="Hyperlink"/>
          </w:rPr>
          <w:t>https://www.hse.gov.uk/legislation/hswa.htm</w:t>
        </w:r>
      </w:hyperlink>
      <w:r w:rsidRPr="00A2265E">
        <w:t>.</w:t>
      </w:r>
    </w:p>
    <w:p w14:paraId="7C3BF7E4" w14:textId="0278A5CF" w:rsidR="002E4DF7" w:rsidRDefault="002E4DF7" w:rsidP="002E4DF7">
      <w:r w:rsidRPr="0000279A">
        <w:t>January 2021, E.H. 18 (2021). </w:t>
      </w:r>
      <w:r w:rsidRPr="0000279A">
        <w:rPr>
          <w:i/>
          <w:iCs/>
        </w:rPr>
        <w:t>Father turned down for job for not being ‘best fit’ with female colleagues was discriminated against, tribunal finds</w:t>
      </w:r>
      <w:r w:rsidRPr="0000279A">
        <w:t xml:space="preserve">. [online] www.peoplemanagement.co.uk. Available at: </w:t>
      </w:r>
      <w:hyperlink r:id="rId36" w:history="1">
        <w:r w:rsidR="005A5288" w:rsidRPr="0095546E">
          <w:rPr>
            <w:rStyle w:val="Hyperlink"/>
          </w:rPr>
          <w:t>https://www.peoplemanagement.co.uk/article/1747311/father-turned-down-for-job-for-not-being-best-fit-with-female-colleagues-was-discriminated-against</w:t>
        </w:r>
      </w:hyperlink>
      <w:r w:rsidRPr="0000279A">
        <w:t>.</w:t>
      </w:r>
    </w:p>
    <w:p w14:paraId="537CADAD" w14:textId="760FD661" w:rsidR="005A5288" w:rsidRDefault="005A5288" w:rsidP="002E4DF7">
      <w:pPr>
        <w:rPr>
          <w:color w:val="FF0000"/>
        </w:rPr>
      </w:pPr>
      <w:r w:rsidRPr="007F67FD">
        <w:rPr>
          <w:color w:val="FF0000"/>
        </w:rPr>
        <w:t>UNISON National. (n.d.). </w:t>
      </w:r>
      <w:r w:rsidRPr="007F67FD">
        <w:rPr>
          <w:i/>
          <w:iCs/>
          <w:color w:val="FF0000"/>
        </w:rPr>
        <w:t>Equal pay | Pay</w:t>
      </w:r>
      <w:r w:rsidRPr="007F67FD">
        <w:rPr>
          <w:color w:val="FF0000"/>
        </w:rPr>
        <w:t xml:space="preserve">. [online] Available at: </w:t>
      </w:r>
      <w:hyperlink r:id="rId37" w:history="1">
        <w:r w:rsidR="007F67FD" w:rsidRPr="007F67FD">
          <w:rPr>
            <w:rStyle w:val="Hyperlink"/>
            <w:color w:val="FF0000"/>
          </w:rPr>
          <w:t>https://www.unison.org.uk/get-help/knowledge/pay/equal-pay/#heading-3</w:t>
        </w:r>
      </w:hyperlink>
      <w:r w:rsidRPr="007F67FD">
        <w:rPr>
          <w:color w:val="FF0000"/>
        </w:rPr>
        <w:t>.</w:t>
      </w:r>
      <w:r w:rsidR="007F67FD" w:rsidRPr="007F67FD">
        <w:rPr>
          <w:color w:val="FF0000"/>
        </w:rPr>
        <w:t xml:space="preserve"> Accessed – 1</w:t>
      </w:r>
      <w:r w:rsidR="007F67FD" w:rsidRPr="007F67FD">
        <w:rPr>
          <w:color w:val="FF0000"/>
          <w:vertAlign w:val="superscript"/>
        </w:rPr>
        <w:t>st</w:t>
      </w:r>
      <w:r w:rsidR="007F67FD" w:rsidRPr="007F67FD">
        <w:rPr>
          <w:color w:val="FF0000"/>
        </w:rPr>
        <w:t xml:space="preserve"> August 2025</w:t>
      </w:r>
    </w:p>
    <w:p w14:paraId="163DDEAF" w14:textId="77777777" w:rsidR="007F67FD" w:rsidRPr="007F67FD" w:rsidRDefault="007F67FD" w:rsidP="002E4DF7">
      <w:pPr>
        <w:rPr>
          <w:color w:val="FF0000"/>
        </w:rPr>
      </w:pPr>
    </w:p>
    <w:p w14:paraId="495E5587" w14:textId="77777777" w:rsidR="002E4DF7" w:rsidRDefault="002E4DF7"/>
    <w:sectPr w:rsidR="002E4D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A12FA"/>
    <w:multiLevelType w:val="multilevel"/>
    <w:tmpl w:val="8B526B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DD441D"/>
    <w:multiLevelType w:val="multilevel"/>
    <w:tmpl w:val="B6A66E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8A27C95"/>
    <w:multiLevelType w:val="multilevel"/>
    <w:tmpl w:val="884C4A58"/>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B510314"/>
    <w:multiLevelType w:val="multilevel"/>
    <w:tmpl w:val="7786E8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F6C7568"/>
    <w:multiLevelType w:val="multilevel"/>
    <w:tmpl w:val="D9008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87427397">
    <w:abstractNumId w:val="0"/>
  </w:num>
  <w:num w:numId="2" w16cid:durableId="488526145">
    <w:abstractNumId w:val="2"/>
  </w:num>
  <w:num w:numId="3" w16cid:durableId="15380100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19094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15452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904"/>
    <w:rsid w:val="000022B7"/>
    <w:rsid w:val="000059AB"/>
    <w:rsid w:val="000070EE"/>
    <w:rsid w:val="00011117"/>
    <w:rsid w:val="00014616"/>
    <w:rsid w:val="00016CAC"/>
    <w:rsid w:val="00017315"/>
    <w:rsid w:val="00017A60"/>
    <w:rsid w:val="00022317"/>
    <w:rsid w:val="00023E02"/>
    <w:rsid w:val="0003047A"/>
    <w:rsid w:val="00030ECD"/>
    <w:rsid w:val="0004036C"/>
    <w:rsid w:val="00043B01"/>
    <w:rsid w:val="000501AA"/>
    <w:rsid w:val="00073D50"/>
    <w:rsid w:val="00074609"/>
    <w:rsid w:val="00080345"/>
    <w:rsid w:val="000812E9"/>
    <w:rsid w:val="0009222E"/>
    <w:rsid w:val="000926D0"/>
    <w:rsid w:val="00094993"/>
    <w:rsid w:val="0009708C"/>
    <w:rsid w:val="00097416"/>
    <w:rsid w:val="000A0695"/>
    <w:rsid w:val="000A298A"/>
    <w:rsid w:val="000A72E0"/>
    <w:rsid w:val="000B2AA0"/>
    <w:rsid w:val="000C4B87"/>
    <w:rsid w:val="000D1645"/>
    <w:rsid w:val="000D40C8"/>
    <w:rsid w:val="000D6465"/>
    <w:rsid w:val="000E05E4"/>
    <w:rsid w:val="000E2EBF"/>
    <w:rsid w:val="000F2F8A"/>
    <w:rsid w:val="000F52B1"/>
    <w:rsid w:val="000F5576"/>
    <w:rsid w:val="00103714"/>
    <w:rsid w:val="00113188"/>
    <w:rsid w:val="001148E8"/>
    <w:rsid w:val="00116E14"/>
    <w:rsid w:val="00120904"/>
    <w:rsid w:val="00121228"/>
    <w:rsid w:val="00126D6A"/>
    <w:rsid w:val="00126E11"/>
    <w:rsid w:val="00134BED"/>
    <w:rsid w:val="00134D2C"/>
    <w:rsid w:val="00143ED2"/>
    <w:rsid w:val="00147BD6"/>
    <w:rsid w:val="0015262E"/>
    <w:rsid w:val="001616E9"/>
    <w:rsid w:val="00161735"/>
    <w:rsid w:val="001636CE"/>
    <w:rsid w:val="00165335"/>
    <w:rsid w:val="001655B9"/>
    <w:rsid w:val="0016567E"/>
    <w:rsid w:val="00173340"/>
    <w:rsid w:val="0017392C"/>
    <w:rsid w:val="00175C1F"/>
    <w:rsid w:val="00175F75"/>
    <w:rsid w:val="001816A2"/>
    <w:rsid w:val="001876BA"/>
    <w:rsid w:val="00192087"/>
    <w:rsid w:val="001A3931"/>
    <w:rsid w:val="001A3F00"/>
    <w:rsid w:val="001B183B"/>
    <w:rsid w:val="001B1ADF"/>
    <w:rsid w:val="001B2BE4"/>
    <w:rsid w:val="001B6CA0"/>
    <w:rsid w:val="001C1F17"/>
    <w:rsid w:val="001C228D"/>
    <w:rsid w:val="001E7887"/>
    <w:rsid w:val="001F27FB"/>
    <w:rsid w:val="001F4177"/>
    <w:rsid w:val="00202E1B"/>
    <w:rsid w:val="0020633F"/>
    <w:rsid w:val="0020695B"/>
    <w:rsid w:val="00214595"/>
    <w:rsid w:val="00220B66"/>
    <w:rsid w:val="00230166"/>
    <w:rsid w:val="0023151A"/>
    <w:rsid w:val="00232FC7"/>
    <w:rsid w:val="0023500C"/>
    <w:rsid w:val="00235932"/>
    <w:rsid w:val="0023636B"/>
    <w:rsid w:val="002373F5"/>
    <w:rsid w:val="00245423"/>
    <w:rsid w:val="00245909"/>
    <w:rsid w:val="00245997"/>
    <w:rsid w:val="00245E82"/>
    <w:rsid w:val="00246EED"/>
    <w:rsid w:val="00250210"/>
    <w:rsid w:val="00257064"/>
    <w:rsid w:val="00267E42"/>
    <w:rsid w:val="00267FCA"/>
    <w:rsid w:val="002705DF"/>
    <w:rsid w:val="00270F85"/>
    <w:rsid w:val="00276903"/>
    <w:rsid w:val="00281A5E"/>
    <w:rsid w:val="00283CAF"/>
    <w:rsid w:val="002842FB"/>
    <w:rsid w:val="002910E4"/>
    <w:rsid w:val="00294B4D"/>
    <w:rsid w:val="00296A55"/>
    <w:rsid w:val="002A6AB9"/>
    <w:rsid w:val="002A6D5C"/>
    <w:rsid w:val="002A6E08"/>
    <w:rsid w:val="002A7B86"/>
    <w:rsid w:val="002B486C"/>
    <w:rsid w:val="002C447C"/>
    <w:rsid w:val="002D303F"/>
    <w:rsid w:val="002D5443"/>
    <w:rsid w:val="002D6C22"/>
    <w:rsid w:val="002E017F"/>
    <w:rsid w:val="002E4DF7"/>
    <w:rsid w:val="003026AF"/>
    <w:rsid w:val="00303B9A"/>
    <w:rsid w:val="003051B7"/>
    <w:rsid w:val="0030747E"/>
    <w:rsid w:val="0031229C"/>
    <w:rsid w:val="00313871"/>
    <w:rsid w:val="00317E2E"/>
    <w:rsid w:val="003248FF"/>
    <w:rsid w:val="003346BD"/>
    <w:rsid w:val="003426DC"/>
    <w:rsid w:val="003528E5"/>
    <w:rsid w:val="00353739"/>
    <w:rsid w:val="003573AF"/>
    <w:rsid w:val="00363FA1"/>
    <w:rsid w:val="00364A4B"/>
    <w:rsid w:val="003652B3"/>
    <w:rsid w:val="003712F4"/>
    <w:rsid w:val="00373A5D"/>
    <w:rsid w:val="00383873"/>
    <w:rsid w:val="00395A39"/>
    <w:rsid w:val="00396736"/>
    <w:rsid w:val="003A23B8"/>
    <w:rsid w:val="003A50E1"/>
    <w:rsid w:val="003A7FB1"/>
    <w:rsid w:val="003B21F3"/>
    <w:rsid w:val="003C15AE"/>
    <w:rsid w:val="003C4FAC"/>
    <w:rsid w:val="003D20FF"/>
    <w:rsid w:val="003D4D36"/>
    <w:rsid w:val="003E1863"/>
    <w:rsid w:val="003E4A89"/>
    <w:rsid w:val="003E6AF0"/>
    <w:rsid w:val="003E7D4D"/>
    <w:rsid w:val="003F1F82"/>
    <w:rsid w:val="003F3A77"/>
    <w:rsid w:val="003F51C1"/>
    <w:rsid w:val="0040481D"/>
    <w:rsid w:val="00415183"/>
    <w:rsid w:val="00416F9E"/>
    <w:rsid w:val="0042167B"/>
    <w:rsid w:val="00433603"/>
    <w:rsid w:val="00443965"/>
    <w:rsid w:val="00445D91"/>
    <w:rsid w:val="00450576"/>
    <w:rsid w:val="00454E9D"/>
    <w:rsid w:val="00460FF4"/>
    <w:rsid w:val="004630EF"/>
    <w:rsid w:val="00463249"/>
    <w:rsid w:val="00471823"/>
    <w:rsid w:val="0048416A"/>
    <w:rsid w:val="00485747"/>
    <w:rsid w:val="00491DB0"/>
    <w:rsid w:val="00491F7E"/>
    <w:rsid w:val="00494CE0"/>
    <w:rsid w:val="004A0C09"/>
    <w:rsid w:val="004A0F5B"/>
    <w:rsid w:val="004A0FB1"/>
    <w:rsid w:val="004A5153"/>
    <w:rsid w:val="004D1429"/>
    <w:rsid w:val="004D207E"/>
    <w:rsid w:val="004D3209"/>
    <w:rsid w:val="004D4326"/>
    <w:rsid w:val="004E484C"/>
    <w:rsid w:val="004F66A3"/>
    <w:rsid w:val="004F7464"/>
    <w:rsid w:val="004F7CAD"/>
    <w:rsid w:val="00506FCC"/>
    <w:rsid w:val="0051028D"/>
    <w:rsid w:val="00512697"/>
    <w:rsid w:val="00526B88"/>
    <w:rsid w:val="005420DD"/>
    <w:rsid w:val="00542D99"/>
    <w:rsid w:val="00545050"/>
    <w:rsid w:val="00546BD7"/>
    <w:rsid w:val="005503A2"/>
    <w:rsid w:val="00550D80"/>
    <w:rsid w:val="00551C44"/>
    <w:rsid w:val="005610D0"/>
    <w:rsid w:val="00563EB2"/>
    <w:rsid w:val="005648D8"/>
    <w:rsid w:val="005653D6"/>
    <w:rsid w:val="005903B2"/>
    <w:rsid w:val="00593EAD"/>
    <w:rsid w:val="005A5288"/>
    <w:rsid w:val="005B08BC"/>
    <w:rsid w:val="005B19DD"/>
    <w:rsid w:val="005B7E06"/>
    <w:rsid w:val="005C0CA8"/>
    <w:rsid w:val="005C425B"/>
    <w:rsid w:val="005D0A5F"/>
    <w:rsid w:val="005F0569"/>
    <w:rsid w:val="005F42D6"/>
    <w:rsid w:val="006002F3"/>
    <w:rsid w:val="00603626"/>
    <w:rsid w:val="00604D03"/>
    <w:rsid w:val="00606D0B"/>
    <w:rsid w:val="0061251B"/>
    <w:rsid w:val="00616D79"/>
    <w:rsid w:val="00622569"/>
    <w:rsid w:val="006238CD"/>
    <w:rsid w:val="00624D77"/>
    <w:rsid w:val="006324B5"/>
    <w:rsid w:val="00632966"/>
    <w:rsid w:val="00633CCC"/>
    <w:rsid w:val="00634776"/>
    <w:rsid w:val="00637654"/>
    <w:rsid w:val="00643B3A"/>
    <w:rsid w:val="00644E75"/>
    <w:rsid w:val="006455D4"/>
    <w:rsid w:val="00646FFE"/>
    <w:rsid w:val="0065431F"/>
    <w:rsid w:val="00661D02"/>
    <w:rsid w:val="00667DF3"/>
    <w:rsid w:val="00680340"/>
    <w:rsid w:val="0068721C"/>
    <w:rsid w:val="00690030"/>
    <w:rsid w:val="00693AD4"/>
    <w:rsid w:val="006A2E7D"/>
    <w:rsid w:val="006A397B"/>
    <w:rsid w:val="006A3D34"/>
    <w:rsid w:val="006A42DA"/>
    <w:rsid w:val="006A4B2D"/>
    <w:rsid w:val="006B0474"/>
    <w:rsid w:val="006C1176"/>
    <w:rsid w:val="006C1FCE"/>
    <w:rsid w:val="006C2658"/>
    <w:rsid w:val="006D7F08"/>
    <w:rsid w:val="006E08B0"/>
    <w:rsid w:val="006E0C3D"/>
    <w:rsid w:val="006F1612"/>
    <w:rsid w:val="006F5471"/>
    <w:rsid w:val="00713430"/>
    <w:rsid w:val="007149FB"/>
    <w:rsid w:val="00717D19"/>
    <w:rsid w:val="007234E0"/>
    <w:rsid w:val="007255AB"/>
    <w:rsid w:val="00727389"/>
    <w:rsid w:val="007307AD"/>
    <w:rsid w:val="007417F2"/>
    <w:rsid w:val="00741F36"/>
    <w:rsid w:val="00750D33"/>
    <w:rsid w:val="00750F0C"/>
    <w:rsid w:val="00752255"/>
    <w:rsid w:val="0076399F"/>
    <w:rsid w:val="0076764E"/>
    <w:rsid w:val="0077276D"/>
    <w:rsid w:val="007737C0"/>
    <w:rsid w:val="00773E6E"/>
    <w:rsid w:val="0078465E"/>
    <w:rsid w:val="007875B9"/>
    <w:rsid w:val="007B158A"/>
    <w:rsid w:val="007B40EA"/>
    <w:rsid w:val="007B7DBE"/>
    <w:rsid w:val="007C0F10"/>
    <w:rsid w:val="007C1736"/>
    <w:rsid w:val="007C1BE0"/>
    <w:rsid w:val="007D1E1F"/>
    <w:rsid w:val="007D31F3"/>
    <w:rsid w:val="007D3ED1"/>
    <w:rsid w:val="007D47DD"/>
    <w:rsid w:val="007E6807"/>
    <w:rsid w:val="007F49EE"/>
    <w:rsid w:val="007F67FD"/>
    <w:rsid w:val="00801630"/>
    <w:rsid w:val="0080623A"/>
    <w:rsid w:val="00806824"/>
    <w:rsid w:val="00813AFE"/>
    <w:rsid w:val="00817ECB"/>
    <w:rsid w:val="008378B2"/>
    <w:rsid w:val="00840409"/>
    <w:rsid w:val="00840D13"/>
    <w:rsid w:val="00844846"/>
    <w:rsid w:val="008466EE"/>
    <w:rsid w:val="0084766B"/>
    <w:rsid w:val="00857D8B"/>
    <w:rsid w:val="00857FBD"/>
    <w:rsid w:val="00876220"/>
    <w:rsid w:val="0088041A"/>
    <w:rsid w:val="00881404"/>
    <w:rsid w:val="008814DD"/>
    <w:rsid w:val="008821F5"/>
    <w:rsid w:val="00882894"/>
    <w:rsid w:val="00892463"/>
    <w:rsid w:val="00892A9D"/>
    <w:rsid w:val="0089752B"/>
    <w:rsid w:val="008A40B4"/>
    <w:rsid w:val="008A54B9"/>
    <w:rsid w:val="008A5532"/>
    <w:rsid w:val="008A7BB0"/>
    <w:rsid w:val="008B4E0F"/>
    <w:rsid w:val="008C16B4"/>
    <w:rsid w:val="008C5F1E"/>
    <w:rsid w:val="008D0AA9"/>
    <w:rsid w:val="008D1E0B"/>
    <w:rsid w:val="008D408B"/>
    <w:rsid w:val="008D5899"/>
    <w:rsid w:val="008E371F"/>
    <w:rsid w:val="008F0BBC"/>
    <w:rsid w:val="008F6F94"/>
    <w:rsid w:val="009029E2"/>
    <w:rsid w:val="009039FF"/>
    <w:rsid w:val="00905CEF"/>
    <w:rsid w:val="009163BA"/>
    <w:rsid w:val="00916421"/>
    <w:rsid w:val="00917F22"/>
    <w:rsid w:val="00927C46"/>
    <w:rsid w:val="009308C8"/>
    <w:rsid w:val="00933AE3"/>
    <w:rsid w:val="00934C64"/>
    <w:rsid w:val="009365CD"/>
    <w:rsid w:val="00940BA5"/>
    <w:rsid w:val="00942831"/>
    <w:rsid w:val="009442BE"/>
    <w:rsid w:val="00945ED7"/>
    <w:rsid w:val="00957C27"/>
    <w:rsid w:val="00971FD6"/>
    <w:rsid w:val="0097363B"/>
    <w:rsid w:val="00980A0C"/>
    <w:rsid w:val="00991018"/>
    <w:rsid w:val="009A3894"/>
    <w:rsid w:val="009A6A27"/>
    <w:rsid w:val="009B189A"/>
    <w:rsid w:val="009B201E"/>
    <w:rsid w:val="009B2220"/>
    <w:rsid w:val="009B5072"/>
    <w:rsid w:val="009B5BC4"/>
    <w:rsid w:val="009B6844"/>
    <w:rsid w:val="009E32E1"/>
    <w:rsid w:val="009E57B0"/>
    <w:rsid w:val="009E692A"/>
    <w:rsid w:val="009E6EA9"/>
    <w:rsid w:val="009F7A7E"/>
    <w:rsid w:val="00A01C40"/>
    <w:rsid w:val="00A05E12"/>
    <w:rsid w:val="00A11619"/>
    <w:rsid w:val="00A12A75"/>
    <w:rsid w:val="00A12C29"/>
    <w:rsid w:val="00A136E8"/>
    <w:rsid w:val="00A2028D"/>
    <w:rsid w:val="00A244FC"/>
    <w:rsid w:val="00A24614"/>
    <w:rsid w:val="00A27445"/>
    <w:rsid w:val="00A41B32"/>
    <w:rsid w:val="00A423CF"/>
    <w:rsid w:val="00A46A86"/>
    <w:rsid w:val="00A4746E"/>
    <w:rsid w:val="00A617DF"/>
    <w:rsid w:val="00A64693"/>
    <w:rsid w:val="00A77239"/>
    <w:rsid w:val="00A87096"/>
    <w:rsid w:val="00A87609"/>
    <w:rsid w:val="00AA5721"/>
    <w:rsid w:val="00AB0048"/>
    <w:rsid w:val="00AB045E"/>
    <w:rsid w:val="00AB63DE"/>
    <w:rsid w:val="00AC06F7"/>
    <w:rsid w:val="00AC515C"/>
    <w:rsid w:val="00AC75F0"/>
    <w:rsid w:val="00AE3F21"/>
    <w:rsid w:val="00B01228"/>
    <w:rsid w:val="00B01CF6"/>
    <w:rsid w:val="00B025A8"/>
    <w:rsid w:val="00B05C8E"/>
    <w:rsid w:val="00B061F5"/>
    <w:rsid w:val="00B13742"/>
    <w:rsid w:val="00B22DE2"/>
    <w:rsid w:val="00B2479A"/>
    <w:rsid w:val="00B27193"/>
    <w:rsid w:val="00B30AD5"/>
    <w:rsid w:val="00B3239C"/>
    <w:rsid w:val="00B32944"/>
    <w:rsid w:val="00B43B1F"/>
    <w:rsid w:val="00B43CE3"/>
    <w:rsid w:val="00B44F88"/>
    <w:rsid w:val="00B53F4F"/>
    <w:rsid w:val="00B57558"/>
    <w:rsid w:val="00B61E62"/>
    <w:rsid w:val="00B62F3D"/>
    <w:rsid w:val="00B72FC6"/>
    <w:rsid w:val="00B7373B"/>
    <w:rsid w:val="00B83254"/>
    <w:rsid w:val="00B83AD1"/>
    <w:rsid w:val="00B8668A"/>
    <w:rsid w:val="00B9007B"/>
    <w:rsid w:val="00B94794"/>
    <w:rsid w:val="00B94CF5"/>
    <w:rsid w:val="00B9516B"/>
    <w:rsid w:val="00BA791D"/>
    <w:rsid w:val="00BB4E83"/>
    <w:rsid w:val="00BC3CE4"/>
    <w:rsid w:val="00BD17ED"/>
    <w:rsid w:val="00BD20AA"/>
    <w:rsid w:val="00BD21AB"/>
    <w:rsid w:val="00BD4341"/>
    <w:rsid w:val="00BF36ED"/>
    <w:rsid w:val="00BF3C2A"/>
    <w:rsid w:val="00C0583E"/>
    <w:rsid w:val="00C05959"/>
    <w:rsid w:val="00C104E5"/>
    <w:rsid w:val="00C13D98"/>
    <w:rsid w:val="00C202EA"/>
    <w:rsid w:val="00C2464D"/>
    <w:rsid w:val="00C246D9"/>
    <w:rsid w:val="00C25F07"/>
    <w:rsid w:val="00C25F43"/>
    <w:rsid w:val="00C3179C"/>
    <w:rsid w:val="00C34351"/>
    <w:rsid w:val="00C35D0F"/>
    <w:rsid w:val="00C3670F"/>
    <w:rsid w:val="00C40A42"/>
    <w:rsid w:val="00C573C2"/>
    <w:rsid w:val="00C6009D"/>
    <w:rsid w:val="00C65809"/>
    <w:rsid w:val="00C6584F"/>
    <w:rsid w:val="00C72548"/>
    <w:rsid w:val="00C75A1C"/>
    <w:rsid w:val="00C75B6C"/>
    <w:rsid w:val="00C76175"/>
    <w:rsid w:val="00C80848"/>
    <w:rsid w:val="00C8691A"/>
    <w:rsid w:val="00C90CA7"/>
    <w:rsid w:val="00C9183B"/>
    <w:rsid w:val="00C928E4"/>
    <w:rsid w:val="00C93241"/>
    <w:rsid w:val="00C95036"/>
    <w:rsid w:val="00CA65C0"/>
    <w:rsid w:val="00CA69A7"/>
    <w:rsid w:val="00CB045A"/>
    <w:rsid w:val="00CB127B"/>
    <w:rsid w:val="00CB45B4"/>
    <w:rsid w:val="00CB7281"/>
    <w:rsid w:val="00CD1186"/>
    <w:rsid w:val="00CE0463"/>
    <w:rsid w:val="00CE43B7"/>
    <w:rsid w:val="00D02045"/>
    <w:rsid w:val="00D021EA"/>
    <w:rsid w:val="00D12220"/>
    <w:rsid w:val="00D165EC"/>
    <w:rsid w:val="00D179B0"/>
    <w:rsid w:val="00D21FD7"/>
    <w:rsid w:val="00D22B10"/>
    <w:rsid w:val="00D24F0C"/>
    <w:rsid w:val="00D25FE8"/>
    <w:rsid w:val="00D30C2B"/>
    <w:rsid w:val="00D40221"/>
    <w:rsid w:val="00D53524"/>
    <w:rsid w:val="00D53ECD"/>
    <w:rsid w:val="00D575C3"/>
    <w:rsid w:val="00D61BC8"/>
    <w:rsid w:val="00D6418A"/>
    <w:rsid w:val="00D6493F"/>
    <w:rsid w:val="00D66A49"/>
    <w:rsid w:val="00D66B16"/>
    <w:rsid w:val="00D76C08"/>
    <w:rsid w:val="00D77568"/>
    <w:rsid w:val="00D82C2F"/>
    <w:rsid w:val="00D8436D"/>
    <w:rsid w:val="00D91992"/>
    <w:rsid w:val="00D96D02"/>
    <w:rsid w:val="00DA0520"/>
    <w:rsid w:val="00DB410F"/>
    <w:rsid w:val="00DB483C"/>
    <w:rsid w:val="00DC3D19"/>
    <w:rsid w:val="00DC56AD"/>
    <w:rsid w:val="00DC6F50"/>
    <w:rsid w:val="00DE0F71"/>
    <w:rsid w:val="00DE1DC0"/>
    <w:rsid w:val="00DE2A7D"/>
    <w:rsid w:val="00DE3FC5"/>
    <w:rsid w:val="00DE4DAD"/>
    <w:rsid w:val="00DE72FC"/>
    <w:rsid w:val="00DF226C"/>
    <w:rsid w:val="00DF22B2"/>
    <w:rsid w:val="00DF58CB"/>
    <w:rsid w:val="00DF5D92"/>
    <w:rsid w:val="00E03C77"/>
    <w:rsid w:val="00E108D7"/>
    <w:rsid w:val="00E21BA7"/>
    <w:rsid w:val="00E2478F"/>
    <w:rsid w:val="00E2625E"/>
    <w:rsid w:val="00E27586"/>
    <w:rsid w:val="00E30BBB"/>
    <w:rsid w:val="00E34F21"/>
    <w:rsid w:val="00E47B7C"/>
    <w:rsid w:val="00E50F54"/>
    <w:rsid w:val="00E545A0"/>
    <w:rsid w:val="00E54C1F"/>
    <w:rsid w:val="00E6461C"/>
    <w:rsid w:val="00E64A4C"/>
    <w:rsid w:val="00E66F91"/>
    <w:rsid w:val="00E7567A"/>
    <w:rsid w:val="00E80739"/>
    <w:rsid w:val="00E824B6"/>
    <w:rsid w:val="00E833E3"/>
    <w:rsid w:val="00E93351"/>
    <w:rsid w:val="00E95F1C"/>
    <w:rsid w:val="00E974A1"/>
    <w:rsid w:val="00EA7168"/>
    <w:rsid w:val="00EB0189"/>
    <w:rsid w:val="00EB254A"/>
    <w:rsid w:val="00ED3035"/>
    <w:rsid w:val="00EE1F92"/>
    <w:rsid w:val="00EF3ACF"/>
    <w:rsid w:val="00F054E4"/>
    <w:rsid w:val="00F13E3E"/>
    <w:rsid w:val="00F17484"/>
    <w:rsid w:val="00F2604A"/>
    <w:rsid w:val="00F278D3"/>
    <w:rsid w:val="00F36FCC"/>
    <w:rsid w:val="00F539A3"/>
    <w:rsid w:val="00F55F8C"/>
    <w:rsid w:val="00F5648A"/>
    <w:rsid w:val="00F616E6"/>
    <w:rsid w:val="00F708E1"/>
    <w:rsid w:val="00F70E50"/>
    <w:rsid w:val="00F72AF7"/>
    <w:rsid w:val="00F824A2"/>
    <w:rsid w:val="00F84A61"/>
    <w:rsid w:val="00F84DE0"/>
    <w:rsid w:val="00F85DDF"/>
    <w:rsid w:val="00F86E49"/>
    <w:rsid w:val="00F91440"/>
    <w:rsid w:val="00FA23F6"/>
    <w:rsid w:val="00FA320A"/>
    <w:rsid w:val="00FA3B48"/>
    <w:rsid w:val="00FB7084"/>
    <w:rsid w:val="00FC042B"/>
    <w:rsid w:val="00FC0E6C"/>
    <w:rsid w:val="00FC1CA7"/>
    <w:rsid w:val="00FC4A61"/>
    <w:rsid w:val="00FC55C8"/>
    <w:rsid w:val="00FC5A97"/>
    <w:rsid w:val="00FD1888"/>
    <w:rsid w:val="00FD199A"/>
    <w:rsid w:val="00FD301A"/>
    <w:rsid w:val="00FD3E20"/>
    <w:rsid w:val="00FE07C1"/>
    <w:rsid w:val="00FE24FC"/>
    <w:rsid w:val="00FE2B8B"/>
    <w:rsid w:val="00FE2D3A"/>
    <w:rsid w:val="00FF1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FAD19"/>
  <w15:chartTrackingRefBased/>
  <w15:docId w15:val="{AB941FB1-C4F0-4A33-8C25-EFC494654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09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09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09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09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09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09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09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09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09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9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09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09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09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09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09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9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9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904"/>
    <w:rPr>
      <w:rFonts w:eastAsiaTheme="majorEastAsia" w:cstheme="majorBidi"/>
      <w:color w:val="272727" w:themeColor="text1" w:themeTint="D8"/>
    </w:rPr>
  </w:style>
  <w:style w:type="paragraph" w:styleId="Title">
    <w:name w:val="Title"/>
    <w:basedOn w:val="Normal"/>
    <w:next w:val="Normal"/>
    <w:link w:val="TitleChar"/>
    <w:uiPriority w:val="10"/>
    <w:qFormat/>
    <w:rsid w:val="001209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9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09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09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904"/>
    <w:pPr>
      <w:spacing w:before="160"/>
      <w:jc w:val="center"/>
    </w:pPr>
    <w:rPr>
      <w:i/>
      <w:iCs/>
      <w:color w:val="404040" w:themeColor="text1" w:themeTint="BF"/>
    </w:rPr>
  </w:style>
  <w:style w:type="character" w:customStyle="1" w:styleId="QuoteChar">
    <w:name w:val="Quote Char"/>
    <w:basedOn w:val="DefaultParagraphFont"/>
    <w:link w:val="Quote"/>
    <w:uiPriority w:val="29"/>
    <w:rsid w:val="00120904"/>
    <w:rPr>
      <w:i/>
      <w:iCs/>
      <w:color w:val="404040" w:themeColor="text1" w:themeTint="BF"/>
    </w:rPr>
  </w:style>
  <w:style w:type="paragraph" w:styleId="ListParagraph">
    <w:name w:val="List Paragraph"/>
    <w:basedOn w:val="Normal"/>
    <w:uiPriority w:val="34"/>
    <w:qFormat/>
    <w:rsid w:val="00120904"/>
    <w:pPr>
      <w:ind w:left="720"/>
      <w:contextualSpacing/>
    </w:pPr>
  </w:style>
  <w:style w:type="character" w:styleId="IntenseEmphasis">
    <w:name w:val="Intense Emphasis"/>
    <w:basedOn w:val="DefaultParagraphFont"/>
    <w:uiPriority w:val="21"/>
    <w:qFormat/>
    <w:rsid w:val="00120904"/>
    <w:rPr>
      <w:i/>
      <w:iCs/>
      <w:color w:val="0F4761" w:themeColor="accent1" w:themeShade="BF"/>
    </w:rPr>
  </w:style>
  <w:style w:type="paragraph" w:styleId="IntenseQuote">
    <w:name w:val="Intense Quote"/>
    <w:basedOn w:val="Normal"/>
    <w:next w:val="Normal"/>
    <w:link w:val="IntenseQuoteChar"/>
    <w:uiPriority w:val="30"/>
    <w:qFormat/>
    <w:rsid w:val="001209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0904"/>
    <w:rPr>
      <w:i/>
      <w:iCs/>
      <w:color w:val="0F4761" w:themeColor="accent1" w:themeShade="BF"/>
    </w:rPr>
  </w:style>
  <w:style w:type="character" w:styleId="IntenseReference">
    <w:name w:val="Intense Reference"/>
    <w:basedOn w:val="DefaultParagraphFont"/>
    <w:uiPriority w:val="32"/>
    <w:qFormat/>
    <w:rsid w:val="00120904"/>
    <w:rPr>
      <w:b/>
      <w:bCs/>
      <w:smallCaps/>
      <w:color w:val="0F4761" w:themeColor="accent1" w:themeShade="BF"/>
      <w:spacing w:val="5"/>
    </w:rPr>
  </w:style>
  <w:style w:type="paragraph" w:customStyle="1" w:styleId="Body">
    <w:name w:val="Body"/>
    <w:rsid w:val="00120904"/>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character" w:styleId="Hyperlink">
    <w:name w:val="Hyperlink"/>
    <w:basedOn w:val="DefaultParagraphFont"/>
    <w:uiPriority w:val="99"/>
    <w:unhideWhenUsed/>
    <w:rsid w:val="002E4DF7"/>
    <w:rPr>
      <w:color w:val="467886" w:themeColor="hyperlink"/>
      <w:u w:val="single"/>
    </w:rPr>
  </w:style>
  <w:style w:type="character" w:styleId="UnresolvedMention">
    <w:name w:val="Unresolved Mention"/>
    <w:basedOn w:val="DefaultParagraphFont"/>
    <w:uiPriority w:val="99"/>
    <w:semiHidden/>
    <w:unhideWhenUsed/>
    <w:rsid w:val="005A5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424082">
      <w:bodyDiv w:val="1"/>
      <w:marLeft w:val="0"/>
      <w:marRight w:val="0"/>
      <w:marTop w:val="0"/>
      <w:marBottom w:val="0"/>
      <w:divBdr>
        <w:top w:val="none" w:sz="0" w:space="0" w:color="auto"/>
        <w:left w:val="none" w:sz="0" w:space="0" w:color="auto"/>
        <w:bottom w:val="none" w:sz="0" w:space="0" w:color="auto"/>
        <w:right w:val="none" w:sz="0" w:space="0" w:color="auto"/>
      </w:divBdr>
    </w:div>
    <w:div w:id="666791925">
      <w:bodyDiv w:val="1"/>
      <w:marLeft w:val="0"/>
      <w:marRight w:val="0"/>
      <w:marTop w:val="0"/>
      <w:marBottom w:val="0"/>
      <w:divBdr>
        <w:top w:val="none" w:sz="0" w:space="0" w:color="auto"/>
        <w:left w:val="none" w:sz="0" w:space="0" w:color="auto"/>
        <w:bottom w:val="none" w:sz="0" w:space="0" w:color="auto"/>
        <w:right w:val="none" w:sz="0" w:space="0" w:color="auto"/>
      </w:divBdr>
    </w:div>
    <w:div w:id="685179149">
      <w:bodyDiv w:val="1"/>
      <w:marLeft w:val="0"/>
      <w:marRight w:val="0"/>
      <w:marTop w:val="0"/>
      <w:marBottom w:val="0"/>
      <w:divBdr>
        <w:top w:val="none" w:sz="0" w:space="0" w:color="auto"/>
        <w:left w:val="none" w:sz="0" w:space="0" w:color="auto"/>
        <w:bottom w:val="none" w:sz="0" w:space="0" w:color="auto"/>
        <w:right w:val="none" w:sz="0" w:space="0" w:color="auto"/>
      </w:divBdr>
    </w:div>
    <w:div w:id="913200402">
      <w:bodyDiv w:val="1"/>
      <w:marLeft w:val="0"/>
      <w:marRight w:val="0"/>
      <w:marTop w:val="0"/>
      <w:marBottom w:val="0"/>
      <w:divBdr>
        <w:top w:val="none" w:sz="0" w:space="0" w:color="auto"/>
        <w:left w:val="none" w:sz="0" w:space="0" w:color="auto"/>
        <w:bottom w:val="none" w:sz="0" w:space="0" w:color="auto"/>
        <w:right w:val="none" w:sz="0" w:space="0" w:color="auto"/>
      </w:divBdr>
    </w:div>
    <w:div w:id="953440427">
      <w:bodyDiv w:val="1"/>
      <w:marLeft w:val="0"/>
      <w:marRight w:val="0"/>
      <w:marTop w:val="0"/>
      <w:marBottom w:val="0"/>
      <w:divBdr>
        <w:top w:val="none" w:sz="0" w:space="0" w:color="auto"/>
        <w:left w:val="none" w:sz="0" w:space="0" w:color="auto"/>
        <w:bottom w:val="none" w:sz="0" w:space="0" w:color="auto"/>
        <w:right w:val="none" w:sz="0" w:space="0" w:color="auto"/>
      </w:divBdr>
    </w:div>
    <w:div w:id="965739298">
      <w:bodyDiv w:val="1"/>
      <w:marLeft w:val="0"/>
      <w:marRight w:val="0"/>
      <w:marTop w:val="0"/>
      <w:marBottom w:val="0"/>
      <w:divBdr>
        <w:top w:val="none" w:sz="0" w:space="0" w:color="auto"/>
        <w:left w:val="none" w:sz="0" w:space="0" w:color="auto"/>
        <w:bottom w:val="none" w:sz="0" w:space="0" w:color="auto"/>
        <w:right w:val="none" w:sz="0" w:space="0" w:color="auto"/>
      </w:divBdr>
    </w:div>
    <w:div w:id="1312708948">
      <w:bodyDiv w:val="1"/>
      <w:marLeft w:val="0"/>
      <w:marRight w:val="0"/>
      <w:marTop w:val="0"/>
      <w:marBottom w:val="0"/>
      <w:divBdr>
        <w:top w:val="none" w:sz="0" w:space="0" w:color="auto"/>
        <w:left w:val="none" w:sz="0" w:space="0" w:color="auto"/>
        <w:bottom w:val="none" w:sz="0" w:space="0" w:color="auto"/>
        <w:right w:val="none" w:sz="0" w:space="0" w:color="auto"/>
      </w:divBdr>
    </w:div>
    <w:div w:id="1390766001">
      <w:bodyDiv w:val="1"/>
      <w:marLeft w:val="0"/>
      <w:marRight w:val="0"/>
      <w:marTop w:val="0"/>
      <w:marBottom w:val="0"/>
      <w:divBdr>
        <w:top w:val="none" w:sz="0" w:space="0" w:color="auto"/>
        <w:left w:val="none" w:sz="0" w:space="0" w:color="auto"/>
        <w:bottom w:val="none" w:sz="0" w:space="0" w:color="auto"/>
        <w:right w:val="none" w:sz="0" w:space="0" w:color="auto"/>
      </w:divBdr>
    </w:div>
    <w:div w:id="1479491588">
      <w:bodyDiv w:val="1"/>
      <w:marLeft w:val="0"/>
      <w:marRight w:val="0"/>
      <w:marTop w:val="0"/>
      <w:marBottom w:val="0"/>
      <w:divBdr>
        <w:top w:val="none" w:sz="0" w:space="0" w:color="auto"/>
        <w:left w:val="none" w:sz="0" w:space="0" w:color="auto"/>
        <w:bottom w:val="none" w:sz="0" w:space="0" w:color="auto"/>
        <w:right w:val="none" w:sz="0" w:space="0" w:color="auto"/>
      </w:divBdr>
    </w:div>
    <w:div w:id="1541891941">
      <w:bodyDiv w:val="1"/>
      <w:marLeft w:val="0"/>
      <w:marRight w:val="0"/>
      <w:marTop w:val="0"/>
      <w:marBottom w:val="0"/>
      <w:divBdr>
        <w:top w:val="none" w:sz="0" w:space="0" w:color="auto"/>
        <w:left w:val="none" w:sz="0" w:space="0" w:color="auto"/>
        <w:bottom w:val="none" w:sz="0" w:space="0" w:color="auto"/>
        <w:right w:val="none" w:sz="0" w:space="0" w:color="auto"/>
      </w:divBdr>
    </w:div>
    <w:div w:id="1632634319">
      <w:bodyDiv w:val="1"/>
      <w:marLeft w:val="0"/>
      <w:marRight w:val="0"/>
      <w:marTop w:val="0"/>
      <w:marBottom w:val="0"/>
      <w:divBdr>
        <w:top w:val="none" w:sz="0" w:space="0" w:color="auto"/>
        <w:left w:val="none" w:sz="0" w:space="0" w:color="auto"/>
        <w:bottom w:val="none" w:sz="0" w:space="0" w:color="auto"/>
        <w:right w:val="none" w:sz="0" w:space="0" w:color="auto"/>
      </w:divBdr>
    </w:div>
    <w:div w:id="1890846202">
      <w:bodyDiv w:val="1"/>
      <w:marLeft w:val="0"/>
      <w:marRight w:val="0"/>
      <w:marTop w:val="0"/>
      <w:marBottom w:val="0"/>
      <w:divBdr>
        <w:top w:val="none" w:sz="0" w:space="0" w:color="auto"/>
        <w:left w:val="none" w:sz="0" w:space="0" w:color="auto"/>
        <w:bottom w:val="none" w:sz="0" w:space="0" w:color="auto"/>
        <w:right w:val="none" w:sz="0" w:space="0" w:color="auto"/>
      </w:divBdr>
    </w:div>
    <w:div w:id="2049332279">
      <w:bodyDiv w:val="1"/>
      <w:marLeft w:val="0"/>
      <w:marRight w:val="0"/>
      <w:marTop w:val="0"/>
      <w:marBottom w:val="0"/>
      <w:divBdr>
        <w:top w:val="none" w:sz="0" w:space="0" w:color="auto"/>
        <w:left w:val="none" w:sz="0" w:space="0" w:color="auto"/>
        <w:bottom w:val="none" w:sz="0" w:space="0" w:color="auto"/>
        <w:right w:val="none" w:sz="0" w:space="0" w:color="auto"/>
      </w:divBdr>
    </w:div>
    <w:div w:id="2079552471">
      <w:bodyDiv w:val="1"/>
      <w:marLeft w:val="0"/>
      <w:marRight w:val="0"/>
      <w:marTop w:val="0"/>
      <w:marBottom w:val="0"/>
      <w:divBdr>
        <w:top w:val="none" w:sz="0" w:space="0" w:color="auto"/>
        <w:left w:val="none" w:sz="0" w:space="0" w:color="auto"/>
        <w:bottom w:val="none" w:sz="0" w:space="0" w:color="auto"/>
        <w:right w:val="none" w:sz="0" w:space="0" w:color="auto"/>
      </w:divBdr>
    </w:div>
    <w:div w:id="2113936871">
      <w:bodyDiv w:val="1"/>
      <w:marLeft w:val="0"/>
      <w:marRight w:val="0"/>
      <w:marTop w:val="0"/>
      <w:marBottom w:val="0"/>
      <w:divBdr>
        <w:top w:val="none" w:sz="0" w:space="0" w:color="auto"/>
        <w:left w:val="none" w:sz="0" w:space="0" w:color="auto"/>
        <w:bottom w:val="none" w:sz="0" w:space="0" w:color="auto"/>
        <w:right w:val="none" w:sz="0" w:space="0" w:color="auto"/>
      </w:divBdr>
    </w:div>
    <w:div w:id="2141335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statutory-flexible-working-requests" TargetMode="External"/><Relationship Id="rId18" Type="http://schemas.openxmlformats.org/officeDocument/2006/relationships/hyperlink" Target="https://www.cipd.org/uk/knowledge/factsheets/discrimination-workplace-factsheet/" TargetMode="External"/><Relationship Id="rId26" Type="http://schemas.openxmlformats.org/officeDocument/2006/relationships/hyperlink" Target="https://www.citizensadvice.org.uk/work/employment-tribunal/employment-tribunals/before-you-go-to-the-tribunal/if-youre-thinking-of-making-a-claim-to-an-employment-tribunal/" TargetMode="External"/><Relationship Id="rId39" Type="http://schemas.openxmlformats.org/officeDocument/2006/relationships/theme" Target="theme/theme1.xml"/><Relationship Id="rId21" Type="http://schemas.openxmlformats.org/officeDocument/2006/relationships/hyperlink" Target="https://www.cipd.org/uk/knowledge/employment-law/equal-pay/" TargetMode="External"/><Relationship Id="rId34" Type="http://schemas.openxmlformats.org/officeDocument/2006/relationships/hyperlink" Target="https://www.gov.uk/holiday-entitlement-rights" TargetMode="External"/><Relationship Id="rId7" Type="http://schemas.openxmlformats.org/officeDocument/2006/relationships/hyperlink" Target="https://www.acas.org.uk/dismissals/constructive-dismissal" TargetMode="External"/><Relationship Id="rId12" Type="http://schemas.openxmlformats.org/officeDocument/2006/relationships/hyperlink" Target="https://www.acas.org.uk/tupe/advice-for-employers-and-employees" TargetMode="External"/><Relationship Id="rId17" Type="http://schemas.openxmlformats.org/officeDocument/2006/relationships/hyperlink" Target="https://www.cipd.org/uk/knowledge/guides/tupe-guide/" TargetMode="External"/><Relationship Id="rId25" Type="http://schemas.openxmlformats.org/officeDocument/2006/relationships/hyperlink" Target="https://www.citizensadvice.org.uk/work/dismissal/check-your-rights-if-youre-dismissed/claiming-constructive-dismissal/" TargetMode="External"/><Relationship Id="rId33" Type="http://schemas.openxmlformats.org/officeDocument/2006/relationships/hyperlink" Target="https://www.gov.uk/employers-maternity-pay-leave"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guardian.com/business/2025/feb/03/thousands-asda-workers-win-latest-stage-equal-pay-case" TargetMode="External"/><Relationship Id="rId20" Type="http://schemas.openxmlformats.org/officeDocument/2006/relationships/hyperlink" Target="https://www.cipd.org/uk/knowledge/employment-law/employment-law-uk-how-made/" TargetMode="External"/><Relationship Id="rId29" Type="http://schemas.openxmlformats.org/officeDocument/2006/relationships/hyperlink" Target="https://www.equalityhumanrights.com/guidance/equal-pay" TargetMode="External"/><Relationship Id="rId1" Type="http://schemas.openxmlformats.org/officeDocument/2006/relationships/numbering" Target="numbering.xml"/><Relationship Id="rId6" Type="http://schemas.openxmlformats.org/officeDocument/2006/relationships/hyperlink" Target="https://www.acas.org.uk/acas-code-of-practice-on-flexible-working-requests/html" TargetMode="External"/><Relationship Id="rId11" Type="http://schemas.openxmlformats.org/officeDocument/2006/relationships/hyperlink" Target="https://www.acas.org.uk/your-maternity-leave-pay-and-other-rights/taking-maternity-leave" TargetMode="External"/><Relationship Id="rId24" Type="http://schemas.openxmlformats.org/officeDocument/2006/relationships/hyperlink" Target="https://www.citizensadvice.org.uk/work/employment-tribunal/employment-tribunals/before-you-go-to-the-tribunal/check-what-compensation-you-can-get-for-unfair-dismissal/" TargetMode="External"/><Relationship Id="rId32" Type="http://schemas.openxmlformats.org/officeDocument/2006/relationships/hyperlink" Target="https://www.gov.uk/transfers-takeovers/transfers-of-employment-contracts" TargetMode="External"/><Relationship Id="rId37" Type="http://schemas.openxmlformats.org/officeDocument/2006/relationships/hyperlink" Target="https://www.unison.org.uk/get-help/knowledge/pay/equal-pay/#heading-3" TargetMode="External"/><Relationship Id="rId5" Type="http://schemas.openxmlformats.org/officeDocument/2006/relationships/hyperlink" Target="https://www.acas.org.uk/checking-holiday-entitlement" TargetMode="External"/><Relationship Id="rId15" Type="http://schemas.openxmlformats.org/officeDocument/2006/relationships/hyperlink" Target="https://www.cipd.org/uk/knowledge/factsheets/working-time-factsheet/" TargetMode="External"/><Relationship Id="rId23" Type="http://schemas.openxmlformats.org/officeDocument/2006/relationships/hyperlink" Target="https://www.cipd.org/uk/knowledge/employment-law/flexible-working/" TargetMode="External"/><Relationship Id="rId28" Type="http://schemas.openxmlformats.org/officeDocument/2006/relationships/hyperlink" Target="https://www.equalityhumanrights.com/equality/equality-act-2010/codes-practice/employment-code-practice-0" TargetMode="External"/><Relationship Id="rId36" Type="http://schemas.openxmlformats.org/officeDocument/2006/relationships/hyperlink" Target="https://www.peoplemanagement.co.uk/article/1747311/father-turned-down-for-job-for-not-being-best-fit-with-female-colleagues-was-discriminated-against" TargetMode="External"/><Relationship Id="rId10" Type="http://schemas.openxmlformats.org/officeDocument/2006/relationships/hyperlink" Target="https://www.acas.org.uk/shared-parental-leave-and-pay" TargetMode="External"/><Relationship Id="rId19" Type="http://schemas.openxmlformats.org/officeDocument/2006/relationships/hyperlink" Target="https://www.cipd.org/uk/knowledge/employment-law/dismissal/" TargetMode="External"/><Relationship Id="rId31" Type="http://schemas.openxmlformats.org/officeDocument/2006/relationships/hyperlink" Target="https://www.gov.uk/redundancy-your-rights/being-selected-for-redundancy" TargetMode="External"/><Relationship Id="rId4" Type="http://schemas.openxmlformats.org/officeDocument/2006/relationships/webSettings" Target="webSettings.xml"/><Relationship Id="rId9" Type="http://schemas.openxmlformats.org/officeDocument/2006/relationships/hyperlink" Target="https://www.acas.org.uk/recruitment/follow-discrimination-law" TargetMode="External"/><Relationship Id="rId14" Type="http://schemas.openxmlformats.org/officeDocument/2006/relationships/hyperlink" Target="https://www.acas.org.uk/your-rights-during-redundancy" TargetMode="External"/><Relationship Id="rId22" Type="http://schemas.openxmlformats.org/officeDocument/2006/relationships/hyperlink" Target="https://www.cipd.org/uk/knowledge/factsheets/maternity-paternity-rights-factsheet/" TargetMode="External"/><Relationship Id="rId27" Type="http://schemas.openxmlformats.org/officeDocument/2006/relationships/hyperlink" Target="https://www.equalityhumanrights.com/guidance/equal-pay" TargetMode="External"/><Relationship Id="rId30" Type="http://schemas.openxmlformats.org/officeDocument/2006/relationships/hyperlink" Target="https://www.gov.uk/guidance/equality-act-2010-guidance" TargetMode="External"/><Relationship Id="rId35" Type="http://schemas.openxmlformats.org/officeDocument/2006/relationships/hyperlink" Target="https://www.hse.gov.uk/legislation/hswa.htm" TargetMode="External"/><Relationship Id="rId8" Type="http://schemas.openxmlformats.org/officeDocument/2006/relationships/hyperlink" Target="https://www.acas.org.uk/equal-pay/equal-pay-law"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772</TotalTime>
  <Pages>12</Pages>
  <Words>5955</Words>
  <Characters>33948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RENWICK-SIMMONDS, Gemma</dc:creator>
  <cp:keywords/>
  <dc:description/>
  <cp:lastModifiedBy>RENWICK-SIMMONDS, Gemma</cp:lastModifiedBy>
  <cp:revision>538</cp:revision>
  <dcterms:created xsi:type="dcterms:W3CDTF">2025-05-03T17:24:00Z</dcterms:created>
  <dcterms:modified xsi:type="dcterms:W3CDTF">2025-08-11T18:42:00Z</dcterms:modified>
</cp:coreProperties>
</file>