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874BB" w14:textId="6728F8BE" w:rsidR="0094081B" w:rsidRPr="0094081B" w:rsidRDefault="00AC220F" w:rsidP="0094081B">
      <w:pPr>
        <w:tabs>
          <w:tab w:val="center" w:pos="4680"/>
          <w:tab w:val="right" w:pos="9360"/>
        </w:tabs>
        <w:spacing w:after="0" w:line="240" w:lineRule="auto"/>
        <w:jc w:val="center"/>
        <w:rPr>
          <w:rFonts w:ascii="Times New Roman" w:hAnsi="Times New Roman"/>
          <w:b/>
          <w:bCs/>
          <w:color w:val="000000" w:themeColor="text1"/>
          <w:sz w:val="44"/>
          <w:szCs w:val="32"/>
          <w:lang w:val="en-IN"/>
        </w:rPr>
      </w:pPr>
      <w:r>
        <w:rPr>
          <w:noProof/>
        </w:rPr>
        <w:drawing>
          <wp:inline distT="0" distB="0" distL="0" distR="0" wp14:anchorId="29DB8577" wp14:editId="659BE40B">
            <wp:extent cx="3429000" cy="1905000"/>
            <wp:effectExtent l="0" t="0" r="0" b="0"/>
            <wp:docPr id="2125454557" name="Picture 212545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429000" cy="1905000"/>
                    </a:xfrm>
                    <a:prstGeom prst="rect">
                      <a:avLst/>
                    </a:prstGeom>
                  </pic:spPr>
                </pic:pic>
              </a:graphicData>
            </a:graphic>
          </wp:inline>
        </w:drawing>
      </w:r>
    </w:p>
    <w:p w14:paraId="50F2E055" w14:textId="77777777" w:rsidR="0094081B" w:rsidRPr="0094081B" w:rsidRDefault="0094081B" w:rsidP="0094081B">
      <w:pPr>
        <w:tabs>
          <w:tab w:val="center" w:pos="4680"/>
          <w:tab w:val="right" w:pos="9360"/>
        </w:tabs>
        <w:spacing w:after="0" w:line="240" w:lineRule="auto"/>
        <w:jc w:val="center"/>
        <w:rPr>
          <w:rFonts w:ascii="Times New Roman" w:hAnsi="Times New Roman"/>
          <w:b/>
          <w:bCs/>
          <w:color w:val="000000" w:themeColor="text1"/>
          <w:sz w:val="44"/>
          <w:szCs w:val="32"/>
          <w:lang w:val="en-IN"/>
        </w:rPr>
      </w:pPr>
    </w:p>
    <w:p w14:paraId="1BDC92F8" w14:textId="77777777" w:rsidR="00AC220F" w:rsidRDefault="00AC220F" w:rsidP="00AC220F">
      <w:pPr>
        <w:spacing w:line="480" w:lineRule="auto"/>
        <w:jc w:val="center"/>
        <w:rPr>
          <w:rFonts w:ascii="Times New Roman" w:eastAsia="Times New Roman" w:hAnsi="Times New Roman" w:cs="Times New Roman"/>
          <w:b/>
          <w:bCs/>
          <w:i/>
          <w:iCs/>
          <w:sz w:val="52"/>
          <w:szCs w:val="52"/>
        </w:rPr>
      </w:pPr>
      <w:r w:rsidRPr="24793486">
        <w:rPr>
          <w:rFonts w:ascii="Times New Roman" w:eastAsia="Times New Roman" w:hAnsi="Times New Roman" w:cs="Times New Roman"/>
          <w:b/>
          <w:bCs/>
          <w:i/>
          <w:iCs/>
          <w:sz w:val="56"/>
          <w:szCs w:val="56"/>
        </w:rPr>
        <w:t>BA (Hons) Business Management</w:t>
      </w:r>
    </w:p>
    <w:p w14:paraId="77FF0610" w14:textId="77777777" w:rsidR="00AC220F" w:rsidRDefault="00AC220F" w:rsidP="00AC220F">
      <w:pPr>
        <w:spacing w:line="480" w:lineRule="auto"/>
        <w:jc w:val="center"/>
        <w:rPr>
          <w:rFonts w:ascii="Times New Roman" w:eastAsia="Times New Roman" w:hAnsi="Times New Roman" w:cs="Times New Roman"/>
          <w:b/>
          <w:bCs/>
          <w:i/>
          <w:iCs/>
          <w:sz w:val="52"/>
          <w:szCs w:val="52"/>
          <w:lang w:val="en-US"/>
        </w:rPr>
      </w:pPr>
      <w:r w:rsidRPr="24793486">
        <w:rPr>
          <w:rFonts w:ascii="Times New Roman" w:eastAsia="Times New Roman" w:hAnsi="Times New Roman" w:cs="Times New Roman"/>
          <w:b/>
          <w:bCs/>
          <w:i/>
          <w:iCs/>
          <w:sz w:val="52"/>
          <w:szCs w:val="52"/>
          <w:lang w:val="en-US"/>
        </w:rPr>
        <w:t>Data Handling and Business Intelligence</w:t>
      </w:r>
    </w:p>
    <w:p w14:paraId="0D988914" w14:textId="77777777" w:rsidR="00AC220F" w:rsidRDefault="00AC220F" w:rsidP="00AC220F">
      <w:pPr>
        <w:spacing w:line="480" w:lineRule="auto"/>
        <w:jc w:val="center"/>
        <w:rPr>
          <w:rFonts w:ascii="Times New Roman" w:eastAsia="Times New Roman" w:hAnsi="Times New Roman" w:cs="Times New Roman"/>
          <w:b/>
          <w:bCs/>
          <w:i/>
          <w:iCs/>
          <w:sz w:val="52"/>
          <w:szCs w:val="52"/>
          <w:lang w:val="en-US"/>
        </w:rPr>
      </w:pPr>
      <w:r w:rsidRPr="24793486">
        <w:rPr>
          <w:rFonts w:ascii="Times New Roman" w:eastAsia="Times New Roman" w:hAnsi="Times New Roman" w:cs="Times New Roman"/>
          <w:b/>
          <w:bCs/>
          <w:i/>
          <w:iCs/>
          <w:sz w:val="52"/>
          <w:szCs w:val="52"/>
          <w:lang w:val="en-US"/>
        </w:rPr>
        <w:t>LCBB5000</w:t>
      </w:r>
    </w:p>
    <w:p w14:paraId="5B569BBC" w14:textId="190E8A40" w:rsidR="00AC220F" w:rsidRDefault="00AC220F" w:rsidP="00AC220F">
      <w:pPr>
        <w:spacing w:line="480" w:lineRule="auto"/>
        <w:jc w:val="center"/>
        <w:rPr>
          <w:rFonts w:ascii="Times New Roman" w:eastAsia="Times New Roman" w:hAnsi="Times New Roman" w:cs="Times New Roman"/>
          <w:b/>
          <w:bCs/>
          <w:i/>
          <w:iCs/>
          <w:sz w:val="52"/>
          <w:szCs w:val="52"/>
          <w:lang w:val="en-US"/>
        </w:rPr>
      </w:pPr>
      <w:r>
        <w:rPr>
          <w:rFonts w:ascii="Times New Roman" w:eastAsia="Times New Roman" w:hAnsi="Times New Roman" w:cs="Times New Roman"/>
          <w:b/>
          <w:bCs/>
          <w:i/>
          <w:iCs/>
          <w:sz w:val="52"/>
          <w:szCs w:val="52"/>
          <w:lang w:val="en-US"/>
        </w:rPr>
        <w:t>Assignment 2</w:t>
      </w:r>
    </w:p>
    <w:p w14:paraId="2FCF8215" w14:textId="77777777" w:rsidR="00AC220F" w:rsidRDefault="00AC220F" w:rsidP="00AC220F">
      <w:pPr>
        <w:spacing w:line="480" w:lineRule="auto"/>
        <w:jc w:val="center"/>
        <w:rPr>
          <w:rFonts w:ascii="Times New Roman" w:eastAsia="Times New Roman" w:hAnsi="Times New Roman" w:cs="Times New Roman"/>
          <w:b/>
          <w:bCs/>
          <w:i/>
          <w:iCs/>
          <w:sz w:val="52"/>
          <w:szCs w:val="52"/>
          <w:lang w:val="en-US"/>
        </w:rPr>
      </w:pPr>
      <w:r w:rsidRPr="24793486">
        <w:rPr>
          <w:rFonts w:ascii="Times New Roman" w:eastAsia="Times New Roman" w:hAnsi="Times New Roman" w:cs="Times New Roman"/>
          <w:b/>
          <w:bCs/>
          <w:i/>
          <w:iCs/>
          <w:sz w:val="52"/>
          <w:szCs w:val="52"/>
          <w:lang w:val="en-US"/>
        </w:rPr>
        <w:t>Lecturer :Amitave Banik</w:t>
      </w:r>
    </w:p>
    <w:p w14:paraId="46BE33D9" w14:textId="77777777" w:rsidR="00AC220F" w:rsidRDefault="00AC220F" w:rsidP="00AC220F">
      <w:pPr>
        <w:spacing w:line="480" w:lineRule="auto"/>
        <w:jc w:val="center"/>
        <w:rPr>
          <w:rFonts w:ascii="Times New Roman" w:eastAsia="Times New Roman" w:hAnsi="Times New Roman" w:cs="Times New Roman"/>
          <w:b/>
          <w:bCs/>
          <w:i/>
          <w:iCs/>
          <w:sz w:val="44"/>
          <w:szCs w:val="44"/>
          <w:lang w:val="en-US"/>
        </w:rPr>
      </w:pPr>
      <w:r w:rsidRPr="24793486">
        <w:rPr>
          <w:rFonts w:ascii="Times New Roman" w:eastAsia="Times New Roman" w:hAnsi="Times New Roman" w:cs="Times New Roman"/>
          <w:b/>
          <w:bCs/>
          <w:i/>
          <w:iCs/>
          <w:sz w:val="44"/>
          <w:szCs w:val="44"/>
          <w:lang w:val="en-US"/>
        </w:rPr>
        <w:t>Student Name: Lilia Triboi</w:t>
      </w:r>
    </w:p>
    <w:p w14:paraId="1094F1C7" w14:textId="09D7EBF8" w:rsidR="0094081B" w:rsidRPr="0094081B" w:rsidRDefault="00AC220F" w:rsidP="00AC220F">
      <w:pPr>
        <w:tabs>
          <w:tab w:val="center" w:pos="4680"/>
          <w:tab w:val="right" w:pos="9360"/>
        </w:tabs>
        <w:spacing w:after="0" w:line="240" w:lineRule="auto"/>
        <w:jc w:val="center"/>
        <w:rPr>
          <w:rFonts w:ascii="Times New Roman" w:hAnsi="Times New Roman"/>
          <w:b/>
          <w:bCs/>
          <w:color w:val="000000" w:themeColor="text1"/>
          <w:sz w:val="44"/>
          <w:szCs w:val="32"/>
          <w:lang w:val="en-IN"/>
        </w:rPr>
      </w:pPr>
      <w:r w:rsidRPr="24793486">
        <w:rPr>
          <w:rFonts w:ascii="Times New Roman" w:eastAsia="Times New Roman" w:hAnsi="Times New Roman" w:cs="Times New Roman"/>
          <w:b/>
          <w:bCs/>
          <w:i/>
          <w:iCs/>
          <w:sz w:val="44"/>
          <w:szCs w:val="44"/>
          <w:lang w:val="en-US"/>
        </w:rPr>
        <w:t>Student ID: 2027089</w:t>
      </w:r>
    </w:p>
    <w:p w14:paraId="3D0C0B0D" w14:textId="77777777" w:rsidR="0094081B" w:rsidRPr="0094081B" w:rsidRDefault="0094081B" w:rsidP="0094081B">
      <w:pPr>
        <w:rPr>
          <w:rFonts w:ascii="Times New Roman" w:hAnsi="Times New Roman"/>
          <w:b/>
          <w:bCs/>
          <w:color w:val="000000" w:themeColor="text1"/>
          <w:sz w:val="44"/>
          <w:szCs w:val="32"/>
          <w:lang w:val="en-IN"/>
        </w:rPr>
      </w:pPr>
      <w:r w:rsidRPr="0094081B">
        <w:rPr>
          <w:rFonts w:ascii="Times New Roman" w:hAnsi="Times New Roman"/>
          <w:b/>
          <w:bCs/>
          <w:color w:val="000000" w:themeColor="text1"/>
          <w:sz w:val="44"/>
          <w:szCs w:val="32"/>
          <w:lang w:val="en-IN"/>
        </w:rPr>
        <w:br w:type="page"/>
      </w:r>
    </w:p>
    <w:p w14:paraId="571B1B0E" w14:textId="36B3FCF9" w:rsidR="00AF77BC" w:rsidRDefault="00AF77BC">
      <w:pPr>
        <w:pStyle w:val="TOC1"/>
        <w:tabs>
          <w:tab w:val="right" w:leader="dot" w:pos="9350"/>
        </w:tabs>
        <w:rPr>
          <w:rFonts w:eastAsiaTheme="minorEastAsia" w:cstheme="minorBidi"/>
          <w:b w:val="0"/>
          <w:bCs w:val="0"/>
          <w:caps w:val="0"/>
          <w:noProof/>
          <w:sz w:val="22"/>
          <w:szCs w:val="22"/>
          <w:lang w:eastAsia="en-GB"/>
        </w:rPr>
      </w:pPr>
      <w:r>
        <w:rPr>
          <w:rFonts w:ascii="Times New Roman" w:eastAsiaTheme="majorEastAsia" w:hAnsi="Times New Roman" w:cstheme="majorBidi"/>
          <w:caps w:val="0"/>
          <w:color w:val="000000" w:themeColor="text1"/>
          <w:sz w:val="28"/>
          <w:szCs w:val="25"/>
          <w:lang w:val="en-IN" w:bidi="th-TH"/>
        </w:rPr>
        <w:fldChar w:fldCharType="begin"/>
      </w:r>
      <w:r>
        <w:rPr>
          <w:rFonts w:ascii="Times New Roman" w:eastAsiaTheme="majorEastAsia" w:hAnsi="Times New Roman" w:cstheme="majorBidi"/>
          <w:caps w:val="0"/>
          <w:color w:val="000000" w:themeColor="text1"/>
          <w:sz w:val="28"/>
          <w:szCs w:val="25"/>
          <w:lang w:val="en-IN" w:bidi="th-TH"/>
        </w:rPr>
        <w:instrText xml:space="preserve"> TOC \o "1-3" \h \z \u </w:instrText>
      </w:r>
      <w:r>
        <w:rPr>
          <w:rFonts w:ascii="Times New Roman" w:eastAsiaTheme="majorEastAsia" w:hAnsi="Times New Roman" w:cstheme="majorBidi"/>
          <w:caps w:val="0"/>
          <w:color w:val="000000" w:themeColor="text1"/>
          <w:sz w:val="28"/>
          <w:szCs w:val="25"/>
          <w:lang w:val="en-IN" w:bidi="th-TH"/>
        </w:rPr>
        <w:fldChar w:fldCharType="separate"/>
      </w:r>
      <w:hyperlink w:anchor="_Toc153824847" w:history="1">
        <w:r w:rsidRPr="003663FD">
          <w:rPr>
            <w:rStyle w:val="Hyperlink"/>
            <w:rFonts w:ascii="Times New Roman" w:hAnsi="Times New Roman" w:cs="Times New Roman"/>
            <w:noProof/>
            <w:lang w:val="en-IN" w:bidi="th-TH"/>
          </w:rPr>
          <w:t>Introduction</w:t>
        </w:r>
        <w:r>
          <w:rPr>
            <w:noProof/>
            <w:webHidden/>
          </w:rPr>
          <w:tab/>
        </w:r>
        <w:r>
          <w:rPr>
            <w:noProof/>
            <w:webHidden/>
          </w:rPr>
          <w:fldChar w:fldCharType="begin"/>
        </w:r>
        <w:r>
          <w:rPr>
            <w:noProof/>
            <w:webHidden/>
          </w:rPr>
          <w:instrText xml:space="preserve"> PAGEREF _Toc153824847 \h </w:instrText>
        </w:r>
        <w:r>
          <w:rPr>
            <w:noProof/>
            <w:webHidden/>
          </w:rPr>
        </w:r>
        <w:r>
          <w:rPr>
            <w:noProof/>
            <w:webHidden/>
          </w:rPr>
          <w:fldChar w:fldCharType="separate"/>
        </w:r>
        <w:r>
          <w:rPr>
            <w:noProof/>
            <w:webHidden/>
          </w:rPr>
          <w:t>3</w:t>
        </w:r>
        <w:r>
          <w:rPr>
            <w:noProof/>
            <w:webHidden/>
          </w:rPr>
          <w:fldChar w:fldCharType="end"/>
        </w:r>
      </w:hyperlink>
    </w:p>
    <w:p w14:paraId="45E9D8B4" w14:textId="2E639504" w:rsidR="00AF77BC" w:rsidRDefault="005B22E2">
      <w:pPr>
        <w:pStyle w:val="TOC1"/>
        <w:tabs>
          <w:tab w:val="right" w:leader="dot" w:pos="9350"/>
        </w:tabs>
        <w:rPr>
          <w:rFonts w:eastAsiaTheme="minorEastAsia" w:cstheme="minorBidi"/>
          <w:b w:val="0"/>
          <w:bCs w:val="0"/>
          <w:caps w:val="0"/>
          <w:noProof/>
          <w:sz w:val="22"/>
          <w:szCs w:val="22"/>
          <w:lang w:eastAsia="en-GB"/>
        </w:rPr>
      </w:pPr>
      <w:hyperlink w:anchor="_Toc153824848" w:history="1">
        <w:r w:rsidR="00AF77BC" w:rsidRPr="003663FD">
          <w:rPr>
            <w:rStyle w:val="Hyperlink"/>
            <w:rFonts w:ascii="Times New Roman" w:eastAsiaTheme="majorEastAsia" w:hAnsi="Times New Roman" w:cstheme="majorBidi"/>
            <w:noProof/>
            <w:lang w:val="en-US" w:bidi="th-TH"/>
          </w:rPr>
          <w:t>Conclusion</w:t>
        </w:r>
        <w:r w:rsidR="00AF77BC">
          <w:rPr>
            <w:noProof/>
            <w:webHidden/>
          </w:rPr>
          <w:tab/>
        </w:r>
        <w:r w:rsidR="00AF77BC">
          <w:rPr>
            <w:noProof/>
            <w:webHidden/>
          </w:rPr>
          <w:fldChar w:fldCharType="begin"/>
        </w:r>
        <w:r w:rsidR="00AF77BC">
          <w:rPr>
            <w:noProof/>
            <w:webHidden/>
          </w:rPr>
          <w:instrText xml:space="preserve"> PAGEREF _Toc153824848 \h </w:instrText>
        </w:r>
        <w:r w:rsidR="00AF77BC">
          <w:rPr>
            <w:noProof/>
            <w:webHidden/>
          </w:rPr>
        </w:r>
        <w:r w:rsidR="00AF77BC">
          <w:rPr>
            <w:noProof/>
            <w:webHidden/>
          </w:rPr>
          <w:fldChar w:fldCharType="separate"/>
        </w:r>
        <w:r w:rsidR="00AF77BC">
          <w:rPr>
            <w:noProof/>
            <w:webHidden/>
          </w:rPr>
          <w:t>18</w:t>
        </w:r>
        <w:r w:rsidR="00AF77BC">
          <w:rPr>
            <w:noProof/>
            <w:webHidden/>
          </w:rPr>
          <w:fldChar w:fldCharType="end"/>
        </w:r>
      </w:hyperlink>
    </w:p>
    <w:p w14:paraId="372B4B75" w14:textId="6370320D" w:rsidR="00AF77BC" w:rsidRDefault="005B22E2">
      <w:pPr>
        <w:pStyle w:val="TOC1"/>
        <w:tabs>
          <w:tab w:val="right" w:leader="dot" w:pos="9350"/>
        </w:tabs>
        <w:rPr>
          <w:rFonts w:eastAsiaTheme="minorEastAsia" w:cstheme="minorBidi"/>
          <w:b w:val="0"/>
          <w:bCs w:val="0"/>
          <w:caps w:val="0"/>
          <w:noProof/>
          <w:sz w:val="22"/>
          <w:szCs w:val="22"/>
          <w:lang w:eastAsia="en-GB"/>
        </w:rPr>
      </w:pPr>
      <w:hyperlink w:anchor="_Toc153824849" w:history="1">
        <w:r w:rsidR="00AF77BC" w:rsidRPr="003663FD">
          <w:rPr>
            <w:rStyle w:val="Hyperlink"/>
            <w:rFonts w:ascii="Times New Roman" w:eastAsiaTheme="majorEastAsia" w:hAnsi="Times New Roman" w:cstheme="majorBidi"/>
            <w:noProof/>
            <w:lang w:val="en-IN" w:bidi="th-TH"/>
          </w:rPr>
          <w:t>References</w:t>
        </w:r>
        <w:r w:rsidR="00AF77BC">
          <w:rPr>
            <w:noProof/>
            <w:webHidden/>
          </w:rPr>
          <w:tab/>
        </w:r>
        <w:r w:rsidR="00AF77BC">
          <w:rPr>
            <w:noProof/>
            <w:webHidden/>
          </w:rPr>
          <w:fldChar w:fldCharType="begin"/>
        </w:r>
        <w:r w:rsidR="00AF77BC">
          <w:rPr>
            <w:noProof/>
            <w:webHidden/>
          </w:rPr>
          <w:instrText xml:space="preserve"> PAGEREF _Toc153824849 \h </w:instrText>
        </w:r>
        <w:r w:rsidR="00AF77BC">
          <w:rPr>
            <w:noProof/>
            <w:webHidden/>
          </w:rPr>
        </w:r>
        <w:r w:rsidR="00AF77BC">
          <w:rPr>
            <w:noProof/>
            <w:webHidden/>
          </w:rPr>
          <w:fldChar w:fldCharType="separate"/>
        </w:r>
        <w:r w:rsidR="00AF77BC">
          <w:rPr>
            <w:noProof/>
            <w:webHidden/>
          </w:rPr>
          <w:t>19</w:t>
        </w:r>
        <w:r w:rsidR="00AF77BC">
          <w:rPr>
            <w:noProof/>
            <w:webHidden/>
          </w:rPr>
          <w:fldChar w:fldCharType="end"/>
        </w:r>
      </w:hyperlink>
    </w:p>
    <w:p w14:paraId="4982999E" w14:textId="12FA87B8" w:rsidR="00AC220F" w:rsidRDefault="00AF77BC" w:rsidP="0094081B">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r>
        <w:rPr>
          <w:rFonts w:ascii="Times New Roman" w:eastAsiaTheme="majorEastAsia" w:hAnsi="Times New Roman" w:cstheme="majorBidi"/>
          <w:caps/>
          <w:color w:val="000000" w:themeColor="text1"/>
          <w:sz w:val="28"/>
          <w:szCs w:val="25"/>
          <w:lang w:val="en-IN" w:bidi="th-TH"/>
        </w:rPr>
        <w:fldChar w:fldCharType="end"/>
      </w:r>
    </w:p>
    <w:p w14:paraId="235FFE9C" w14:textId="77777777" w:rsidR="00AC220F" w:rsidRDefault="00AC220F" w:rsidP="0094081B">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1210CE90" w14:textId="4A5552EB" w:rsidR="0094081B" w:rsidRPr="0094081B" w:rsidRDefault="0094081B" w:rsidP="0094081B">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r w:rsidRPr="0094081B">
        <w:rPr>
          <w:rFonts w:ascii="Times New Roman" w:eastAsiaTheme="majorEastAsia" w:hAnsi="Times New Roman" w:cstheme="majorBidi"/>
          <w:b/>
          <w:bCs/>
          <w:color w:val="000000" w:themeColor="text1"/>
          <w:sz w:val="28"/>
          <w:szCs w:val="25"/>
          <w:lang w:val="en-IN" w:bidi="th-TH"/>
        </w:rPr>
        <w:t xml:space="preserve"> </w:t>
      </w:r>
    </w:p>
    <w:p w14:paraId="683A7154" w14:textId="77777777" w:rsidR="00AC220F" w:rsidRDefault="00AC220F" w:rsidP="0094081B">
      <w:pPr>
        <w:spacing w:line="480" w:lineRule="auto"/>
        <w:jc w:val="both"/>
        <w:rPr>
          <w:rFonts w:ascii="Times New Roman" w:hAnsi="Times New Roman"/>
          <w:color w:val="000000" w:themeColor="text1"/>
          <w:sz w:val="24"/>
          <w:lang w:val="en-IN" w:bidi="th-TH"/>
        </w:rPr>
      </w:pPr>
    </w:p>
    <w:p w14:paraId="04E8D67E" w14:textId="77777777" w:rsidR="00AC220F" w:rsidRDefault="00AC220F" w:rsidP="0094081B">
      <w:pPr>
        <w:spacing w:line="480" w:lineRule="auto"/>
        <w:jc w:val="both"/>
        <w:rPr>
          <w:rFonts w:ascii="Times New Roman" w:hAnsi="Times New Roman"/>
          <w:color w:val="000000" w:themeColor="text1"/>
          <w:sz w:val="24"/>
          <w:lang w:val="en-IN" w:bidi="th-TH"/>
        </w:rPr>
      </w:pPr>
    </w:p>
    <w:p w14:paraId="68EFD25B" w14:textId="77777777" w:rsidR="00AC220F" w:rsidRDefault="00AC220F" w:rsidP="0094081B">
      <w:pPr>
        <w:spacing w:line="480" w:lineRule="auto"/>
        <w:jc w:val="both"/>
        <w:rPr>
          <w:rFonts w:ascii="Times New Roman" w:hAnsi="Times New Roman"/>
          <w:color w:val="000000" w:themeColor="text1"/>
          <w:sz w:val="24"/>
          <w:lang w:val="en-IN" w:bidi="th-TH"/>
        </w:rPr>
      </w:pPr>
    </w:p>
    <w:p w14:paraId="1C82AB6B" w14:textId="77777777" w:rsidR="00653A1D" w:rsidRDefault="00653A1D" w:rsidP="00AC220F">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27891FAC" w14:textId="77777777" w:rsidR="00653A1D" w:rsidRDefault="00653A1D" w:rsidP="00AC220F">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16BF0EC2" w14:textId="77777777" w:rsidR="00653A1D" w:rsidRDefault="00653A1D" w:rsidP="00AC220F">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06B4DFAC" w14:textId="77777777" w:rsidR="00653A1D" w:rsidRDefault="00653A1D" w:rsidP="00AC220F">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27AA858C" w14:textId="55CEACBC" w:rsidR="00AC220F" w:rsidRPr="0094081B" w:rsidRDefault="00AC220F" w:rsidP="00AC220F">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53D20D1F" w14:textId="77777777" w:rsidR="00AC220F" w:rsidRDefault="00AC220F" w:rsidP="00AC220F">
      <w:pPr>
        <w:spacing w:line="480" w:lineRule="auto"/>
        <w:jc w:val="both"/>
        <w:rPr>
          <w:rFonts w:ascii="Times New Roman" w:hAnsi="Times New Roman"/>
          <w:color w:val="000000" w:themeColor="text1"/>
          <w:sz w:val="24"/>
          <w:lang w:val="en-IN" w:bidi="th-TH"/>
        </w:rPr>
      </w:pPr>
    </w:p>
    <w:p w14:paraId="3C4E401E" w14:textId="1B36B2E8" w:rsidR="00AC220F" w:rsidRPr="00AF77BC" w:rsidRDefault="00AF77BC" w:rsidP="00AF77BC">
      <w:pPr>
        <w:pStyle w:val="Heading1"/>
        <w:rPr>
          <w:rFonts w:ascii="Times New Roman" w:hAnsi="Times New Roman" w:cs="Times New Roman"/>
          <w:b/>
          <w:bCs/>
          <w:color w:val="auto"/>
          <w:lang w:val="en-IN" w:bidi="th-TH"/>
        </w:rPr>
      </w:pPr>
      <w:bookmarkStart w:id="0" w:name="_Toc153824847"/>
      <w:r w:rsidRPr="00AF77BC">
        <w:rPr>
          <w:rFonts w:ascii="Times New Roman" w:hAnsi="Times New Roman" w:cs="Times New Roman"/>
          <w:b/>
          <w:bCs/>
          <w:color w:val="auto"/>
          <w:lang w:val="en-IN" w:bidi="th-TH"/>
        </w:rPr>
        <w:t>Introduction</w:t>
      </w:r>
      <w:bookmarkEnd w:id="0"/>
    </w:p>
    <w:p w14:paraId="20FEA148" w14:textId="77777777" w:rsidR="00AC220F" w:rsidRPr="0094081B" w:rsidRDefault="00AC220F" w:rsidP="00AC220F">
      <w:pPr>
        <w:spacing w:line="480" w:lineRule="auto"/>
        <w:jc w:val="both"/>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t>Business intelligence (BI) and data processing are essential elements of contemporary businesses. The gathering, storing, and processing of enormous volumes of information produced inside an organisation constitute data handling. The timely and correct availability of data for decision-making is ensured by effective data management. Business intelligence transforms unprocessed data into useful insights by utilising sophisticated analytics and reporting capabilities. Organisations can gain a competitive edge, optimise processes, and make well-informed decisions with the help of BI. BI technologies facilitate the exploration of trends, identification of patterns, and extraction of significant information from intricate datasets by means of data visualisation, dashboards, and interactive reports. Strategic planning and operational efficiency are made possible by a data-driven culture that is fostered by both BI and strong data management. Prioritising these elements gives organisations a competitive edge since they use data to drive well-informed business decisions. Therefore, this post will clarify how to use Excel functions appropriately so that the data can be used for certain interpretations. Apart from this, the essay will also address the idea of SPSS and its advantages and disadvantages, as well as the concepts of data mining and text mining. The article will cover and represent all of the graphical diagrams and calculations, respectively.</w:t>
      </w:r>
    </w:p>
    <w:p w14:paraId="637E0D96" w14:textId="77777777" w:rsidR="00AC220F" w:rsidRPr="0094081B" w:rsidRDefault="00AC220F" w:rsidP="00AC220F">
      <w:pPr>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br w:type="page"/>
      </w:r>
    </w:p>
    <w:p w14:paraId="75DC29CD" w14:textId="77777777" w:rsidR="00AC220F" w:rsidRPr="0094081B" w:rsidRDefault="00AC220F" w:rsidP="00AC220F">
      <w:pPr>
        <w:spacing w:line="480" w:lineRule="auto"/>
        <w:jc w:val="both"/>
        <w:rPr>
          <w:rFonts w:ascii="Times New Roman" w:hAnsi="Times New Roman"/>
          <w:b/>
          <w:bCs/>
          <w:color w:val="000000" w:themeColor="text1"/>
          <w:sz w:val="24"/>
          <w:lang w:val="en-IN" w:bidi="th-TH"/>
        </w:rPr>
      </w:pPr>
      <w:r w:rsidRPr="0094081B">
        <w:rPr>
          <w:rFonts w:ascii="Times New Roman" w:hAnsi="Times New Roman"/>
          <w:b/>
          <w:bCs/>
          <w:color w:val="000000" w:themeColor="text1"/>
          <w:sz w:val="24"/>
          <w:lang w:val="en-IN" w:bidi="th-TH"/>
        </w:rPr>
        <w:t>Discussion</w:t>
      </w:r>
    </w:p>
    <w:p w14:paraId="1A3C9669" w14:textId="77777777" w:rsidR="00AC220F" w:rsidRPr="0094081B" w:rsidRDefault="00AC220F" w:rsidP="00AC220F">
      <w:pPr>
        <w:spacing w:line="480" w:lineRule="auto"/>
        <w:jc w:val="both"/>
        <w:rPr>
          <w:rFonts w:ascii="Times New Roman" w:hAnsi="Times New Roman"/>
          <w:b/>
          <w:bCs/>
          <w:i/>
          <w:iCs/>
          <w:color w:val="000000" w:themeColor="text1"/>
          <w:sz w:val="24"/>
          <w:lang w:val="en-IN" w:bidi="th-TH"/>
        </w:rPr>
      </w:pPr>
      <w:r w:rsidRPr="0094081B">
        <w:rPr>
          <w:rFonts w:ascii="Times New Roman" w:hAnsi="Times New Roman"/>
          <w:b/>
          <w:bCs/>
          <w:i/>
          <w:iCs/>
          <w:color w:val="000000" w:themeColor="text1"/>
          <w:sz w:val="24"/>
          <w:lang w:val="en-IN" w:bidi="th-TH"/>
        </w:rPr>
        <w:t>Part A</w:t>
      </w:r>
    </w:p>
    <w:p w14:paraId="2162F437" w14:textId="77777777" w:rsidR="00AC220F" w:rsidRPr="0094081B" w:rsidRDefault="00AC220F" w:rsidP="00AC220F">
      <w:pPr>
        <w:spacing w:line="480" w:lineRule="auto"/>
        <w:jc w:val="center"/>
        <w:rPr>
          <w:rFonts w:ascii="Times New Roman" w:hAnsi="Times New Roman"/>
          <w:color w:val="000000" w:themeColor="text1"/>
          <w:sz w:val="24"/>
          <w:lang w:val="en-IN" w:bidi="th-TH"/>
        </w:rPr>
      </w:pPr>
      <w:r w:rsidRPr="0094081B">
        <w:rPr>
          <w:rFonts w:ascii="Times New Roman" w:hAnsi="Times New Roman"/>
          <w:noProof/>
          <w:color w:val="000000" w:themeColor="text1"/>
          <w:sz w:val="24"/>
          <w:lang w:val="en-IN"/>
        </w:rPr>
        <w:drawing>
          <wp:inline distT="0" distB="0" distL="0" distR="0" wp14:anchorId="1BC571E6" wp14:editId="00AF569B">
            <wp:extent cx="4572000" cy="2743200"/>
            <wp:effectExtent l="0" t="0" r="0" b="0"/>
            <wp:docPr id="1420400055" name="Chart 1">
              <a:extLst xmlns:a="http://schemas.openxmlformats.org/drawingml/2006/main">
                <a:ext uri="{FF2B5EF4-FFF2-40B4-BE49-F238E27FC236}">
                  <a16:creationId xmlns:a16="http://schemas.microsoft.com/office/drawing/2014/main" id="{A6CA48D1-6830-2F32-53EE-042428370E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C3FB30D"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color w:val="000000" w:themeColor="text1"/>
          <w:sz w:val="24"/>
          <w:lang w:val="en-IN"/>
        </w:rPr>
        <w:t>Figure: Column graph</w:t>
      </w:r>
    </w:p>
    <w:p w14:paraId="62C4E817"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color w:val="000000" w:themeColor="text1"/>
          <w:sz w:val="24"/>
          <w:lang w:val="en-IN"/>
        </w:rPr>
        <w:t>Source: Self-created</w:t>
      </w:r>
    </w:p>
    <w:p w14:paraId="3708A9A0" w14:textId="77777777" w:rsidR="00AC220F" w:rsidRDefault="00AC220F" w:rsidP="00AC220F">
      <w:pPr>
        <w:spacing w:line="480" w:lineRule="auto"/>
        <w:jc w:val="both"/>
        <w:rPr>
          <w:rFonts w:ascii="Times New Roman" w:hAnsi="Times New Roman"/>
          <w:b/>
          <w:bCs/>
          <w:i/>
          <w:iCs/>
          <w:color w:val="000000" w:themeColor="text1"/>
          <w:sz w:val="24"/>
          <w:u w:val="single"/>
          <w:lang w:val="en-IN"/>
        </w:rPr>
      </w:pPr>
      <w:r w:rsidRPr="0094081B">
        <w:rPr>
          <w:rFonts w:ascii="Times New Roman" w:hAnsi="Times New Roman"/>
          <w:b/>
          <w:bCs/>
          <w:i/>
          <w:iCs/>
          <w:color w:val="000000" w:themeColor="text1"/>
          <w:sz w:val="24"/>
          <w:u w:val="single"/>
          <w:lang w:val="en-IN"/>
        </w:rPr>
        <w:t>Interpretations</w:t>
      </w:r>
    </w:p>
    <w:tbl>
      <w:tblPr>
        <w:tblW w:w="6113" w:type="dxa"/>
        <w:tblLook w:val="04A0" w:firstRow="1" w:lastRow="0" w:firstColumn="1" w:lastColumn="0" w:noHBand="0" w:noVBand="1"/>
      </w:tblPr>
      <w:tblGrid>
        <w:gridCol w:w="1828"/>
        <w:gridCol w:w="4285"/>
      </w:tblGrid>
      <w:tr w:rsidR="00AC220F" w:rsidRPr="00371714" w14:paraId="4996CA91" w14:textId="77777777" w:rsidTr="0018536F">
        <w:trPr>
          <w:trHeight w:val="324"/>
        </w:trPr>
        <w:tc>
          <w:tcPr>
            <w:tcW w:w="1828" w:type="dxa"/>
            <w:tcBorders>
              <w:top w:val="single" w:sz="4" w:space="0" w:color="ED7D31"/>
              <w:left w:val="single" w:sz="4" w:space="0" w:color="ED7D31"/>
              <w:bottom w:val="nil"/>
              <w:right w:val="nil"/>
            </w:tcBorders>
            <w:shd w:val="clear" w:color="ED7D31" w:fill="ED7D31"/>
            <w:noWrap/>
            <w:vAlign w:val="bottom"/>
            <w:hideMark/>
          </w:tcPr>
          <w:p w14:paraId="62602ED9" w14:textId="77777777" w:rsidR="00AC220F" w:rsidRPr="00371714" w:rsidRDefault="00AC220F" w:rsidP="0018536F">
            <w:pPr>
              <w:spacing w:after="0" w:line="240" w:lineRule="auto"/>
              <w:rPr>
                <w:rFonts w:ascii="Calibri" w:eastAsia="Times New Roman" w:hAnsi="Calibri" w:cs="Calibri"/>
                <w:b/>
                <w:bCs/>
                <w:color w:val="FFFFFF"/>
                <w:kern w:val="0"/>
                <w:lang w:eastAsia="en-GB"/>
                <w14:ligatures w14:val="none"/>
              </w:rPr>
            </w:pPr>
            <w:r w:rsidRPr="00371714">
              <w:rPr>
                <w:rFonts w:ascii="Calibri" w:eastAsia="Times New Roman" w:hAnsi="Calibri" w:cs="Calibri"/>
                <w:b/>
                <w:bCs/>
                <w:color w:val="FFFFFF"/>
                <w:kern w:val="0"/>
                <w:lang w:eastAsia="en-GB"/>
                <w14:ligatures w14:val="none"/>
              </w:rPr>
              <w:t>Arrival Year</w:t>
            </w:r>
          </w:p>
        </w:tc>
        <w:tc>
          <w:tcPr>
            <w:tcW w:w="4285" w:type="dxa"/>
            <w:tcBorders>
              <w:top w:val="single" w:sz="4" w:space="0" w:color="ED7D31"/>
              <w:left w:val="nil"/>
              <w:bottom w:val="nil"/>
              <w:right w:val="single" w:sz="4" w:space="0" w:color="ED7D31"/>
            </w:tcBorders>
            <w:shd w:val="clear" w:color="ED7D31" w:fill="ED7D31"/>
            <w:noWrap/>
            <w:vAlign w:val="bottom"/>
            <w:hideMark/>
          </w:tcPr>
          <w:p w14:paraId="1EF21EDD" w14:textId="77777777" w:rsidR="00AC220F" w:rsidRPr="00371714" w:rsidRDefault="00AC220F" w:rsidP="0018536F">
            <w:pPr>
              <w:spacing w:after="0" w:line="240" w:lineRule="auto"/>
              <w:rPr>
                <w:rFonts w:ascii="Calibri" w:eastAsia="Times New Roman" w:hAnsi="Calibri" w:cs="Calibri"/>
                <w:b/>
                <w:bCs/>
                <w:color w:val="FFFFFF"/>
                <w:kern w:val="0"/>
                <w:lang w:eastAsia="en-GB"/>
                <w14:ligatures w14:val="none"/>
              </w:rPr>
            </w:pPr>
            <w:r w:rsidRPr="00371714">
              <w:rPr>
                <w:rFonts w:ascii="Calibri" w:eastAsia="Times New Roman" w:hAnsi="Calibri" w:cs="Calibri"/>
                <w:b/>
                <w:bCs/>
                <w:color w:val="FFFFFF"/>
                <w:kern w:val="0"/>
                <w:lang w:eastAsia="en-GB"/>
                <w14:ligatures w14:val="none"/>
              </w:rPr>
              <w:t>Average price</w:t>
            </w:r>
          </w:p>
        </w:tc>
      </w:tr>
      <w:tr w:rsidR="00AC220F" w:rsidRPr="00371714" w14:paraId="5B3ACD4D" w14:textId="77777777" w:rsidTr="0018536F">
        <w:trPr>
          <w:trHeight w:val="324"/>
        </w:trPr>
        <w:tc>
          <w:tcPr>
            <w:tcW w:w="1828" w:type="dxa"/>
            <w:tcBorders>
              <w:top w:val="single" w:sz="4" w:space="0" w:color="ED7D31"/>
              <w:left w:val="single" w:sz="4" w:space="0" w:color="ED7D31"/>
              <w:bottom w:val="nil"/>
              <w:right w:val="nil"/>
            </w:tcBorders>
            <w:shd w:val="clear" w:color="auto" w:fill="auto"/>
            <w:noWrap/>
            <w:vAlign w:val="bottom"/>
            <w:hideMark/>
          </w:tcPr>
          <w:p w14:paraId="38E6050D"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2017</w:t>
            </w:r>
          </w:p>
        </w:tc>
        <w:tc>
          <w:tcPr>
            <w:tcW w:w="4285" w:type="dxa"/>
            <w:tcBorders>
              <w:top w:val="single" w:sz="4" w:space="0" w:color="ED7D31"/>
              <w:left w:val="nil"/>
              <w:bottom w:val="nil"/>
              <w:right w:val="single" w:sz="4" w:space="0" w:color="ED7D31"/>
            </w:tcBorders>
            <w:shd w:val="clear" w:color="auto" w:fill="auto"/>
            <w:noWrap/>
            <w:vAlign w:val="bottom"/>
            <w:hideMark/>
          </w:tcPr>
          <w:p w14:paraId="6B5C9E89"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549304.1</w:t>
            </w:r>
          </w:p>
        </w:tc>
      </w:tr>
      <w:tr w:rsidR="00AC220F" w:rsidRPr="00371714" w14:paraId="48C73B19" w14:textId="77777777" w:rsidTr="0018536F">
        <w:trPr>
          <w:trHeight w:val="324"/>
        </w:trPr>
        <w:tc>
          <w:tcPr>
            <w:tcW w:w="1828" w:type="dxa"/>
            <w:tcBorders>
              <w:top w:val="single" w:sz="4" w:space="0" w:color="ED7D31"/>
              <w:left w:val="single" w:sz="4" w:space="0" w:color="ED7D31"/>
              <w:bottom w:val="nil"/>
              <w:right w:val="nil"/>
            </w:tcBorders>
            <w:shd w:val="clear" w:color="auto" w:fill="auto"/>
            <w:noWrap/>
            <w:vAlign w:val="bottom"/>
            <w:hideMark/>
          </w:tcPr>
          <w:p w14:paraId="79E2F396"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2018</w:t>
            </w:r>
          </w:p>
        </w:tc>
        <w:tc>
          <w:tcPr>
            <w:tcW w:w="4285" w:type="dxa"/>
            <w:tcBorders>
              <w:top w:val="single" w:sz="4" w:space="0" w:color="ED7D31"/>
              <w:left w:val="nil"/>
              <w:bottom w:val="nil"/>
              <w:right w:val="single" w:sz="4" w:space="0" w:color="ED7D31"/>
            </w:tcBorders>
            <w:shd w:val="clear" w:color="auto" w:fill="auto"/>
            <w:noWrap/>
            <w:vAlign w:val="bottom"/>
            <w:hideMark/>
          </w:tcPr>
          <w:p w14:paraId="12A7C1EC"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1666329.8</w:t>
            </w:r>
          </w:p>
        </w:tc>
      </w:tr>
      <w:tr w:rsidR="00AC220F" w:rsidRPr="00371714" w14:paraId="33F33588" w14:textId="77777777" w:rsidTr="0018536F">
        <w:trPr>
          <w:trHeight w:val="324"/>
        </w:trPr>
        <w:tc>
          <w:tcPr>
            <w:tcW w:w="1828" w:type="dxa"/>
            <w:tcBorders>
              <w:top w:val="single" w:sz="4" w:space="0" w:color="ED7D31"/>
              <w:left w:val="single" w:sz="4" w:space="0" w:color="ED7D31"/>
              <w:bottom w:val="nil"/>
              <w:right w:val="nil"/>
            </w:tcBorders>
            <w:shd w:val="clear" w:color="auto" w:fill="auto"/>
            <w:noWrap/>
            <w:vAlign w:val="bottom"/>
            <w:hideMark/>
          </w:tcPr>
          <w:p w14:paraId="1E33090C"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2019</w:t>
            </w:r>
          </w:p>
        </w:tc>
        <w:tc>
          <w:tcPr>
            <w:tcW w:w="4285" w:type="dxa"/>
            <w:tcBorders>
              <w:top w:val="single" w:sz="4" w:space="0" w:color="ED7D31"/>
              <w:left w:val="nil"/>
              <w:bottom w:val="nil"/>
              <w:right w:val="single" w:sz="4" w:space="0" w:color="ED7D31"/>
            </w:tcBorders>
            <w:shd w:val="clear" w:color="auto" w:fill="auto"/>
            <w:noWrap/>
            <w:vAlign w:val="bottom"/>
            <w:hideMark/>
          </w:tcPr>
          <w:p w14:paraId="26EED878"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18015.29</w:t>
            </w:r>
          </w:p>
        </w:tc>
      </w:tr>
      <w:tr w:rsidR="00AC220F" w:rsidRPr="00371714" w14:paraId="58D18616" w14:textId="77777777" w:rsidTr="0018536F">
        <w:trPr>
          <w:trHeight w:val="324"/>
        </w:trPr>
        <w:tc>
          <w:tcPr>
            <w:tcW w:w="1828" w:type="dxa"/>
            <w:tcBorders>
              <w:top w:val="single" w:sz="4" w:space="0" w:color="ED7D31"/>
              <w:left w:val="single" w:sz="4" w:space="0" w:color="ED7D31"/>
              <w:bottom w:val="nil"/>
              <w:right w:val="nil"/>
            </w:tcBorders>
            <w:shd w:val="clear" w:color="auto" w:fill="auto"/>
            <w:noWrap/>
            <w:vAlign w:val="bottom"/>
            <w:hideMark/>
          </w:tcPr>
          <w:p w14:paraId="14597641"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2020</w:t>
            </w:r>
          </w:p>
        </w:tc>
        <w:tc>
          <w:tcPr>
            <w:tcW w:w="4285" w:type="dxa"/>
            <w:tcBorders>
              <w:top w:val="single" w:sz="4" w:space="0" w:color="ED7D31"/>
              <w:left w:val="nil"/>
              <w:bottom w:val="nil"/>
              <w:right w:val="single" w:sz="4" w:space="0" w:color="ED7D31"/>
            </w:tcBorders>
            <w:shd w:val="clear" w:color="auto" w:fill="auto"/>
            <w:noWrap/>
            <w:vAlign w:val="bottom"/>
            <w:hideMark/>
          </w:tcPr>
          <w:p w14:paraId="471A58E8"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20857.3</w:t>
            </w:r>
          </w:p>
        </w:tc>
      </w:tr>
      <w:tr w:rsidR="00AC220F" w:rsidRPr="00371714" w14:paraId="3D4F56E4" w14:textId="77777777" w:rsidTr="0018536F">
        <w:trPr>
          <w:trHeight w:val="324"/>
        </w:trPr>
        <w:tc>
          <w:tcPr>
            <w:tcW w:w="1828" w:type="dxa"/>
            <w:tcBorders>
              <w:top w:val="single" w:sz="4" w:space="0" w:color="ED7D31"/>
              <w:left w:val="single" w:sz="4" w:space="0" w:color="ED7D31"/>
              <w:bottom w:val="single" w:sz="4" w:space="0" w:color="ED7D31"/>
              <w:right w:val="nil"/>
            </w:tcBorders>
            <w:shd w:val="clear" w:color="auto" w:fill="auto"/>
            <w:noWrap/>
            <w:vAlign w:val="bottom"/>
            <w:hideMark/>
          </w:tcPr>
          <w:p w14:paraId="7911D09B"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2021</w:t>
            </w:r>
          </w:p>
        </w:tc>
        <w:tc>
          <w:tcPr>
            <w:tcW w:w="4285" w:type="dxa"/>
            <w:tcBorders>
              <w:top w:val="single" w:sz="4" w:space="0" w:color="ED7D31"/>
              <w:left w:val="nil"/>
              <w:bottom w:val="single" w:sz="4" w:space="0" w:color="ED7D31"/>
              <w:right w:val="single" w:sz="4" w:space="0" w:color="ED7D31"/>
            </w:tcBorders>
            <w:shd w:val="clear" w:color="auto" w:fill="auto"/>
            <w:noWrap/>
            <w:vAlign w:val="bottom"/>
            <w:hideMark/>
          </w:tcPr>
          <w:p w14:paraId="3B7CC99D"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19436.8</w:t>
            </w:r>
          </w:p>
        </w:tc>
      </w:tr>
    </w:tbl>
    <w:p w14:paraId="27C52DEA" w14:textId="77777777" w:rsidR="00AC220F" w:rsidRPr="0094081B" w:rsidRDefault="00AC220F" w:rsidP="00AC220F">
      <w:pPr>
        <w:spacing w:line="480" w:lineRule="auto"/>
        <w:jc w:val="both"/>
        <w:rPr>
          <w:rFonts w:ascii="Times New Roman" w:hAnsi="Times New Roman"/>
          <w:color w:val="000000" w:themeColor="text1"/>
          <w:sz w:val="24"/>
          <w:lang w:val="en-IN"/>
        </w:rPr>
      </w:pPr>
      <w:r w:rsidRPr="00371714">
        <w:rPr>
          <w:rFonts w:ascii="Times New Roman" w:hAnsi="Times New Roman"/>
          <w:color w:val="000000" w:themeColor="text1"/>
          <w:sz w:val="24"/>
          <w:lang w:val="en-IN"/>
        </w:rPr>
        <w:t>Figure: Self -created</w:t>
      </w:r>
    </w:p>
    <w:p w14:paraId="527F2F9E" w14:textId="77777777" w:rsidR="00AC220F" w:rsidRPr="0094081B" w:rsidRDefault="00AC220F" w:rsidP="00AC220F">
      <w:pPr>
        <w:spacing w:line="480" w:lineRule="auto"/>
        <w:jc w:val="both"/>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t>The dataset explores hotel costs for the years 2017, 2019, 2020, and 2021, providing information on the dynamic environment of price changes during this time. Prices in 2017 are quite volatile; values between 0 and 6 indicate possible gaps in the data or abnormally low rates. On the other hand, values such as 159.75 and 200.75 suggest times when prices were relatively high</w:t>
      </w:r>
      <w:sdt>
        <w:sdtPr>
          <w:rPr>
            <w:rFonts w:ascii="Times New Roman" w:hAnsi="Times New Roman"/>
            <w:color w:val="000000" w:themeColor="text1"/>
            <w:sz w:val="24"/>
            <w:lang w:val="en-IN" w:bidi="th-TH"/>
          </w:rPr>
          <w:id w:val="-82846588"/>
          <w:citation/>
        </w:sdtPr>
        <w:sdtEndPr/>
        <w:sdtContent>
          <w:r w:rsidRPr="0094081B">
            <w:rPr>
              <w:rFonts w:ascii="Times New Roman" w:hAnsi="Times New Roman"/>
              <w:color w:val="000000" w:themeColor="text1"/>
              <w:sz w:val="24"/>
              <w:lang w:val="en-IN" w:bidi="th-TH"/>
            </w:rPr>
            <w:fldChar w:fldCharType="begin"/>
          </w:r>
          <w:r w:rsidRPr="0094081B">
            <w:rPr>
              <w:rFonts w:ascii="Times New Roman" w:hAnsi="Times New Roman"/>
              <w:color w:val="000000" w:themeColor="text1"/>
              <w:sz w:val="24"/>
              <w:lang w:val="en-US" w:bidi="th-TH"/>
            </w:rPr>
            <w:instrText xml:space="preserve"> CITATION Ber233 \l 1033 </w:instrText>
          </w:r>
          <w:r w:rsidRPr="0094081B">
            <w:rPr>
              <w:rFonts w:ascii="Times New Roman" w:hAnsi="Times New Roman"/>
              <w:color w:val="000000" w:themeColor="text1"/>
              <w:sz w:val="24"/>
              <w:lang w:val="en-IN" w:bidi="th-TH"/>
            </w:rPr>
            <w:fldChar w:fldCharType="separate"/>
          </w:r>
          <w:r w:rsidRPr="0094081B">
            <w:rPr>
              <w:rFonts w:ascii="Times New Roman" w:hAnsi="Times New Roman"/>
              <w:noProof/>
              <w:color w:val="000000" w:themeColor="text1"/>
              <w:sz w:val="24"/>
              <w:lang w:val="en-US" w:bidi="th-TH"/>
            </w:rPr>
            <w:t xml:space="preserve"> (Calzon, 2023)</w:t>
          </w:r>
          <w:r w:rsidRPr="0094081B">
            <w:rPr>
              <w:rFonts w:ascii="Times New Roman" w:hAnsi="Times New Roman"/>
              <w:color w:val="000000" w:themeColor="text1"/>
              <w:sz w:val="24"/>
              <w:lang w:val="en-IN" w:bidi="th-TH"/>
            </w:rPr>
            <w:fldChar w:fldCharType="end"/>
          </w:r>
        </w:sdtContent>
      </w:sdt>
      <w:r w:rsidRPr="0094081B">
        <w:rPr>
          <w:rFonts w:ascii="Times New Roman" w:hAnsi="Times New Roman"/>
          <w:color w:val="000000" w:themeColor="text1"/>
          <w:sz w:val="24"/>
          <w:lang w:val="en-IN" w:bidi="th-TH"/>
        </w:rPr>
        <w:t>. As we move into 2019, the data shows that there are still oscillations, but they are becoming recognisable patterns. Prominent numbers like 155, 168.3, and 186.22 indicate a variety of pricing trends, but oddities like 0 continue to exist and may suggest incomplete or unrecorded data. With both high and low prices, 2019 offers a mixed bag of circumstances that could be influenced by events or seasonal changes that affect hotel rates. In 2020, distinct indications of a price reduction appear in tandem with the global COVID-19 epidemic. Because the tourism and hospitality industries took the brunt of the crisis, demand declined and hotel prices dropped as a result. Although the 2020 data shows this negative tendency, anomalies such as 215.6 might indicate sector groups that are immune to the downturn</w:t>
      </w:r>
      <w:sdt>
        <w:sdtPr>
          <w:rPr>
            <w:rFonts w:ascii="Times New Roman" w:hAnsi="Times New Roman"/>
            <w:color w:val="000000" w:themeColor="text1"/>
            <w:sz w:val="24"/>
            <w:lang w:val="en-IN" w:bidi="th-TH"/>
          </w:rPr>
          <w:id w:val="214705969"/>
          <w:citation/>
        </w:sdtPr>
        <w:sdtEndPr/>
        <w:sdtContent>
          <w:r w:rsidRPr="0094081B">
            <w:rPr>
              <w:rFonts w:ascii="Times New Roman" w:hAnsi="Times New Roman"/>
              <w:color w:val="000000" w:themeColor="text1"/>
              <w:sz w:val="24"/>
              <w:lang w:val="en-IN" w:bidi="th-TH"/>
            </w:rPr>
            <w:fldChar w:fldCharType="begin"/>
          </w:r>
          <w:r w:rsidRPr="0094081B">
            <w:rPr>
              <w:rFonts w:ascii="Times New Roman" w:hAnsi="Times New Roman"/>
              <w:color w:val="000000" w:themeColor="text1"/>
              <w:sz w:val="24"/>
              <w:lang w:val="en-US" w:bidi="th-TH"/>
            </w:rPr>
            <w:instrText xml:space="preserve"> CITATION Ind21 \l 1033 </w:instrText>
          </w:r>
          <w:r w:rsidRPr="0094081B">
            <w:rPr>
              <w:rFonts w:ascii="Times New Roman" w:hAnsi="Times New Roman"/>
              <w:color w:val="000000" w:themeColor="text1"/>
              <w:sz w:val="24"/>
              <w:lang w:val="en-IN" w:bidi="th-TH"/>
            </w:rPr>
            <w:fldChar w:fldCharType="separate"/>
          </w:r>
          <w:r w:rsidRPr="0094081B">
            <w:rPr>
              <w:rFonts w:ascii="Times New Roman" w:hAnsi="Times New Roman"/>
              <w:noProof/>
              <w:color w:val="000000" w:themeColor="text1"/>
              <w:sz w:val="24"/>
              <w:lang w:val="en-US" w:bidi="th-TH"/>
            </w:rPr>
            <w:t xml:space="preserve"> (Jankutė-Carmaciu, 2021)</w:t>
          </w:r>
          <w:r w:rsidRPr="0094081B">
            <w:rPr>
              <w:rFonts w:ascii="Times New Roman" w:hAnsi="Times New Roman"/>
              <w:color w:val="000000" w:themeColor="text1"/>
              <w:sz w:val="24"/>
              <w:lang w:val="en-IN" w:bidi="th-TH"/>
            </w:rPr>
            <w:fldChar w:fldCharType="end"/>
          </w:r>
        </w:sdtContent>
      </w:sdt>
      <w:r w:rsidRPr="0094081B">
        <w:rPr>
          <w:rFonts w:ascii="Times New Roman" w:hAnsi="Times New Roman"/>
          <w:color w:val="000000" w:themeColor="text1"/>
          <w:sz w:val="24"/>
          <w:lang w:val="en-IN" w:bidi="th-TH"/>
        </w:rPr>
        <w:t>. The dataset shows indications of recovery as we move into 2021. Prices have increased relative to 2020, as evidenced by figures like 224.67 and 205, which show that demand has increased as travel restrictions were loosened. Even with this upward trend, the existence of values such as 0 and 6 emphasises the significance of closely examining outliers and possible anomalies in the data. The dataset provides a detailed picture of the pricing dynamics in the hotel business, taking into account the influence of outside variables like world events and changes in the economy. The sector’s adaptability and capacity to bounce back in the face of changing conditions are demonstrated by the changing trends</w:t>
      </w:r>
      <w:sdt>
        <w:sdtPr>
          <w:rPr>
            <w:rFonts w:ascii="Times New Roman" w:hAnsi="Times New Roman"/>
            <w:color w:val="000000" w:themeColor="text1"/>
            <w:sz w:val="24"/>
            <w:lang w:val="en-IN" w:bidi="th-TH"/>
          </w:rPr>
          <w:id w:val="-491487335"/>
          <w:citation/>
        </w:sdtPr>
        <w:sdtEndPr/>
        <w:sdtContent>
          <w:r w:rsidRPr="0094081B">
            <w:rPr>
              <w:rFonts w:ascii="Times New Roman" w:hAnsi="Times New Roman"/>
              <w:color w:val="000000" w:themeColor="text1"/>
              <w:sz w:val="24"/>
              <w:lang w:val="en-IN" w:bidi="th-TH"/>
            </w:rPr>
            <w:fldChar w:fldCharType="begin"/>
          </w:r>
          <w:r w:rsidRPr="0094081B">
            <w:rPr>
              <w:rFonts w:ascii="Times New Roman" w:hAnsi="Times New Roman"/>
              <w:color w:val="000000" w:themeColor="text1"/>
              <w:sz w:val="24"/>
              <w:lang w:val="en-US" w:bidi="th-TH"/>
            </w:rPr>
            <w:instrText xml:space="preserve"> CITATION HAD23 \l 1033 </w:instrText>
          </w:r>
          <w:r w:rsidRPr="0094081B">
            <w:rPr>
              <w:rFonts w:ascii="Times New Roman" w:hAnsi="Times New Roman"/>
              <w:color w:val="000000" w:themeColor="text1"/>
              <w:sz w:val="24"/>
              <w:lang w:val="en-IN" w:bidi="th-TH"/>
            </w:rPr>
            <w:fldChar w:fldCharType="separate"/>
          </w:r>
          <w:r w:rsidRPr="0094081B">
            <w:rPr>
              <w:rFonts w:ascii="Times New Roman" w:hAnsi="Times New Roman"/>
              <w:noProof/>
              <w:color w:val="000000" w:themeColor="text1"/>
              <w:sz w:val="24"/>
              <w:lang w:val="en-US" w:bidi="th-TH"/>
            </w:rPr>
            <w:t xml:space="preserve"> (ELHADY, 2023)</w:t>
          </w:r>
          <w:r w:rsidRPr="0094081B">
            <w:rPr>
              <w:rFonts w:ascii="Times New Roman" w:hAnsi="Times New Roman"/>
              <w:color w:val="000000" w:themeColor="text1"/>
              <w:sz w:val="24"/>
              <w:lang w:val="en-IN" w:bidi="th-TH"/>
            </w:rPr>
            <w:fldChar w:fldCharType="end"/>
          </w:r>
        </w:sdtContent>
      </w:sdt>
      <w:r w:rsidRPr="0094081B">
        <w:rPr>
          <w:rFonts w:ascii="Times New Roman" w:hAnsi="Times New Roman"/>
          <w:color w:val="000000" w:themeColor="text1"/>
          <w:sz w:val="24"/>
          <w:lang w:val="en-IN" w:bidi="th-TH"/>
        </w:rPr>
        <w:t>. In order to gain a thorough grasp of the data and reliable insights into the trends influencing the hotel business landscape during the studied years, it becomes imperative to analyse outliers.</w:t>
      </w:r>
    </w:p>
    <w:p w14:paraId="7452906B"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noProof/>
          <w:color w:val="000000" w:themeColor="text1"/>
          <w:sz w:val="24"/>
          <w:lang w:val="en-IN"/>
        </w:rPr>
        <w:drawing>
          <wp:inline distT="0" distB="0" distL="0" distR="0" wp14:anchorId="619A27D0" wp14:editId="71F6368B">
            <wp:extent cx="4572000" cy="2743200"/>
            <wp:effectExtent l="0" t="0" r="0" b="0"/>
            <wp:docPr id="1809514566" name="Chart 1">
              <a:extLst xmlns:a="http://schemas.openxmlformats.org/drawingml/2006/main">
                <a:ext uri="{FF2B5EF4-FFF2-40B4-BE49-F238E27FC236}">
                  <a16:creationId xmlns:a16="http://schemas.microsoft.com/office/drawing/2014/main" id="{38BBDF9A-1F53-8CA4-F335-E97E7EB211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E7B58C7" w14:textId="77777777" w:rsidR="00AC220F" w:rsidRPr="0094081B" w:rsidRDefault="00AC220F" w:rsidP="00AC220F">
      <w:pPr>
        <w:spacing w:line="480" w:lineRule="auto"/>
        <w:jc w:val="center"/>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t>Figure: Showing the line graph</w:t>
      </w:r>
    </w:p>
    <w:p w14:paraId="7D09802A" w14:textId="77777777" w:rsidR="00AC220F" w:rsidRPr="0094081B" w:rsidRDefault="00AC220F" w:rsidP="00AC220F">
      <w:pPr>
        <w:spacing w:line="480" w:lineRule="auto"/>
        <w:jc w:val="center"/>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t xml:space="preserve">Source: Self-created </w:t>
      </w:r>
    </w:p>
    <w:p w14:paraId="7086BC19" w14:textId="77777777" w:rsidR="00AC220F" w:rsidRPr="0094081B" w:rsidRDefault="00AC220F" w:rsidP="00AC220F">
      <w:pPr>
        <w:spacing w:line="480" w:lineRule="auto"/>
        <w:jc w:val="both"/>
        <w:rPr>
          <w:rFonts w:ascii="Times New Roman" w:hAnsi="Times New Roman"/>
          <w:b/>
          <w:bCs/>
          <w:i/>
          <w:iCs/>
          <w:color w:val="000000" w:themeColor="text1"/>
          <w:sz w:val="24"/>
          <w:u w:val="single"/>
          <w:lang w:val="en-IN" w:bidi="th-TH"/>
        </w:rPr>
      </w:pPr>
      <w:r w:rsidRPr="0094081B">
        <w:rPr>
          <w:rFonts w:ascii="Times New Roman" w:hAnsi="Times New Roman"/>
          <w:b/>
          <w:bCs/>
          <w:i/>
          <w:iCs/>
          <w:color w:val="000000" w:themeColor="text1"/>
          <w:sz w:val="24"/>
          <w:u w:val="single"/>
          <w:lang w:val="en-IN" w:bidi="th-TH"/>
        </w:rPr>
        <w:t xml:space="preserve">Interpretations </w:t>
      </w:r>
    </w:p>
    <w:p w14:paraId="7BEAFA33"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The dataset that is being examined consists of numerical values that represent the years 2020, 2021, and 2019. Every row represents a particular year along with a numerical value, suggesting the display of various metrics or measurements. The numerical values in the dataset are representative of prospective metrics such as sums, percentages, or scores, and vary from zero to figures exceeding 200. A look at the 2019 data shows a wide range, ranging from zero to 228.33. Repeated entries could indicate flaws in the dataset or different measurements of the same statistic</w:t>
      </w:r>
      <w:sdt>
        <w:sdtPr>
          <w:rPr>
            <w:rFonts w:ascii="Times New Roman" w:hAnsi="Times New Roman"/>
            <w:color w:val="000000" w:themeColor="text1"/>
            <w:sz w:val="24"/>
            <w:lang w:val="en-IN"/>
          </w:rPr>
          <w:id w:val="1935941123"/>
          <w:citation/>
        </w:sdtPr>
        <w:sdtEnd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Sus231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(Morris,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A large number of zeros increases the likelihood of missing or undefinable data. Notably, the dataset’s diversity is highlighted by the maximum value of 228.33. As the interpretations go towards 2020, numerical numbers are added to the dataset, ranging from zero to 215.6. Duplicate entries and zero entries suggest possible gaps or irregularities in the data, much like in 2019. On the other hand, 2020 displays a wider variety of metrics than the year before, which adds to the richness of the dataset. The 2021 dataset, which has values between zero and 205, continues the trend of varied measurements. Periodic entries and zero instances endure, indicating possible anomalies in the data. Curiously, some measures, such as "0” and “75,” appear repeatedly in all three years, suggesting that there may be a common statistic or signal in the collection</w:t>
      </w:r>
      <w:sdt>
        <w:sdtPr>
          <w:rPr>
            <w:rFonts w:ascii="Times New Roman" w:hAnsi="Times New Roman"/>
            <w:color w:val="000000" w:themeColor="text1"/>
            <w:sz w:val="24"/>
            <w:lang w:val="en-IN"/>
          </w:rPr>
          <w:id w:val="-1208255463"/>
          <w:citation/>
        </w:sdtPr>
        <w:sdtEnd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ana21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(analytixlabs, 2021)</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xml:space="preserve">. </w:t>
      </w:r>
    </w:p>
    <w:p w14:paraId="008D5EC2"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noProof/>
          <w:color w:val="000000" w:themeColor="text1"/>
          <w:sz w:val="24"/>
          <w:lang w:val="en-IN"/>
        </w:rPr>
        <w:drawing>
          <wp:inline distT="0" distB="0" distL="0" distR="0" wp14:anchorId="0D9771F4" wp14:editId="05FB5012">
            <wp:extent cx="4572000" cy="2743200"/>
            <wp:effectExtent l="0" t="0" r="0" b="0"/>
            <wp:docPr id="1347928554" name="Chart 1">
              <a:extLst xmlns:a="http://schemas.openxmlformats.org/drawingml/2006/main">
                <a:ext uri="{FF2B5EF4-FFF2-40B4-BE49-F238E27FC236}">
                  <a16:creationId xmlns:a16="http://schemas.microsoft.com/office/drawing/2014/main" id="{90CEF91B-B18B-D6EB-C23E-ADEAD9E9E7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A78DF10"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color w:val="000000" w:themeColor="text1"/>
          <w:sz w:val="24"/>
          <w:lang w:val="en-IN"/>
        </w:rPr>
        <w:t>Figure: Showing the pie chart</w:t>
      </w:r>
    </w:p>
    <w:p w14:paraId="1A12578F"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color w:val="000000" w:themeColor="text1"/>
          <w:sz w:val="24"/>
          <w:lang w:val="en-IN"/>
        </w:rPr>
        <w:t>Source: Self-created</w:t>
      </w:r>
    </w:p>
    <w:p w14:paraId="4CB5D9B9"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The pivot table is a vital data processing feature in spreadsheet programs such as Microsoft Excel, helping to organise the condensing, analysing, and presenting of large datasets. Users use pivot tables to dynamically reorganise and classify data in order to quickly extract insightful information. Finding patterns and trends in the collection is made easier by this interactive analysis. Users can organise data according to several criteria, such as counts, percentages, averages, and sums, by simply dragging and dropping fields</w:t>
      </w:r>
      <w:sdt>
        <w:sdtPr>
          <w:rPr>
            <w:rFonts w:ascii="Times New Roman" w:hAnsi="Times New Roman"/>
            <w:color w:val="000000" w:themeColor="text1"/>
            <w:sz w:val="24"/>
            <w:lang w:val="en-IN"/>
          </w:rPr>
          <w:id w:val="870269904"/>
          <w:citation/>
        </w:sdtPr>
        <w:sdtEnd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apo22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(apollotechnical, 2022)</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This adaptability facilitates efficient reporting and investigation, supporting choices and demystifying intricate datasets. The data presented depicts, in percentage terms, the arrival distribution across a number of years. Analysing these percentages reveals trends and variances in hotel occupancy over the given years. Interestingly, arrivals made up 15.29% of the total in 2017, suggesting that visitor numbers may have been quite low. The pivot table's adaptability is crucial for breaking down and interpreting these percentages, providing a strong instrument for deriving insightful data and improving comprehension of hotel occupancy patterns.</w:t>
      </w:r>
    </w:p>
    <w:p w14:paraId="776E60B3"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The hotel rates associated with the prior dataset showed significant variance devoid of any clear pattern, indicating a complicated interaction between pricing variables or possible seasonality. In 2018, there was a noteworthy increase in arrivals, accounting for an amazing 83.09% of the total</w:t>
      </w:r>
      <w:sdt>
        <w:sdtPr>
          <w:rPr>
            <w:rFonts w:ascii="Times New Roman" w:hAnsi="Times New Roman"/>
            <w:color w:val="000000" w:themeColor="text1"/>
            <w:sz w:val="24"/>
            <w:lang w:val="en-IN"/>
          </w:rPr>
          <w:id w:val="-576286602"/>
          <w:citation/>
        </w:sdtPr>
        <w:sdtEnd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ELE23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(LINKER,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This spike may have been caused by more events, business travel, or travel, which raises the question of how hotel rates adjusted to meet the increased demand. Economic theory supports the idea that when demand exceeds supply, hotel prices will often increase. The percentages of total arrivals in the following years, 2019, 2020, and 2021, varied significantly less, from 0.50% to 0.58%. External influences, specifically the global COVID-19 epidemic and other variables impacting travel patterns during this period, may be to blame for this notable reduction. The dataset shows a significant drop in hotel rates in 2020, which is consistent with the pandemic’s detrimental effects on travel worldwide. The pandemic’s overall trend of decreased travel is reflected in that year’s low arrival rate. Even with a slight increase in 2021 when arrivals made up 0.54% of the total the percentage stayed low</w:t>
      </w:r>
      <w:sdt>
        <w:sdtPr>
          <w:rPr>
            <w:rFonts w:ascii="Times New Roman" w:hAnsi="Times New Roman"/>
            <w:color w:val="000000" w:themeColor="text1"/>
            <w:sz w:val="24"/>
            <w:lang w:val="en-IN"/>
          </w:rPr>
          <w:id w:val="1722025328"/>
          <w:citation/>
        </w:sdtPr>
        <w:sdtEnd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bus235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(busayo.longe,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Hotel rates may have been affected by the slow recovery, suggesting an upward tendency. However, a thorough grasp of pricing dynamics demands more investigation than just a look at percentages. A thorough understanding of how hotel rates react to changing travel trends and macroeconomic changes requires consideration of variables like demand-supply dynamics, outside influences, and market circumstances. The arrival % figures show significant variations in demand over time. Hotel rates were likely positively impacted by the arrivals boom of 2018; but, lower percentages in the subsequent years would have contributed to more stable or even dropping pricing trends, especially during the pandemic-induced recession of 2020. Examining arrival percentages and hotel rates will provide a comprehensive understanding of the complex link between pricing and demand in the hospitality industry across the selected years</w:t>
      </w:r>
      <w:sdt>
        <w:sdtPr>
          <w:rPr>
            <w:rFonts w:ascii="Times New Roman" w:hAnsi="Times New Roman"/>
            <w:color w:val="000000" w:themeColor="text1"/>
            <w:sz w:val="24"/>
            <w:lang w:val="en-IN"/>
          </w:rPr>
          <w:id w:val="-544606004"/>
          <w:citation/>
        </w:sdtPr>
        <w:sdtEnd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Ste226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(Tracy, 2022)</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w:t>
      </w:r>
    </w:p>
    <w:p w14:paraId="6080B2B4" w14:textId="77777777" w:rsidR="00AC220F" w:rsidRPr="0094081B" w:rsidRDefault="00AC220F" w:rsidP="00AC220F">
      <w:pPr>
        <w:rPr>
          <w:rFonts w:ascii="Times New Roman" w:hAnsi="Times New Roman"/>
          <w:color w:val="000000" w:themeColor="text1"/>
          <w:sz w:val="24"/>
          <w:lang w:val="en-IN"/>
        </w:rPr>
      </w:pPr>
      <w:r w:rsidRPr="0094081B">
        <w:rPr>
          <w:rFonts w:ascii="Times New Roman" w:hAnsi="Times New Roman"/>
          <w:color w:val="000000" w:themeColor="text1"/>
          <w:sz w:val="24"/>
          <w:lang w:val="en-IN"/>
        </w:rPr>
        <w:br w:type="page"/>
      </w:r>
    </w:p>
    <w:p w14:paraId="44549103" w14:textId="77777777" w:rsidR="00AC220F" w:rsidRPr="0094081B" w:rsidRDefault="00AC220F" w:rsidP="00AC220F">
      <w:pPr>
        <w:spacing w:line="480" w:lineRule="auto"/>
        <w:jc w:val="both"/>
        <w:rPr>
          <w:rFonts w:ascii="Times New Roman" w:hAnsi="Times New Roman"/>
          <w:b/>
          <w:bCs/>
          <w:i/>
          <w:iCs/>
          <w:color w:val="000000" w:themeColor="text1"/>
          <w:sz w:val="24"/>
          <w:lang w:val="en-IN"/>
        </w:rPr>
      </w:pPr>
      <w:r w:rsidRPr="0094081B">
        <w:rPr>
          <w:rFonts w:ascii="Times New Roman" w:hAnsi="Times New Roman"/>
          <w:b/>
          <w:bCs/>
          <w:i/>
          <w:iCs/>
          <w:color w:val="000000" w:themeColor="text1"/>
          <w:sz w:val="24"/>
          <w:lang w:val="en-IN"/>
        </w:rPr>
        <w:t>Part B</w:t>
      </w:r>
    </w:p>
    <w:p w14:paraId="7B4BEFF6" w14:textId="77777777" w:rsidR="00AC220F" w:rsidRDefault="00AC220F" w:rsidP="00AC220F">
      <w:pPr>
        <w:spacing w:line="480" w:lineRule="auto"/>
        <w:jc w:val="both"/>
        <w:rPr>
          <w:rFonts w:ascii="Times New Roman" w:hAnsi="Times New Roman"/>
          <w:b/>
          <w:bCs/>
          <w:i/>
          <w:iCs/>
          <w:color w:val="000000" w:themeColor="text1"/>
          <w:sz w:val="24"/>
          <w:lang w:val="en-IN"/>
        </w:rPr>
      </w:pPr>
      <w:r w:rsidRPr="0094081B">
        <w:rPr>
          <w:rFonts w:ascii="Times New Roman" w:hAnsi="Times New Roman"/>
          <w:b/>
          <w:bCs/>
          <w:i/>
          <w:iCs/>
          <w:color w:val="000000" w:themeColor="text1"/>
          <w:sz w:val="24"/>
          <w:lang w:val="en-IN"/>
        </w:rPr>
        <w:t>Interpreting the proportion of male and female students in the school and providing the necessary assessments</w:t>
      </w:r>
    </w:p>
    <w:p w14:paraId="2B41A256" w14:textId="77777777" w:rsidR="00AC220F" w:rsidRDefault="00AC220F" w:rsidP="00AC220F">
      <w:pPr>
        <w:spacing w:line="480" w:lineRule="auto"/>
        <w:jc w:val="both"/>
        <w:rPr>
          <w:rFonts w:ascii="Times New Roman" w:hAnsi="Times New Roman"/>
          <w:b/>
          <w:bCs/>
          <w:i/>
          <w:iCs/>
          <w:color w:val="000000" w:themeColor="text1"/>
          <w:sz w:val="24"/>
          <w:lang w:val="en-IN"/>
        </w:rPr>
      </w:pPr>
      <w:r>
        <w:rPr>
          <w:noProof/>
        </w:rPr>
        <w:drawing>
          <wp:inline distT="0" distB="0" distL="0" distR="0" wp14:anchorId="153B7F62" wp14:editId="269298F6">
            <wp:extent cx="4693920" cy="2636520"/>
            <wp:effectExtent l="0" t="0" r="11430" b="11430"/>
            <wp:docPr id="1436555127" name="Chart 1">
              <a:extLst xmlns:a="http://schemas.openxmlformats.org/drawingml/2006/main">
                <a:ext uri="{FF2B5EF4-FFF2-40B4-BE49-F238E27FC236}">
                  <a16:creationId xmlns:a16="http://schemas.microsoft.com/office/drawing/2014/main" id="{461F3583-4779-BAFF-A0EB-8FBF031D54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FD7B5C" w14:textId="43D45F25" w:rsidR="00AC220F" w:rsidRPr="0094081B" w:rsidRDefault="00653A1D" w:rsidP="00AC220F">
      <w:pPr>
        <w:spacing w:line="480" w:lineRule="auto"/>
        <w:jc w:val="both"/>
        <w:rPr>
          <w:rFonts w:ascii="Times New Roman" w:hAnsi="Times New Roman"/>
          <w:b/>
          <w:bCs/>
          <w:color w:val="000000" w:themeColor="text1"/>
          <w:sz w:val="24"/>
          <w:lang w:val="en-IN"/>
        </w:rPr>
      </w:pPr>
      <w:r w:rsidRPr="00371714">
        <w:rPr>
          <w:rFonts w:ascii="Times New Roman" w:hAnsi="Times New Roman"/>
          <w:b/>
          <w:bCs/>
          <w:color w:val="000000" w:themeColor="text1"/>
          <w:sz w:val="24"/>
          <w:lang w:val="en-IN"/>
        </w:rPr>
        <w:t>Figure</w:t>
      </w:r>
      <w:r>
        <w:rPr>
          <w:rFonts w:ascii="Times New Roman" w:hAnsi="Times New Roman"/>
          <w:b/>
          <w:bCs/>
          <w:color w:val="000000" w:themeColor="text1"/>
          <w:sz w:val="24"/>
          <w:lang w:val="en-IN"/>
        </w:rPr>
        <w:t>:</w:t>
      </w:r>
      <w:r w:rsidRPr="00371714">
        <w:rPr>
          <w:rFonts w:ascii="Times New Roman" w:hAnsi="Times New Roman"/>
          <w:b/>
          <w:bCs/>
          <w:color w:val="000000" w:themeColor="text1"/>
          <w:sz w:val="24"/>
          <w:lang w:val="en-IN"/>
        </w:rPr>
        <w:t xml:space="preserve"> Self</w:t>
      </w:r>
      <w:r w:rsidR="00AC220F">
        <w:rPr>
          <w:rFonts w:ascii="Times New Roman" w:hAnsi="Times New Roman"/>
          <w:b/>
          <w:bCs/>
          <w:color w:val="000000" w:themeColor="text1"/>
          <w:sz w:val="24"/>
          <w:lang w:val="en-IN"/>
        </w:rPr>
        <w:t xml:space="preserve">- </w:t>
      </w:r>
      <w:r w:rsidR="00AC220F" w:rsidRPr="00371714">
        <w:rPr>
          <w:rFonts w:ascii="Times New Roman" w:hAnsi="Times New Roman"/>
          <w:b/>
          <w:bCs/>
          <w:color w:val="000000" w:themeColor="text1"/>
          <w:sz w:val="24"/>
          <w:lang w:val="en-IN"/>
        </w:rPr>
        <w:t>created</w:t>
      </w:r>
    </w:p>
    <w:p w14:paraId="0A724228"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determining the male =COUNTIF(B:B,"Male")</w:t>
      </w:r>
    </w:p>
    <w:p w14:paraId="5C60A1D1"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determining the female = =COUNTIF(B:B,"female")</w:t>
      </w:r>
    </w:p>
    <w:p w14:paraId="022CABFE"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There are 1077 occurrences of men and 1056 instances of women labelled in the provided list, for a total of 2133 entries. Gender labels make up the majority of the dataset, which shows a well-balanced distribution with a slightly higher number of men. This balance implies a varied or haphazardly chosen portrayal of people</w:t>
      </w:r>
      <w:sdt>
        <w:sdtPr>
          <w:rPr>
            <w:rFonts w:ascii="Times New Roman" w:hAnsi="Times New Roman"/>
            <w:color w:val="000000" w:themeColor="text1"/>
            <w:sz w:val="24"/>
            <w:lang w:val="en-IN"/>
          </w:rPr>
          <w:id w:val="575102572"/>
          <w:citation/>
        </w:sdtPr>
        <w:sdtEnd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Sve23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(Cheusheva,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xml:space="preserve">. The gender distribution of the dataset is important for sociology, marketing, and demographics, among other fields. Finding biases, spotting patterns, and influencing decision-making processes that take gender dynamics into account are all made easier by analysing gender representation. Gaining an understanding of the gender nuances in a dataset is helpful in obtaining insightful information that can be used in other sectors. </w:t>
      </w:r>
    </w:p>
    <w:p w14:paraId="06CED351" w14:textId="77777777" w:rsidR="00AC220F" w:rsidRDefault="00AC220F" w:rsidP="00AC220F">
      <w:pPr>
        <w:spacing w:line="480" w:lineRule="auto"/>
        <w:jc w:val="both"/>
        <w:rPr>
          <w:rFonts w:ascii="Times New Roman" w:hAnsi="Times New Roman"/>
          <w:b/>
          <w:bCs/>
          <w:i/>
          <w:iCs/>
          <w:color w:val="000000" w:themeColor="text1"/>
          <w:sz w:val="24"/>
          <w:lang w:val="en-IN"/>
        </w:rPr>
      </w:pPr>
      <w:r w:rsidRPr="0094081B">
        <w:rPr>
          <w:rFonts w:ascii="Times New Roman" w:hAnsi="Times New Roman"/>
          <w:b/>
          <w:bCs/>
          <w:i/>
          <w:iCs/>
          <w:color w:val="000000" w:themeColor="text1"/>
          <w:sz w:val="24"/>
          <w:lang w:val="en-IN"/>
        </w:rPr>
        <w:t>Interpreting how many students qualify and do not qualify for reduced/free lunch</w:t>
      </w:r>
    </w:p>
    <w:p w14:paraId="478D8C11" w14:textId="77777777" w:rsidR="00AC220F" w:rsidRDefault="00AC220F" w:rsidP="00AC220F">
      <w:pPr>
        <w:spacing w:line="480" w:lineRule="auto"/>
        <w:jc w:val="both"/>
        <w:rPr>
          <w:rFonts w:ascii="Times New Roman" w:hAnsi="Times New Roman"/>
          <w:b/>
          <w:bCs/>
          <w:i/>
          <w:iCs/>
          <w:color w:val="000000" w:themeColor="text1"/>
          <w:sz w:val="24"/>
          <w:lang w:val="en-IN"/>
        </w:rPr>
      </w:pPr>
      <w:r>
        <w:rPr>
          <w:noProof/>
        </w:rPr>
        <w:drawing>
          <wp:inline distT="0" distB="0" distL="0" distR="0" wp14:anchorId="6102DE58" wp14:editId="4618D306">
            <wp:extent cx="4709160" cy="2636520"/>
            <wp:effectExtent l="0" t="0" r="15240" b="11430"/>
            <wp:docPr id="1757568066" name="Chart 1">
              <a:extLst xmlns:a="http://schemas.openxmlformats.org/drawingml/2006/main">
                <a:ext uri="{FF2B5EF4-FFF2-40B4-BE49-F238E27FC236}">
                  <a16:creationId xmlns:a16="http://schemas.microsoft.com/office/drawing/2014/main" id="{11ADFBA6-2022-D84D-F6C1-15875D9B0D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C433725" w14:textId="77777777" w:rsidR="00AC220F" w:rsidRPr="0094081B" w:rsidRDefault="00AC220F" w:rsidP="00AC220F">
      <w:pPr>
        <w:spacing w:line="480" w:lineRule="auto"/>
        <w:jc w:val="both"/>
        <w:rPr>
          <w:rFonts w:ascii="Times New Roman" w:hAnsi="Times New Roman"/>
          <w:b/>
          <w:bCs/>
          <w:color w:val="000000" w:themeColor="text1"/>
          <w:sz w:val="24"/>
          <w:lang w:val="en-IN"/>
        </w:rPr>
      </w:pPr>
      <w:r w:rsidRPr="00371714">
        <w:rPr>
          <w:rFonts w:ascii="Times New Roman" w:hAnsi="Times New Roman"/>
          <w:b/>
          <w:bCs/>
          <w:color w:val="000000" w:themeColor="text1"/>
          <w:sz w:val="24"/>
          <w:lang w:val="en-IN"/>
        </w:rPr>
        <w:t>Figure</w:t>
      </w:r>
      <w:r>
        <w:rPr>
          <w:rFonts w:ascii="Times New Roman" w:hAnsi="Times New Roman"/>
          <w:b/>
          <w:bCs/>
          <w:color w:val="000000" w:themeColor="text1"/>
          <w:sz w:val="24"/>
          <w:lang w:val="en-IN"/>
        </w:rPr>
        <w:t>:</w:t>
      </w:r>
      <w:r w:rsidRPr="00371714">
        <w:rPr>
          <w:rFonts w:ascii="Times New Roman" w:hAnsi="Times New Roman"/>
          <w:b/>
          <w:bCs/>
          <w:color w:val="000000" w:themeColor="text1"/>
          <w:sz w:val="24"/>
          <w:lang w:val="en-IN"/>
        </w:rPr>
        <w:t xml:space="preserve"> Self</w:t>
      </w:r>
      <w:r>
        <w:rPr>
          <w:rFonts w:ascii="Times New Roman" w:hAnsi="Times New Roman"/>
          <w:b/>
          <w:bCs/>
          <w:color w:val="000000" w:themeColor="text1"/>
          <w:sz w:val="24"/>
          <w:lang w:val="en-IN"/>
        </w:rPr>
        <w:t>-</w:t>
      </w:r>
      <w:r w:rsidRPr="00371714">
        <w:rPr>
          <w:rFonts w:ascii="Times New Roman" w:hAnsi="Times New Roman"/>
          <w:b/>
          <w:bCs/>
          <w:color w:val="000000" w:themeColor="text1"/>
          <w:sz w:val="24"/>
          <w:lang w:val="en-IN"/>
        </w:rPr>
        <w:t xml:space="preserve"> created</w:t>
      </w:r>
    </w:p>
    <w:p w14:paraId="59A73BDD"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determining the qualify = =COUNTIF(D:D,"Qualifies for reduced/free lunch")</w:t>
      </w:r>
    </w:p>
    <w:p w14:paraId="7FB07AAD" w14:textId="77777777" w:rsidR="00AC220F"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determining the does not qualify= =COUNTIF(D:D,"does not qualify")</w:t>
      </w:r>
    </w:p>
    <w:tbl>
      <w:tblPr>
        <w:tblStyle w:val="TableGrid"/>
        <w:tblW w:w="0" w:type="auto"/>
        <w:tblLook w:val="04A0" w:firstRow="1" w:lastRow="0" w:firstColumn="1" w:lastColumn="0" w:noHBand="0" w:noVBand="1"/>
      </w:tblPr>
      <w:tblGrid>
        <w:gridCol w:w="745"/>
        <w:gridCol w:w="817"/>
        <w:gridCol w:w="1665"/>
        <w:gridCol w:w="1587"/>
        <w:gridCol w:w="1344"/>
        <w:gridCol w:w="1116"/>
        <w:gridCol w:w="1045"/>
        <w:gridCol w:w="1031"/>
      </w:tblGrid>
      <w:tr w:rsidR="00AC220F" w:rsidRPr="002D595D" w14:paraId="00EB1389" w14:textId="77777777" w:rsidTr="0018536F">
        <w:trPr>
          <w:trHeight w:val="1152"/>
        </w:trPr>
        <w:tc>
          <w:tcPr>
            <w:tcW w:w="1700" w:type="dxa"/>
            <w:noWrap/>
            <w:hideMark/>
          </w:tcPr>
          <w:p w14:paraId="305F468B"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Male students</w:t>
            </w:r>
          </w:p>
        </w:tc>
        <w:tc>
          <w:tcPr>
            <w:tcW w:w="1900" w:type="dxa"/>
            <w:noWrap/>
            <w:hideMark/>
          </w:tcPr>
          <w:p w14:paraId="52221A89"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Female students</w:t>
            </w:r>
          </w:p>
        </w:tc>
        <w:tc>
          <w:tcPr>
            <w:tcW w:w="4280" w:type="dxa"/>
            <w:noWrap/>
            <w:hideMark/>
          </w:tcPr>
          <w:p w14:paraId="0160E406"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Students Qualifies for reduced/free lunch</w:t>
            </w:r>
          </w:p>
        </w:tc>
        <w:tc>
          <w:tcPr>
            <w:tcW w:w="4060" w:type="dxa"/>
            <w:noWrap/>
            <w:hideMark/>
          </w:tcPr>
          <w:p w14:paraId="7D185D05"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Students Does not qualify for free lunch</w:t>
            </w:r>
          </w:p>
        </w:tc>
        <w:tc>
          <w:tcPr>
            <w:tcW w:w="3380" w:type="dxa"/>
            <w:hideMark/>
          </w:tcPr>
          <w:p w14:paraId="2AB5746B"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 xml:space="preserve">Average  students </w:t>
            </w:r>
            <w:r w:rsidRPr="002D595D">
              <w:rPr>
                <w:rFonts w:ascii="Times New Roman" w:hAnsi="Times New Roman"/>
                <w:color w:val="000000" w:themeColor="text1"/>
                <w:sz w:val="24"/>
              </w:rPr>
              <w:br/>
              <w:t>Qualifies for reduced/free lunch</w:t>
            </w:r>
          </w:p>
        </w:tc>
        <w:tc>
          <w:tcPr>
            <w:tcW w:w="2740" w:type="dxa"/>
            <w:hideMark/>
          </w:tcPr>
          <w:p w14:paraId="0E3FE598"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 xml:space="preserve">Average  students </w:t>
            </w:r>
            <w:r w:rsidRPr="002D595D">
              <w:rPr>
                <w:rFonts w:ascii="Times New Roman" w:hAnsi="Times New Roman"/>
                <w:color w:val="000000" w:themeColor="text1"/>
                <w:sz w:val="24"/>
              </w:rPr>
              <w:br/>
              <w:t>does not qualify for reduced/free lunch</w:t>
            </w:r>
          </w:p>
        </w:tc>
        <w:tc>
          <w:tcPr>
            <w:tcW w:w="2540" w:type="dxa"/>
            <w:hideMark/>
          </w:tcPr>
          <w:p w14:paraId="4457BEF3"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 xml:space="preserve">Median of students </w:t>
            </w:r>
            <w:r w:rsidRPr="002D595D">
              <w:rPr>
                <w:rFonts w:ascii="Times New Roman" w:hAnsi="Times New Roman"/>
                <w:color w:val="000000" w:themeColor="text1"/>
                <w:sz w:val="24"/>
              </w:rPr>
              <w:br/>
              <w:t>who qualifies for reduced free lunch</w:t>
            </w:r>
          </w:p>
        </w:tc>
        <w:tc>
          <w:tcPr>
            <w:tcW w:w="2500" w:type="dxa"/>
            <w:hideMark/>
          </w:tcPr>
          <w:p w14:paraId="75455C19"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 xml:space="preserve">median students </w:t>
            </w:r>
            <w:r w:rsidRPr="002D595D">
              <w:rPr>
                <w:rFonts w:ascii="Times New Roman" w:hAnsi="Times New Roman"/>
                <w:color w:val="000000" w:themeColor="text1"/>
                <w:sz w:val="24"/>
              </w:rPr>
              <w:br/>
              <w:t xml:space="preserve">does not qualify for reduced/free lunch students </w:t>
            </w:r>
          </w:p>
        </w:tc>
      </w:tr>
      <w:tr w:rsidR="00AC220F" w:rsidRPr="002D595D" w14:paraId="361E1736" w14:textId="77777777" w:rsidTr="0018536F">
        <w:trPr>
          <w:trHeight w:val="288"/>
        </w:trPr>
        <w:tc>
          <w:tcPr>
            <w:tcW w:w="1700" w:type="dxa"/>
            <w:noWrap/>
            <w:hideMark/>
          </w:tcPr>
          <w:p w14:paraId="55592A56"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1077</w:t>
            </w:r>
          </w:p>
        </w:tc>
        <w:tc>
          <w:tcPr>
            <w:tcW w:w="1900" w:type="dxa"/>
            <w:noWrap/>
            <w:hideMark/>
          </w:tcPr>
          <w:p w14:paraId="58BA0E97"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1056</w:t>
            </w:r>
          </w:p>
        </w:tc>
        <w:tc>
          <w:tcPr>
            <w:tcW w:w="4280" w:type="dxa"/>
            <w:noWrap/>
            <w:hideMark/>
          </w:tcPr>
          <w:p w14:paraId="74CEAAFE"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918</w:t>
            </w:r>
          </w:p>
        </w:tc>
        <w:tc>
          <w:tcPr>
            <w:tcW w:w="4060" w:type="dxa"/>
            <w:noWrap/>
            <w:hideMark/>
          </w:tcPr>
          <w:p w14:paraId="3782C0F2"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1215</w:t>
            </w:r>
          </w:p>
        </w:tc>
        <w:tc>
          <w:tcPr>
            <w:tcW w:w="3380" w:type="dxa"/>
            <w:noWrap/>
            <w:hideMark/>
          </w:tcPr>
          <w:p w14:paraId="2E30C255"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459.5</w:t>
            </w:r>
          </w:p>
        </w:tc>
        <w:tc>
          <w:tcPr>
            <w:tcW w:w="2740" w:type="dxa"/>
            <w:noWrap/>
            <w:hideMark/>
          </w:tcPr>
          <w:p w14:paraId="1F9BF61F"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608</w:t>
            </w:r>
          </w:p>
        </w:tc>
        <w:tc>
          <w:tcPr>
            <w:tcW w:w="2540" w:type="dxa"/>
            <w:noWrap/>
            <w:hideMark/>
          </w:tcPr>
          <w:p w14:paraId="3D3DC26D"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459.5</w:t>
            </w:r>
          </w:p>
        </w:tc>
        <w:tc>
          <w:tcPr>
            <w:tcW w:w="2500" w:type="dxa"/>
            <w:noWrap/>
            <w:hideMark/>
          </w:tcPr>
          <w:p w14:paraId="0558AE29"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608</w:t>
            </w:r>
          </w:p>
        </w:tc>
      </w:tr>
    </w:tbl>
    <w:p w14:paraId="3B6D54EC" w14:textId="77777777" w:rsidR="00AC220F" w:rsidRPr="0094081B" w:rsidRDefault="00AC220F" w:rsidP="00AC220F">
      <w:pPr>
        <w:spacing w:line="480" w:lineRule="auto"/>
        <w:jc w:val="both"/>
        <w:rPr>
          <w:rFonts w:ascii="Times New Roman" w:hAnsi="Times New Roman"/>
          <w:color w:val="000000" w:themeColor="text1"/>
          <w:sz w:val="24"/>
          <w:lang w:val="en-IN"/>
        </w:rPr>
      </w:pPr>
      <w:r>
        <w:rPr>
          <w:rFonts w:ascii="Times New Roman" w:hAnsi="Times New Roman"/>
          <w:color w:val="000000" w:themeColor="text1"/>
          <w:sz w:val="24"/>
          <w:lang w:val="en-IN"/>
        </w:rPr>
        <w:t>Figure : Self -created</w:t>
      </w:r>
    </w:p>
    <w:p w14:paraId="6C5FC78F"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Based on the data analysis, it is clear that 1215 kids at ANKYI school are not qualified for reduced or free meals, whereas 918 children are. The fact that 918 pupils are eligible for free or reduced lunches indicates a sizeable percentage of students who are struggling financially. In order to address possible concerns about the financial restrictions youngsters and their families may be experiencing, it is imperative that this data be acknowledged</w:t>
      </w:r>
      <w:sdt>
        <w:sdtPr>
          <w:rPr>
            <w:rFonts w:ascii="Times New Roman" w:hAnsi="Times New Roman"/>
            <w:color w:val="000000" w:themeColor="text1"/>
            <w:sz w:val="24"/>
            <w:lang w:val="en-IN"/>
          </w:rPr>
          <w:id w:val="-1600705776"/>
          <w:citation/>
        </w:sdtPr>
        <w:sdtEnd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cor2361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(corporatefinanceinstitute,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The school supports focused attention and assistance services, providing additional resources to eligible pupils, in order to guarantee access to healthy food and a helpful learning environment. On the other hand, the number of 1215 students who do not qualify for free or reduced lunches indicates that there is a relatively wealthier subset of students overall. Making use of this data facilitates resource allocation and programme customisation to address the wide range of student needs. The Count</w:t>
      </w:r>
      <w:r>
        <w:rPr>
          <w:rFonts w:ascii="Times New Roman" w:hAnsi="Times New Roman"/>
          <w:color w:val="000000" w:themeColor="text1"/>
          <w:sz w:val="24"/>
          <w:lang w:val="en-IN"/>
        </w:rPr>
        <w:t xml:space="preserve"> IF </w:t>
      </w:r>
      <w:r w:rsidRPr="0094081B">
        <w:rPr>
          <w:rFonts w:ascii="Times New Roman" w:hAnsi="Times New Roman"/>
          <w:color w:val="000000" w:themeColor="text1"/>
          <w:sz w:val="24"/>
          <w:lang w:val="en-IN"/>
        </w:rPr>
        <w:t>function in Excel comes in handy in this study, offering a useful instrument for monitoring and classifying student demographics. Comprehending the economic heterogeneity of the student body empowers the academic establishment to execute tactics that promote a welcoming atmosphere. Through identification and resolution of the unique issues faced by various student populations, the school may improve its support programmes and foster a more inclusive environment</w:t>
      </w:r>
      <w:sdt>
        <w:sdtPr>
          <w:rPr>
            <w:rFonts w:ascii="Times New Roman" w:hAnsi="Times New Roman"/>
            <w:color w:val="000000" w:themeColor="text1"/>
            <w:sz w:val="24"/>
            <w:lang w:val="en-IN"/>
          </w:rPr>
          <w:id w:val="1626118353"/>
          <w:citation/>
        </w:sdtPr>
        <w:sdtEnd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Shi23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(Brathwaite,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The</w:t>
      </w:r>
      <w:r>
        <w:rPr>
          <w:rFonts w:ascii="Times New Roman" w:hAnsi="Times New Roman"/>
          <w:color w:val="000000" w:themeColor="text1"/>
          <w:sz w:val="24"/>
          <w:lang w:val="en-IN"/>
        </w:rPr>
        <w:t xml:space="preserve"> IF</w:t>
      </w:r>
      <w:r w:rsidRPr="0094081B">
        <w:rPr>
          <w:rFonts w:ascii="Times New Roman" w:hAnsi="Times New Roman"/>
          <w:color w:val="000000" w:themeColor="text1"/>
          <w:sz w:val="24"/>
          <w:lang w:val="en-IN"/>
        </w:rPr>
        <w:t xml:space="preserve"> function in Excel provides data-driven insights that underpin well-informed decision-making. These insights guarantee that interventions are tailored to the specific requirements of the student body and that resources are allocated efficiently. It is a highly helpful tool when working with large datasets because it can efficiently and reliably count cells based on predefined criteria. Count</w:t>
      </w:r>
      <w:r>
        <w:rPr>
          <w:rFonts w:ascii="Times New Roman" w:hAnsi="Times New Roman"/>
          <w:color w:val="000000" w:themeColor="text1"/>
          <w:sz w:val="24"/>
          <w:lang w:val="en-IN"/>
        </w:rPr>
        <w:t xml:space="preserve"> IF</w:t>
      </w:r>
      <w:r w:rsidRPr="0094081B">
        <w:rPr>
          <w:rFonts w:ascii="Times New Roman" w:hAnsi="Times New Roman"/>
          <w:color w:val="000000" w:themeColor="text1"/>
          <w:sz w:val="24"/>
          <w:lang w:val="en-IN"/>
        </w:rPr>
        <w:t xml:space="preserve"> facilitates the process of extracting valuable information from data, allowing educators and administrators to identify patterns and trends in the data more quickly. In this case, it makes it simpler to ascertain the specific number of students who qualify for free or reduced lunches and the others who do not.  </w:t>
      </w:r>
    </w:p>
    <w:p w14:paraId="3177B362" w14:textId="77777777" w:rsidR="00AC220F" w:rsidRPr="0094081B" w:rsidRDefault="00AC220F" w:rsidP="00AC220F">
      <w:pPr>
        <w:spacing w:line="480" w:lineRule="auto"/>
        <w:jc w:val="both"/>
        <w:rPr>
          <w:rFonts w:ascii="Times New Roman" w:hAnsi="Times New Roman"/>
          <w:b/>
          <w:bCs/>
          <w:i/>
          <w:iCs/>
          <w:color w:val="000000" w:themeColor="text1"/>
          <w:sz w:val="24"/>
          <w:lang w:val="en-IN"/>
        </w:rPr>
      </w:pPr>
      <w:r w:rsidRPr="0094081B">
        <w:rPr>
          <w:rFonts w:ascii="Times New Roman" w:hAnsi="Times New Roman"/>
          <w:b/>
          <w:bCs/>
          <w:i/>
          <w:iCs/>
          <w:color w:val="000000" w:themeColor="text1"/>
          <w:sz w:val="24"/>
          <w:lang w:val="en-IN"/>
        </w:rPr>
        <w:t>Finding the average and median number of kids who are eligible for reduced or free lunches and those who are not</w:t>
      </w:r>
    </w:p>
    <w:p w14:paraId="582988F2"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calculating mean = =AVERAGE(E3:E4)</w:t>
      </w:r>
    </w:p>
    <w:p w14:paraId="4C779DA8"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calculating median = =MEDIAN(E3:E4)</w:t>
      </w:r>
    </w:p>
    <w:p w14:paraId="23E80588" w14:textId="77777777" w:rsidR="00AC220F" w:rsidRPr="0094081B" w:rsidRDefault="00AC220F" w:rsidP="00AC220F">
      <w:pPr>
        <w:spacing w:line="480" w:lineRule="auto"/>
        <w:jc w:val="both"/>
        <w:rPr>
          <w:rFonts w:ascii="Times New Roman" w:hAnsi="Times New Roman"/>
          <w:color w:val="000000" w:themeColor="text1"/>
          <w:sz w:val="24"/>
          <w:lang w:val="en-US"/>
        </w:rPr>
      </w:pPr>
      <w:r w:rsidRPr="0094081B">
        <w:rPr>
          <w:rFonts w:ascii="Times New Roman" w:hAnsi="Times New Roman"/>
          <w:color w:val="000000" w:themeColor="text1"/>
          <w:sz w:val="24"/>
          <w:lang w:val="en-US"/>
        </w:rPr>
        <w:t>Based on statistical analysis of the student body at ANKYI school, 1066.5 is the mean and median estimate of the number of students who qualify for free or reduced lunch. The distribution and major patterns of the student population are usefully revealed by this data. The process of deducting the total value of all values from the total amount of values yields the mean, also known as the average</w:t>
      </w:r>
      <w:sdt>
        <w:sdtPr>
          <w:rPr>
            <w:rFonts w:ascii="Times New Roman" w:hAnsi="Times New Roman"/>
            <w:color w:val="000000" w:themeColor="text1"/>
            <w:sz w:val="24"/>
            <w:lang w:val="en-US"/>
          </w:rPr>
          <w:id w:val="-186902265"/>
          <w:citation/>
        </w:sdtPr>
        <w:sdtEndPr/>
        <w:sdtContent>
          <w:r w:rsidRPr="0094081B">
            <w:rPr>
              <w:rFonts w:ascii="Times New Roman" w:hAnsi="Times New Roman"/>
              <w:color w:val="000000" w:themeColor="text1"/>
              <w:sz w:val="24"/>
              <w:lang w:val="en-US"/>
            </w:rPr>
            <w:fldChar w:fldCharType="begin"/>
          </w:r>
          <w:r w:rsidRPr="0094081B">
            <w:rPr>
              <w:rFonts w:ascii="Times New Roman" w:hAnsi="Times New Roman"/>
              <w:color w:val="000000" w:themeColor="text1"/>
              <w:sz w:val="24"/>
              <w:lang w:val="en-US"/>
            </w:rPr>
            <w:instrText xml:space="preserve"> CITATION cue233 \l 1033 </w:instrText>
          </w:r>
          <w:r w:rsidRPr="0094081B">
            <w:rPr>
              <w:rFonts w:ascii="Times New Roman" w:hAnsi="Times New Roman"/>
              <w:color w:val="000000" w:themeColor="text1"/>
              <w:sz w:val="24"/>
              <w:lang w:val="en-US"/>
            </w:rPr>
            <w:fldChar w:fldCharType="separate"/>
          </w:r>
          <w:r w:rsidRPr="0094081B">
            <w:rPr>
              <w:rFonts w:ascii="Times New Roman" w:hAnsi="Times New Roman"/>
              <w:noProof/>
              <w:color w:val="000000" w:themeColor="text1"/>
              <w:sz w:val="24"/>
              <w:lang w:val="en-US"/>
            </w:rPr>
            <w:t xml:space="preserve"> (cuemath, 2023)</w:t>
          </w:r>
          <w:r w:rsidRPr="0094081B">
            <w:rPr>
              <w:rFonts w:ascii="Times New Roman" w:hAnsi="Times New Roman"/>
              <w:color w:val="000000" w:themeColor="text1"/>
              <w:sz w:val="24"/>
              <w:lang w:val="en-US"/>
            </w:rPr>
            <w:fldChar w:fldCharType="end"/>
          </w:r>
        </w:sdtContent>
      </w:sdt>
      <w:r w:rsidRPr="0094081B">
        <w:rPr>
          <w:rFonts w:ascii="Times New Roman" w:hAnsi="Times New Roman"/>
          <w:color w:val="000000" w:themeColor="text1"/>
          <w:sz w:val="24"/>
          <w:lang w:val="en-US"/>
        </w:rPr>
        <w:t>. A mean of 1066.5 in this case indicates that, on average, this number of students fits into both categories those who are not eligible for free or reduced lunch and those who are. Extreme values have an impact on the mean, providing a distribution with a balance point. However, 1066.5 also happens to be the median or the center number in a dataset organised from least t</w:t>
      </w:r>
      <w:r>
        <w:rPr>
          <w:rFonts w:ascii="Times New Roman" w:hAnsi="Times New Roman"/>
          <w:color w:val="000000" w:themeColor="text1"/>
          <w:sz w:val="24"/>
          <w:lang w:val="en-US"/>
        </w:rPr>
        <w:t>wo</w:t>
      </w:r>
      <w:r w:rsidRPr="0094081B">
        <w:rPr>
          <w:rFonts w:ascii="Times New Roman" w:hAnsi="Times New Roman"/>
          <w:color w:val="000000" w:themeColor="text1"/>
          <w:sz w:val="24"/>
          <w:lang w:val="en-US"/>
        </w:rPr>
        <w:t xml:space="preserve"> biggest. A similar percentage of pupils in each category fall above and below this criterion, according to the median score. The median is a more trustworthy measure of central tendency since it is less prone to extreme values. A fairly symmetric distribution is implied by the equality of the mean and median values, highlighting a balanced ratio among the various eligibility categories for free or reduced meals. This balance gives a detailed picture of the socioeconomic makeup of the student population by highlighting a fair and equal mix of students in both categories. Knowing the mean and median makes it easier to assess the overall socioeconomic standing of the student population</w:t>
      </w:r>
      <w:sdt>
        <w:sdtPr>
          <w:rPr>
            <w:rFonts w:ascii="Times New Roman" w:hAnsi="Times New Roman"/>
            <w:color w:val="000000" w:themeColor="text1"/>
            <w:sz w:val="24"/>
            <w:lang w:val="en-US"/>
          </w:rPr>
          <w:id w:val="1595664962"/>
          <w:citation/>
        </w:sdtPr>
        <w:sdtEndPr/>
        <w:sdtContent>
          <w:r w:rsidRPr="0094081B">
            <w:rPr>
              <w:rFonts w:ascii="Times New Roman" w:hAnsi="Times New Roman"/>
              <w:color w:val="000000" w:themeColor="text1"/>
              <w:sz w:val="24"/>
              <w:lang w:val="en-US"/>
            </w:rPr>
            <w:fldChar w:fldCharType="begin"/>
          </w:r>
          <w:r w:rsidRPr="0094081B">
            <w:rPr>
              <w:rFonts w:ascii="Times New Roman" w:hAnsi="Times New Roman"/>
              <w:color w:val="000000" w:themeColor="text1"/>
              <w:sz w:val="24"/>
              <w:lang w:val="en-US"/>
            </w:rPr>
            <w:instrText xml:space="preserve"> CITATION sta2323 \l 1033 </w:instrText>
          </w:r>
          <w:r w:rsidRPr="0094081B">
            <w:rPr>
              <w:rFonts w:ascii="Times New Roman" w:hAnsi="Times New Roman"/>
              <w:color w:val="000000" w:themeColor="text1"/>
              <w:sz w:val="24"/>
              <w:lang w:val="en-US"/>
            </w:rPr>
            <w:fldChar w:fldCharType="separate"/>
          </w:r>
          <w:r w:rsidRPr="0094081B">
            <w:rPr>
              <w:rFonts w:ascii="Times New Roman" w:hAnsi="Times New Roman"/>
              <w:noProof/>
              <w:color w:val="000000" w:themeColor="text1"/>
              <w:sz w:val="24"/>
              <w:lang w:val="en-US"/>
            </w:rPr>
            <w:t xml:space="preserve"> (statisticshowto, 2023)</w:t>
          </w:r>
          <w:r w:rsidRPr="0094081B">
            <w:rPr>
              <w:rFonts w:ascii="Times New Roman" w:hAnsi="Times New Roman"/>
              <w:color w:val="000000" w:themeColor="text1"/>
              <w:sz w:val="24"/>
              <w:lang w:val="en-US"/>
            </w:rPr>
            <w:fldChar w:fldCharType="end"/>
          </w:r>
        </w:sdtContent>
      </w:sdt>
      <w:r w:rsidRPr="0094081B">
        <w:rPr>
          <w:rFonts w:ascii="Times New Roman" w:hAnsi="Times New Roman"/>
          <w:color w:val="000000" w:themeColor="text1"/>
          <w:sz w:val="24"/>
          <w:lang w:val="en-US"/>
        </w:rPr>
        <w:t>. These indicators’ convergence at 1066.5 indicates that, on average, a sizable percentage of students are eligible for free or reduced lunch, while an equal number are not. In addition to clarifying the main trends among the student population, this data emphasises how crucial it is to attend to the various financial demands of the students in order to promote an inclusive learning environment.</w:t>
      </w:r>
    </w:p>
    <w:p w14:paraId="17290189" w14:textId="77777777" w:rsidR="00AC220F" w:rsidRPr="0094081B" w:rsidRDefault="00AC220F" w:rsidP="00AC220F">
      <w:pPr>
        <w:spacing w:line="480" w:lineRule="auto"/>
        <w:jc w:val="both"/>
        <w:rPr>
          <w:rFonts w:ascii="Times New Roman" w:hAnsi="Times New Roman"/>
          <w:color w:val="000000" w:themeColor="text1"/>
          <w:sz w:val="24"/>
          <w:lang w:val="en-US"/>
        </w:rPr>
      </w:pPr>
      <w:r w:rsidRPr="0094081B">
        <w:rPr>
          <w:rFonts w:ascii="Times New Roman" w:hAnsi="Times New Roman"/>
          <w:color w:val="000000" w:themeColor="text1"/>
          <w:sz w:val="24"/>
          <w:lang w:val="en-US"/>
        </w:rPr>
        <w:t>Data mining and text mining are essential technologies in modern business because they allow important insights to be extracted from enormous databases and unstructured text. One popular methodology for data mining is Association Rule Mining, which is often used in retail for market basket analysis. Businesses can optimise product placement and execute targeted marketing strategies by recognising links and patterns in client purchase behaviours</w:t>
      </w:r>
      <w:sdt>
        <w:sdtPr>
          <w:rPr>
            <w:rFonts w:ascii="Times New Roman" w:hAnsi="Times New Roman"/>
            <w:color w:val="000000" w:themeColor="text1"/>
            <w:sz w:val="24"/>
            <w:lang w:val="en-US"/>
          </w:rPr>
          <w:id w:val="1368409089"/>
          <w:citation/>
        </w:sdtPr>
        <w:sdtEndPr/>
        <w:sdtContent>
          <w:r w:rsidRPr="0094081B">
            <w:rPr>
              <w:rFonts w:ascii="Times New Roman" w:hAnsi="Times New Roman"/>
              <w:color w:val="000000" w:themeColor="text1"/>
              <w:sz w:val="24"/>
              <w:lang w:val="en-US"/>
            </w:rPr>
            <w:fldChar w:fldCharType="begin"/>
          </w:r>
          <w:r w:rsidRPr="0094081B">
            <w:rPr>
              <w:rFonts w:ascii="Times New Roman" w:hAnsi="Times New Roman"/>
              <w:color w:val="000000" w:themeColor="text1"/>
              <w:sz w:val="24"/>
              <w:lang w:val="en-US"/>
            </w:rPr>
            <w:instrText xml:space="preserve"> CITATION Nei231 \l 1033 </w:instrText>
          </w:r>
          <w:r w:rsidRPr="0094081B">
            <w:rPr>
              <w:rFonts w:ascii="Times New Roman" w:hAnsi="Times New Roman"/>
              <w:color w:val="000000" w:themeColor="text1"/>
              <w:sz w:val="24"/>
              <w:lang w:val="en-US"/>
            </w:rPr>
            <w:fldChar w:fldCharType="separate"/>
          </w:r>
          <w:r w:rsidRPr="0094081B">
            <w:rPr>
              <w:rFonts w:ascii="Times New Roman" w:hAnsi="Times New Roman"/>
              <w:noProof/>
              <w:color w:val="000000" w:themeColor="text1"/>
              <w:sz w:val="24"/>
              <w:lang w:val="en-US"/>
            </w:rPr>
            <w:t xml:space="preserve"> (Almond, 2023)</w:t>
          </w:r>
          <w:r w:rsidRPr="0094081B">
            <w:rPr>
              <w:rFonts w:ascii="Times New Roman" w:hAnsi="Times New Roman"/>
              <w:color w:val="000000" w:themeColor="text1"/>
              <w:sz w:val="24"/>
              <w:lang w:val="en-US"/>
            </w:rPr>
            <w:fldChar w:fldCharType="end"/>
          </w:r>
        </w:sdtContent>
      </w:sdt>
      <w:r w:rsidRPr="0094081B">
        <w:rPr>
          <w:rFonts w:ascii="Times New Roman" w:hAnsi="Times New Roman"/>
          <w:color w:val="000000" w:themeColor="text1"/>
          <w:sz w:val="24"/>
          <w:lang w:val="en-US"/>
        </w:rPr>
        <w:t>. Classification is a widely utilised technique in the financial sector for detecting fraud. Classification algorithms use past data to forecast and classify occurrences, allowing organisations to spot possibly fraudulent activity and strengthen security protocols. Especially in customer segmentation, clustering is a widely used data mining technique in many different businesses. Businesses can customise marketing strategies and offerings to target client segments by clustering customers based on shared traits or actions, resulting in more individualised interactions. Furthermore, regression analysis is essential in manufacturing since it aids in process optimisation by finding variables that impact the quality of the final product. Businesses can improve overall efficiency and product performance by implementing data-driven modifications through regression models</w:t>
      </w:r>
      <w:sdt>
        <w:sdtPr>
          <w:rPr>
            <w:rFonts w:ascii="Times New Roman" w:hAnsi="Times New Roman"/>
            <w:color w:val="000000" w:themeColor="text1"/>
            <w:sz w:val="24"/>
            <w:lang w:val="en-US"/>
          </w:rPr>
          <w:id w:val="489914664"/>
          <w:citation/>
        </w:sdtPr>
        <w:sdtEndPr/>
        <w:sdtContent>
          <w:r w:rsidRPr="0094081B">
            <w:rPr>
              <w:rFonts w:ascii="Times New Roman" w:hAnsi="Times New Roman"/>
              <w:color w:val="000000" w:themeColor="text1"/>
              <w:sz w:val="24"/>
              <w:lang w:val="en-US"/>
            </w:rPr>
            <w:fldChar w:fldCharType="begin"/>
          </w:r>
          <w:r w:rsidRPr="0094081B">
            <w:rPr>
              <w:rFonts w:ascii="Times New Roman" w:hAnsi="Times New Roman"/>
              <w:color w:val="000000" w:themeColor="text1"/>
              <w:sz w:val="24"/>
              <w:lang w:val="en-US"/>
            </w:rPr>
            <w:instrText xml:space="preserve"> CITATION sta2324 \l 1033 </w:instrText>
          </w:r>
          <w:r w:rsidRPr="0094081B">
            <w:rPr>
              <w:rFonts w:ascii="Times New Roman" w:hAnsi="Times New Roman"/>
              <w:color w:val="000000" w:themeColor="text1"/>
              <w:sz w:val="24"/>
              <w:lang w:val="en-US"/>
            </w:rPr>
            <w:fldChar w:fldCharType="separate"/>
          </w:r>
          <w:r w:rsidRPr="0094081B">
            <w:rPr>
              <w:rFonts w:ascii="Times New Roman" w:hAnsi="Times New Roman"/>
              <w:noProof/>
              <w:color w:val="000000" w:themeColor="text1"/>
              <w:sz w:val="24"/>
              <w:lang w:val="en-US"/>
            </w:rPr>
            <w:t xml:space="preserve"> (statistics, 2023)</w:t>
          </w:r>
          <w:r w:rsidRPr="0094081B">
            <w:rPr>
              <w:rFonts w:ascii="Times New Roman" w:hAnsi="Times New Roman"/>
              <w:color w:val="000000" w:themeColor="text1"/>
              <w:sz w:val="24"/>
              <w:lang w:val="en-US"/>
            </w:rPr>
            <w:fldChar w:fldCharType="end"/>
          </w:r>
        </w:sdtContent>
      </w:sdt>
      <w:r w:rsidRPr="0094081B">
        <w:rPr>
          <w:rFonts w:ascii="Times New Roman" w:hAnsi="Times New Roman"/>
          <w:color w:val="000000" w:themeColor="text1"/>
          <w:sz w:val="24"/>
          <w:lang w:val="en-US"/>
        </w:rPr>
        <w:t>.</w:t>
      </w:r>
      <w:r w:rsidRPr="0094081B">
        <w:rPr>
          <w:rFonts w:ascii="Times New Roman" w:hAnsi="Times New Roman"/>
          <w:color w:val="000000" w:themeColor="text1"/>
          <w:sz w:val="24"/>
          <w:lang w:val="en-IN"/>
        </w:rPr>
        <w:t xml:space="preserve"> </w:t>
      </w:r>
      <w:r w:rsidRPr="0094081B">
        <w:rPr>
          <w:rFonts w:ascii="Times New Roman" w:hAnsi="Times New Roman"/>
          <w:color w:val="000000" w:themeColor="text1"/>
          <w:sz w:val="24"/>
          <w:lang w:val="en-US"/>
        </w:rPr>
        <w:t>Sentiment analysis, a common technique with many uses in modern business, is text mining. Businesses assess customer opinions in reviews, social media posts, and customer feedback using sentiment analysis. This helps businesses improve their offerings and gain important insights into how their customers perceive their brands. Another essential text mining technique is Named Entity Recognition (NER), especially in the healthcare industry. By extracting data from unstructured medical records about illnesses, and patient demographics, NER helps to streamline healthcare administration and research.</w:t>
      </w:r>
      <w:r w:rsidRPr="0094081B">
        <w:rPr>
          <w:rFonts w:ascii="Times New Roman" w:hAnsi="Times New Roman"/>
          <w:color w:val="000000" w:themeColor="text1"/>
          <w:sz w:val="24"/>
          <w:lang w:val="en-IN"/>
        </w:rPr>
        <w:t xml:space="preserve"> </w:t>
      </w:r>
      <w:r w:rsidRPr="0094081B">
        <w:rPr>
          <w:rFonts w:ascii="Times New Roman" w:hAnsi="Times New Roman"/>
          <w:color w:val="000000" w:themeColor="text1"/>
          <w:sz w:val="24"/>
          <w:lang w:val="en-US"/>
        </w:rPr>
        <w:t>One popular text-mining technique for organising and classifying content is called "Topic Modelling." For example, news organisations use topic modelling to automatically classify articles into relevant categories, which helps with audience engagement and effective content management. Furthermore, one of the most important techniques for automating the classification of textual data is text classification. For example, text classification is used in customer care to automatically route and prioritise help tickets, resulting in faster response times and happier customers</w:t>
      </w:r>
      <w:sdt>
        <w:sdtPr>
          <w:rPr>
            <w:rFonts w:ascii="Times New Roman" w:hAnsi="Times New Roman"/>
            <w:color w:val="000000" w:themeColor="text1"/>
            <w:sz w:val="24"/>
            <w:lang w:val="en-US"/>
          </w:rPr>
          <w:id w:val="1198428288"/>
          <w:citation/>
        </w:sdtPr>
        <w:sdtEndPr/>
        <w:sdtContent>
          <w:r w:rsidRPr="0094081B">
            <w:rPr>
              <w:rFonts w:ascii="Times New Roman" w:hAnsi="Times New Roman"/>
              <w:color w:val="000000" w:themeColor="text1"/>
              <w:sz w:val="24"/>
              <w:lang w:val="en-US"/>
            </w:rPr>
            <w:fldChar w:fldCharType="begin"/>
          </w:r>
          <w:r w:rsidRPr="0094081B">
            <w:rPr>
              <w:rFonts w:ascii="Times New Roman" w:hAnsi="Times New Roman"/>
              <w:color w:val="000000" w:themeColor="text1"/>
              <w:sz w:val="24"/>
              <w:lang w:val="en-US"/>
            </w:rPr>
            <w:instrText xml:space="preserve"> CITATION Tho231 \l 1033 </w:instrText>
          </w:r>
          <w:r w:rsidRPr="0094081B">
            <w:rPr>
              <w:rFonts w:ascii="Times New Roman" w:hAnsi="Times New Roman"/>
              <w:color w:val="000000" w:themeColor="text1"/>
              <w:sz w:val="24"/>
              <w:lang w:val="en-US"/>
            </w:rPr>
            <w:fldChar w:fldCharType="separate"/>
          </w:r>
          <w:r w:rsidRPr="0094081B">
            <w:rPr>
              <w:rFonts w:ascii="Times New Roman" w:hAnsi="Times New Roman"/>
              <w:noProof/>
              <w:color w:val="000000" w:themeColor="text1"/>
              <w:sz w:val="24"/>
              <w:lang w:val="en-US"/>
            </w:rPr>
            <w:t xml:space="preserve"> (Williams, 2023)</w:t>
          </w:r>
          <w:r w:rsidRPr="0094081B">
            <w:rPr>
              <w:rFonts w:ascii="Times New Roman" w:hAnsi="Times New Roman"/>
              <w:color w:val="000000" w:themeColor="text1"/>
              <w:sz w:val="24"/>
              <w:lang w:val="en-US"/>
            </w:rPr>
            <w:fldChar w:fldCharType="end"/>
          </w:r>
        </w:sdtContent>
      </w:sdt>
      <w:r w:rsidRPr="0094081B">
        <w:rPr>
          <w:rFonts w:ascii="Times New Roman" w:hAnsi="Times New Roman"/>
          <w:color w:val="000000" w:themeColor="text1"/>
          <w:sz w:val="24"/>
          <w:lang w:val="en-US"/>
        </w:rPr>
        <w:t xml:space="preserve">. These approaches provide a competitive advantage in the ever-changing corporate environment by facilitating data-driven decision-making, improving operational efficiency, and benefiting businesses as well as industries. </w:t>
      </w:r>
    </w:p>
    <w:p w14:paraId="1B2C910E" w14:textId="77777777" w:rsidR="00AC220F" w:rsidRPr="0094081B" w:rsidRDefault="00AC220F" w:rsidP="00AC220F">
      <w:pPr>
        <w:spacing w:line="480" w:lineRule="auto"/>
        <w:jc w:val="center"/>
        <w:rPr>
          <w:rFonts w:ascii="Times New Roman" w:hAnsi="Times New Roman"/>
          <w:color w:val="000000" w:themeColor="text1"/>
          <w:sz w:val="24"/>
          <w:lang w:val="en-US"/>
        </w:rPr>
      </w:pPr>
      <w:r w:rsidRPr="0094081B">
        <w:rPr>
          <w:rFonts w:ascii="Times New Roman" w:hAnsi="Times New Roman"/>
          <w:color w:val="000000" w:themeColor="text1"/>
          <w:sz w:val="24"/>
          <w:lang w:val="en-US"/>
        </w:rPr>
        <w:t>SPSS</w:t>
      </w:r>
    </w:p>
    <w:tbl>
      <w:tblPr>
        <w:tblStyle w:val="TableGrid"/>
        <w:tblW w:w="0" w:type="auto"/>
        <w:tblLook w:val="04A0" w:firstRow="1" w:lastRow="0" w:firstColumn="1" w:lastColumn="0" w:noHBand="0" w:noVBand="1"/>
      </w:tblPr>
      <w:tblGrid>
        <w:gridCol w:w="4675"/>
        <w:gridCol w:w="4675"/>
      </w:tblGrid>
      <w:tr w:rsidR="00AC220F" w:rsidRPr="0094081B" w14:paraId="684C595D" w14:textId="77777777" w:rsidTr="0018536F">
        <w:tc>
          <w:tcPr>
            <w:tcW w:w="4675" w:type="dxa"/>
          </w:tcPr>
          <w:p w14:paraId="17C586FA" w14:textId="77777777" w:rsidR="00AC220F" w:rsidRPr="0094081B" w:rsidRDefault="00AC220F" w:rsidP="0018536F">
            <w:pPr>
              <w:spacing w:line="480" w:lineRule="auto"/>
              <w:jc w:val="center"/>
              <w:rPr>
                <w:rFonts w:ascii="Times New Roman" w:hAnsi="Times New Roman"/>
                <w:b/>
                <w:bCs/>
                <w:color w:val="000000" w:themeColor="text1"/>
                <w:sz w:val="24"/>
              </w:rPr>
            </w:pPr>
            <w:r w:rsidRPr="0094081B">
              <w:rPr>
                <w:rFonts w:ascii="Times New Roman" w:hAnsi="Times New Roman"/>
                <w:b/>
                <w:bCs/>
                <w:color w:val="000000" w:themeColor="text1"/>
                <w:sz w:val="24"/>
              </w:rPr>
              <w:t>Advantages</w:t>
            </w:r>
          </w:p>
        </w:tc>
        <w:tc>
          <w:tcPr>
            <w:tcW w:w="4675" w:type="dxa"/>
          </w:tcPr>
          <w:p w14:paraId="0FD7E3D7" w14:textId="77777777" w:rsidR="00AC220F" w:rsidRPr="0094081B" w:rsidRDefault="00AC220F" w:rsidP="0018536F">
            <w:pPr>
              <w:spacing w:line="480" w:lineRule="auto"/>
              <w:jc w:val="center"/>
              <w:rPr>
                <w:rFonts w:ascii="Times New Roman" w:hAnsi="Times New Roman"/>
                <w:b/>
                <w:bCs/>
                <w:color w:val="000000" w:themeColor="text1"/>
                <w:sz w:val="24"/>
              </w:rPr>
            </w:pPr>
            <w:r w:rsidRPr="0094081B">
              <w:rPr>
                <w:rFonts w:ascii="Times New Roman" w:hAnsi="Times New Roman"/>
                <w:b/>
                <w:bCs/>
                <w:color w:val="000000" w:themeColor="text1"/>
                <w:sz w:val="24"/>
              </w:rPr>
              <w:t>Disadvantages</w:t>
            </w:r>
          </w:p>
        </w:tc>
      </w:tr>
      <w:tr w:rsidR="00AC220F" w:rsidRPr="0094081B" w14:paraId="33D40792" w14:textId="77777777" w:rsidTr="0018536F">
        <w:tc>
          <w:tcPr>
            <w:tcW w:w="4675" w:type="dxa"/>
          </w:tcPr>
          <w:p w14:paraId="540D2FB5"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With its extensive collection of sophisticated statistical tools, SPSS (Statistical Package for the Social Sciences) is a software application created especially for statistical analysis</w:t>
            </w:r>
            <w:sdt>
              <w:sdtPr>
                <w:rPr>
                  <w:rFonts w:ascii="Times New Roman" w:hAnsi="Times New Roman"/>
                  <w:color w:val="000000" w:themeColor="text1"/>
                  <w:sz w:val="24"/>
                </w:rPr>
                <w:id w:val="-818572552"/>
                <w:citation/>
              </w:sdtPr>
              <w:sdtEndPr/>
              <w:sdtContent>
                <w:r w:rsidRPr="0094081B">
                  <w:rPr>
                    <w:rFonts w:ascii="Times New Roman" w:hAnsi="Times New Roman"/>
                    <w:color w:val="000000" w:themeColor="text1"/>
                    <w:sz w:val="24"/>
                  </w:rPr>
                  <w:fldChar w:fldCharType="begin"/>
                </w:r>
                <w:r w:rsidRPr="0094081B">
                  <w:rPr>
                    <w:rFonts w:ascii="Times New Roman" w:hAnsi="Times New Roman"/>
                    <w:color w:val="000000" w:themeColor="text1"/>
                    <w:sz w:val="24"/>
                  </w:rPr>
                  <w:instrText xml:space="preserve"> CITATION Kat2310 \l 1033 </w:instrText>
                </w:r>
                <w:r w:rsidRPr="0094081B">
                  <w:rPr>
                    <w:rFonts w:ascii="Times New Roman" w:hAnsi="Times New Roman"/>
                    <w:color w:val="000000" w:themeColor="text1"/>
                    <w:sz w:val="24"/>
                  </w:rPr>
                  <w:fldChar w:fldCharType="separate"/>
                </w:r>
                <w:r w:rsidRPr="0094081B">
                  <w:rPr>
                    <w:rFonts w:ascii="Times New Roman" w:hAnsi="Times New Roman"/>
                    <w:noProof/>
                    <w:color w:val="000000" w:themeColor="text1"/>
                    <w:sz w:val="24"/>
                  </w:rPr>
                  <w:t xml:space="preserve"> (Williams, 2023)</w:t>
                </w:r>
                <w:r w:rsidRPr="0094081B">
                  <w:rPr>
                    <w:rFonts w:ascii="Times New Roman" w:hAnsi="Times New Roman"/>
                    <w:color w:val="000000" w:themeColor="text1"/>
                    <w:sz w:val="24"/>
                  </w:rPr>
                  <w:fldChar w:fldCharType="end"/>
                </w:r>
              </w:sdtContent>
            </w:sdt>
            <w:r w:rsidRPr="0094081B">
              <w:rPr>
                <w:rFonts w:ascii="Times New Roman" w:hAnsi="Times New Roman"/>
                <w:color w:val="000000" w:themeColor="text1"/>
                <w:sz w:val="24"/>
              </w:rPr>
              <w:t>. It is effective for researchers and analysts working with complex statistical data since it provides a broad range of analytical approaches.</w:t>
            </w:r>
          </w:p>
        </w:tc>
        <w:tc>
          <w:tcPr>
            <w:tcW w:w="4675" w:type="dxa"/>
          </w:tcPr>
          <w:p w14:paraId="18EC1450"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Due to its commercial nature and the high cost of licencing, SPSS is less affordable for small organisations and individual users on a tight budget.</w:t>
            </w:r>
          </w:p>
        </w:tc>
      </w:tr>
      <w:tr w:rsidR="00AC220F" w:rsidRPr="0094081B" w14:paraId="3BD265CC" w14:textId="77777777" w:rsidTr="0018536F">
        <w:tc>
          <w:tcPr>
            <w:tcW w:w="4675" w:type="dxa"/>
          </w:tcPr>
          <w:p w14:paraId="683342F4"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Large-scale dataset handling is one of SPSS’s strong points, and it provides effective data management tools. It makes organising, transforming, and cleaning data easier, which expedites the process of getting data ready for analysis. Recoding variables and manipulating data are made simple by the interface.</w:t>
            </w:r>
          </w:p>
        </w:tc>
        <w:tc>
          <w:tcPr>
            <w:tcW w:w="4675" w:type="dxa"/>
          </w:tcPr>
          <w:p w14:paraId="119C7F75"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SPSS has a longer learning curve than other programs because of its wide features, especially for novices. It could take training for users to properly utilise all of its features</w:t>
            </w:r>
            <w:sdt>
              <w:sdtPr>
                <w:rPr>
                  <w:rFonts w:ascii="Times New Roman" w:hAnsi="Times New Roman"/>
                  <w:color w:val="000000" w:themeColor="text1"/>
                  <w:sz w:val="24"/>
                </w:rPr>
                <w:id w:val="-1757437302"/>
                <w:citation/>
              </w:sdtPr>
              <w:sdtEndPr/>
              <w:sdtContent>
                <w:r w:rsidRPr="0094081B">
                  <w:rPr>
                    <w:rFonts w:ascii="Times New Roman" w:hAnsi="Times New Roman"/>
                    <w:color w:val="000000" w:themeColor="text1"/>
                    <w:sz w:val="24"/>
                  </w:rPr>
                  <w:fldChar w:fldCharType="begin"/>
                </w:r>
                <w:r w:rsidRPr="0094081B">
                  <w:rPr>
                    <w:rFonts w:ascii="Times New Roman" w:hAnsi="Times New Roman"/>
                    <w:color w:val="000000" w:themeColor="text1"/>
                    <w:sz w:val="24"/>
                  </w:rPr>
                  <w:instrText xml:space="preserve"> CITATION tec233 \l 1033 </w:instrText>
                </w:r>
                <w:r w:rsidRPr="0094081B">
                  <w:rPr>
                    <w:rFonts w:ascii="Times New Roman" w:hAnsi="Times New Roman"/>
                    <w:color w:val="000000" w:themeColor="text1"/>
                    <w:sz w:val="24"/>
                  </w:rPr>
                  <w:fldChar w:fldCharType="separate"/>
                </w:r>
                <w:r w:rsidRPr="0094081B">
                  <w:rPr>
                    <w:rFonts w:ascii="Times New Roman" w:hAnsi="Times New Roman"/>
                    <w:noProof/>
                    <w:color w:val="000000" w:themeColor="text1"/>
                    <w:sz w:val="24"/>
                  </w:rPr>
                  <w:t xml:space="preserve"> (techtarget, 2023)</w:t>
                </w:r>
                <w:r w:rsidRPr="0094081B">
                  <w:rPr>
                    <w:rFonts w:ascii="Times New Roman" w:hAnsi="Times New Roman"/>
                    <w:color w:val="000000" w:themeColor="text1"/>
                    <w:sz w:val="24"/>
                  </w:rPr>
                  <w:fldChar w:fldCharType="end"/>
                </w:r>
              </w:sdtContent>
            </w:sdt>
            <w:r w:rsidRPr="0094081B">
              <w:rPr>
                <w:rFonts w:ascii="Times New Roman" w:hAnsi="Times New Roman"/>
                <w:color w:val="000000" w:themeColor="text1"/>
                <w:sz w:val="24"/>
              </w:rPr>
              <w:t>.</w:t>
            </w:r>
          </w:p>
        </w:tc>
      </w:tr>
      <w:tr w:rsidR="00AC220F" w:rsidRPr="0094081B" w14:paraId="147EB0F5" w14:textId="77777777" w:rsidTr="0018536F">
        <w:tc>
          <w:tcPr>
            <w:tcW w:w="4675" w:type="dxa"/>
          </w:tcPr>
          <w:p w14:paraId="11982917"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Advanced analytics using SPSS are supported, such as factor analysis, cluster analysis, and regression analysis. It is especially helpful for researchers in disciplines like psychology, economics, and social sciences where advanced statistical methods are frequently used</w:t>
            </w:r>
            <w:sdt>
              <w:sdtPr>
                <w:rPr>
                  <w:rFonts w:ascii="Times New Roman" w:hAnsi="Times New Roman"/>
                  <w:color w:val="000000" w:themeColor="text1"/>
                  <w:sz w:val="24"/>
                </w:rPr>
                <w:id w:val="-69116077"/>
                <w:citation/>
              </w:sdtPr>
              <w:sdtEndPr/>
              <w:sdtContent>
                <w:r w:rsidRPr="0094081B">
                  <w:rPr>
                    <w:rFonts w:ascii="Times New Roman" w:hAnsi="Times New Roman"/>
                    <w:color w:val="000000" w:themeColor="text1"/>
                    <w:sz w:val="24"/>
                  </w:rPr>
                  <w:fldChar w:fldCharType="begin"/>
                </w:r>
                <w:r w:rsidRPr="0094081B">
                  <w:rPr>
                    <w:rFonts w:ascii="Times New Roman" w:hAnsi="Times New Roman"/>
                    <w:color w:val="000000" w:themeColor="text1"/>
                    <w:sz w:val="24"/>
                  </w:rPr>
                  <w:instrText xml:space="preserve"> CITATION Ber233 \l 1033 </w:instrText>
                </w:r>
                <w:r w:rsidRPr="0094081B">
                  <w:rPr>
                    <w:rFonts w:ascii="Times New Roman" w:hAnsi="Times New Roman"/>
                    <w:color w:val="000000" w:themeColor="text1"/>
                    <w:sz w:val="24"/>
                  </w:rPr>
                  <w:fldChar w:fldCharType="separate"/>
                </w:r>
                <w:r w:rsidRPr="0094081B">
                  <w:rPr>
                    <w:rFonts w:ascii="Times New Roman" w:hAnsi="Times New Roman"/>
                    <w:noProof/>
                    <w:color w:val="000000" w:themeColor="text1"/>
                    <w:sz w:val="24"/>
                  </w:rPr>
                  <w:t xml:space="preserve"> (Calzon, 2023)</w:t>
                </w:r>
                <w:r w:rsidRPr="0094081B">
                  <w:rPr>
                    <w:rFonts w:ascii="Times New Roman" w:hAnsi="Times New Roman"/>
                    <w:color w:val="000000" w:themeColor="text1"/>
                    <w:sz w:val="24"/>
                  </w:rPr>
                  <w:fldChar w:fldCharType="end"/>
                </w:r>
              </w:sdtContent>
            </w:sdt>
            <w:r w:rsidRPr="0094081B">
              <w:rPr>
                <w:rFonts w:ascii="Times New Roman" w:hAnsi="Times New Roman"/>
                <w:color w:val="000000" w:themeColor="text1"/>
                <w:sz w:val="24"/>
              </w:rPr>
              <w:t>.</w:t>
            </w:r>
          </w:p>
        </w:tc>
        <w:tc>
          <w:tcPr>
            <w:tcW w:w="4675" w:type="dxa"/>
          </w:tcPr>
          <w:p w14:paraId="156D1300"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Excel’s powerful spreadsheet features are absent from SPSS, despite the latter’s superiority in statistical analysis. Excel might be easier for people to utilise for jobs that need heavy data manipulation or simple computations.</w:t>
            </w:r>
          </w:p>
        </w:tc>
      </w:tr>
    </w:tbl>
    <w:p w14:paraId="5B576531" w14:textId="77777777" w:rsidR="00AC220F" w:rsidRPr="0094081B" w:rsidRDefault="00AC220F" w:rsidP="00AC220F">
      <w:pPr>
        <w:spacing w:line="480" w:lineRule="auto"/>
        <w:jc w:val="both"/>
        <w:rPr>
          <w:rFonts w:ascii="Times New Roman" w:hAnsi="Times New Roman"/>
          <w:color w:val="000000" w:themeColor="text1"/>
          <w:sz w:val="24"/>
          <w:lang w:val="en-US"/>
        </w:rPr>
      </w:pPr>
    </w:p>
    <w:p w14:paraId="42D1FFDD" w14:textId="77777777" w:rsidR="00AC220F" w:rsidRPr="0094081B" w:rsidRDefault="00AC220F" w:rsidP="00AC220F">
      <w:pPr>
        <w:spacing w:line="480" w:lineRule="auto"/>
        <w:jc w:val="center"/>
        <w:rPr>
          <w:rFonts w:ascii="Times New Roman" w:hAnsi="Times New Roman"/>
          <w:color w:val="000000" w:themeColor="text1"/>
          <w:sz w:val="24"/>
          <w:lang w:val="en-US"/>
        </w:rPr>
      </w:pPr>
      <w:r w:rsidRPr="0094081B">
        <w:rPr>
          <w:rFonts w:ascii="Times New Roman" w:hAnsi="Times New Roman"/>
          <w:color w:val="000000" w:themeColor="text1"/>
          <w:sz w:val="24"/>
          <w:lang w:val="en-US"/>
        </w:rPr>
        <w:t>Excel</w:t>
      </w:r>
    </w:p>
    <w:tbl>
      <w:tblPr>
        <w:tblStyle w:val="TableGrid"/>
        <w:tblW w:w="0" w:type="auto"/>
        <w:tblLook w:val="04A0" w:firstRow="1" w:lastRow="0" w:firstColumn="1" w:lastColumn="0" w:noHBand="0" w:noVBand="1"/>
      </w:tblPr>
      <w:tblGrid>
        <w:gridCol w:w="4675"/>
        <w:gridCol w:w="4675"/>
      </w:tblGrid>
      <w:tr w:rsidR="00AC220F" w:rsidRPr="0094081B" w14:paraId="20C4F7E2" w14:textId="77777777" w:rsidTr="0018536F">
        <w:tc>
          <w:tcPr>
            <w:tcW w:w="4675" w:type="dxa"/>
          </w:tcPr>
          <w:p w14:paraId="0D518CD1" w14:textId="77777777" w:rsidR="00AC220F" w:rsidRPr="0094081B" w:rsidRDefault="00AC220F" w:rsidP="0018536F">
            <w:pPr>
              <w:spacing w:line="480" w:lineRule="auto"/>
              <w:jc w:val="center"/>
              <w:rPr>
                <w:rFonts w:ascii="Times New Roman" w:hAnsi="Times New Roman"/>
                <w:b/>
                <w:bCs/>
                <w:color w:val="000000" w:themeColor="text1"/>
                <w:sz w:val="24"/>
              </w:rPr>
            </w:pPr>
            <w:r w:rsidRPr="0094081B">
              <w:rPr>
                <w:rFonts w:ascii="Times New Roman" w:hAnsi="Times New Roman"/>
                <w:b/>
                <w:bCs/>
                <w:color w:val="000000" w:themeColor="text1"/>
                <w:sz w:val="24"/>
              </w:rPr>
              <w:t>Advantages</w:t>
            </w:r>
          </w:p>
        </w:tc>
        <w:tc>
          <w:tcPr>
            <w:tcW w:w="4675" w:type="dxa"/>
          </w:tcPr>
          <w:p w14:paraId="0C93E500" w14:textId="77777777" w:rsidR="00AC220F" w:rsidRPr="0094081B" w:rsidRDefault="00AC220F" w:rsidP="0018536F">
            <w:pPr>
              <w:spacing w:line="480" w:lineRule="auto"/>
              <w:jc w:val="center"/>
              <w:rPr>
                <w:rFonts w:ascii="Times New Roman" w:hAnsi="Times New Roman"/>
                <w:b/>
                <w:bCs/>
                <w:color w:val="000000" w:themeColor="text1"/>
                <w:sz w:val="24"/>
              </w:rPr>
            </w:pPr>
            <w:r w:rsidRPr="0094081B">
              <w:rPr>
                <w:rFonts w:ascii="Times New Roman" w:hAnsi="Times New Roman"/>
                <w:b/>
                <w:bCs/>
                <w:color w:val="000000" w:themeColor="text1"/>
                <w:sz w:val="24"/>
              </w:rPr>
              <w:t xml:space="preserve">Disadvantages </w:t>
            </w:r>
          </w:p>
        </w:tc>
      </w:tr>
      <w:tr w:rsidR="00AC220F" w:rsidRPr="0094081B" w14:paraId="2B482680" w14:textId="77777777" w:rsidTr="0018536F">
        <w:tc>
          <w:tcPr>
            <w:tcW w:w="4675" w:type="dxa"/>
          </w:tcPr>
          <w:p w14:paraId="3F666C7F"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Excel is renowned for having an intuitive user interface that makes it simple for users of all skill levels to utilise. Because of its familiarity, it's a go-to tool for small-scale analysis, basic computations, and easy data entry.</w:t>
            </w:r>
          </w:p>
        </w:tc>
        <w:tc>
          <w:tcPr>
            <w:tcW w:w="4675" w:type="dxa"/>
          </w:tcPr>
          <w:p w14:paraId="575D2458"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Compared to specialised statistical software such as SPSS, Excel’s statistical features are relatively rudimentary. It could not have all the sophisticated methods needed for a thorough statistical study</w:t>
            </w:r>
            <w:sdt>
              <w:sdtPr>
                <w:rPr>
                  <w:rFonts w:ascii="Times New Roman" w:hAnsi="Times New Roman"/>
                  <w:color w:val="000000" w:themeColor="text1"/>
                  <w:sz w:val="24"/>
                </w:rPr>
                <w:id w:val="1047715397"/>
                <w:citation/>
              </w:sdtPr>
              <w:sdtEndPr/>
              <w:sdtContent>
                <w:r w:rsidRPr="0094081B">
                  <w:rPr>
                    <w:rFonts w:ascii="Times New Roman" w:hAnsi="Times New Roman"/>
                    <w:color w:val="000000" w:themeColor="text1"/>
                    <w:sz w:val="24"/>
                  </w:rPr>
                  <w:fldChar w:fldCharType="begin"/>
                </w:r>
                <w:r w:rsidRPr="0094081B">
                  <w:rPr>
                    <w:rFonts w:ascii="Times New Roman" w:hAnsi="Times New Roman"/>
                    <w:color w:val="000000" w:themeColor="text1"/>
                    <w:sz w:val="24"/>
                  </w:rPr>
                  <w:instrText xml:space="preserve"> CITATION cor2362 \l 1033 </w:instrText>
                </w:r>
                <w:r w:rsidRPr="0094081B">
                  <w:rPr>
                    <w:rFonts w:ascii="Times New Roman" w:hAnsi="Times New Roman"/>
                    <w:color w:val="000000" w:themeColor="text1"/>
                    <w:sz w:val="24"/>
                  </w:rPr>
                  <w:fldChar w:fldCharType="separate"/>
                </w:r>
                <w:r w:rsidRPr="0094081B">
                  <w:rPr>
                    <w:rFonts w:ascii="Times New Roman" w:hAnsi="Times New Roman"/>
                    <w:noProof/>
                    <w:color w:val="000000" w:themeColor="text1"/>
                    <w:sz w:val="24"/>
                  </w:rPr>
                  <w:t xml:space="preserve"> (corporatefinanceinstitute, 2023)</w:t>
                </w:r>
                <w:r w:rsidRPr="0094081B">
                  <w:rPr>
                    <w:rFonts w:ascii="Times New Roman" w:hAnsi="Times New Roman"/>
                    <w:color w:val="000000" w:themeColor="text1"/>
                    <w:sz w:val="24"/>
                  </w:rPr>
                  <w:fldChar w:fldCharType="end"/>
                </w:r>
              </w:sdtContent>
            </w:sdt>
            <w:r w:rsidRPr="0094081B">
              <w:rPr>
                <w:rFonts w:ascii="Times New Roman" w:hAnsi="Times New Roman"/>
                <w:color w:val="000000" w:themeColor="text1"/>
                <w:sz w:val="24"/>
              </w:rPr>
              <w:t>.</w:t>
            </w:r>
          </w:p>
        </w:tc>
      </w:tr>
      <w:tr w:rsidR="00AC220F" w:rsidRPr="0094081B" w14:paraId="4A10E02A" w14:textId="77777777" w:rsidTr="0018536F">
        <w:tc>
          <w:tcPr>
            <w:tcW w:w="4675" w:type="dxa"/>
          </w:tcPr>
          <w:p w14:paraId="09F9D0DF"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Excel is a flexible tool that is not limited to statistical analysis. Data manipulation, storage, and visualisation are common uses for it. As for its spreadsheet-style, it may be used for a variety of purposes, including project management and budgeting.</w:t>
            </w:r>
          </w:p>
        </w:tc>
        <w:tc>
          <w:tcPr>
            <w:tcW w:w="4675" w:type="dxa"/>
          </w:tcPr>
          <w:p w14:paraId="4FCEC2B8"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Large datasets can present difficulties for Excel to handle. The accuracy and dependability of studies on large datasets may be impacted by it being sluggish or error-prone.</w:t>
            </w:r>
          </w:p>
        </w:tc>
      </w:tr>
      <w:tr w:rsidR="00AC220F" w:rsidRPr="0094081B" w14:paraId="34083361" w14:textId="77777777" w:rsidTr="0018536F">
        <w:tc>
          <w:tcPr>
            <w:tcW w:w="4675" w:type="dxa"/>
          </w:tcPr>
          <w:p w14:paraId="04748480"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Particularly for consumers who merely need basic data analysis capabilities, Excel is frequently more affordable. The Microsoft Office suite is included with it, which lowers the cost of extra applications</w:t>
            </w:r>
            <w:sdt>
              <w:sdtPr>
                <w:rPr>
                  <w:rFonts w:ascii="Times New Roman" w:hAnsi="Times New Roman"/>
                  <w:color w:val="000000" w:themeColor="text1"/>
                  <w:sz w:val="24"/>
                </w:rPr>
                <w:id w:val="1905712128"/>
                <w:citation/>
              </w:sdtPr>
              <w:sdtEndPr/>
              <w:sdtContent>
                <w:r w:rsidRPr="0094081B">
                  <w:rPr>
                    <w:rFonts w:ascii="Times New Roman" w:hAnsi="Times New Roman"/>
                    <w:color w:val="000000" w:themeColor="text1"/>
                    <w:sz w:val="24"/>
                  </w:rPr>
                  <w:fldChar w:fldCharType="begin"/>
                </w:r>
                <w:r w:rsidRPr="0094081B">
                  <w:rPr>
                    <w:rFonts w:ascii="Times New Roman" w:hAnsi="Times New Roman"/>
                    <w:color w:val="000000" w:themeColor="text1"/>
                    <w:sz w:val="24"/>
                  </w:rPr>
                  <w:instrText xml:space="preserve"> CITATION Ale232 \l 1033 </w:instrText>
                </w:r>
                <w:r w:rsidRPr="0094081B">
                  <w:rPr>
                    <w:rFonts w:ascii="Times New Roman" w:hAnsi="Times New Roman"/>
                    <w:color w:val="000000" w:themeColor="text1"/>
                    <w:sz w:val="24"/>
                  </w:rPr>
                  <w:fldChar w:fldCharType="separate"/>
                </w:r>
                <w:r w:rsidRPr="0094081B">
                  <w:rPr>
                    <w:rFonts w:ascii="Times New Roman" w:hAnsi="Times New Roman"/>
                    <w:noProof/>
                    <w:color w:val="000000" w:themeColor="text1"/>
                    <w:sz w:val="24"/>
                  </w:rPr>
                  <w:t xml:space="preserve"> (Gillis, 2023)</w:t>
                </w:r>
                <w:r w:rsidRPr="0094081B">
                  <w:rPr>
                    <w:rFonts w:ascii="Times New Roman" w:hAnsi="Times New Roman"/>
                    <w:color w:val="000000" w:themeColor="text1"/>
                    <w:sz w:val="24"/>
                  </w:rPr>
                  <w:fldChar w:fldCharType="end"/>
                </w:r>
              </w:sdtContent>
            </w:sdt>
            <w:r w:rsidRPr="0094081B">
              <w:rPr>
                <w:rFonts w:ascii="Times New Roman" w:hAnsi="Times New Roman"/>
                <w:color w:val="000000" w:themeColor="text1"/>
                <w:sz w:val="24"/>
              </w:rPr>
              <w:t>.</w:t>
            </w:r>
          </w:p>
        </w:tc>
        <w:tc>
          <w:tcPr>
            <w:tcW w:w="4675" w:type="dxa"/>
          </w:tcPr>
          <w:p w14:paraId="050BE2CB"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Excel lacks the rigorous repeatability features seen in specialised statistical tools like SPSS, even if it does support rudimentary scripting. This may be problematic in research environments where reproducibility is essential.</w:t>
            </w:r>
          </w:p>
        </w:tc>
      </w:tr>
    </w:tbl>
    <w:p w14:paraId="39A7DB78" w14:textId="77777777" w:rsidR="00AC220F" w:rsidRPr="0094081B" w:rsidRDefault="00AC220F" w:rsidP="00AC220F">
      <w:pPr>
        <w:spacing w:line="480" w:lineRule="auto"/>
        <w:jc w:val="center"/>
        <w:rPr>
          <w:rFonts w:ascii="Times New Roman" w:hAnsi="Times New Roman"/>
          <w:color w:val="000000" w:themeColor="text1"/>
          <w:sz w:val="24"/>
          <w:lang w:val="en-US"/>
        </w:rPr>
      </w:pPr>
    </w:p>
    <w:p w14:paraId="779B4C27" w14:textId="77777777" w:rsidR="00AC220F" w:rsidRPr="0094081B" w:rsidRDefault="00AC220F" w:rsidP="00AC220F">
      <w:pPr>
        <w:rPr>
          <w:rFonts w:ascii="Times New Roman" w:hAnsi="Times New Roman"/>
          <w:color w:val="000000" w:themeColor="text1"/>
          <w:sz w:val="24"/>
          <w:lang w:val="en-US"/>
        </w:rPr>
      </w:pPr>
      <w:r w:rsidRPr="0094081B">
        <w:rPr>
          <w:rFonts w:ascii="Times New Roman" w:hAnsi="Times New Roman"/>
          <w:color w:val="000000" w:themeColor="text1"/>
          <w:sz w:val="24"/>
          <w:lang w:val="en-US"/>
        </w:rPr>
        <w:br w:type="page"/>
      </w:r>
    </w:p>
    <w:p w14:paraId="0460C226" w14:textId="77777777" w:rsidR="00AC220F" w:rsidRDefault="00AC220F" w:rsidP="0094081B">
      <w:pPr>
        <w:spacing w:line="480" w:lineRule="auto"/>
        <w:jc w:val="both"/>
        <w:rPr>
          <w:rFonts w:ascii="Times New Roman" w:hAnsi="Times New Roman"/>
          <w:color w:val="000000" w:themeColor="text1"/>
          <w:sz w:val="24"/>
          <w:lang w:val="en-IN" w:bidi="th-TH"/>
        </w:rPr>
      </w:pPr>
    </w:p>
    <w:p w14:paraId="2AEE1849" w14:textId="77777777" w:rsidR="0094081B" w:rsidRPr="0094081B" w:rsidRDefault="0094081B" w:rsidP="0094081B">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US" w:bidi="th-TH"/>
        </w:rPr>
      </w:pPr>
      <w:bookmarkStart w:id="1" w:name="_Toc153824848"/>
      <w:r w:rsidRPr="0094081B">
        <w:rPr>
          <w:rFonts w:ascii="Times New Roman" w:eastAsiaTheme="majorEastAsia" w:hAnsi="Times New Roman" w:cstheme="majorBidi"/>
          <w:b/>
          <w:bCs/>
          <w:color w:val="000000" w:themeColor="text1"/>
          <w:sz w:val="28"/>
          <w:szCs w:val="25"/>
          <w:lang w:val="en-US" w:bidi="th-TH"/>
        </w:rPr>
        <w:t>Conclusion</w:t>
      </w:r>
      <w:bookmarkEnd w:id="1"/>
    </w:p>
    <w:p w14:paraId="0B26794C" w14:textId="77777777" w:rsidR="0094081B" w:rsidRPr="0094081B" w:rsidRDefault="0094081B" w:rsidP="0094081B">
      <w:pPr>
        <w:spacing w:line="480" w:lineRule="auto"/>
        <w:jc w:val="both"/>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t xml:space="preserve">Business intelligence supports data-driven approaches for successful implementation by helping firms detect trends, developments, and opportunities through sophisticated algorithms and visualisations. This essay has therefore made it clearer how to use Excel functions correctly in order to use the data for particular interpretations. In addition, the essay covered data mining, text mining, the concept of SPSS, and its benefits and drawbacks. Each calculation and graphical representation has been processed and presented in the essay in the appropriate manner. </w:t>
      </w:r>
    </w:p>
    <w:p w14:paraId="5E0804BE" w14:textId="77777777" w:rsidR="0094081B" w:rsidRPr="0094081B" w:rsidRDefault="0094081B" w:rsidP="0094081B">
      <w:pPr>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br w:type="page"/>
      </w:r>
    </w:p>
    <w:p w14:paraId="74AAC656" w14:textId="77777777" w:rsidR="0094081B" w:rsidRPr="0094081B" w:rsidRDefault="0094081B" w:rsidP="0094081B">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bookmarkStart w:id="2" w:name="_Toc153824849"/>
      <w:r w:rsidRPr="0094081B">
        <w:rPr>
          <w:rFonts w:ascii="Times New Roman" w:eastAsiaTheme="majorEastAsia" w:hAnsi="Times New Roman" w:cstheme="majorBidi"/>
          <w:b/>
          <w:bCs/>
          <w:color w:val="000000" w:themeColor="text1"/>
          <w:sz w:val="28"/>
          <w:szCs w:val="25"/>
          <w:lang w:val="en-IN" w:bidi="th-TH"/>
        </w:rPr>
        <w:t>References</w:t>
      </w:r>
      <w:bookmarkEnd w:id="2"/>
    </w:p>
    <w:p w14:paraId="5687BEDC"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Almond, N., (2023). What Are Mean Median Mode Range? Definition, Examples &amp; Practice Question For Primary School. [Online] Available at: https://thirdspacelearning.com/blog/what-is-mean-median-mode/ [Accessed 29 November 2023].</w:t>
      </w:r>
    </w:p>
    <w:p w14:paraId="30B1F43C"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analytixlabs, (2021). What Is the Difference Between Data Analysis and Interpretation?. [Online] Available at: https://www.analytixlabs.co.in/blog/data-analysis-and-interpretation/ [Accessed 29 November 2023].</w:t>
      </w:r>
    </w:p>
    <w:p w14:paraId="35F3745E"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apollotechnical, (2022). WHAT IS DATA INTERPRETATION? ALL YOU NEED TO KNOW. [Online] Available at: https://www.apollotechnical.com/what-is-data-interpretation-all-you-need-to-know/ [Accessed 30 November 2023].</w:t>
      </w:r>
    </w:p>
    <w:p w14:paraId="57C41A6E"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Brathwaite, S., (2023). How to use Excel formulas and functions. [Online] Available at: https://www.computerworld.com/article/3693258/how-to-use-excel-formulas-and-functions.html [Accessed 29 November 2023].</w:t>
      </w:r>
    </w:p>
    <w:p w14:paraId="1936D776"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busayo.longe, (2023). What is Data Interpretation? + [Types, Method &amp; Tools]. [Online] Available at: https://www.formpl.us/blog/data-interpretation [Accessed 30 November 2023].</w:t>
      </w:r>
    </w:p>
    <w:p w14:paraId="67F49A1D"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Calzon, B., (2023). A Guide To The Methods, Benefits &amp; Problems of The Interpretation of Data. [Online] Available at: https://www.datapine.com/blog/data-interpretation-methods-benefits-problems/[Accessed 29 November 2023].</w:t>
      </w:r>
    </w:p>
    <w:p w14:paraId="2DC938FB"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Cheusheva, S., (2023). Basic Excel formulas &amp; functions with examples. [Online] Available at: https://www.ablebits.com/office-addins-blog/basic-excel-formulas-functions/ [Accessed 30 November 2023].</w:t>
      </w:r>
    </w:p>
    <w:p w14:paraId="1B9BC4FC"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corporatefinanceinstitute, (2023). Basic Excel Formulas. [Online] Available at: https://corporatefinanceinstitute.com/resources/excel/basic-excel-formulas-beginners/ [Accessed 30 November 2023].</w:t>
      </w:r>
    </w:p>
    <w:p w14:paraId="41E0BC2E"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corporatefinanceinstitute, (2023). Microsoft Excel Definition. [Online] Available at: https://corporatefinanceinstitute.com/resources/excel/excel-definition-overview/#:~:text=Excel%20definition%3A%20a%20software%20program,free%20Excel%20Crash%20Course%20here! [Accessed 30 November 2023].</w:t>
      </w:r>
    </w:p>
    <w:p w14:paraId="65A0193C"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cuemath, (2023). Mean Median Mode. [Online] Available at: https://www.cuemath.com/data/mean-median-mode  [Accessed 29 November 2023].</w:t>
      </w:r>
    </w:p>
    <w:p w14:paraId="49F4FB8C"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ELHADY, H., (2023). What is Data Interpretation? Methods, Examples &amp; Tools. [Online] Available at: https://blog.golayer.io/business/data-interpretation [Accessed 29 November 2023].</w:t>
      </w:r>
    </w:p>
    <w:p w14:paraId="56630126"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Gillis, A. S., (2023). Excel. [Online] Available at: https://www.techtarget.com/searchenterprisedesktop/definition/Excel [Accessed 30 November 2023].</w:t>
      </w:r>
    </w:p>
    <w:p w14:paraId="2F300019"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Jankutė-Carmaciu, I., (2021). Data Interpretation: Definition, Method, Benefits &amp; Examples. [Online] Available at: https://whatagraph.com/blog/articles/data-interpretation [Accessed 29 November 2023].</w:t>
      </w:r>
    </w:p>
    <w:p w14:paraId="5F808B22"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LINKER, E., (2023). Data Interpretation: Unraveling the Story Behind Numbers. [Online] Available at: https://improvado.io/blog/what-is-data-interpretation [Accessed 30 November 2023].</w:t>
      </w:r>
    </w:p>
    <w:p w14:paraId="61667F33"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Morris, S., (2023). Data Interpretation: Definition, Importance, and Processes. [Online] Available at: https://coresignal.com/blog/data-interpretation/ [Accessed 29 November 2023].</w:t>
      </w:r>
    </w:p>
    <w:p w14:paraId="342ABE4A"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statistics, (2023). Measures of Central Tendency. [Online]  Available at: https://statistics.laerd.com/statistical-guides/measures-central-tendency-mean-mode-median.php [Accessed 29 November 2023].</w:t>
      </w:r>
    </w:p>
    <w:p w14:paraId="66D2F2E6"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statisticshowto, (2023). Mean Median Mode: What They Are, How to Find Them. [Online] Available at: https://www.statisticshowto.com/probability-and-statistics/statistics-definitions/mean-median-mode/ [Accessed 29 November 2023].</w:t>
      </w:r>
    </w:p>
    <w:p w14:paraId="45BD4F79"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techtarget, (2023). SPSS (Statistical Package for the Social Sciences). [Online] Available at: https://www.techtarget.com/whatis/definition/SPSS-Statistical-Package-for-the-Social-Sciences [Accessed 29 November 2023].</w:t>
      </w:r>
    </w:p>
    <w:p w14:paraId="0A9EC0B5"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Tracy, S., (2022). Meaningful Interpretation of Data: The Good, the Bad and the Ugly. [Online] Available at: https://analythical.com/blog/interpreting-data [Accessed 30 November 2023].</w:t>
      </w:r>
    </w:p>
    <w:p w14:paraId="07539AE0"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Williams, K., (2023). What is SPSS? Definition, Features, Types, and Use Cases. [Online] Available at: https://surveysparrow.com/blog/what-is-spss/ [Accessed 29 November 2023].</w:t>
      </w:r>
    </w:p>
    <w:p w14:paraId="2D6942EA"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 xml:space="preserve">Williams, T. A., (2023). statistics. [Online] Available at: https://www.britannica.com/science/statistics [Accessed 29 November 2023]. </w:t>
      </w:r>
    </w:p>
    <w:p w14:paraId="3A38E60C" w14:textId="77777777" w:rsidR="0094081B" w:rsidRPr="0094081B" w:rsidRDefault="0094081B" w:rsidP="0094081B">
      <w:pPr>
        <w:spacing w:line="480" w:lineRule="auto"/>
        <w:jc w:val="both"/>
        <w:rPr>
          <w:rFonts w:ascii="Times New Roman" w:hAnsi="Times New Roman"/>
          <w:color w:val="000000" w:themeColor="text1"/>
          <w:sz w:val="24"/>
          <w:lang w:val="en-IN" w:bidi="th-TH"/>
        </w:rPr>
      </w:pPr>
    </w:p>
    <w:p w14:paraId="33DE2870" w14:textId="77777777" w:rsidR="0094081B" w:rsidRPr="0094081B" w:rsidRDefault="0094081B" w:rsidP="0094081B">
      <w:pPr>
        <w:spacing w:line="480" w:lineRule="auto"/>
        <w:jc w:val="both"/>
        <w:rPr>
          <w:rFonts w:ascii="Times New Roman" w:hAnsi="Times New Roman"/>
          <w:color w:val="000000" w:themeColor="text1"/>
          <w:sz w:val="24"/>
          <w:lang w:val="en-IN" w:bidi="th-TH"/>
        </w:rPr>
      </w:pPr>
    </w:p>
    <w:p w14:paraId="6CC20E80" w14:textId="77777777" w:rsidR="0094081B" w:rsidRPr="0094081B" w:rsidRDefault="0094081B" w:rsidP="0094081B">
      <w:pPr>
        <w:spacing w:line="480" w:lineRule="auto"/>
        <w:jc w:val="both"/>
        <w:rPr>
          <w:rFonts w:ascii="Times New Roman" w:hAnsi="Times New Roman"/>
          <w:color w:val="000000" w:themeColor="text1"/>
          <w:sz w:val="24"/>
          <w:lang w:val="en-IN" w:bidi="th-TH"/>
        </w:rPr>
      </w:pPr>
    </w:p>
    <w:p w14:paraId="6BB33F15" w14:textId="77777777" w:rsidR="0094081B" w:rsidRPr="0094081B" w:rsidRDefault="0094081B" w:rsidP="0094081B">
      <w:pPr>
        <w:spacing w:line="480" w:lineRule="auto"/>
        <w:jc w:val="both"/>
        <w:rPr>
          <w:rFonts w:ascii="Times New Roman" w:hAnsi="Times New Roman"/>
          <w:color w:val="000000" w:themeColor="text1"/>
          <w:sz w:val="24"/>
          <w:lang w:val="en-US"/>
        </w:rPr>
      </w:pPr>
    </w:p>
    <w:p w14:paraId="5687E8C3" w14:textId="77777777" w:rsidR="0094081B" w:rsidRPr="0094081B" w:rsidRDefault="0094081B" w:rsidP="0094081B">
      <w:pPr>
        <w:spacing w:line="480" w:lineRule="auto"/>
        <w:jc w:val="both"/>
        <w:rPr>
          <w:rFonts w:ascii="Times New Roman" w:hAnsi="Times New Roman"/>
          <w:b/>
          <w:bCs/>
          <w:color w:val="000000" w:themeColor="text1"/>
          <w:sz w:val="44"/>
          <w:szCs w:val="32"/>
          <w:lang w:val="en-IN"/>
        </w:rPr>
      </w:pPr>
    </w:p>
    <w:p w14:paraId="7134EB31" w14:textId="77777777" w:rsidR="00F73DDE" w:rsidRPr="0094081B" w:rsidRDefault="00F73DDE">
      <w:pPr>
        <w:rPr>
          <w:lang w:val="en-IN"/>
        </w:rPr>
      </w:pPr>
    </w:p>
    <w:sectPr w:rsidR="00F73DDE" w:rsidRPr="0094081B" w:rsidSect="008D1663">
      <w:headerReference w:type="default" r:id="rId13"/>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F72BE" w14:textId="77777777" w:rsidR="00A25F6F" w:rsidRDefault="00A25F6F" w:rsidP="00AC220F">
      <w:pPr>
        <w:spacing w:after="0" w:line="240" w:lineRule="auto"/>
      </w:pPr>
      <w:r>
        <w:separator/>
      </w:r>
    </w:p>
  </w:endnote>
  <w:endnote w:type="continuationSeparator" w:id="0">
    <w:p w14:paraId="468156DB" w14:textId="77777777" w:rsidR="00A25F6F" w:rsidRDefault="00A25F6F" w:rsidP="00AC2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8625467"/>
      <w:docPartObj>
        <w:docPartGallery w:val="Page Numbers (Bottom of Page)"/>
        <w:docPartUnique/>
      </w:docPartObj>
    </w:sdtPr>
    <w:sdtEndPr/>
    <w:sdtContent>
      <w:sdt>
        <w:sdtPr>
          <w:id w:val="-1769616900"/>
          <w:docPartObj>
            <w:docPartGallery w:val="Page Numbers (Top of Page)"/>
            <w:docPartUnique/>
          </w:docPartObj>
        </w:sdtPr>
        <w:sdtEndPr/>
        <w:sdtContent>
          <w:p w14:paraId="0E828875" w14:textId="77777777" w:rsidR="00FE44F9" w:rsidRDefault="005B22E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0B9B297" w14:textId="77777777" w:rsidR="00FE44F9" w:rsidRDefault="00FE4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F2F4C" w14:textId="77777777" w:rsidR="00A25F6F" w:rsidRDefault="00A25F6F" w:rsidP="00AC220F">
      <w:pPr>
        <w:spacing w:after="0" w:line="240" w:lineRule="auto"/>
      </w:pPr>
      <w:r>
        <w:separator/>
      </w:r>
    </w:p>
  </w:footnote>
  <w:footnote w:type="continuationSeparator" w:id="0">
    <w:p w14:paraId="44DF0473" w14:textId="77777777" w:rsidR="00A25F6F" w:rsidRDefault="00A25F6F" w:rsidP="00AC22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526E3" w14:textId="42A34E69" w:rsidR="00FE44F9" w:rsidRDefault="00FE44F9">
    <w:pPr>
      <w:pStyle w:val="Header"/>
      <w:jc w:val="right"/>
      <w:rPr>
        <w:color w:val="7F7F7F" w:themeColor="text1" w:themeTint="80"/>
      </w:rPr>
    </w:pPr>
  </w:p>
  <w:p w14:paraId="7C21CFAB" w14:textId="77777777" w:rsidR="00FE44F9" w:rsidRPr="008D1663" w:rsidRDefault="00FE44F9" w:rsidP="008D16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81B"/>
    <w:rsid w:val="002D595D"/>
    <w:rsid w:val="00371714"/>
    <w:rsid w:val="005B22E2"/>
    <w:rsid w:val="00653A1D"/>
    <w:rsid w:val="008D75E5"/>
    <w:rsid w:val="0094081B"/>
    <w:rsid w:val="00A25F6F"/>
    <w:rsid w:val="00AC220F"/>
    <w:rsid w:val="00AF77BC"/>
    <w:rsid w:val="00BE20BC"/>
    <w:rsid w:val="00C007A6"/>
    <w:rsid w:val="00F73DDE"/>
    <w:rsid w:val="00FE4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366D1"/>
  <w15:chartTrackingRefBased/>
  <w15:docId w15:val="{29B3EEE7-72CF-4F83-9299-107E852C8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7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0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81B"/>
  </w:style>
  <w:style w:type="paragraph" w:styleId="Footer">
    <w:name w:val="footer"/>
    <w:basedOn w:val="Normal"/>
    <w:link w:val="FooterChar"/>
    <w:uiPriority w:val="99"/>
    <w:unhideWhenUsed/>
    <w:rsid w:val="00940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81B"/>
  </w:style>
  <w:style w:type="table" w:styleId="TableGrid">
    <w:name w:val="Table Grid"/>
    <w:basedOn w:val="TableNormal"/>
    <w:uiPriority w:val="39"/>
    <w:rsid w:val="0094081B"/>
    <w:pPr>
      <w:spacing w:after="0" w:line="240" w:lineRule="auto"/>
    </w:pPr>
    <w:rPr>
      <w:szCs w:val="28"/>
      <w:lang w:val="en-US"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C220F"/>
    <w:pPr>
      <w:spacing w:before="120" w:after="120"/>
    </w:pPr>
    <w:rPr>
      <w:rFonts w:cstheme="minorHAnsi"/>
      <w:b/>
      <w:bCs/>
      <w:caps/>
      <w:sz w:val="20"/>
      <w:szCs w:val="20"/>
    </w:rPr>
  </w:style>
  <w:style w:type="character" w:styleId="Hyperlink">
    <w:name w:val="Hyperlink"/>
    <w:basedOn w:val="DefaultParagraphFont"/>
    <w:uiPriority w:val="99"/>
    <w:unhideWhenUsed/>
    <w:rsid w:val="00AC220F"/>
    <w:rPr>
      <w:color w:val="0563C1" w:themeColor="hyperlink"/>
      <w:u w:val="single"/>
    </w:rPr>
  </w:style>
  <w:style w:type="character" w:customStyle="1" w:styleId="Heading1Char">
    <w:name w:val="Heading 1 Char"/>
    <w:basedOn w:val="DefaultParagraphFont"/>
    <w:link w:val="Heading1"/>
    <w:uiPriority w:val="9"/>
    <w:rsid w:val="00AF77BC"/>
    <w:rPr>
      <w:rFonts w:asciiTheme="majorHAnsi" w:eastAsiaTheme="majorEastAsia" w:hAnsiTheme="majorHAnsi" w:cstheme="majorBidi"/>
      <w:color w:val="2F5496" w:themeColor="accent1" w:themeShade="BF"/>
      <w:sz w:val="32"/>
      <w:szCs w:val="32"/>
    </w:rPr>
  </w:style>
  <w:style w:type="paragraph" w:styleId="TOC2">
    <w:name w:val="toc 2"/>
    <w:basedOn w:val="Normal"/>
    <w:next w:val="Normal"/>
    <w:autoRedefine/>
    <w:uiPriority w:val="39"/>
    <w:unhideWhenUsed/>
    <w:rsid w:val="00AF77BC"/>
    <w:pPr>
      <w:spacing w:after="0"/>
      <w:ind w:left="220"/>
    </w:pPr>
    <w:rPr>
      <w:rFonts w:cstheme="minorHAnsi"/>
      <w:smallCaps/>
      <w:sz w:val="20"/>
      <w:szCs w:val="20"/>
    </w:rPr>
  </w:style>
  <w:style w:type="paragraph" w:styleId="TOC3">
    <w:name w:val="toc 3"/>
    <w:basedOn w:val="Normal"/>
    <w:next w:val="Normal"/>
    <w:autoRedefine/>
    <w:uiPriority w:val="39"/>
    <w:unhideWhenUsed/>
    <w:rsid w:val="00AF77BC"/>
    <w:pPr>
      <w:spacing w:after="0"/>
      <w:ind w:left="440"/>
    </w:pPr>
    <w:rPr>
      <w:rFonts w:cstheme="minorHAnsi"/>
      <w:i/>
      <w:iCs/>
      <w:sz w:val="20"/>
      <w:szCs w:val="20"/>
    </w:rPr>
  </w:style>
  <w:style w:type="paragraph" w:styleId="TOC4">
    <w:name w:val="toc 4"/>
    <w:basedOn w:val="Normal"/>
    <w:next w:val="Normal"/>
    <w:autoRedefine/>
    <w:uiPriority w:val="39"/>
    <w:unhideWhenUsed/>
    <w:rsid w:val="00AF77BC"/>
    <w:pPr>
      <w:spacing w:after="0"/>
      <w:ind w:left="660"/>
    </w:pPr>
    <w:rPr>
      <w:rFonts w:cstheme="minorHAnsi"/>
      <w:sz w:val="18"/>
      <w:szCs w:val="18"/>
    </w:rPr>
  </w:style>
  <w:style w:type="paragraph" w:styleId="TOC5">
    <w:name w:val="toc 5"/>
    <w:basedOn w:val="Normal"/>
    <w:next w:val="Normal"/>
    <w:autoRedefine/>
    <w:uiPriority w:val="39"/>
    <w:unhideWhenUsed/>
    <w:rsid w:val="00AF77BC"/>
    <w:pPr>
      <w:spacing w:after="0"/>
      <w:ind w:left="880"/>
    </w:pPr>
    <w:rPr>
      <w:rFonts w:cstheme="minorHAnsi"/>
      <w:sz w:val="18"/>
      <w:szCs w:val="18"/>
    </w:rPr>
  </w:style>
  <w:style w:type="paragraph" w:styleId="TOC6">
    <w:name w:val="toc 6"/>
    <w:basedOn w:val="Normal"/>
    <w:next w:val="Normal"/>
    <w:autoRedefine/>
    <w:uiPriority w:val="39"/>
    <w:unhideWhenUsed/>
    <w:rsid w:val="00AF77BC"/>
    <w:pPr>
      <w:spacing w:after="0"/>
      <w:ind w:left="1100"/>
    </w:pPr>
    <w:rPr>
      <w:rFonts w:cstheme="minorHAnsi"/>
      <w:sz w:val="18"/>
      <w:szCs w:val="18"/>
    </w:rPr>
  </w:style>
  <w:style w:type="paragraph" w:styleId="TOC7">
    <w:name w:val="toc 7"/>
    <w:basedOn w:val="Normal"/>
    <w:next w:val="Normal"/>
    <w:autoRedefine/>
    <w:uiPriority w:val="39"/>
    <w:unhideWhenUsed/>
    <w:rsid w:val="00AF77BC"/>
    <w:pPr>
      <w:spacing w:after="0"/>
      <w:ind w:left="1320"/>
    </w:pPr>
    <w:rPr>
      <w:rFonts w:cstheme="minorHAnsi"/>
      <w:sz w:val="18"/>
      <w:szCs w:val="18"/>
    </w:rPr>
  </w:style>
  <w:style w:type="paragraph" w:styleId="TOC8">
    <w:name w:val="toc 8"/>
    <w:basedOn w:val="Normal"/>
    <w:next w:val="Normal"/>
    <w:autoRedefine/>
    <w:uiPriority w:val="39"/>
    <w:unhideWhenUsed/>
    <w:rsid w:val="00AF77BC"/>
    <w:pPr>
      <w:spacing w:after="0"/>
      <w:ind w:left="1540"/>
    </w:pPr>
    <w:rPr>
      <w:rFonts w:cstheme="minorHAnsi"/>
      <w:sz w:val="18"/>
      <w:szCs w:val="18"/>
    </w:rPr>
  </w:style>
  <w:style w:type="paragraph" w:styleId="TOC9">
    <w:name w:val="toc 9"/>
    <w:basedOn w:val="Normal"/>
    <w:next w:val="Normal"/>
    <w:autoRedefine/>
    <w:uiPriority w:val="39"/>
    <w:unhideWhenUsed/>
    <w:rsid w:val="00AF77BC"/>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014379">
      <w:bodyDiv w:val="1"/>
      <w:marLeft w:val="0"/>
      <w:marRight w:val="0"/>
      <w:marTop w:val="0"/>
      <w:marBottom w:val="0"/>
      <w:divBdr>
        <w:top w:val="none" w:sz="0" w:space="0" w:color="auto"/>
        <w:left w:val="none" w:sz="0" w:space="0" w:color="auto"/>
        <w:bottom w:val="none" w:sz="0" w:space="0" w:color="auto"/>
        <w:right w:val="none" w:sz="0" w:space="0" w:color="auto"/>
      </w:divBdr>
    </w:div>
    <w:div w:id="1571191507">
      <w:bodyDiv w:val="1"/>
      <w:marLeft w:val="0"/>
      <w:marRight w:val="0"/>
      <w:marTop w:val="0"/>
      <w:marBottom w:val="0"/>
      <w:divBdr>
        <w:top w:val="none" w:sz="0" w:space="0" w:color="auto"/>
        <w:left w:val="none" w:sz="0" w:space="0" w:color="auto"/>
        <w:bottom w:val="none" w:sz="0" w:space="0" w:color="auto"/>
        <w:right w:val="none" w:sz="0" w:space="0" w:color="auto"/>
      </w:divBdr>
    </w:div>
    <w:div w:id="169452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x1234\Downloads\Hotel%20Reservation%20-%20For%20A2%20Task%201.xls"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x1234\Downloads\Hotel%20Reservation%20-%20For%20A2%20Task%201.xls"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x1234\Downloads\Hotel%20Reservation%20-%20For%20A2%20Task%201.xls"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Sheet3!$E$3</c:f>
              <c:strCache>
                <c:ptCount val="1"/>
                <c:pt idx="0">
                  <c:v>Average price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Sheet3!$D$4:$D$8</c:f>
              <c:numCache>
                <c:formatCode>General</c:formatCode>
                <c:ptCount val="5"/>
                <c:pt idx="0">
                  <c:v>2017</c:v>
                </c:pt>
                <c:pt idx="1">
                  <c:v>2018</c:v>
                </c:pt>
                <c:pt idx="2">
                  <c:v>2019</c:v>
                </c:pt>
                <c:pt idx="3">
                  <c:v>2020</c:v>
                </c:pt>
                <c:pt idx="4">
                  <c:v>2021</c:v>
                </c:pt>
              </c:numCache>
            </c:numRef>
          </c:cat>
          <c:val>
            <c:numRef>
              <c:f>Sheet3!$E$4:$E$8</c:f>
              <c:numCache>
                <c:formatCode>General</c:formatCode>
                <c:ptCount val="5"/>
                <c:pt idx="0">
                  <c:v>549304.1</c:v>
                </c:pt>
                <c:pt idx="1">
                  <c:v>1666329.8</c:v>
                </c:pt>
                <c:pt idx="2">
                  <c:v>18015.29</c:v>
                </c:pt>
                <c:pt idx="3">
                  <c:v>20857.3</c:v>
                </c:pt>
                <c:pt idx="4">
                  <c:v>19436.8</c:v>
                </c:pt>
              </c:numCache>
            </c:numRef>
          </c:val>
          <c:extLst>
            <c:ext xmlns:c16="http://schemas.microsoft.com/office/drawing/2014/chart" uri="{C3380CC4-5D6E-409C-BE32-E72D297353CC}">
              <c16:uniqueId val="{00000000-67B3-479F-A188-E67459803970}"/>
            </c:ext>
          </c:extLst>
        </c:ser>
        <c:dLbls>
          <c:dLblPos val="ctr"/>
          <c:showLegendKey val="0"/>
          <c:showVal val="1"/>
          <c:showCatName val="0"/>
          <c:showSerName val="0"/>
          <c:showPercent val="0"/>
          <c:showBubbleSize val="0"/>
        </c:dLbls>
        <c:gapWidth val="150"/>
        <c:overlap val="100"/>
        <c:axId val="1244558575"/>
        <c:axId val="1172140367"/>
      </c:barChart>
      <c:catAx>
        <c:axId val="12445585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ARRIVAL</a:t>
                </a:r>
                <a:r>
                  <a:rPr lang="en-US" baseline="0"/>
                  <a:t> YEARS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140367"/>
        <c:crosses val="autoZero"/>
        <c:auto val="1"/>
        <c:lblAlgn val="ctr"/>
        <c:lblOffset val="100"/>
        <c:noMultiLvlLbl val="0"/>
      </c:catAx>
      <c:valAx>
        <c:axId val="1172140367"/>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 RANGE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4558575"/>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Sheet3!$E$3</c:f>
              <c:strCache>
                <c:ptCount val="1"/>
                <c:pt idx="0">
                  <c:v>Average price</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Sheet3!$D$4:$D$8</c:f>
              <c:numCache>
                <c:formatCode>General</c:formatCode>
                <c:ptCount val="5"/>
                <c:pt idx="0">
                  <c:v>2017</c:v>
                </c:pt>
                <c:pt idx="1">
                  <c:v>2018</c:v>
                </c:pt>
                <c:pt idx="2">
                  <c:v>2019</c:v>
                </c:pt>
                <c:pt idx="3">
                  <c:v>2020</c:v>
                </c:pt>
                <c:pt idx="4">
                  <c:v>2021</c:v>
                </c:pt>
              </c:numCache>
            </c:numRef>
          </c:cat>
          <c:val>
            <c:numRef>
              <c:f>Sheet3!$E$4:$E$8</c:f>
              <c:numCache>
                <c:formatCode>General</c:formatCode>
                <c:ptCount val="5"/>
                <c:pt idx="0">
                  <c:v>549304.1</c:v>
                </c:pt>
                <c:pt idx="1">
                  <c:v>1666329.8</c:v>
                </c:pt>
                <c:pt idx="2">
                  <c:v>18015.29</c:v>
                </c:pt>
                <c:pt idx="3">
                  <c:v>20857.3</c:v>
                </c:pt>
                <c:pt idx="4">
                  <c:v>19436.8</c:v>
                </c:pt>
              </c:numCache>
            </c:numRef>
          </c:val>
          <c:smooth val="0"/>
          <c:extLst>
            <c:ext xmlns:c16="http://schemas.microsoft.com/office/drawing/2014/chart" uri="{C3380CC4-5D6E-409C-BE32-E72D297353CC}">
              <c16:uniqueId val="{00000000-9C8F-4B6D-9D52-9D1E80A58CA8}"/>
            </c:ext>
          </c:extLst>
        </c:ser>
        <c:dLbls>
          <c:dLblPos val="t"/>
          <c:showLegendKey val="0"/>
          <c:showVal val="1"/>
          <c:showCatName val="0"/>
          <c:showSerName val="0"/>
          <c:showPercent val="0"/>
          <c:showBubbleSize val="0"/>
        </c:dLbls>
        <c:smooth val="0"/>
        <c:axId val="1244554255"/>
        <c:axId val="1246041775"/>
      </c:lineChart>
      <c:catAx>
        <c:axId val="12445542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ARRIVAL</a:t>
                </a:r>
                <a:r>
                  <a:rPr lang="en-US" baseline="0"/>
                  <a:t> YEAR</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6041775"/>
        <c:crosses val="autoZero"/>
        <c:auto val="1"/>
        <c:lblAlgn val="ctr"/>
        <c:lblOffset val="100"/>
        <c:noMultiLvlLbl val="0"/>
      </c:catAx>
      <c:valAx>
        <c:axId val="1246041775"/>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4554255"/>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[Hotel Reservation - For A2 Task 1.xls]Sheet2!PivotTable3</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pivotFmt>
      <c:pivotFmt>
        <c:idx val="7"/>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w="25400">
            <a:solidFill>
              <a:schemeClr val="lt1"/>
            </a:solidFill>
          </a:ln>
          <a:effectLst/>
          <a:sp3d contourW="25400">
            <a:contourClr>
              <a:schemeClr val="lt1"/>
            </a:contourClr>
          </a:sp3d>
        </c:spPr>
      </c:pivotFmt>
      <c:pivotFmt>
        <c:idx val="9"/>
        <c:spPr>
          <a:solidFill>
            <a:schemeClr val="accent1"/>
          </a:solidFill>
          <a:ln w="25400">
            <a:solidFill>
              <a:schemeClr val="lt1"/>
            </a:solidFill>
          </a:ln>
          <a:effectLst/>
          <a:sp3d contourW="25400">
            <a:contourClr>
              <a:schemeClr val="lt1"/>
            </a:contourClr>
          </a:sp3d>
        </c:spPr>
      </c:pivotFmt>
      <c:pivotFmt>
        <c:idx val="10"/>
        <c:spPr>
          <a:solidFill>
            <a:schemeClr val="accent1"/>
          </a:solidFill>
          <a:ln w="25400">
            <a:solidFill>
              <a:schemeClr val="lt1"/>
            </a:solidFill>
          </a:ln>
          <a:effectLst/>
          <a:sp3d contourW="25400">
            <a:contourClr>
              <a:schemeClr val="lt1"/>
            </a:contourClr>
          </a:sp3d>
        </c:spPr>
      </c:pivotFmt>
      <c:pivotFmt>
        <c:idx val="11"/>
        <c:spPr>
          <a:solidFill>
            <a:schemeClr val="accent1"/>
          </a:solidFill>
          <a:ln w="25400">
            <a:solidFill>
              <a:schemeClr val="lt1"/>
            </a:solidFill>
          </a:ln>
          <a:effectLst/>
          <a:sp3d contourW="25400">
            <a:contourClr>
              <a:schemeClr val="lt1"/>
            </a:contourClr>
          </a:sp3d>
        </c:spPr>
      </c:pivotFmt>
      <c:pivotFmt>
        <c:idx val="12"/>
        <c:spPr>
          <a:solidFill>
            <a:schemeClr val="accent1"/>
          </a:solidFill>
          <a:ln w="25400">
            <a:solidFill>
              <a:schemeClr val="lt1"/>
            </a:solidFill>
          </a:ln>
          <a:effectLst/>
          <a:sp3d contourW="25400">
            <a:contourClr>
              <a:schemeClr val="lt1"/>
            </a:contourClr>
          </a:sp3d>
        </c:spPr>
      </c:pivotFmt>
    </c:pivotFmts>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Sheet2!$M$1:$M$2</c:f>
              <c:strCache>
                <c:ptCount val="1"/>
                <c:pt idx="0">
                  <c:v>Total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F10-439D-903F-DCDA470F746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F10-439D-903F-DCDA470F746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F10-439D-903F-DCDA470F746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F10-439D-903F-DCDA470F746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F10-439D-903F-DCDA470F746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Sheet2!$L$3:$L$8</c:f>
              <c:strCache>
                <c:ptCount val="5"/>
                <c:pt idx="0">
                  <c:v>2017</c:v>
                </c:pt>
                <c:pt idx="1">
                  <c:v>2018</c:v>
                </c:pt>
                <c:pt idx="2">
                  <c:v>2019</c:v>
                </c:pt>
                <c:pt idx="3">
                  <c:v>2020</c:v>
                </c:pt>
                <c:pt idx="4">
                  <c:v>2021</c:v>
                </c:pt>
              </c:strCache>
            </c:strRef>
          </c:cat>
          <c:val>
            <c:numRef>
              <c:f>Sheet2!$M$3:$M$8</c:f>
              <c:numCache>
                <c:formatCode>0.00%</c:formatCode>
                <c:ptCount val="5"/>
                <c:pt idx="0">
                  <c:v>0.15291004299329161</c:v>
                </c:pt>
                <c:pt idx="1">
                  <c:v>0.83085834473675368</c:v>
                </c:pt>
                <c:pt idx="2">
                  <c:v>5.014924735292108E-3</c:v>
                </c:pt>
                <c:pt idx="3">
                  <c:v>5.8060563932863735E-3</c:v>
                </c:pt>
                <c:pt idx="4">
                  <c:v>5.4106311413763316E-3</c:v>
                </c:pt>
              </c:numCache>
            </c:numRef>
          </c:val>
          <c:extLst>
            <c:ext xmlns:c16="http://schemas.microsoft.com/office/drawing/2014/chart" uri="{C3380CC4-5D6E-409C-BE32-E72D297353CC}">
              <c16:uniqueId val="{0000000A-EF10-439D-903F-DCDA470F7467}"/>
            </c:ext>
          </c:extLst>
        </c:ser>
        <c:dLbls>
          <c:showLegendKey val="0"/>
          <c:showVal val="0"/>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Student</a:t>
            </a:r>
            <a:r>
              <a:rPr lang="en-US" baseline="0"/>
              <a:t>s by Gender</a:t>
            </a:r>
            <a:endParaRPr lang="ro-RO"/>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'Students Score'!$L$1:$M$1</c:f>
              <c:strCache>
                <c:ptCount val="2"/>
                <c:pt idx="0">
                  <c:v>Male students</c:v>
                </c:pt>
                <c:pt idx="1">
                  <c:v>Female students</c:v>
                </c:pt>
              </c:strCache>
            </c:strRef>
          </c:cat>
          <c:val>
            <c:numRef>
              <c:f>'Students Score'!$L$2:$M$2</c:f>
              <c:numCache>
                <c:formatCode>General</c:formatCode>
                <c:ptCount val="2"/>
                <c:pt idx="0">
                  <c:v>1077</c:v>
                </c:pt>
                <c:pt idx="1">
                  <c:v>1056</c:v>
                </c:pt>
              </c:numCache>
            </c:numRef>
          </c:val>
          <c:extLst>
            <c:ext xmlns:c16="http://schemas.microsoft.com/office/drawing/2014/chart" uri="{C3380CC4-5D6E-409C-BE32-E72D297353CC}">
              <c16:uniqueId val="{00000000-47BF-4306-A7F8-07F6E78081B6}"/>
            </c:ext>
          </c:extLst>
        </c:ser>
        <c:dLbls>
          <c:showLegendKey val="0"/>
          <c:showVal val="0"/>
          <c:showCatName val="0"/>
          <c:showSerName val="0"/>
          <c:showPercent val="0"/>
          <c:showBubbleSize val="0"/>
        </c:dLbls>
        <c:gapWidth val="219"/>
        <c:overlap val="-27"/>
        <c:axId val="1074682655"/>
        <c:axId val="1"/>
      </c:barChart>
      <c:catAx>
        <c:axId val="1074682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682655"/>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Qualified and not qualifyed students for free lunch</a:t>
            </a:r>
          </a:p>
        </c:rich>
      </c:tx>
      <c:overlay val="0"/>
      <c:spPr>
        <a:noFill/>
        <a:ln>
          <a:noFill/>
        </a:ln>
        <a:effectLst/>
      </c:spPr>
    </c:title>
    <c:autoTitleDeleted val="0"/>
    <c:plotArea>
      <c:layout/>
      <c:barChart>
        <c:barDir val="col"/>
        <c:grouping val="stacked"/>
        <c:varyColors val="0"/>
        <c:ser>
          <c:idx val="0"/>
          <c:order val="0"/>
          <c:spPr>
            <a:solidFill>
              <a:schemeClr val="accent1"/>
            </a:solidFill>
            <a:ln>
              <a:noFill/>
            </a:ln>
            <a:effectLst/>
          </c:spPr>
          <c:invertIfNegative val="0"/>
          <c:cat>
            <c:strRef>
              <c:f>'Students Score'!$N$1:$O$1</c:f>
              <c:strCache>
                <c:ptCount val="2"/>
                <c:pt idx="0">
                  <c:v>Students Qualifies for reduced/free lunch</c:v>
                </c:pt>
                <c:pt idx="1">
                  <c:v>Students Does not qualify for free lunch</c:v>
                </c:pt>
              </c:strCache>
            </c:strRef>
          </c:cat>
          <c:val>
            <c:numRef>
              <c:f>'Students Score'!$N$2:$O$2</c:f>
              <c:numCache>
                <c:formatCode>General</c:formatCode>
                <c:ptCount val="2"/>
                <c:pt idx="0">
                  <c:v>918</c:v>
                </c:pt>
                <c:pt idx="1">
                  <c:v>1215</c:v>
                </c:pt>
              </c:numCache>
            </c:numRef>
          </c:val>
          <c:extLst>
            <c:ext xmlns:c16="http://schemas.microsoft.com/office/drawing/2014/chart" uri="{C3380CC4-5D6E-409C-BE32-E72D297353CC}">
              <c16:uniqueId val="{00000000-86BE-4E19-B527-5E7471B5B0B6}"/>
            </c:ext>
          </c:extLst>
        </c:ser>
        <c:dLbls>
          <c:showLegendKey val="0"/>
          <c:showVal val="0"/>
          <c:showCatName val="0"/>
          <c:showSerName val="0"/>
          <c:showPercent val="0"/>
          <c:showBubbleSize val="0"/>
        </c:dLbls>
        <c:gapWidth val="150"/>
        <c:overlap val="100"/>
        <c:axId val="1074681215"/>
        <c:axId val="1"/>
      </c:barChart>
      <c:catAx>
        <c:axId val="1074681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681215"/>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Ber233</b:Tag>
    <b:SourceType>InternetSite</b:SourceType>
    <b:Guid>{E578F08A-6873-4BB3-88AC-E3A2734E6C88}</b:Guid>
    <b:Author>
      <b:Author>
        <b:NameList>
          <b:Person>
            <b:Last>Calzon</b:Last>
            <b:First>Bernardita</b:First>
          </b:Person>
        </b:NameList>
      </b:Author>
    </b:Author>
    <b:Title>A Guide To The Methods, Benefits &amp; Problems of The Interpretation of Data</b:Title>
    <b:Year>2023</b:Year>
    <b:YearAccessed>2023</b:YearAccessed>
    <b:MonthAccessed>November</b:MonthAccessed>
    <b:DayAccessed>29</b:DayAccessed>
    <b:URL>https://www.datapine.com/blog/data-interpretation-methods-benefits-problems/</b:URL>
    <b:RefOrder>1</b:RefOrder>
  </b:Source>
  <b:Source>
    <b:Tag>Ind21</b:Tag>
    <b:SourceType>InternetSite</b:SourceType>
    <b:Guid>{3B729037-4938-4B21-90C0-AFECD9DDD832}</b:Guid>
    <b:Author>
      <b:Author>
        <b:NameList>
          <b:Person>
            <b:Last>Jankutė-Carmaciu</b:Last>
            <b:First>Indrė</b:First>
          </b:Person>
        </b:NameList>
      </b:Author>
    </b:Author>
    <b:Title>Data Interpretation: Definition, Method, Benefits &amp; Examples</b:Title>
    <b:Year>2021</b:Year>
    <b:YearAccessed>2023</b:YearAccessed>
    <b:MonthAccessed>November</b:MonthAccessed>
    <b:DayAccessed>29</b:DayAccessed>
    <b:URL>https://whatagraph.com/blog/articles/data-interpretation</b:URL>
    <b:RefOrder>2</b:RefOrder>
  </b:Source>
  <b:Source>
    <b:Tag>HAD23</b:Tag>
    <b:SourceType>InternetSite</b:SourceType>
    <b:Guid>{CE70FFAD-05EA-422C-A0C6-31DC673ACF39}</b:Guid>
    <b:Author>
      <b:Author>
        <b:NameList>
          <b:Person>
            <b:Last>ELHADY</b:Last>
            <b:First>HADY</b:First>
          </b:Person>
        </b:NameList>
      </b:Author>
    </b:Author>
    <b:Title>What is Data Interpretation? Methods, Examples &amp; Tools</b:Title>
    <b:Year>2023</b:Year>
    <b:YearAccessed>2023</b:YearAccessed>
    <b:MonthAccessed>November</b:MonthAccessed>
    <b:DayAccessed>29</b:DayAccessed>
    <b:URL>https://blog.golayer.io/business/data-interpretation</b:URL>
    <b:RefOrder>3</b:RefOrder>
  </b:Source>
  <b:Source>
    <b:Tag>Sus231</b:Tag>
    <b:SourceType>InternetSite</b:SourceType>
    <b:Guid>{F1722968-889C-4A94-868F-E5755208B552}</b:Guid>
    <b:Author>
      <b:Author>
        <b:NameList>
          <b:Person>
            <b:Last>Morris</b:Last>
            <b:First>Susanne</b:First>
          </b:Person>
        </b:NameList>
      </b:Author>
    </b:Author>
    <b:Title>Data Interpretation: Definition, Importance, and Processes</b:Title>
    <b:Year>2023</b:Year>
    <b:YearAccessed>2023</b:YearAccessed>
    <b:MonthAccessed>November</b:MonthAccessed>
    <b:DayAccessed>29</b:DayAccessed>
    <b:URL>https://coresignal.com/blog/data-interpretation/</b:URL>
    <b:RefOrder>4</b:RefOrder>
  </b:Source>
  <b:Source>
    <b:Tag>ana21</b:Tag>
    <b:SourceType>InternetSite</b:SourceType>
    <b:Guid>{2D74205E-E42B-4176-B468-5C9B8CBA1A02}</b:Guid>
    <b:Author>
      <b:Author>
        <b:Corporate>analytixlabs</b:Corporate>
      </b:Author>
    </b:Author>
    <b:Title>What Is the Difference Between Data Analysis and Interpretation?</b:Title>
    <b:Year>2021</b:Year>
    <b:YearAccessed>2023</b:YearAccessed>
    <b:MonthAccessed>November</b:MonthAccessed>
    <b:DayAccessed>29</b:DayAccessed>
    <b:URL>https://www.analytixlabs.co.in/blog/data-analysis-and-interpretation/</b:URL>
    <b:RefOrder>5</b:RefOrder>
  </b:Source>
  <b:Source>
    <b:Tag>apo22</b:Tag>
    <b:SourceType>InternetSite</b:SourceType>
    <b:Guid>{8E9470D5-FACE-4C4A-8D33-A9DA5DEC3BC9}</b:Guid>
    <b:Author>
      <b:Author>
        <b:Corporate>apollotechnical</b:Corporate>
      </b:Author>
    </b:Author>
    <b:Title>WHAT IS DATA INTERPRETATION? ALL YOU NEED TO KNOW</b:Title>
    <b:Year>2022</b:Year>
    <b:YearAccessed>2023</b:YearAccessed>
    <b:MonthAccessed> November</b:MonthAccessed>
    <b:DayAccessed>30</b:DayAccessed>
    <b:URL>https://www.apollotechnical.com/what-is-data-interpretation-all-you-need-to-know/</b:URL>
    <b:RefOrder>6</b:RefOrder>
  </b:Source>
  <b:Source>
    <b:Tag>ELE23</b:Tag>
    <b:SourceType>InternetSite</b:SourceType>
    <b:Guid>{3CBA534A-E53F-4024-90EF-D552FF2EC5E3}</b:Guid>
    <b:Author>
      <b:Author>
        <b:NameList>
          <b:Person>
            <b:Last>LINKER</b:Last>
            <b:First>ELENA</b:First>
          </b:Person>
        </b:NameList>
      </b:Author>
    </b:Author>
    <b:Title>Data Interpretation: Unraveling the Story Behind Numbers</b:Title>
    <b:Year>2023</b:Year>
    <b:YearAccessed>2023</b:YearAccessed>
    <b:MonthAccessed>November</b:MonthAccessed>
    <b:DayAccessed>30</b:DayAccessed>
    <b:URL>https://improvado.io/blog/what-is-data-interpretation</b:URL>
    <b:RefOrder>7</b:RefOrder>
  </b:Source>
  <b:Source>
    <b:Tag>bus235</b:Tag>
    <b:SourceType>InternetSite</b:SourceType>
    <b:Guid>{BBDDA45B-85C9-4062-A20E-AA8262C912FA}</b:Guid>
    <b:Author>
      <b:Author>
        <b:NameList>
          <b:Person>
            <b:Last>busayo.longe</b:Last>
          </b:Person>
        </b:NameList>
      </b:Author>
    </b:Author>
    <b:Title>What is Data Interpretation? + [Types, Method &amp; Tools]</b:Title>
    <b:Year>2023</b:Year>
    <b:YearAccessed>2023</b:YearAccessed>
    <b:MonthAccessed>November</b:MonthAccessed>
    <b:DayAccessed>30</b:DayAccessed>
    <b:URL>https://www.formpl.us/blog/data-interpretation</b:URL>
    <b:RefOrder>8</b:RefOrder>
  </b:Source>
  <b:Source>
    <b:Tag>Ste226</b:Tag>
    <b:SourceType>InternetSite</b:SourceType>
    <b:Guid>{0D39D83A-3224-40DE-819C-CA54ACA58057}</b:Guid>
    <b:Author>
      <b:Author>
        <b:NameList>
          <b:Person>
            <b:Last>Tracy</b:Last>
            <b:First>Stephen</b:First>
          </b:Person>
        </b:NameList>
      </b:Author>
    </b:Author>
    <b:Title>Meaningful Interpretation of Data: The Good, the Bad and the Ugly</b:Title>
    <b:Year>2022</b:Year>
    <b:YearAccessed>2023</b:YearAccessed>
    <b:MonthAccessed>November</b:MonthAccessed>
    <b:DayAccessed>30</b:DayAccessed>
    <b:URL>https://analythical.com/blog/interpreting-data</b:URL>
    <b:RefOrder>9</b:RefOrder>
  </b:Source>
  <b:Source>
    <b:Tag>Sve23</b:Tag>
    <b:SourceType>InternetSite</b:SourceType>
    <b:Guid>{3C1C131D-B3BA-44B6-B77C-39F1E2DF09AD}</b:Guid>
    <b:Author>
      <b:Author>
        <b:NameList>
          <b:Person>
            <b:Last>Cheusheva</b:Last>
            <b:First>Svetlana</b:First>
          </b:Person>
        </b:NameList>
      </b:Author>
    </b:Author>
    <b:Title>Basic Excel formulas &amp; functions with examples</b:Title>
    <b:Year>2023</b:Year>
    <b:YearAccessed>2023</b:YearAccessed>
    <b:MonthAccessed>November</b:MonthAccessed>
    <b:DayAccessed>30</b:DayAccessed>
    <b:URL>https://www.ablebits.com/office-addins-blog/basic-excel-formulas-functions/</b:URL>
    <b:RefOrder>10</b:RefOrder>
  </b:Source>
  <b:Source>
    <b:Tag>cor2361</b:Tag>
    <b:SourceType>InternetSite</b:SourceType>
    <b:Guid>{2FCCCC4F-31C6-434D-9902-5BA179BC5C75}</b:Guid>
    <b:Author>
      <b:Author>
        <b:Corporate>corporatefinanceinstitute</b:Corporate>
      </b:Author>
    </b:Author>
    <b:Title>Basic Excel Formulas</b:Title>
    <b:Year>2023</b:Year>
    <b:YearAccessed>2023</b:YearAccessed>
    <b:MonthAccessed>November</b:MonthAccessed>
    <b:DayAccessed>30</b:DayAccessed>
    <b:URL>https://corporatefinanceinstitute.com/resources/excel/basic-excel-formulas-beginners/</b:URL>
    <b:RefOrder>11</b:RefOrder>
  </b:Source>
  <b:Source>
    <b:Tag>Shi23</b:Tag>
    <b:SourceType>InternetSite</b:SourceType>
    <b:Guid>{9EAC1FFF-6FE3-4F42-A4A2-CE128CD45497}</b:Guid>
    <b:Author>
      <b:Author>
        <b:NameList>
          <b:Person>
            <b:Last>Brathwaite</b:Last>
            <b:First>Shimon</b:First>
          </b:Person>
        </b:NameList>
      </b:Author>
    </b:Author>
    <b:Title>How to use Excel formulas and functions</b:Title>
    <b:Year>2023</b:Year>
    <b:YearAccessed>2023</b:YearAccessed>
    <b:MonthAccessed>November</b:MonthAccessed>
    <b:DayAccessed>29</b:DayAccessed>
    <b:URL>https://www.computerworld.com/article/3693258/how-to-use-excel-formulas-and-functions.html</b:URL>
    <b:RefOrder>12</b:RefOrder>
  </b:Source>
  <b:Source>
    <b:Tag>cue233</b:Tag>
    <b:SourceType>InternetSite</b:SourceType>
    <b:Guid>{1322B821-A2EC-4413-A3AE-1E62633EB8AD}</b:Guid>
    <b:Author>
      <b:Author>
        <b:Corporate>cuemath</b:Corporate>
      </b:Author>
    </b:Author>
    <b:Title>Mean Median Mode</b:Title>
    <b:Year>2023</b:Year>
    <b:YearAccessed>2023</b:YearAccessed>
    <b:MonthAccessed>November</b:MonthAccessed>
    <b:DayAccessed>29</b:DayAccessed>
    <b:URL>https://www.cuemath.com/data/mean-median-mode/</b:URL>
    <b:RefOrder>13</b:RefOrder>
  </b:Source>
  <b:Source>
    <b:Tag>sta2323</b:Tag>
    <b:SourceType>InternetSite</b:SourceType>
    <b:Guid>{D9F29AB6-FAA7-41D5-8E6B-B4D399244CC7}</b:Guid>
    <b:Author>
      <b:Author>
        <b:Corporate>statisticshowto</b:Corporate>
      </b:Author>
    </b:Author>
    <b:Title>Mean Median Mode: What They Are, How to Find Them</b:Title>
    <b:Year>2023</b:Year>
    <b:YearAccessed>2023</b:YearAccessed>
    <b:MonthAccessed>November</b:MonthAccessed>
    <b:DayAccessed>29</b:DayAccessed>
    <b:URL>https://www.statisticshowto.com/probability-and-statistics/statistics-definitions/mean-median-mode/</b:URL>
    <b:RefOrder>14</b:RefOrder>
  </b:Source>
  <b:Source>
    <b:Tag>Nei231</b:Tag>
    <b:SourceType>InternetSite</b:SourceType>
    <b:Guid>{86B2BE9C-C25D-4A9C-B405-5E6DA48F10C4}</b:Guid>
    <b:Author>
      <b:Author>
        <b:NameList>
          <b:Person>
            <b:Last>Almond</b:Last>
            <b:First>Neil</b:First>
          </b:Person>
        </b:NameList>
      </b:Author>
    </b:Author>
    <b:Title>What Are Mean Median Mode Range? Definition, Examples &amp; Practice Question For Primary School</b:Title>
    <b:Year>2023</b:Year>
    <b:YearAccessed>2023</b:YearAccessed>
    <b:MonthAccessed>November</b:MonthAccessed>
    <b:DayAccessed>29</b:DayAccessed>
    <b:URL>https://thirdspacelearning.com/blog/what-is-mean-median-mode/</b:URL>
    <b:RefOrder>15</b:RefOrder>
  </b:Source>
  <b:Source>
    <b:Tag>sta2324</b:Tag>
    <b:SourceType>InternetSite</b:SourceType>
    <b:Guid>{450643A4-C56D-4FFA-9740-2C86E4981EB4}</b:Guid>
    <b:Author>
      <b:Author>
        <b:Corporate>statistics</b:Corporate>
      </b:Author>
    </b:Author>
    <b:Title>Measures of Central Tendency</b:Title>
    <b:Year>2023</b:Year>
    <b:YearAccessed>2023</b:YearAccessed>
    <b:MonthAccessed>November</b:MonthAccessed>
    <b:DayAccessed>29</b:DayAccessed>
    <b:URL>https://statistics.laerd.com/statistical-guides/measures-central-tendency-mean-mode-median.php</b:URL>
    <b:RefOrder>16</b:RefOrder>
  </b:Source>
  <b:Source>
    <b:Tag>Tho231</b:Tag>
    <b:SourceType>InternetSite</b:SourceType>
    <b:Guid>{52085CC7-5ECD-49FC-ACD4-649F4F3D73A9}</b:Guid>
    <b:Author>
      <b:Author>
        <b:NameList>
          <b:Person>
            <b:Last>Williams</b:Last>
            <b:First>Thomas</b:First>
            <b:Middle>A.</b:Middle>
          </b:Person>
        </b:NameList>
      </b:Author>
    </b:Author>
    <b:Title>statistics</b:Title>
    <b:Year>2023</b:Year>
    <b:YearAccessed>2023</b:YearAccessed>
    <b:MonthAccessed>November</b:MonthAccessed>
    <b:DayAccessed>29</b:DayAccessed>
    <b:URL>https://www.britannica.com/science/statistics</b:URL>
    <b:RefOrder>17</b:RefOrder>
  </b:Source>
  <b:Source>
    <b:Tag>Kat2310</b:Tag>
    <b:SourceType>InternetSite</b:SourceType>
    <b:Guid>{2CAE80B7-684F-4D86-829F-57BC21A07A57}</b:Guid>
    <b:Author>
      <b:Author>
        <b:NameList>
          <b:Person>
            <b:Last>Williams</b:Last>
            <b:First>Kate</b:First>
          </b:Person>
        </b:NameList>
      </b:Author>
    </b:Author>
    <b:Title>What is SPSS? Definition, Features, Types, and Use Cases</b:Title>
    <b:Year>2023</b:Year>
    <b:YearAccessed>2023</b:YearAccessed>
    <b:MonthAccessed>November</b:MonthAccessed>
    <b:DayAccessed>29</b:DayAccessed>
    <b:URL>https://surveysparrow.com/blog/what-is-spss/</b:URL>
    <b:RefOrder>18</b:RefOrder>
  </b:Source>
  <b:Source>
    <b:Tag>tec233</b:Tag>
    <b:SourceType>InternetSite</b:SourceType>
    <b:Guid>{5B70F4F3-E230-4DD9-8C3C-0C27877D343B}</b:Guid>
    <b:Author>
      <b:Author>
        <b:Corporate>techtarget</b:Corporate>
      </b:Author>
    </b:Author>
    <b:Title>SPSS (Statistical Package for the Social Sciences)</b:Title>
    <b:Year>2023</b:Year>
    <b:YearAccessed>2023</b:YearAccessed>
    <b:MonthAccessed>November</b:MonthAccessed>
    <b:DayAccessed>29</b:DayAccessed>
    <b:URL>https://www.techtarget.com/whatis/definition/SPSS-Statistical-Package-for-the-Social-Sciences</b:URL>
    <b:RefOrder>19</b:RefOrder>
  </b:Source>
  <b:Source>
    <b:Tag>cor2362</b:Tag>
    <b:SourceType>InternetSite</b:SourceType>
    <b:Guid>{67B4ECF7-400F-4AA2-95AC-AA93EFB53EA8}</b:Guid>
    <b:Author>
      <b:Author>
        <b:Corporate>corporatefinanceinstitute</b:Corporate>
      </b:Author>
    </b:Author>
    <b:Title>Microsoft Excel Definition</b:Title>
    <b:Year>2023</b:Year>
    <b:YearAccessed>2023</b:YearAccessed>
    <b:MonthAccessed>November</b:MonthAccessed>
    <b:DayAccessed>30</b:DayAccessed>
    <b:URL>https://corporatefinanceinstitute.com/resources/excel/excel-definition-overview/#:~:text=Excel%20definition%3A%20a%20software%20program,free%20Excel%20Crash%20Course%20here!</b:URL>
    <b:RefOrder>20</b:RefOrder>
  </b:Source>
  <b:Source>
    <b:Tag>Ale232</b:Tag>
    <b:SourceType>InternetSite</b:SourceType>
    <b:Guid>{FC4F4E01-7D40-43BE-B5F5-DA164FBCA6E3}</b:Guid>
    <b:Author>
      <b:Author>
        <b:NameList>
          <b:Person>
            <b:Last>Gillis</b:Last>
            <b:First>Alexander</b:First>
            <b:Middle>S.</b:Middle>
          </b:Person>
        </b:NameList>
      </b:Author>
    </b:Author>
    <b:Title>Excel</b:Title>
    <b:Year>2023</b:Year>
    <b:YearAccessed>2023</b:YearAccessed>
    <b:MonthAccessed>November</b:MonthAccessed>
    <b:DayAccessed>30</b:DayAccessed>
    <b:URL>https://www.techtarget.com/searchenterprisedesktop/definition/Excel</b:URL>
    <b:RefOrder>21</b:RefOrder>
  </b:Source>
</b:Sources>
</file>

<file path=customXml/itemProps1.xml><?xml version="1.0" encoding="utf-8"?>
<ds:datastoreItem xmlns:ds="http://schemas.openxmlformats.org/officeDocument/2006/customXml" ds:itemID="{ED766252-204B-4231-89FA-29D82B83CE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3938</Words>
  <Characters>22447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Triboi (2027089)</dc:creator>
  <cp:keywords/>
  <dc:description/>
  <cp:lastModifiedBy>Lilia Triboi (2027089)</cp:lastModifiedBy>
  <cp:revision>2</cp:revision>
  <dcterms:created xsi:type="dcterms:W3CDTF">2023-12-19T10:59:00Z</dcterms:created>
  <dcterms:modified xsi:type="dcterms:W3CDTF">2023-12-19T10:59:00Z</dcterms:modified>
</cp:coreProperties>
</file>