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3ABFF8" w14:textId="2B0F1366" w:rsidR="00A97B5B" w:rsidRDefault="00A97B5B">
      <w:pPr>
        <w:rPr>
          <w:u w:val="single"/>
        </w:rPr>
      </w:pPr>
      <w:r>
        <w:rPr>
          <w:u w:val="single"/>
        </w:rPr>
        <w:t>Essay</w:t>
      </w:r>
    </w:p>
    <w:p w14:paraId="3E1CAA31" w14:textId="21A553A8" w:rsidR="00A97B5B" w:rsidRDefault="00A97B5B">
      <w:pPr>
        <w:rPr>
          <w:b/>
          <w:bCs/>
          <w:u w:val="single"/>
        </w:rPr>
      </w:pPr>
      <w:r>
        <w:rPr>
          <w:b/>
          <w:bCs/>
          <w:u w:val="single"/>
        </w:rPr>
        <w:t>Shakespear’s Roman Plays: Justice or Morbid Curiosity?</w:t>
      </w:r>
    </w:p>
    <w:p w14:paraId="00EC6D3A" w14:textId="2344064F" w:rsidR="00A97B5B" w:rsidRDefault="00A97B5B">
      <w:r>
        <w:t xml:space="preserve">In this essay I aim to look at Shakespear’s Roman plays, Titus Andronicus, Julius Caesar and Coriolanus. To see if the deaths of the antagonists or main cast was justified or a morbid fascination to please the audience with a violent representation of justice at the time. Most of Shakespeare’s roman plays have ties towards real life politics of the time </w:t>
      </w:r>
      <w:r w:rsidR="00BE587A">
        <w:t>around the last play written being Coriolanus</w:t>
      </w:r>
      <w:r>
        <w:t>, to which I aim to explore and make a connection between charter deaths and real-world problems that people may benefit from seeing a sense of justification from in the time period.</w:t>
      </w:r>
    </w:p>
    <w:p w14:paraId="442AAAC8" w14:textId="376E030B" w:rsidR="00A97B5B" w:rsidRDefault="00A97B5B">
      <w:pPr>
        <w:rPr>
          <w:u w:val="single"/>
        </w:rPr>
      </w:pPr>
      <w:r>
        <w:rPr>
          <w:u w:val="single"/>
        </w:rPr>
        <w:t>The plays deaths</w:t>
      </w:r>
    </w:p>
    <w:p w14:paraId="6A68706B" w14:textId="198E27AF" w:rsidR="00DF430F" w:rsidRDefault="00A97B5B">
      <w:r>
        <w:t>To look into justification, we need to know how and why the characters of these plays died. In Titus Andronicus</w:t>
      </w:r>
      <w:r w:rsidR="00DF430F">
        <w:t>, Titus died at the end of the play fighting with Tamora and Saturninus and is then avenged by his son Lucius who then becomes the emperor who sentences Lavinia’s lover Aaron to death. In Julius Caesar, Julius dies after coming back from war and his friends and allies believe that he’ll gain too much power and will become king, so they decide to conspire against him and each of them stab him to death</w:t>
      </w:r>
      <w:r w:rsidR="009F0D9D">
        <w:t>, to which the leader of this conspiracy turns the people against the other conspirators, to which most commit suicide to avoid a potentially worse fate. Finally, in Coriolanus who’d been rejected as a consul joins forces with his former enemy Aufidius to conquer Rome and on the brink of success he is persuaded by his mother Volumnia to spare the city even though it costed him his life, to which Rome honours Volumnia for saving them.</w:t>
      </w:r>
    </w:p>
    <w:p w14:paraId="319B84FA" w14:textId="22BB99E5" w:rsidR="009F0D9D" w:rsidRDefault="009F0D9D">
      <w:r>
        <w:t>Looking into what caused their deaths it seems as though for Coriolanus and Caesar it is a case of people being manipulated and controlled by fear</w:t>
      </w:r>
      <w:r w:rsidR="005C72A4">
        <w:t xml:space="preserve"> and killed for control of that fear. However, in Titus Andronicus the deaths seem more meticulous and carefully planned out, Titus wanted justice for the horrific thing Lavinia, Aaron, Tamora and Saturnus did to his family, however in turn did a horrific thing to their family, a perpetual state of violence that went to far and seemingly ended with a climatic ending of murder.</w:t>
      </w:r>
    </w:p>
    <w:p w14:paraId="3A1B9DBE" w14:textId="55494904" w:rsidR="005C72A4" w:rsidRDefault="005C72A4">
      <w:r>
        <w:t xml:space="preserve">In Titus Andronicus, Titus comes back from a war in which he’d lost many children and when he returned, he sacrificed his oldest son to the queen Tamora. In turn Titus helps Saturninus become emperor. </w:t>
      </w:r>
      <w:r w:rsidR="00745BA2">
        <w:t xml:space="preserve">Saturninus was to marry Titus’s daughter Lavinia however she married someone else with the help of her brothers, so he instead marries the queen. Tomora’s lover Aaron then orders her sons to kill the man Lavinia married that then incriminates Titus’s sons, whilst there they also assault Lavinia cutting of her tongue and limbs so she couldn’t report them. When Titus eventually finds out who is behind his children’s </w:t>
      </w:r>
      <w:r w:rsidR="007D451F">
        <w:t>pain,</w:t>
      </w:r>
      <w:r w:rsidR="00745BA2">
        <w:t xml:space="preserve"> he murders the </w:t>
      </w:r>
      <w:r w:rsidR="007D451F">
        <w:t>sons</w:t>
      </w:r>
      <w:r w:rsidR="00745BA2">
        <w:t xml:space="preserve"> to which most would leave the justice with them however Titus takes it a bit further making the </w:t>
      </w:r>
      <w:r w:rsidR="007D451F">
        <w:t>sons</w:t>
      </w:r>
      <w:r w:rsidR="00745BA2">
        <w:t xml:space="preserve"> into pies and feeding them to the queen and Saturninus.</w:t>
      </w:r>
    </w:p>
    <w:p w14:paraId="61045B18" w14:textId="49DC0982" w:rsidR="007D451F" w:rsidRDefault="00745BA2">
      <w:r>
        <w:lastRenderedPageBreak/>
        <w:t xml:space="preserve">This seems as though it pushes heavily on the </w:t>
      </w:r>
      <w:r w:rsidR="007D451F">
        <w:t>way of justice and makes people question if he past the boundary of justice and is now portraying a sick morbid fantasy of what happens when misunderstandings happen and/ or what happens when people abuse the power given to them.</w:t>
      </w:r>
      <w:r w:rsidR="000479E1">
        <w:t xml:space="preserve"> So, without the context of real world, it seems as though a lot of the deaths in Shakespeare’s roman plays seem less on justice and more of fear and the circle of toxic violence and is about mental health and what we people will do to fight for what they believe in.</w:t>
      </w:r>
    </w:p>
    <w:p w14:paraId="63BCA511" w14:textId="2483C52D" w:rsidR="000479E1" w:rsidRDefault="000479E1">
      <w:pPr>
        <w:rPr>
          <w:u w:val="single"/>
        </w:rPr>
      </w:pPr>
      <w:r>
        <w:rPr>
          <w:u w:val="single"/>
        </w:rPr>
        <w:t>Real world Politics</w:t>
      </w:r>
    </w:p>
    <w:p w14:paraId="69724B84" w14:textId="34D73361" w:rsidR="004D7F5D" w:rsidRDefault="000479E1">
      <w:r>
        <w:t xml:space="preserve">when looking at real world politics that relate back towards the plays, the best play to see a clear connection is Coriolanus as it relates back to things that </w:t>
      </w:r>
      <w:r w:rsidR="004D7F5D">
        <w:t>were</w:t>
      </w:r>
      <w:r>
        <w:t xml:space="preserve"> happening in </w:t>
      </w:r>
      <w:r w:rsidR="004D7F5D">
        <w:t>England. The play shows a representation of the election of Tribunes from among plebeian class, in Roman history, Shakespear</w:t>
      </w:r>
      <w:r w:rsidR="00873FFA">
        <w:t>e</w:t>
      </w:r>
      <w:r w:rsidR="004D7F5D">
        <w:t xml:space="preserve"> made the Plutarch that was translated by Sir Thomas North, </w:t>
      </w:r>
      <w:r w:rsidR="004D7F5D">
        <w:rPr>
          <w:i/>
          <w:iCs/>
        </w:rPr>
        <w:t>I</w:t>
      </w:r>
      <w:r w:rsidR="004D7F5D" w:rsidRPr="004D7F5D">
        <w:rPr>
          <w:i/>
          <w:iCs/>
        </w:rPr>
        <w:t xml:space="preserve">n Lives of the Noble Grecians and Romans </w:t>
      </w:r>
      <w:r w:rsidR="004D7F5D">
        <w:t xml:space="preserve">that was published in 1579 as well as </w:t>
      </w:r>
      <w:r w:rsidR="004D7F5D" w:rsidRPr="004D7F5D">
        <w:t>the formation of Roman tributes in 494 BC</w:t>
      </w:r>
      <w:r w:rsidR="004D7F5D">
        <w:t xml:space="preserve">, that was interpreted by Livy, in the </w:t>
      </w:r>
      <w:r w:rsidR="004D7F5D">
        <w:rPr>
          <w:i/>
          <w:iCs/>
        </w:rPr>
        <w:t xml:space="preserve">history of Rome. </w:t>
      </w:r>
      <w:r w:rsidR="004D7F5D">
        <w:t xml:space="preserve">To use as the constitutes for the fictional context of Coriolanus, in an attempt </w:t>
      </w:r>
      <w:r w:rsidR="00212685">
        <w:t>to discuss the class struggle and the Jacobean politics in England, with some adjustments made to Roman’s political events in order to make his message work.</w:t>
      </w:r>
      <w:r w:rsidR="00212685">
        <w:rPr>
          <w:rStyle w:val="FootnoteReference"/>
        </w:rPr>
        <w:footnoteReference w:id="1"/>
      </w:r>
      <w:r w:rsidR="00212685">
        <w:t xml:space="preserve"> However using the excuse of the plays being set in Rome allows </w:t>
      </w:r>
      <w:r w:rsidR="00873FFA">
        <w:t>for Shakespeare to share his opinions and scorn people in power without much consequence, where as without his plays may never of been able to be published or gotten Shakespeare arrested.</w:t>
      </w:r>
    </w:p>
    <w:p w14:paraId="26159BB1" w14:textId="2D548FCD" w:rsidR="005B387E" w:rsidRDefault="00873FFA">
      <w:r>
        <w:t>It's stated that the Midlands Riots took place whilst Shakespeare was composing Coriolanus.</w:t>
      </w:r>
      <w:r>
        <w:rPr>
          <w:rStyle w:val="FootnoteReference"/>
        </w:rPr>
        <w:footnoteReference w:id="2"/>
      </w:r>
      <w:r w:rsidR="002E4197">
        <w:t xml:space="preserve"> In early seventeenth century people saw class factionalism rise due to an increase of food prices, corn scarcity and enclosures. The divide between the land and class resulting in the resentment, riots and levelling.</w:t>
      </w:r>
      <w:r w:rsidR="002E4197">
        <w:rPr>
          <w:rStyle w:val="FootnoteReference"/>
        </w:rPr>
        <w:footnoteReference w:id="3"/>
      </w:r>
      <w:r w:rsidR="005B387E">
        <w:t xml:space="preserve"> Which is why a lot of Shakespeare’s Roman plays talks heavily upon food or using metaphors around food, this could be said for Titus Andronicus extreme actions at the end of the play with the people in power are being fed their own children ( a potential metaphor about their own bad decisions) and or their justice being presented by food.</w:t>
      </w:r>
      <w:r w:rsidR="003C1DA1">
        <w:t xml:space="preserve"> </w:t>
      </w:r>
      <w:r w:rsidR="005B387E">
        <w:t xml:space="preserve">The protests began on May Day in Northamptonshire, 1607, and by many petitions to the King against enclosures, they reached Warwickshire where Shakespeare lived and </w:t>
      </w:r>
      <w:r w:rsidR="003C1DA1">
        <w:t>six other Counties.</w:t>
      </w:r>
      <w:r w:rsidR="003C1DA1">
        <w:rPr>
          <w:rStyle w:val="FootnoteReference"/>
        </w:rPr>
        <w:footnoteReference w:id="4"/>
      </w:r>
    </w:p>
    <w:p w14:paraId="75CCF6ED" w14:textId="4FD6F7B8" w:rsidR="00212685" w:rsidRDefault="003C1DA1">
      <w:r>
        <w:t xml:space="preserve">During the Midlands Rising James VI issued four proclamations, in May, June, July and August of 1607, in which he made the political analogy of the body, to prove the paternal </w:t>
      </w:r>
      <w:r>
        <w:lastRenderedPageBreak/>
        <w:t>‘care’ over the sovereign and his ‘desire of the Publike good’.</w:t>
      </w:r>
      <w:r>
        <w:rPr>
          <w:rStyle w:val="FootnoteReference"/>
        </w:rPr>
        <w:footnoteReference w:id="5"/>
      </w:r>
      <w:r w:rsidR="001C6A7F">
        <w:t xml:space="preserve"> Thi</w:t>
      </w:r>
      <w:r w:rsidR="007D564E">
        <w:t>s is seen in Coriolanus when Coriolanus’s banishment is seen as the citizens assertion that Rome is the People ( Act 3 scene 1)  and is a defence of Rome’s corporeal integrity and of ‘the Publike god’ even though from Caius Martius’s perspective, the city of Rome is not the people and other characters claim it to be.</w:t>
      </w:r>
    </w:p>
    <w:p w14:paraId="50CE64A9" w14:textId="77777777" w:rsidR="00CF125F" w:rsidRDefault="007D564E">
      <w:r>
        <w:t xml:space="preserve">In </w:t>
      </w:r>
      <w:r w:rsidR="00A27D49">
        <w:t>fact,</w:t>
      </w:r>
      <w:r>
        <w:t xml:space="preserve"> the riots are probably a big portion of inspiration to Shakespeare’s writing as the riots caused the gentry and nobility to fear</w:t>
      </w:r>
      <w:r w:rsidR="00A27D49">
        <w:t xml:space="preserve"> that </w:t>
      </w:r>
      <w:r>
        <w:t xml:space="preserve">their property </w:t>
      </w:r>
      <w:r w:rsidR="00A27D49">
        <w:t>being encroached upon, which according to Christoper Hill was all hidden ‘Beneath an attitude of contempt.’</w:t>
      </w:r>
      <w:r w:rsidR="00A27D49">
        <w:rPr>
          <w:rStyle w:val="FootnoteReference"/>
        </w:rPr>
        <w:footnoteReference w:id="6"/>
      </w:r>
      <w:r w:rsidR="00A27D49">
        <w:t xml:space="preserve"> Which can be translated to both Coriolanus and </w:t>
      </w:r>
      <w:r w:rsidR="00A27D49" w:rsidRPr="00A27D49">
        <w:t>Caesar</w:t>
      </w:r>
      <w:r w:rsidR="00A27D49">
        <w:t xml:space="preserve"> where it’s clear that the people in power know of the strength the people could have against them and how the negativity of their actions could cause them harm and that fear is what lead a lot of the characters to their deaths in the plays and just like the plays some of those characters still try to hide their emotions behind a state of contentment. It may also be good to </w:t>
      </w:r>
      <w:r w:rsidR="00CF125F">
        <w:t>see</w:t>
      </w:r>
      <w:r w:rsidR="00A27D49">
        <w:t xml:space="preserve"> </w:t>
      </w:r>
      <w:r w:rsidR="00CF125F">
        <w:t>the people in power being brought down in these plays for the audience considering that king James had denied the existence of food shortages, and had previously pointed out that ‘we have been careful to prevent such Enclosures, and Depopulations’ and later on admitted that making starch was irresponsible in a time ‘wherein the plenty of Corne shall not be very abundant’ which led to the food prices being raised, and therefore also a reason for the riots to start in the first place.</w:t>
      </w:r>
      <w:r w:rsidR="00CF125F">
        <w:rPr>
          <w:rStyle w:val="FootnoteReference"/>
        </w:rPr>
        <w:footnoteReference w:id="7"/>
      </w:r>
      <w:r w:rsidR="00CF125F">
        <w:t xml:space="preserve"> So it’s more than likely that people of all classes would have enjoyed seeing the people of the highest standing and say to get some sort of justification.</w:t>
      </w:r>
    </w:p>
    <w:p w14:paraId="18558B6C" w14:textId="50880D01" w:rsidR="00A27D49" w:rsidRDefault="00CF125F">
      <w:r>
        <w:t xml:space="preserve">Another thing that connects all </w:t>
      </w:r>
      <w:r w:rsidR="00D221BE">
        <w:t>three</w:t>
      </w:r>
      <w:r>
        <w:t xml:space="preserve"> plays together is that of the military and state suppression </w:t>
      </w:r>
      <w:r w:rsidR="00D221BE">
        <w:t>that the ‘offenders’ in the Midlands’s Rising</w:t>
      </w:r>
      <w:r>
        <w:t xml:space="preserve"> </w:t>
      </w:r>
      <w:r w:rsidR="00D221BE">
        <w:t>suffered on 8</w:t>
      </w:r>
      <w:r w:rsidR="00D221BE" w:rsidRPr="00D221BE">
        <w:rPr>
          <w:vertAlign w:val="superscript"/>
        </w:rPr>
        <w:t>th</w:t>
      </w:r>
      <w:r w:rsidR="00D221BE">
        <w:t xml:space="preserve"> June 1607 at Newton, Northamptonshire, when fifty of the protesters were killed outright.</w:t>
      </w:r>
      <w:r w:rsidR="00D221BE">
        <w:rPr>
          <w:rStyle w:val="FootnoteReference"/>
        </w:rPr>
        <w:footnoteReference w:id="8"/>
      </w:r>
      <w:r w:rsidR="00D221BE">
        <w:t xml:space="preserve"> All of the main charters in the plays are that of military men who then all suffered by the hands of those with power. To which Shakespeare may have been trying to show respects to those in military, by having those that wronged them in the play get some sense of justice.</w:t>
      </w:r>
    </w:p>
    <w:p w14:paraId="3D5284E4" w14:textId="057F3179" w:rsidR="00D221BE" w:rsidRDefault="00D221BE">
      <w:r>
        <w:lastRenderedPageBreak/>
        <w:t xml:space="preserve">Shakespeare seemed to make the connections between the politics of the real world and that of the play as clear as it could have been when writing Coriolanus. In some parts of the play </w:t>
      </w:r>
      <w:r w:rsidR="00B57B3F">
        <w:t>presents such an intense physical hunger and political ambition as the people feel sickly and the exhibition of the citizens political interests especially with the character Caius Martius that converts a vulnerability that is implied by the feeding of valour and waging war. Janet Adelman talks about the construction of subjectivity of Caius Martius in the feeding situation that happens within the play.</w:t>
      </w:r>
      <w:r w:rsidR="0093584F">
        <w:t xml:space="preserve"> To which she argues that disruption of the situation sets in motion the psychological defence strategy of the character which includes his conversation of vulnerability, felt by a child most intense whenever hungry and takes means of attack.</w:t>
      </w:r>
      <w:r w:rsidR="0093584F">
        <w:rPr>
          <w:rStyle w:val="FootnoteReference"/>
        </w:rPr>
        <w:footnoteReference w:id="9"/>
      </w:r>
      <w:r w:rsidR="0093584F">
        <w:t xml:space="preserve"> Overall in the play Coriolanus Shakespeare never represents the plebeians in a favourable light, which could be a representation of his own feelings towards those in nobility at the time of the Midland’s Rising and could also be</w:t>
      </w:r>
      <w:r w:rsidR="00BE587A">
        <w:t xml:space="preserve"> a contributing factor as to why the play wasn’t printed until 1623 in a folio of Shakespear’s works although it was written nearly twenty years before hand in 1608.</w:t>
      </w:r>
    </w:p>
    <w:p w14:paraId="6048A97B" w14:textId="0C9A3E64" w:rsidR="00CF125F" w:rsidRDefault="00BE587A">
      <w:pPr>
        <w:rPr>
          <w:u w:val="single"/>
        </w:rPr>
      </w:pPr>
      <w:r>
        <w:rPr>
          <w:u w:val="single"/>
        </w:rPr>
        <w:t>Overall summary/ Are the deaths truly justified or a morbid curiosity.</w:t>
      </w:r>
    </w:p>
    <w:p w14:paraId="7580216E" w14:textId="7C3AFE9E" w:rsidR="00BE587A" w:rsidRDefault="00BE587A">
      <w:r>
        <w:t xml:space="preserve">Now looking at the deaths again from the play with the context of the politics at the time it’s more understandable to understand the perspective of why Shakespeare wrote the characters in a certain way and why the deaths happened the way they did. For Coriolanus for a man well know for his strength but </w:t>
      </w:r>
      <w:r w:rsidR="00EE2543">
        <w:t>also that he turned his back on his own people for being rejected enough to team up with enemy although he did end up doing the right thing and spearing the people, it’s understandable for him to be murdered as he has brought pain and fear to the people all because he didn’t get his own way and could of potentially put the people back into a state of fear and potential war again if he was kept alive after his treason against the city and in a way justifiable as much as it is a somewhat sombre ending for the play and the main character.</w:t>
      </w:r>
    </w:p>
    <w:p w14:paraId="3E0B5766" w14:textId="77777777" w:rsidR="004538B9" w:rsidRDefault="00EE2543">
      <w:r>
        <w:t xml:space="preserve">For Julius Ceaser, I believe it to be a close interpretation of how fearful nobility can be to lose their state of power and a deep look into the mental state people of higher class can have and Shakespeare may have been trying to connect that with his audience at the time. There isn’t much justice when it comes to death of Ceaser, just a group of men scared of the power of other men. However, the deaths of those who conspired against Ceaser I believe can be argued with, on one hand they were manipulated into an intense fear of him but also </w:t>
      </w:r>
      <w:r w:rsidR="004538B9">
        <w:t>decided that they needed to go to the extreme of murdering their friend because of another person seeking power so their deaths are a justice for Caesar, but a fearful state of manipulation that was caused by someone else pulling at their strings.</w:t>
      </w:r>
    </w:p>
    <w:p w14:paraId="02979126" w14:textId="2C5D251E" w:rsidR="00EE2543" w:rsidRPr="00BE587A" w:rsidRDefault="004538B9">
      <w:r>
        <w:lastRenderedPageBreak/>
        <w:t>Titus Andronicus was a death that may have been an extreme that may not have been justification at all. Titus wanted power out of vengeance and all the sacrifices he had made in war, however things didn’t go according to his plans due to his thirst for power not allowing his children to live the lives they wanted to, however what happened to his children is not something of his own doing and couldn’t of been prevented, however only the son’s were responsible for those actions and the level of extreme that Titus went to during the final act is hard to see as justice and more of a lash out against the violence in his life and the moral seems to be more of perpetuating that circle of violence that was placed onto him, instead of doing the right thing for justice.</w:t>
      </w:r>
    </w:p>
    <w:sectPr w:rsidR="00EE2543" w:rsidRPr="00BE58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488099" w14:textId="77777777" w:rsidR="00212685" w:rsidRDefault="00212685" w:rsidP="00212685">
      <w:pPr>
        <w:spacing w:after="0" w:line="240" w:lineRule="auto"/>
      </w:pPr>
      <w:r>
        <w:separator/>
      </w:r>
    </w:p>
  </w:endnote>
  <w:endnote w:type="continuationSeparator" w:id="0">
    <w:p w14:paraId="6188F638" w14:textId="77777777" w:rsidR="00212685" w:rsidRDefault="00212685" w:rsidP="00212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6BB162" w14:textId="77777777" w:rsidR="00212685" w:rsidRDefault="00212685" w:rsidP="00212685">
      <w:pPr>
        <w:spacing w:after="0" w:line="240" w:lineRule="auto"/>
      </w:pPr>
      <w:r>
        <w:separator/>
      </w:r>
    </w:p>
  </w:footnote>
  <w:footnote w:type="continuationSeparator" w:id="0">
    <w:p w14:paraId="59E849A6" w14:textId="77777777" w:rsidR="00212685" w:rsidRDefault="00212685" w:rsidP="00212685">
      <w:pPr>
        <w:spacing w:after="0" w:line="240" w:lineRule="auto"/>
      </w:pPr>
      <w:r>
        <w:continuationSeparator/>
      </w:r>
    </w:p>
  </w:footnote>
  <w:footnote w:id="1">
    <w:p w14:paraId="6F8CBB87" w14:textId="494A2205" w:rsidR="00212685" w:rsidRDefault="00212685">
      <w:pPr>
        <w:pStyle w:val="FootnoteText"/>
      </w:pPr>
      <w:r>
        <w:rPr>
          <w:rStyle w:val="FootnoteReference"/>
        </w:rPr>
        <w:footnoteRef/>
      </w:r>
      <w:r>
        <w:t xml:space="preserve"> A. Patterson, Shakespeare and the Popular Voice (Oxford: Basil Blackwell, 1989), p.132.</w:t>
      </w:r>
    </w:p>
  </w:footnote>
  <w:footnote w:id="2">
    <w:p w14:paraId="7089882A" w14:textId="4E8631F3" w:rsidR="00873FFA" w:rsidRDefault="00873FFA">
      <w:pPr>
        <w:pStyle w:val="FootnoteText"/>
      </w:pPr>
      <w:r>
        <w:rPr>
          <w:rStyle w:val="FootnoteReference"/>
        </w:rPr>
        <w:footnoteRef/>
      </w:r>
      <w:r>
        <w:t xml:space="preserve"> Jonathan Dollimore, Radical Tragedy: Religion, </w:t>
      </w:r>
      <w:r w:rsidR="005B387E">
        <w:t>I</w:t>
      </w:r>
      <w:r>
        <w:t xml:space="preserve">deology and </w:t>
      </w:r>
      <w:r w:rsidR="005B387E">
        <w:t>P</w:t>
      </w:r>
      <w:r>
        <w:t>ower in the Drama of Shakespeare and his Contemporaries, 2</w:t>
      </w:r>
      <w:r w:rsidRPr="00873FFA">
        <w:rPr>
          <w:vertAlign w:val="superscript"/>
        </w:rPr>
        <w:t>nd</w:t>
      </w:r>
      <w:r>
        <w:t xml:space="preserve"> edn (London: Harvester Wheatsheaf, 1989), pp. 218-30</w:t>
      </w:r>
      <w:r w:rsidR="002E4197">
        <w:t>; C.C Huffman, Coriolanus in Context (Cranbury: Associated University Press, 1971), pp. 147-49</w:t>
      </w:r>
      <w:r w:rsidR="005B387E">
        <w:t>.</w:t>
      </w:r>
    </w:p>
  </w:footnote>
  <w:footnote w:id="3">
    <w:p w14:paraId="1F932515" w14:textId="608FDBC6" w:rsidR="002E4197" w:rsidRDefault="002E4197">
      <w:pPr>
        <w:pStyle w:val="FootnoteText"/>
      </w:pPr>
      <w:r>
        <w:rPr>
          <w:rStyle w:val="FootnoteReference"/>
        </w:rPr>
        <w:footnoteRef/>
      </w:r>
      <w:r>
        <w:t xml:space="preserve"> Christopher Hill, Change and Continuity in Seventeenth-Century England</w:t>
      </w:r>
      <w:r w:rsidR="005B387E">
        <w:t xml:space="preserve"> (London: Weidenfeld &amp;</w:t>
      </w:r>
      <w:r>
        <w:t xml:space="preserve"> </w:t>
      </w:r>
      <w:r w:rsidR="005B387E">
        <w:t>Nicholson, 1974), pp. 186-188.</w:t>
      </w:r>
    </w:p>
  </w:footnote>
  <w:footnote w:id="4">
    <w:p w14:paraId="201D6458" w14:textId="0DD39D1F" w:rsidR="003C1DA1" w:rsidRDefault="003C1DA1">
      <w:pPr>
        <w:pStyle w:val="FootnoteText"/>
      </w:pPr>
      <w:r>
        <w:rPr>
          <w:rStyle w:val="FootnoteReference"/>
        </w:rPr>
        <w:footnoteRef/>
      </w:r>
      <w:r>
        <w:t xml:space="preserve"> Patterson p. 136.</w:t>
      </w:r>
    </w:p>
  </w:footnote>
  <w:footnote w:id="5">
    <w:p w14:paraId="0D3ABC2E" w14:textId="1257A8A1" w:rsidR="003C1DA1" w:rsidRPr="001B68E2" w:rsidRDefault="003C1DA1">
      <w:pPr>
        <w:pStyle w:val="FootnoteText"/>
      </w:pPr>
      <w:r>
        <w:rPr>
          <w:rStyle w:val="FootnoteReference"/>
        </w:rPr>
        <w:footnoteRef/>
      </w:r>
      <w:r>
        <w:t xml:space="preserve"> The four Royal Proclamation </w:t>
      </w:r>
      <w:r w:rsidR="00754704">
        <w:t>referred to are: 71 ‘A Proclamation for suppressing of persons riotously assembled for the laying open of Inclosures’ (Westminster 30  May 1607); 72 ‘A Proclamation signifying his Majesties pleasure as well as for suppressing of riotous Assemblies about Inclosures, as for reformation of Depopulations’ (Greenwich</w:t>
      </w:r>
      <w:r w:rsidR="001B68E2">
        <w:t xml:space="preserve"> 28 June 1607); 74 ‘A proclamation signifying his Majesties gracious Parden for the Offendours about Inclosures’ (Windsor Castle 24 July 1607) ; 75 ‘ A proclamation concerning starch’ (Sailsbury 23 August 1607). J.F. Larkin and P. L. Hughes, eds, </w:t>
      </w:r>
      <w:r w:rsidR="001B68E2">
        <w:rPr>
          <w:i/>
          <w:iCs/>
        </w:rPr>
        <w:t xml:space="preserve">Stuart royal proclamations, </w:t>
      </w:r>
      <w:r w:rsidR="001B68E2">
        <w:t>2 vols (Oxford: Clarendon Press, 1973), Cited in the text are Proclamations 72, pp. 155, 156, and 75, p. 164</w:t>
      </w:r>
    </w:p>
  </w:footnote>
  <w:footnote w:id="6">
    <w:p w14:paraId="4C9A45ED" w14:textId="66A460FE" w:rsidR="00A27D49" w:rsidRDefault="00A27D49">
      <w:pPr>
        <w:pStyle w:val="FootnoteText"/>
      </w:pPr>
      <w:r>
        <w:rPr>
          <w:rStyle w:val="FootnoteReference"/>
        </w:rPr>
        <w:footnoteRef/>
      </w:r>
      <w:r>
        <w:t xml:space="preserve"> Hill, Change and Continuity in Seventeenth Century England, p. 186 and Patterson, Shakespear and The Common Voice, p. 136.</w:t>
      </w:r>
    </w:p>
  </w:footnote>
  <w:footnote w:id="7">
    <w:p w14:paraId="48C58E5E" w14:textId="1319F9FA" w:rsidR="00CF125F" w:rsidRDefault="00CF125F">
      <w:pPr>
        <w:pStyle w:val="FootnoteText"/>
      </w:pPr>
      <w:r>
        <w:rPr>
          <w:rStyle w:val="FootnoteReference"/>
        </w:rPr>
        <w:footnoteRef/>
      </w:r>
      <w:r>
        <w:t xml:space="preserve"> Larkin and Hughes, eds, Stuart Royal Proclamations, Proclamations 74 p. 161, 71, p. 153; 72, p. 155;75, p.163.</w:t>
      </w:r>
    </w:p>
  </w:footnote>
  <w:footnote w:id="8">
    <w:p w14:paraId="4D825C6B" w14:textId="37245504" w:rsidR="00D221BE" w:rsidRDefault="00D221BE">
      <w:pPr>
        <w:pStyle w:val="FootnoteText"/>
      </w:pPr>
      <w:r>
        <w:rPr>
          <w:rStyle w:val="FootnoteReference"/>
        </w:rPr>
        <w:footnoteRef/>
      </w:r>
      <w:r>
        <w:t xml:space="preserve"> Larkin and Hughes, eds, Stuart Royal Proclamations, p. 155 note 2.</w:t>
      </w:r>
    </w:p>
  </w:footnote>
  <w:footnote w:id="9">
    <w:p w14:paraId="0C1EAB4E" w14:textId="75E4E93D" w:rsidR="0093584F" w:rsidRDefault="0093584F">
      <w:pPr>
        <w:pStyle w:val="FootnoteText"/>
      </w:pPr>
      <w:r>
        <w:rPr>
          <w:rStyle w:val="FootnoteReference"/>
        </w:rPr>
        <w:footnoteRef/>
      </w:r>
      <w:r>
        <w:t xml:space="preserve"> Janet Adelman, Suffocating Mothers: Fantasies of Maternal Origin in Shakespeare’s plays, ‘Hamlet’ to ‘The Tempest’ (London: Routledge, 1992)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B5B"/>
    <w:rsid w:val="000479E1"/>
    <w:rsid w:val="001B68E2"/>
    <w:rsid w:val="001C6A7F"/>
    <w:rsid w:val="00212685"/>
    <w:rsid w:val="002E4197"/>
    <w:rsid w:val="003C1DA1"/>
    <w:rsid w:val="004538B9"/>
    <w:rsid w:val="004D7F5D"/>
    <w:rsid w:val="005B387E"/>
    <w:rsid w:val="005C72A4"/>
    <w:rsid w:val="00745BA2"/>
    <w:rsid w:val="00754704"/>
    <w:rsid w:val="007D451F"/>
    <w:rsid w:val="007D564E"/>
    <w:rsid w:val="00873FFA"/>
    <w:rsid w:val="0093584F"/>
    <w:rsid w:val="009F0D9D"/>
    <w:rsid w:val="00A27D49"/>
    <w:rsid w:val="00A97B5B"/>
    <w:rsid w:val="00B57B3F"/>
    <w:rsid w:val="00BE587A"/>
    <w:rsid w:val="00CF125F"/>
    <w:rsid w:val="00D221BE"/>
    <w:rsid w:val="00D4580B"/>
    <w:rsid w:val="00DF430F"/>
    <w:rsid w:val="00EE2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28BAA"/>
  <w15:chartTrackingRefBased/>
  <w15:docId w15:val="{76011A61-2B00-4DED-8E17-266C7305B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B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B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7B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B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B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B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B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B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B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B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B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B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B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B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B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B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B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B5B"/>
    <w:rPr>
      <w:rFonts w:eastAsiaTheme="majorEastAsia" w:cstheme="majorBidi"/>
      <w:color w:val="272727" w:themeColor="text1" w:themeTint="D8"/>
    </w:rPr>
  </w:style>
  <w:style w:type="paragraph" w:styleId="Title">
    <w:name w:val="Title"/>
    <w:basedOn w:val="Normal"/>
    <w:next w:val="Normal"/>
    <w:link w:val="TitleChar"/>
    <w:uiPriority w:val="10"/>
    <w:qFormat/>
    <w:rsid w:val="00A97B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B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B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B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B5B"/>
    <w:pPr>
      <w:spacing w:before="160"/>
      <w:jc w:val="center"/>
    </w:pPr>
    <w:rPr>
      <w:i/>
      <w:iCs/>
      <w:color w:val="404040" w:themeColor="text1" w:themeTint="BF"/>
    </w:rPr>
  </w:style>
  <w:style w:type="character" w:customStyle="1" w:styleId="QuoteChar">
    <w:name w:val="Quote Char"/>
    <w:basedOn w:val="DefaultParagraphFont"/>
    <w:link w:val="Quote"/>
    <w:uiPriority w:val="29"/>
    <w:rsid w:val="00A97B5B"/>
    <w:rPr>
      <w:i/>
      <w:iCs/>
      <w:color w:val="404040" w:themeColor="text1" w:themeTint="BF"/>
    </w:rPr>
  </w:style>
  <w:style w:type="paragraph" w:styleId="ListParagraph">
    <w:name w:val="List Paragraph"/>
    <w:basedOn w:val="Normal"/>
    <w:uiPriority w:val="34"/>
    <w:qFormat/>
    <w:rsid w:val="00A97B5B"/>
    <w:pPr>
      <w:ind w:left="720"/>
      <w:contextualSpacing/>
    </w:pPr>
  </w:style>
  <w:style w:type="character" w:styleId="IntenseEmphasis">
    <w:name w:val="Intense Emphasis"/>
    <w:basedOn w:val="DefaultParagraphFont"/>
    <w:uiPriority w:val="21"/>
    <w:qFormat/>
    <w:rsid w:val="00A97B5B"/>
    <w:rPr>
      <w:i/>
      <w:iCs/>
      <w:color w:val="0F4761" w:themeColor="accent1" w:themeShade="BF"/>
    </w:rPr>
  </w:style>
  <w:style w:type="paragraph" w:styleId="IntenseQuote">
    <w:name w:val="Intense Quote"/>
    <w:basedOn w:val="Normal"/>
    <w:next w:val="Normal"/>
    <w:link w:val="IntenseQuoteChar"/>
    <w:uiPriority w:val="30"/>
    <w:qFormat/>
    <w:rsid w:val="00A97B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B5B"/>
    <w:rPr>
      <w:i/>
      <w:iCs/>
      <w:color w:val="0F4761" w:themeColor="accent1" w:themeShade="BF"/>
    </w:rPr>
  </w:style>
  <w:style w:type="character" w:styleId="IntenseReference">
    <w:name w:val="Intense Reference"/>
    <w:basedOn w:val="DefaultParagraphFont"/>
    <w:uiPriority w:val="32"/>
    <w:qFormat/>
    <w:rsid w:val="00A97B5B"/>
    <w:rPr>
      <w:b/>
      <w:bCs/>
      <w:smallCaps/>
      <w:color w:val="0F4761" w:themeColor="accent1" w:themeShade="BF"/>
      <w:spacing w:val="5"/>
    </w:rPr>
  </w:style>
  <w:style w:type="paragraph" w:styleId="FootnoteText">
    <w:name w:val="footnote text"/>
    <w:basedOn w:val="Normal"/>
    <w:link w:val="FootnoteTextChar"/>
    <w:uiPriority w:val="99"/>
    <w:semiHidden/>
    <w:unhideWhenUsed/>
    <w:rsid w:val="002126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2685"/>
    <w:rPr>
      <w:sz w:val="20"/>
      <w:szCs w:val="20"/>
    </w:rPr>
  </w:style>
  <w:style w:type="character" w:styleId="FootnoteReference">
    <w:name w:val="footnote reference"/>
    <w:basedOn w:val="DefaultParagraphFont"/>
    <w:uiPriority w:val="99"/>
    <w:semiHidden/>
    <w:unhideWhenUsed/>
    <w:rsid w:val="0021268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2D9004-F217-4173-95E0-642C434F5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5</Pages>
  <Words>1719</Words>
  <Characters>9802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Enfys Trigger</dc:creator>
  <cp:keywords/>
  <dc:description/>
  <cp:lastModifiedBy>Enfys Trigger</cp:lastModifiedBy>
  <cp:revision>1</cp:revision>
  <dcterms:created xsi:type="dcterms:W3CDTF">2024-10-20T16:28:00Z</dcterms:created>
  <dcterms:modified xsi:type="dcterms:W3CDTF">2024-10-20T22:13:00Z</dcterms:modified>
</cp:coreProperties>
</file>