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62C8" w:rsidRDefault="00CA01FA" w:rsidP="00C462C8">
      <w:r>
        <w:t>“The problem”</w:t>
      </w:r>
      <w:r w:rsidR="005932F2">
        <w:rPr>
          <w:rStyle w:val="FootnoteReference"/>
        </w:rPr>
        <w:footnoteReference w:id="1"/>
      </w:r>
      <w:r w:rsidR="00C462C8">
        <w:t xml:space="preserve"> Kierkegaard aims to elucidate is that, the people of his day or “the herd”</w:t>
      </w:r>
      <w:r w:rsidR="005932F2">
        <w:rPr>
          <w:rStyle w:val="FootnoteReference"/>
        </w:rPr>
        <w:footnoteReference w:id="2"/>
      </w:r>
      <w:r w:rsidR="00C462C8">
        <w:t xml:space="preserve"> as sometimes referred to by K, seek to understand Christianity and obtain faith from a historical/speculative view. Kierkegaard argues that no “</w:t>
      </w:r>
      <w:proofErr w:type="spellStart"/>
      <w:r w:rsidR="00C462C8">
        <w:t>qualitive</w:t>
      </w:r>
      <w:proofErr w:type="spellEnd"/>
      <w:r w:rsidR="00C462C8">
        <w:t>”</w:t>
      </w:r>
      <w:r w:rsidR="005932F2">
        <w:rPr>
          <w:rStyle w:val="FootnoteReference"/>
        </w:rPr>
        <w:footnoteReference w:id="3"/>
      </w:r>
      <w:r w:rsidR="00C462C8">
        <w:t xml:space="preserve"> approach to faith will result in faith, and that any apparent success that comes from t</w:t>
      </w:r>
      <w:r>
        <w:t>hese methods is an “illusion”</w:t>
      </w:r>
      <w:r>
        <w:rPr>
          <w:rStyle w:val="FootnoteReference"/>
        </w:rPr>
        <w:footnoteReference w:id="4"/>
      </w:r>
      <w:r>
        <w:t>.</w:t>
      </w:r>
    </w:p>
    <w:p w:rsidR="00DA60F2" w:rsidRDefault="00C462C8" w:rsidP="00C462C8">
      <w:r>
        <w:t>It’s is because of this that Kierkegaard propagates “the infinitely interested individual” as a way of being that allows one to create their own relationship with Christianity and God, however this way of being has its own problems to overcome and is not a state that will be obtained without “risk”.</w:t>
      </w:r>
    </w:p>
    <w:p w:rsidR="00C462C8" w:rsidRPr="00C462C8" w:rsidRDefault="00C462C8" w:rsidP="00C462C8">
      <w:pPr>
        <w:rPr>
          <w:i/>
        </w:rPr>
      </w:pPr>
      <w:r w:rsidRPr="00C462C8">
        <w:rPr>
          <w:i/>
        </w:rPr>
        <w:t>The Historical/Speculative.</w:t>
      </w:r>
    </w:p>
    <w:p w:rsidR="00C462C8" w:rsidRDefault="00C462C8" w:rsidP="00C462C8">
      <w:r>
        <w:t>In Book one of the Postscript’s Kierkegaard gives two sections too his critiques of the interference and methods used Historical and speculative viewpoints in regards with Christianity and faith. By understanding his critiques we can start to build a picture of whether he is making a coherent argument in his conception of truth.</w:t>
      </w:r>
    </w:p>
    <w:p w:rsidR="00A13105" w:rsidRDefault="00A13105" w:rsidP="00C462C8">
      <w:r>
        <w:t>It is important to remind oneself that Kierkegaard is in constant reference to faith, and this may be a point of criticism as it seems he defines and uses terms in a very</w:t>
      </w:r>
      <w:r w:rsidRPr="00A13105">
        <w:t xml:space="preserve"> idiosyncratic</w:t>
      </w:r>
      <w:r>
        <w:t xml:space="preserve"> manner, his own language game that he uses against the other viewpoints. However this does not mean that his arguments are not valid and have in their own sense analytic properties when it comes to how one can speak of truth meaningfully, but first a picture of his arguments.</w:t>
      </w:r>
    </w:p>
    <w:p w:rsidR="00C462C8" w:rsidRPr="00C462C8" w:rsidRDefault="00C462C8" w:rsidP="00C462C8">
      <w:pPr>
        <w:rPr>
          <w:i/>
        </w:rPr>
      </w:pPr>
      <w:r>
        <w:rPr>
          <w:i/>
        </w:rPr>
        <w:t>The H</w:t>
      </w:r>
      <w:r w:rsidRPr="00C462C8">
        <w:rPr>
          <w:i/>
        </w:rPr>
        <w:t>istorical point of view.</w:t>
      </w:r>
    </w:p>
    <w:p w:rsidR="00227A90" w:rsidRDefault="00C462C8" w:rsidP="00C462C8">
      <w:r>
        <w:t xml:space="preserve">On the first page K forms the foundation of his critique, he says that when we start to view Christianity as important or true because of its historical documentation, it become “necessary” to have a complete and entire account of all the documentations. </w:t>
      </w:r>
    </w:p>
    <w:p w:rsidR="00C462C8" w:rsidRDefault="00C462C8" w:rsidP="00C462C8">
      <w:r>
        <w:t xml:space="preserve">As historical documentation has been written down throughout the ages, and relies on witness accounts K claims that it becomes “readily evident” that then our knowledge or claims of truths of the texts are based upon “approximation” Kierkegaard claims that truths found by approximation are only </w:t>
      </w:r>
      <w:r w:rsidR="00F77882">
        <w:t>“</w:t>
      </w:r>
      <w:r>
        <w:t>as good as” and he uses an analogy of a philologist that translates one of Ci</w:t>
      </w:r>
      <w:r w:rsidR="0034480E">
        <w:t>cer</w:t>
      </w:r>
      <w:r>
        <w:t xml:space="preserve">o’s </w:t>
      </w:r>
      <w:r w:rsidR="0038022E">
        <w:t>writings</w:t>
      </w:r>
      <w:r>
        <w:t xml:space="preserve"> into his mother </w:t>
      </w:r>
      <w:r w:rsidR="00227A90">
        <w:t>tongue to explain this, the translator however skilled or masterful he may be, will only ever be a</w:t>
      </w:r>
      <w:r w:rsidR="0034480E">
        <w:t>ble to give a translation of Cicero</w:t>
      </w:r>
      <w:r w:rsidR="00227A90">
        <w:t xml:space="preserve">’s work he will never be able to recreate </w:t>
      </w:r>
      <w:r w:rsidR="0038022E">
        <w:t>that exact work, and thu</w:t>
      </w:r>
      <w:r w:rsidR="00F77882">
        <w:t>s we have a second hand account.</w:t>
      </w:r>
    </w:p>
    <w:p w:rsidR="0060372D" w:rsidRDefault="0038022E" w:rsidP="00C462C8">
      <w:r>
        <w:t xml:space="preserve">This translates into the idea that, if your faith in </w:t>
      </w:r>
      <w:r w:rsidR="0060372D">
        <w:t>Christianity</w:t>
      </w:r>
      <w:r>
        <w:t xml:space="preserve"> is bas</w:t>
      </w:r>
      <w:r w:rsidR="00F77882">
        <w:t>ed in the objectivity of Christian doctrine, then your faith is based upon the words of the saint’s and makes you a Christian “In bad taste</w:t>
      </w:r>
      <w:r w:rsidR="006236E5">
        <w:t>”</w:t>
      </w:r>
      <w:r w:rsidR="005932F2">
        <w:rPr>
          <w:rStyle w:val="FootnoteReference"/>
        </w:rPr>
        <w:footnoteReference w:id="5"/>
      </w:r>
      <w:r w:rsidR="006236E5">
        <w:t>.</w:t>
      </w:r>
      <w:r w:rsidR="00BE0F0B">
        <w:t xml:space="preserve"> This idea is exemplified by his analogy in which scholars either disprove or prove the sentiments found within the bible, in which the true believer gains nothing but a danger in which they can “confuse Knowledge with Faith” if the texts are proven, if they were to be proven wrong, the person with true belief would lose nothing in regards as their belief is not concreted by historical or approximated knowledge of the bible.</w:t>
      </w:r>
    </w:p>
    <w:p w:rsidR="00EF752E" w:rsidRDefault="008754BA" w:rsidP="00C462C8">
      <w:r>
        <w:t>However</w:t>
      </w:r>
      <w:r w:rsidR="00EF752E">
        <w:t xml:space="preserve"> the</w:t>
      </w:r>
      <w:r w:rsidR="00F77882" w:rsidRPr="00F77882">
        <w:t xml:space="preserve"> person who believes in the authority of the saints does just that, they do not know the actuality of the bible and rely </w:t>
      </w:r>
      <w:r w:rsidR="00EF752E">
        <w:t xml:space="preserve">on </w:t>
      </w:r>
      <w:r w:rsidR="00F77882" w:rsidRPr="00F77882">
        <w:t xml:space="preserve">the </w:t>
      </w:r>
      <w:bookmarkStart w:id="0" w:name="_GoBack"/>
      <w:bookmarkEnd w:id="0"/>
      <w:r w:rsidR="007223D6" w:rsidRPr="00F77882">
        <w:t>maxims</w:t>
      </w:r>
      <w:r w:rsidR="00F77882" w:rsidRPr="00F77882">
        <w:t xml:space="preserve"> given’ thus they become the objective subject. Their ethical convictions have not been </w:t>
      </w:r>
      <w:r w:rsidR="005932F2">
        <w:t>synthesised</w:t>
      </w:r>
      <w:r w:rsidR="00F77882" w:rsidRPr="00F77882">
        <w:t xml:space="preserve"> with a relationship to God rather they allow for the </w:t>
      </w:r>
      <w:r w:rsidR="00F77882" w:rsidRPr="00F77882">
        <w:lastRenderedPageBreak/>
        <w:t>perceived Objective authority of the text to shape their convictions, their ethics is one of objectivity, t</w:t>
      </w:r>
      <w:r w:rsidR="00EF752E">
        <w:t>hus reliving their subjectivity and placing them into a contradictive sta</w:t>
      </w:r>
      <w:r w:rsidR="00B5556E">
        <w:t>t</w:t>
      </w:r>
      <w:r w:rsidR="00EF752E">
        <w:t>e according to Kierkegaard.</w:t>
      </w:r>
    </w:p>
    <w:p w:rsidR="00F77882" w:rsidRDefault="00EF752E" w:rsidP="00C462C8">
      <w:r>
        <w:t>Kierkegaard raises the point that it would take a skill dialectician only to ask about what authority is and why a person believes the doctrine of the bible to be the authority, to show that this way of believing is false.</w:t>
      </w:r>
      <w:r w:rsidR="0034480E">
        <w:t xml:space="preserve"> Imagine Soc</w:t>
      </w:r>
      <w:r w:rsidR="0007232C">
        <w:t>rates quizzing the population of Athens on their understanding of words like “love” and how they all had great difficulty in giving him enough reasoning for their convictions of their beliefs on the subject.</w:t>
      </w:r>
    </w:p>
    <w:p w:rsidR="00EF752E" w:rsidRDefault="00EF752E" w:rsidP="00C462C8">
      <w:r>
        <w:t xml:space="preserve">This section is important to understand in reference to </w:t>
      </w:r>
      <w:r w:rsidR="0034480E">
        <w:t>the conception of truth in Kier</w:t>
      </w:r>
      <w:r>
        <w:t xml:space="preserve">kegaard’s eyes. It is a section that is supposed to </w:t>
      </w:r>
      <w:r w:rsidR="00B5556E">
        <w:t>show that the Historical view of C</w:t>
      </w:r>
      <w:r w:rsidR="0034480E">
        <w:t>hristianity which relies on qualitative</w:t>
      </w:r>
      <w:r w:rsidR="00B5556E">
        <w:t xml:space="preserve"> (approximation) is not a suitable mode of enquiry when regarding faith and therefore truths derived from this method are false</w:t>
      </w:r>
      <w:r w:rsidR="00A743F0">
        <w:t xml:space="preserve"> as they try to give an objective accounts of documents compiled by numerous amounts of individuals, your belief is based upon someone else’s subjective accounts.</w:t>
      </w:r>
      <w:r w:rsidR="00317351">
        <w:t xml:space="preserve"> </w:t>
      </w:r>
    </w:p>
    <w:p w:rsidR="00317351" w:rsidRDefault="008F0088" w:rsidP="00C462C8">
      <w:r>
        <w:t>The uses of gaining knowledge through approximation has it’s worth in other disciplines like science and Kierkegaard states that “The present author yields to none, in profound respect for which science concentrates”</w:t>
      </w:r>
      <w:r w:rsidR="005932F2">
        <w:rPr>
          <w:rStyle w:val="FootnoteReference"/>
        </w:rPr>
        <w:footnoteReference w:id="6"/>
      </w:r>
      <w:r>
        <w:t xml:space="preserve"> scientists frequently posit a hypothesis and the compile evidence to support their claims, and this yields great results, take for instance medicine however, as Kierkegaard aims to show </w:t>
      </w:r>
      <w:r w:rsidR="0007232C">
        <w:t>that you an objective account of faith is contradictive because faith is subjective.</w:t>
      </w:r>
    </w:p>
    <w:p w:rsidR="00A13105" w:rsidRDefault="00A13105" w:rsidP="00C462C8">
      <w:r>
        <w:t>Another point to raise is that in viewing the historic truths of Christianity to be objectively knowable, then there is a sense in which one has to accept that the system cannot be in fact completely objective; The birth of Christ and the miracles he commit are in a sense new truths, nothing of the likes had been seen or imagined, which means the system must allow that at some point something of this magnitude could happen again and the system may need rethinking.</w:t>
      </w:r>
    </w:p>
    <w:p w:rsidR="0060372D" w:rsidRDefault="009640C8" w:rsidP="0060372D">
      <w:r>
        <w:t>From this section we can see that the truth of Christianity is something to be conceived subjectively</w:t>
      </w:r>
      <w:r w:rsidR="008754BA">
        <w:t>, and</w:t>
      </w:r>
      <w:r w:rsidR="006926C0">
        <w:t xml:space="preserve"> to base your belief upon approximations is “comical”</w:t>
      </w:r>
      <w:r w:rsidR="005932F2">
        <w:rPr>
          <w:rStyle w:val="FootnoteReference"/>
        </w:rPr>
        <w:footnoteReference w:id="7"/>
      </w:r>
      <w:r w:rsidR="006926C0">
        <w:t xml:space="preserve"> as they are based upon a</w:t>
      </w:r>
      <w:r w:rsidR="008754BA">
        <w:t>n</w:t>
      </w:r>
      <w:r w:rsidR="006926C0">
        <w:t xml:space="preserve"> incomplete system.</w:t>
      </w:r>
    </w:p>
    <w:p w:rsidR="00442393" w:rsidRPr="00442393" w:rsidRDefault="00442393" w:rsidP="0060372D">
      <w:pPr>
        <w:rPr>
          <w:i/>
        </w:rPr>
      </w:pPr>
      <w:r w:rsidRPr="00442393">
        <w:rPr>
          <w:i/>
        </w:rPr>
        <w:t>The speculative point of view.</w:t>
      </w:r>
    </w:p>
    <w:p w:rsidR="008754BA" w:rsidRDefault="008754BA" w:rsidP="0060372D">
      <w:r>
        <w:t>Kierkegaard also criticises the “speculative standpoint” which assumes Christianity as “given”</w:t>
      </w:r>
      <w:r w:rsidR="005932F2">
        <w:rPr>
          <w:rStyle w:val="FootnoteReference"/>
        </w:rPr>
        <w:footnoteReference w:id="8"/>
      </w:r>
      <w:r>
        <w:t xml:space="preserve"> which can be imagined as your being a Christian is based upon the demographic you were born into, for instance Kierkegaard gives the example of a wife reminding her Husband that he is </w:t>
      </w:r>
      <w:r w:rsidR="00442393">
        <w:t>in fact</w:t>
      </w:r>
      <w:r>
        <w:t xml:space="preserve"> Christian because he lives in Denmark and the ruling religion of Denmark i</w:t>
      </w:r>
      <w:r w:rsidR="00442393">
        <w:t>s a Lutheran form of Christianity.</w:t>
      </w:r>
      <w:r>
        <w:t xml:space="preserve"> </w:t>
      </w:r>
    </w:p>
    <w:p w:rsidR="00442393" w:rsidRDefault="00442393" w:rsidP="0060372D">
      <w:r>
        <w:t>This of the sense of Given Kierkegaard wishes to retract from. If we think of it in terms that if we give a man a flute, it does not necessarily mean he will play it. Just like if you give someone Christianity it will not make him a Christian.</w:t>
      </w:r>
    </w:p>
    <w:p w:rsidR="00442393" w:rsidRDefault="00442393" w:rsidP="0060372D">
      <w:r>
        <w:t xml:space="preserve">And from this Kierkegaard argue that speculative philosophy </w:t>
      </w:r>
      <w:r w:rsidR="00AE49B1">
        <w:t>is based in objectivity and that the important part of Christianity is the “invisible Church”</w:t>
      </w:r>
      <w:r w:rsidR="005932F2">
        <w:rPr>
          <w:rStyle w:val="FootnoteReference"/>
        </w:rPr>
        <w:footnoteReference w:id="9"/>
      </w:r>
      <w:r w:rsidR="00AE49B1">
        <w:t xml:space="preserve"> the subjective Christianity. To give sense to this idea Kierkegaard give the example of a marriage, a marriage expresses itself as an external fact, it exists and places stamp upon world history(Christianity) however the marriage is only ever </w:t>
      </w:r>
      <w:r w:rsidR="00AE49B1">
        <w:lastRenderedPageBreak/>
        <w:t>actuated through the love of the man and wife, which is something they have for each other subjectively. The physical representation or “objecti</w:t>
      </w:r>
      <w:r w:rsidR="00F4163B">
        <w:t xml:space="preserve">ve” outward phenomena is only ever significant if it receives significance from the husband and wife, the subjects. </w:t>
      </w:r>
    </w:p>
    <w:p w:rsidR="00F4163B" w:rsidRDefault="00F4163B" w:rsidP="0060372D">
      <w:r>
        <w:t xml:space="preserve">This is how Kierkegaard wishes people to view what it is to be a Christian, it is actuated through the subject not given by an objective viewpoint. </w:t>
      </w:r>
    </w:p>
    <w:p w:rsidR="00A13105" w:rsidRDefault="00F4163B" w:rsidP="0060372D">
      <w:r>
        <w:t>This why he argues against the use of speculative philosophy in finding any truths of faith, an objective view of the subject is a contradiction, you canno</w:t>
      </w:r>
      <w:r w:rsidR="001F26CB">
        <w:t xml:space="preserve">t view someone’s </w:t>
      </w:r>
      <w:r w:rsidR="005932F2">
        <w:t xml:space="preserve">subjective </w:t>
      </w:r>
      <w:r w:rsidR="00A13105">
        <w:t xml:space="preserve">as in the same way as there is a line between the visible and invisible aspects of marriage. </w:t>
      </w:r>
    </w:p>
    <w:p w:rsidR="00A13105" w:rsidRDefault="00A13105" w:rsidP="0060372D">
      <w:pPr>
        <w:rPr>
          <w:i/>
        </w:rPr>
      </w:pPr>
      <w:r>
        <w:rPr>
          <w:i/>
        </w:rPr>
        <w:t>The objective Paradox.</w:t>
      </w:r>
    </w:p>
    <w:p w:rsidR="00A13105" w:rsidRDefault="00A13105" w:rsidP="0060372D">
      <w:r>
        <w:t>To reiterate the importance of the paradox and why it is crucial is Kierkegaard’s own conceptions of truth, the paradox shows that once you know something objectively, you no longer have to think about it; once you know that 1+1=2, you then always know</w:t>
      </w:r>
      <w:r w:rsidR="00257EA9">
        <w:t>,</w:t>
      </w:r>
      <w:r>
        <w:t xml:space="preserve"> unless of something unfortunate</w:t>
      </w:r>
      <w:r w:rsidR="00257EA9">
        <w:t xml:space="preserve"> happens to you,</w:t>
      </w:r>
      <w:r>
        <w:t xml:space="preserve"> that this is the case. If you know you need not think, if we see thinking as the active part, the subjective part and change 1+1 to a proposition that seeks to prove that god exists and you know that answer because someone told you, you had no relationship at all with the truth or Christianity, o</w:t>
      </w:r>
      <w:r w:rsidR="001F26CB">
        <w:t>r better yet you encountered a Christian</w:t>
      </w:r>
      <w:r>
        <w:t xml:space="preserve"> doctrine, but this does not make you a Christian.</w:t>
      </w:r>
      <w:r w:rsidR="001F26CB">
        <w:t xml:space="preserve"> You have an objective view of what it is to be subjective, you let someone’s words define your ethics “comical” according to Kierkegaard. </w:t>
      </w:r>
    </w:p>
    <w:p w:rsidR="001F26CB" w:rsidRDefault="001F26CB" w:rsidP="0060372D">
      <w:r>
        <w:t>It make sense in regards to Faith, or feeling of emotion like love or anger, if somebody told you to be angry at a person, are you angry at that person or just angry at that person because you were told to be angry at them?</w:t>
      </w:r>
    </w:p>
    <w:p w:rsidR="001F26CB" w:rsidRDefault="001F26CB" w:rsidP="0060372D">
      <w:r>
        <w:t>Kierkegaard wants you to ask yourself if you are in fact angry, or if you want to decide that maybe now you’re angry at the person who told you to be angry, only you know.</w:t>
      </w:r>
    </w:p>
    <w:p w:rsidR="001F26CB" w:rsidRDefault="001F26CB" w:rsidP="0060372D">
      <w:r>
        <w:t xml:space="preserve">Whether it is a problem in the wider sphere of philosophy is arguable, Kant argued we could never know </w:t>
      </w:r>
      <w:proofErr w:type="spellStart"/>
      <w:r>
        <w:t>N</w:t>
      </w:r>
      <w:r w:rsidR="005932F2">
        <w:t>oumenon</w:t>
      </w:r>
      <w:proofErr w:type="spellEnd"/>
      <w:r>
        <w:t>, only phenomena, just like with a person we can see the out and not the in.</w:t>
      </w:r>
    </w:p>
    <w:p w:rsidR="001F26CB" w:rsidRDefault="001F26CB" w:rsidP="0060372D"/>
    <w:p w:rsidR="001F26CB" w:rsidRDefault="001F26CB" w:rsidP="0060372D">
      <w:pPr>
        <w:rPr>
          <w:i/>
        </w:rPr>
      </w:pPr>
      <w:r w:rsidRPr="001F26CB">
        <w:rPr>
          <w:i/>
        </w:rPr>
        <w:t>The Infinite passion and the subjective problem.</w:t>
      </w:r>
    </w:p>
    <w:p w:rsidR="00793B18" w:rsidRPr="00793B18" w:rsidRDefault="00793B18" w:rsidP="0060372D">
      <w:r>
        <w:t>It could be said to get the best interpretation of the Infinite passionate per</w:t>
      </w:r>
      <w:r w:rsidR="00FE6845">
        <w:t>son, then one need look no further than the section “About Lessing” within this section we can see Kierkegaard going through what seem to be himself falling in and out of love with Lessing as something he cannot give an exact word too, he tussle’s and turns with his understanding of the man. On the last page K talk about if he were to attribute his ideas to Lessing then Lessing would leave him in “lurch”</w:t>
      </w:r>
      <w:r w:rsidR="005932F2">
        <w:rPr>
          <w:rStyle w:val="FootnoteReference"/>
        </w:rPr>
        <w:footnoteReference w:id="10"/>
      </w:r>
      <w:r w:rsidR="00FE6845">
        <w:t xml:space="preserve"> knowing he had, had the best of him. Because if Kierkegaard tries to understand him objectively he fails to understand him.</w:t>
      </w:r>
    </w:p>
    <w:p w:rsidR="00CA6291" w:rsidRDefault="00CA6291" w:rsidP="0060372D">
      <w:r>
        <w:t xml:space="preserve">If there is no way of coming to know about faith or being given it, </w:t>
      </w:r>
      <w:r w:rsidR="001F26CB">
        <w:t>Kierkegaard prepossess that you figure it out for yourself, yet it’s not as easy as saying I think this and that</w:t>
      </w:r>
      <w:r w:rsidR="00257EA9">
        <w:t xml:space="preserve"> </w:t>
      </w:r>
      <w:r w:rsidR="00AE1419">
        <w:t>in fact</w:t>
      </w:r>
      <w:r w:rsidR="00257EA9">
        <w:t xml:space="preserve"> saying that this and that is why you believe would contradict your faith! O</w:t>
      </w:r>
      <w:r w:rsidR="001F26CB">
        <w:t>ne has to break free of historic presuppositions and attachment to facts are forms of proof.</w:t>
      </w:r>
      <w:r w:rsidR="004567C5">
        <w:t xml:space="preserve"> </w:t>
      </w:r>
      <w:r>
        <w:t xml:space="preserve">It also has to argue itself out of madness; what’s the </w:t>
      </w:r>
      <w:r>
        <w:lastRenderedPageBreak/>
        <w:t>difference between faith and madness faith gives no proof yet has no way of being denied if it is true faith, alike to madness.</w:t>
      </w:r>
    </w:p>
    <w:p w:rsidR="00CA6291" w:rsidRDefault="00CA6291" w:rsidP="0060372D">
      <w:r>
        <w:t>However Kierkegaard would say that faith is the “inwardness of the infinite”</w:t>
      </w:r>
      <w:r w:rsidR="005932F2">
        <w:rPr>
          <w:rStyle w:val="FootnoteReference"/>
        </w:rPr>
        <w:footnoteReference w:id="11"/>
      </w:r>
      <w:r>
        <w:t xml:space="preserve">, and madness is always fixed upon some sort of objectivity, certainty; </w:t>
      </w:r>
      <w:proofErr w:type="gramStart"/>
      <w:r>
        <w:t>If</w:t>
      </w:r>
      <w:proofErr w:type="gramEnd"/>
      <w:r>
        <w:t xml:space="preserve"> we imagine in some cases of extreme stress people hallucinate things and then offer proofs, faith offers no proof.</w:t>
      </w:r>
    </w:p>
    <w:p w:rsidR="00FE6845" w:rsidRDefault="00793B18" w:rsidP="0060372D">
      <w:r>
        <w:t xml:space="preserve">Faith according to Kierkegaard cannot, in the section” Attributing to Lessing”, K talk of a man who wish to communicate the idea that the God relationship is secret. He says tot his man that he must hope the people he tells are wiser than him in order to understand the contradiction, I will tell you, you need a secret relationship with God, tell you the important part, if I tell you, it’s not </w:t>
      </w:r>
      <w:r w:rsidR="00CA01FA">
        <w:t>yours</w:t>
      </w:r>
      <w:r>
        <w:t xml:space="preserve"> it’s lost in the gap between you and me.</w:t>
      </w:r>
    </w:p>
    <w:p w:rsidR="00CA6291" w:rsidRDefault="00257EA9" w:rsidP="0060372D">
      <w:r>
        <w:t>However there is also another way to overcome the problem</w:t>
      </w:r>
      <w:r w:rsidR="00FE6845">
        <w:t xml:space="preserve"> </w:t>
      </w:r>
      <w:r w:rsidR="00CA6291">
        <w:t>For Kierkegaard, to be an infinitely passionate person, one must accept the subjective paradox, namely if I can be objective about God I do not believe, and because I cannot I must believe.</w:t>
      </w:r>
      <w:r w:rsidR="004567C5">
        <w:t xml:space="preserve"> This seems to make nothing clear, however I think that Kierkegaard is using another philosophy to back up his idea.</w:t>
      </w:r>
    </w:p>
    <w:p w:rsidR="00793B18" w:rsidRDefault="004567C5" w:rsidP="0060372D">
      <w:r>
        <w:t>If we think of Kant’s synthetic A prior, and it involving the synthesis between experience and the person experiencing i</w:t>
      </w:r>
      <w:r w:rsidR="00793B18">
        <w:t>t, that results in</w:t>
      </w:r>
      <w:r>
        <w:t xml:space="preserve"> our ability to perceive some concepts that are necessary in nature, and that this is akin to a view that see’s one having to participate in the truth in order to obtain it, we can see that the infinitely passionate person is involved in the process, where the a priori truth</w:t>
      </w:r>
      <w:r w:rsidR="00793B18">
        <w:t xml:space="preserve"> or “absolute” as K would refer to it</w:t>
      </w:r>
      <w:r>
        <w:t xml:space="preserve"> is God</w:t>
      </w:r>
      <w:r w:rsidR="00793B18">
        <w:t xml:space="preserve"> </w:t>
      </w:r>
      <w:r>
        <w:t xml:space="preserve"> and to understand it one needs to create a synthesis between it and themselves “faith”. The synthetic a priori and the possibility existence are yet to be confirmed however this strengthens Kierkegaard’s argument in the sense that you cannot really know when the synthesis is complete and you have no authority other than </w:t>
      </w:r>
      <w:r w:rsidR="00793B18">
        <w:t>you, “each individual coming to understanding it by himself.”</w:t>
      </w:r>
      <w:r w:rsidR="005932F2">
        <w:rPr>
          <w:rStyle w:val="FootnoteReference"/>
        </w:rPr>
        <w:footnoteReference w:id="12"/>
      </w:r>
      <w:r>
        <w:t xml:space="preserve"> nobody can tell you if you understand and objective phenomena, only you really know if you do</w:t>
      </w:r>
      <w:r w:rsidR="00793B18">
        <w:t>. You can also not relate and teach the way in which you came to this result, nobody can share in the same synthesis as you.</w:t>
      </w:r>
    </w:p>
    <w:p w:rsidR="00FE6845" w:rsidRDefault="00FE6845" w:rsidP="0060372D">
      <w:pPr>
        <w:rPr>
          <w:i/>
        </w:rPr>
      </w:pPr>
      <w:r w:rsidRPr="00FE6845">
        <w:rPr>
          <w:i/>
        </w:rPr>
        <w:t>Existentialism and Phenomenology</w:t>
      </w:r>
    </w:p>
    <w:p w:rsidR="00B761BB" w:rsidRDefault="00B761BB" w:rsidP="0060372D">
      <w:pPr>
        <w:rPr>
          <w:i/>
        </w:rPr>
      </w:pPr>
    </w:p>
    <w:p w:rsidR="00555EBC" w:rsidRDefault="00B761BB" w:rsidP="0060372D">
      <w:r>
        <w:t>It could be said that further coherence of Kierkegaard’s ideas can be acknowledge by the way in which his philosophical predecessors, evolved and manipulated some of the key themes found within the</w:t>
      </w:r>
      <w:r w:rsidRPr="00B761BB">
        <w:rPr>
          <w:i/>
        </w:rPr>
        <w:t xml:space="preserve"> Postscript’s</w:t>
      </w:r>
      <w:r>
        <w:t xml:space="preserve">. </w:t>
      </w:r>
    </w:p>
    <w:p w:rsidR="00555EBC" w:rsidRDefault="00555EBC" w:rsidP="0060372D">
      <w:r>
        <w:t>It is important to remember that the existentialists, came after a time of two great Wars and the idealism or hope of there being a Grand narrative in regards to Human existence were servilely diminished.</w:t>
      </w:r>
    </w:p>
    <w:p w:rsidR="00B761BB" w:rsidRDefault="00B761BB" w:rsidP="0060372D">
      <w:r>
        <w:t xml:space="preserve">If we take </w:t>
      </w:r>
      <w:proofErr w:type="spellStart"/>
      <w:r>
        <w:t>Satr</w:t>
      </w:r>
      <w:r w:rsidR="00555EBC">
        <w:t>e</w:t>
      </w:r>
      <w:r>
        <w:t>’s</w:t>
      </w:r>
      <w:proofErr w:type="spellEnd"/>
      <w:r>
        <w:t xml:space="preserve"> famous phrase “existence </w:t>
      </w:r>
      <w:r w:rsidR="00555EBC">
        <w:t>precedes</w:t>
      </w:r>
      <w:r>
        <w:t xml:space="preserve"> essence” </w:t>
      </w:r>
      <w:r w:rsidR="00555EBC">
        <w:t xml:space="preserve">we can show Kierkegaard’s idea of removing the Christian from historic Christianity is an idea that would be furthered. What </w:t>
      </w:r>
      <w:proofErr w:type="spellStart"/>
      <w:r w:rsidR="00555EBC">
        <w:t>Satre</w:t>
      </w:r>
      <w:proofErr w:type="spellEnd"/>
      <w:r w:rsidR="00555EBC">
        <w:t xml:space="preserve"> means by his phrase is that first you are “given” an existence, however this existence is a precursor to your own essence which you are to discover and evolve. Like when Kierkegaard argues against the idea that you can be a Christian because you were born in a Christian state, you may have been born into a Christian state however you have to become the Christian.</w:t>
      </w:r>
    </w:p>
    <w:p w:rsidR="006E3DC5" w:rsidRDefault="006E3DC5" w:rsidP="0060372D">
      <w:r>
        <w:lastRenderedPageBreak/>
        <w:t>In the preface to his bo</w:t>
      </w:r>
      <w:r w:rsidR="00D6270E">
        <w:t>ok the Phenomenology</w:t>
      </w:r>
      <w:r>
        <w:t xml:space="preserve"> of Perception, </w:t>
      </w:r>
      <w:proofErr w:type="spellStart"/>
      <w:r>
        <w:t>Merleau-Ponty</w:t>
      </w:r>
      <w:proofErr w:type="spellEnd"/>
      <w:r>
        <w:t xml:space="preserve"> says, that all the knowledge you have on the subject of the world is gained from “one’s own particular point of perception” and if it was not the case then nothing would have meaning, you could not understand scientific symbols without directly experiencing them. This could be translated to saying that a synthesis between the internal and external allows for an internal understanding of the external, much like Kierkegaard’s subjective objectivity. “I am not a living creature nor am </w:t>
      </w:r>
      <w:proofErr w:type="spellStart"/>
      <w:r>
        <w:t>i</w:t>
      </w:r>
      <w:proofErr w:type="spellEnd"/>
      <w:r>
        <w:t>/ a consciousness with characteristics…I am an absolute source.”</w:t>
      </w:r>
      <w:r w:rsidR="002E6332">
        <w:rPr>
          <w:rStyle w:val="FootnoteReference"/>
        </w:rPr>
        <w:footnoteReference w:id="13"/>
      </w:r>
      <w:r>
        <w:t xml:space="preserve"> Just like one has to be their own source of relation with Christianity. </w:t>
      </w:r>
    </w:p>
    <w:p w:rsidR="006E3DC5" w:rsidRDefault="006E3DC5" w:rsidP="0060372D">
      <w:r>
        <w:t>There are many others of Kierkegaard’s ideas that are adapted in the existential era of the 20</w:t>
      </w:r>
      <w:r w:rsidRPr="006E3DC5">
        <w:rPr>
          <w:vertAlign w:val="superscript"/>
        </w:rPr>
        <w:t>th</w:t>
      </w:r>
      <w:r>
        <w:t xml:space="preserve"> century, the ideas he portrays of the anxiety in just being and the feelings of dread we have to overcome become Key themes in this era.</w:t>
      </w:r>
    </w:p>
    <w:p w:rsidR="00555EBC" w:rsidRDefault="006E3DC5" w:rsidP="0060372D">
      <w:r>
        <w:t>All of this allows one to put forward the picture that there must be come coherence within Kierkegaard’s work, his ideas may require some adaption to be put into a wider area of thought, however Kierkegaard’s main concern is with Faith.</w:t>
      </w:r>
    </w:p>
    <w:p w:rsidR="006E3DC5" w:rsidRDefault="006E3DC5" w:rsidP="0060372D">
      <w:pPr>
        <w:rPr>
          <w:i/>
        </w:rPr>
      </w:pPr>
      <w:r w:rsidRPr="006E3DC5">
        <w:rPr>
          <w:i/>
        </w:rPr>
        <w:t>Ending remarks</w:t>
      </w:r>
    </w:p>
    <w:p w:rsidR="006E3DC5" w:rsidRDefault="006E3DC5" w:rsidP="0060372D">
      <w:r>
        <w:t>Kierkegaard’s conception of truth runs in direct dichotomy with the Historical and speculative philosophies of his day. He forwards his idea by showing inconstancies and paradoxes that come into being if one tries to acquire</w:t>
      </w:r>
      <w:r w:rsidR="00CA01FA">
        <w:t xml:space="preserve"> true faith through</w:t>
      </w:r>
      <w:r>
        <w:t xml:space="preserve"> a historical/speculative</w:t>
      </w:r>
      <w:r w:rsidR="00CA01FA">
        <w:t xml:space="preserve"> standpoint.</w:t>
      </w:r>
    </w:p>
    <w:p w:rsidR="00CA01FA" w:rsidRDefault="00CA01FA" w:rsidP="0060372D">
      <w:r>
        <w:t xml:space="preserve">He also tries to show that there is also a paradox is subjectively, claiming that you know or can express the truth about belief or trying to teach others, remove you from faith as you claim to know something, rather than belief in it. </w:t>
      </w:r>
    </w:p>
    <w:p w:rsidR="00CA01FA" w:rsidRDefault="00CA01FA" w:rsidP="0060372D">
      <w:r>
        <w:t>Kierkegaard’s conception of truth is, if you claim to have it, you no longer have faith.</w:t>
      </w:r>
    </w:p>
    <w:p w:rsidR="00CA01FA" w:rsidRPr="006E3DC5" w:rsidRDefault="00CA01FA" w:rsidP="0060372D">
      <w:r>
        <w:t>It is my belief that if you add the theory of Kant’s synthetic A priori with Kierkegaard’s account of subjectivity and through the later adaption of his ideas by future existentialists that his ideas can be shown to have coherence and worth in the philosophical sphere.</w:t>
      </w:r>
    </w:p>
    <w:p w:rsidR="006E3DC5" w:rsidRDefault="006E3DC5" w:rsidP="0060372D"/>
    <w:p w:rsidR="000F2976" w:rsidRDefault="000F2976" w:rsidP="0060372D"/>
    <w:p w:rsidR="000F2976" w:rsidRDefault="000F2976" w:rsidP="0060372D"/>
    <w:p w:rsidR="000F2976" w:rsidRDefault="000F2976" w:rsidP="0060372D"/>
    <w:p w:rsidR="000F2976" w:rsidRDefault="000F2976" w:rsidP="0060372D"/>
    <w:p w:rsidR="000F2976" w:rsidRDefault="000F2976" w:rsidP="0060372D"/>
    <w:p w:rsidR="000F2976" w:rsidRDefault="000F2976" w:rsidP="0060372D"/>
    <w:p w:rsidR="000F2976" w:rsidRDefault="000F2976" w:rsidP="0060372D"/>
    <w:p w:rsidR="000F2976" w:rsidRDefault="000F2976" w:rsidP="0060372D"/>
    <w:p w:rsidR="000F2976" w:rsidRDefault="000F2976" w:rsidP="0060372D"/>
    <w:p w:rsidR="000F2976" w:rsidRDefault="000F2976" w:rsidP="0060372D">
      <w:r>
        <w:lastRenderedPageBreak/>
        <w:t xml:space="preserve">Bibliography </w:t>
      </w:r>
    </w:p>
    <w:p w:rsidR="000F2976" w:rsidRPr="00B761BB" w:rsidRDefault="000F2976" w:rsidP="0060372D"/>
    <w:p w:rsidR="00FE6845" w:rsidRPr="00FE6845" w:rsidRDefault="00FE6845" w:rsidP="0060372D"/>
    <w:p w:rsidR="00FE6845" w:rsidRDefault="000F2976" w:rsidP="0060372D">
      <w:r w:rsidRPr="000F2976">
        <w:t>Soren Kierkegaard, Concluding Unscientific Postscript</w:t>
      </w:r>
      <w:proofErr w:type="gramStart"/>
      <w:r w:rsidRPr="000F2976">
        <w:t>,(</w:t>
      </w:r>
      <w:proofErr w:type="gramEnd"/>
      <w:r w:rsidRPr="000F2976">
        <w:t>Princeton, University Press(1968))</w:t>
      </w:r>
    </w:p>
    <w:p w:rsidR="00CA6291" w:rsidRDefault="000F2976" w:rsidP="0060372D">
      <w:proofErr w:type="spellStart"/>
      <w:r w:rsidRPr="000F2976">
        <w:t>Merleau-Ponty</w:t>
      </w:r>
      <w:proofErr w:type="spellEnd"/>
      <w:r w:rsidRPr="000F2976">
        <w:t>, Phenomenology of Perception, (</w:t>
      </w:r>
      <w:proofErr w:type="spellStart"/>
      <w:r w:rsidRPr="000F2976">
        <w:t>India</w:t>
      </w:r>
      <w:proofErr w:type="gramStart"/>
      <w:r w:rsidRPr="000F2976">
        <w:t>,Motilal</w:t>
      </w:r>
      <w:proofErr w:type="spellEnd"/>
      <w:proofErr w:type="gramEnd"/>
      <w:r w:rsidRPr="000F2976">
        <w:t xml:space="preserve"> </w:t>
      </w:r>
      <w:proofErr w:type="spellStart"/>
      <w:r w:rsidRPr="000F2976">
        <w:t>Banarsidass</w:t>
      </w:r>
      <w:proofErr w:type="spellEnd"/>
      <w:r w:rsidRPr="000F2976">
        <w:t xml:space="preserve"> (1996))</w:t>
      </w:r>
    </w:p>
    <w:p w:rsidR="000F2976" w:rsidRDefault="000F2976" w:rsidP="0060372D">
      <w:r w:rsidRPr="000F2976">
        <w:t>https://plato.stanford.edu/entries/merleau-ponty/</w:t>
      </w:r>
    </w:p>
    <w:p w:rsidR="000F2976" w:rsidRPr="001F26CB" w:rsidRDefault="000F2976" w:rsidP="0060372D">
      <w:r w:rsidRPr="000F2976">
        <w:t>https://plato.stanford.edu/entries/kierkegaard/</w:t>
      </w:r>
    </w:p>
    <w:p w:rsidR="001F26CB" w:rsidRPr="00A13105" w:rsidRDefault="001F26CB" w:rsidP="0060372D"/>
    <w:p w:rsidR="00A13105" w:rsidRPr="00A13105" w:rsidRDefault="00A13105" w:rsidP="0060372D"/>
    <w:p w:rsidR="00BE0F0B" w:rsidRPr="0060372D" w:rsidRDefault="00BE0F0B" w:rsidP="0060372D"/>
    <w:p w:rsidR="0060372D" w:rsidRPr="0060372D" w:rsidRDefault="0060372D" w:rsidP="0060372D"/>
    <w:sectPr w:rsidR="0060372D" w:rsidRPr="006037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6BA7" w:rsidRDefault="00CF6BA7" w:rsidP="00CA01FA">
      <w:pPr>
        <w:spacing w:after="0" w:line="240" w:lineRule="auto"/>
      </w:pPr>
      <w:r>
        <w:separator/>
      </w:r>
    </w:p>
  </w:endnote>
  <w:endnote w:type="continuationSeparator" w:id="0">
    <w:p w:rsidR="00CF6BA7" w:rsidRDefault="00CF6BA7" w:rsidP="00CA01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6BA7" w:rsidRDefault="00CF6BA7" w:rsidP="00CA01FA">
      <w:pPr>
        <w:spacing w:after="0" w:line="240" w:lineRule="auto"/>
      </w:pPr>
      <w:r>
        <w:separator/>
      </w:r>
    </w:p>
  </w:footnote>
  <w:footnote w:type="continuationSeparator" w:id="0">
    <w:p w:rsidR="00CF6BA7" w:rsidRDefault="00CF6BA7" w:rsidP="00CA01FA">
      <w:pPr>
        <w:spacing w:after="0" w:line="240" w:lineRule="auto"/>
      </w:pPr>
      <w:r>
        <w:continuationSeparator/>
      </w:r>
    </w:p>
  </w:footnote>
  <w:footnote w:id="1">
    <w:p w:rsidR="005932F2" w:rsidRDefault="005932F2">
      <w:pPr>
        <w:pStyle w:val="FootnoteText"/>
      </w:pPr>
      <w:r>
        <w:rPr>
          <w:rStyle w:val="FootnoteReference"/>
        </w:rPr>
        <w:footnoteRef/>
      </w:r>
      <w:r>
        <w:t xml:space="preserve"> </w:t>
      </w:r>
      <w:r w:rsidRPr="005932F2">
        <w:t>Soren Kierkegaard, Concluding Unscientific Postscript,(Princeton, University Press(1968))</w:t>
      </w:r>
    </w:p>
  </w:footnote>
  <w:footnote w:id="2">
    <w:p w:rsidR="005932F2" w:rsidRDefault="005932F2">
      <w:pPr>
        <w:pStyle w:val="FootnoteText"/>
      </w:pPr>
      <w:r>
        <w:rPr>
          <w:rStyle w:val="FootnoteReference"/>
        </w:rPr>
        <w:footnoteRef/>
      </w:r>
      <w:r>
        <w:t xml:space="preserve"> </w:t>
      </w:r>
      <w:r w:rsidRPr="005932F2">
        <w:t>Soren Kierkegaard, Concluding Unscientific Postscript,(Princeton, University Press(1968))</w:t>
      </w:r>
    </w:p>
  </w:footnote>
  <w:footnote w:id="3">
    <w:p w:rsidR="005932F2" w:rsidRDefault="005932F2">
      <w:pPr>
        <w:pStyle w:val="FootnoteText"/>
      </w:pPr>
      <w:r>
        <w:rPr>
          <w:rStyle w:val="FootnoteReference"/>
        </w:rPr>
        <w:footnoteRef/>
      </w:r>
      <w:r>
        <w:t xml:space="preserve"> Ibid.</w:t>
      </w:r>
    </w:p>
  </w:footnote>
  <w:footnote w:id="4">
    <w:p w:rsidR="00CA01FA" w:rsidRDefault="00CA01FA">
      <w:pPr>
        <w:pStyle w:val="FootnoteText"/>
      </w:pPr>
      <w:r>
        <w:rPr>
          <w:rStyle w:val="FootnoteReference"/>
        </w:rPr>
        <w:footnoteRef/>
      </w:r>
      <w:r>
        <w:t xml:space="preserve"> </w:t>
      </w:r>
      <w:r w:rsidR="005932F2">
        <w:t>Ibid.</w:t>
      </w:r>
    </w:p>
  </w:footnote>
  <w:footnote w:id="5">
    <w:p w:rsidR="005932F2" w:rsidRDefault="005932F2">
      <w:pPr>
        <w:pStyle w:val="FootnoteText"/>
      </w:pPr>
      <w:r>
        <w:rPr>
          <w:rStyle w:val="FootnoteReference"/>
        </w:rPr>
        <w:footnoteRef/>
      </w:r>
      <w:r>
        <w:t xml:space="preserve"> Ibid.</w:t>
      </w:r>
    </w:p>
  </w:footnote>
  <w:footnote w:id="6">
    <w:p w:rsidR="005932F2" w:rsidRDefault="005932F2">
      <w:pPr>
        <w:pStyle w:val="FootnoteText"/>
      </w:pPr>
      <w:r>
        <w:rPr>
          <w:rStyle w:val="FootnoteReference"/>
        </w:rPr>
        <w:footnoteRef/>
      </w:r>
      <w:r>
        <w:t xml:space="preserve"> Ibid.</w:t>
      </w:r>
    </w:p>
  </w:footnote>
  <w:footnote w:id="7">
    <w:p w:rsidR="005932F2" w:rsidRDefault="005932F2">
      <w:pPr>
        <w:pStyle w:val="FootnoteText"/>
      </w:pPr>
      <w:r>
        <w:rPr>
          <w:rStyle w:val="FootnoteReference"/>
        </w:rPr>
        <w:footnoteRef/>
      </w:r>
      <w:r>
        <w:t xml:space="preserve"> Ibid.</w:t>
      </w:r>
    </w:p>
  </w:footnote>
  <w:footnote w:id="8">
    <w:p w:rsidR="005932F2" w:rsidRDefault="005932F2">
      <w:pPr>
        <w:pStyle w:val="FootnoteText"/>
      </w:pPr>
      <w:r>
        <w:rPr>
          <w:rStyle w:val="FootnoteReference"/>
        </w:rPr>
        <w:footnoteRef/>
      </w:r>
      <w:r>
        <w:t xml:space="preserve"> Ibid.</w:t>
      </w:r>
    </w:p>
  </w:footnote>
  <w:footnote w:id="9">
    <w:p w:rsidR="005932F2" w:rsidRDefault="005932F2">
      <w:pPr>
        <w:pStyle w:val="FootnoteText"/>
      </w:pPr>
      <w:r>
        <w:rPr>
          <w:rStyle w:val="FootnoteReference"/>
        </w:rPr>
        <w:footnoteRef/>
      </w:r>
      <w:r>
        <w:t xml:space="preserve"> Ibid.</w:t>
      </w:r>
    </w:p>
  </w:footnote>
  <w:footnote w:id="10">
    <w:p w:rsidR="005932F2" w:rsidRDefault="005932F2">
      <w:pPr>
        <w:pStyle w:val="FootnoteText"/>
      </w:pPr>
      <w:r>
        <w:rPr>
          <w:rStyle w:val="FootnoteReference"/>
        </w:rPr>
        <w:footnoteRef/>
      </w:r>
      <w:r>
        <w:t xml:space="preserve"> Ibid.</w:t>
      </w:r>
    </w:p>
  </w:footnote>
  <w:footnote w:id="11">
    <w:p w:rsidR="005932F2" w:rsidRDefault="005932F2">
      <w:pPr>
        <w:pStyle w:val="FootnoteText"/>
      </w:pPr>
      <w:r>
        <w:rPr>
          <w:rStyle w:val="FootnoteReference"/>
        </w:rPr>
        <w:footnoteRef/>
      </w:r>
      <w:r>
        <w:t xml:space="preserve"> Ibid. </w:t>
      </w:r>
      <w:proofErr w:type="spellStart"/>
      <w:r>
        <w:t>p.g</w:t>
      </w:r>
      <w:proofErr w:type="spellEnd"/>
      <w:r>
        <w:t>. 174</w:t>
      </w:r>
    </w:p>
  </w:footnote>
  <w:footnote w:id="12">
    <w:p w:rsidR="005932F2" w:rsidRDefault="005932F2">
      <w:pPr>
        <w:pStyle w:val="FootnoteText"/>
      </w:pPr>
      <w:r>
        <w:rPr>
          <w:rStyle w:val="FootnoteReference"/>
        </w:rPr>
        <w:footnoteRef/>
      </w:r>
      <w:r>
        <w:t xml:space="preserve"> Ibid. </w:t>
      </w:r>
      <w:proofErr w:type="spellStart"/>
      <w:r>
        <w:t>p.g</w:t>
      </w:r>
      <w:proofErr w:type="spellEnd"/>
      <w:r>
        <w:t>. 71</w:t>
      </w:r>
    </w:p>
  </w:footnote>
  <w:footnote w:id="13">
    <w:p w:rsidR="002E6332" w:rsidRDefault="002E6332">
      <w:pPr>
        <w:pStyle w:val="FootnoteText"/>
      </w:pPr>
      <w:r>
        <w:rPr>
          <w:rStyle w:val="FootnoteReference"/>
        </w:rPr>
        <w:footnoteRef/>
      </w:r>
      <w:r>
        <w:t xml:space="preserve"> </w:t>
      </w:r>
      <w:r w:rsidRPr="002E6332">
        <w:t xml:space="preserve"> </w:t>
      </w:r>
      <w:proofErr w:type="spellStart"/>
      <w:r w:rsidRPr="002E6332">
        <w:t>Merleau-Ponty</w:t>
      </w:r>
      <w:proofErr w:type="spellEnd"/>
      <w:r w:rsidRPr="002E6332">
        <w:t>, Phenomenology of Perception, (</w:t>
      </w:r>
      <w:proofErr w:type="spellStart"/>
      <w:r w:rsidRPr="002E6332">
        <w:t>India,Motilal</w:t>
      </w:r>
      <w:proofErr w:type="spellEnd"/>
      <w:r w:rsidRPr="002E6332">
        <w:t xml:space="preserve"> </w:t>
      </w:r>
      <w:proofErr w:type="spellStart"/>
      <w:r w:rsidRPr="002E6332">
        <w:t>Banarsidass</w:t>
      </w:r>
      <w:proofErr w:type="spellEnd"/>
      <w:r w:rsidRPr="002E6332">
        <w:t xml:space="preserve"> (1996))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2C8"/>
    <w:rsid w:val="0007232C"/>
    <w:rsid w:val="000D49D4"/>
    <w:rsid w:val="000E01D7"/>
    <w:rsid w:val="000F2976"/>
    <w:rsid w:val="001F26CB"/>
    <w:rsid w:val="00227A90"/>
    <w:rsid w:val="00257EA9"/>
    <w:rsid w:val="002973BF"/>
    <w:rsid w:val="002E6332"/>
    <w:rsid w:val="00317351"/>
    <w:rsid w:val="0034480E"/>
    <w:rsid w:val="0038022E"/>
    <w:rsid w:val="003E3882"/>
    <w:rsid w:val="00442393"/>
    <w:rsid w:val="004567C5"/>
    <w:rsid w:val="00555EBC"/>
    <w:rsid w:val="005932F2"/>
    <w:rsid w:val="0060372D"/>
    <w:rsid w:val="006236E5"/>
    <w:rsid w:val="00676AD1"/>
    <w:rsid w:val="006926C0"/>
    <w:rsid w:val="006E3DC5"/>
    <w:rsid w:val="007223D6"/>
    <w:rsid w:val="00793B18"/>
    <w:rsid w:val="008754BA"/>
    <w:rsid w:val="008F0088"/>
    <w:rsid w:val="009640C8"/>
    <w:rsid w:val="00A13105"/>
    <w:rsid w:val="00A743F0"/>
    <w:rsid w:val="00AE1419"/>
    <w:rsid w:val="00AE49B1"/>
    <w:rsid w:val="00B5556E"/>
    <w:rsid w:val="00B761BB"/>
    <w:rsid w:val="00BE0F0B"/>
    <w:rsid w:val="00C36982"/>
    <w:rsid w:val="00C462C8"/>
    <w:rsid w:val="00CA01FA"/>
    <w:rsid w:val="00CA6291"/>
    <w:rsid w:val="00CF6BA7"/>
    <w:rsid w:val="00D6270E"/>
    <w:rsid w:val="00EF752E"/>
    <w:rsid w:val="00F4163B"/>
    <w:rsid w:val="00F77882"/>
    <w:rsid w:val="00FE6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59B885-7850-4D97-BC51-992ACA82A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A01F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01FA"/>
    <w:rPr>
      <w:sz w:val="20"/>
      <w:szCs w:val="20"/>
    </w:rPr>
  </w:style>
  <w:style w:type="character" w:styleId="FootnoteReference">
    <w:name w:val="footnote reference"/>
    <w:basedOn w:val="DefaultParagraphFont"/>
    <w:uiPriority w:val="99"/>
    <w:semiHidden/>
    <w:unhideWhenUsed/>
    <w:rsid w:val="00CA01FA"/>
    <w:rPr>
      <w:vertAlign w:val="superscript"/>
    </w:rPr>
  </w:style>
  <w:style w:type="character" w:styleId="Hyperlink">
    <w:name w:val="Hyperlink"/>
    <w:basedOn w:val="DefaultParagraphFont"/>
    <w:uiPriority w:val="99"/>
    <w:unhideWhenUsed/>
    <w:rsid w:val="000F297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14AEA4-7CF6-4FCE-8BE3-328EF18B1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Pages>
  <Words>2324</Words>
  <Characters>13250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 Jamieson (1501527)</dc:creator>
  <cp:keywords/>
  <dc:description/>
  <cp:lastModifiedBy>Scot Jamieson (1501527)</cp:lastModifiedBy>
  <cp:revision>12</cp:revision>
  <dcterms:created xsi:type="dcterms:W3CDTF">2017-11-14T20:37:00Z</dcterms:created>
  <dcterms:modified xsi:type="dcterms:W3CDTF">2017-11-15T11:27:00Z</dcterms:modified>
</cp:coreProperties>
</file>