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D89124" w14:textId="77777777" w:rsidR="004F29F3" w:rsidRPr="004F29F3" w:rsidRDefault="004F29F3" w:rsidP="004F29F3">
      <w:pPr>
        <w:spacing w:line="480" w:lineRule="auto"/>
        <w:jc w:val="center"/>
        <w:rPr>
          <w:rFonts w:ascii="Arial" w:hAnsi="Arial" w:cs="Arial"/>
          <w:b/>
          <w:bCs/>
        </w:rPr>
      </w:pPr>
      <w:r w:rsidRPr="004F29F3">
        <w:rPr>
          <w:rFonts w:ascii="Arial" w:hAnsi="Arial" w:cs="Arial"/>
          <w:b/>
          <w:bCs/>
        </w:rPr>
        <w:t>AI Acknowledgement Statement</w:t>
      </w:r>
    </w:p>
    <w:p w14:paraId="1744ED1E" w14:textId="10B37811" w:rsidR="004F29F3" w:rsidRPr="004F29F3" w:rsidRDefault="004F29F3" w:rsidP="004F29F3">
      <w:pPr>
        <w:spacing w:line="480" w:lineRule="auto"/>
        <w:jc w:val="both"/>
        <w:rPr>
          <w:rFonts w:ascii="Arial" w:hAnsi="Arial" w:cs="Arial"/>
        </w:rPr>
      </w:pPr>
      <w:r w:rsidRPr="004F29F3">
        <w:rPr>
          <w:rFonts w:ascii="Arial" w:hAnsi="Arial" w:cs="Arial"/>
        </w:rPr>
        <w:t>This assignment was produced with the assistance of generative artificial intelligence (ChatGPT)</w:t>
      </w:r>
      <w:r w:rsidR="00FC3038">
        <w:rPr>
          <w:rFonts w:ascii="Arial" w:hAnsi="Arial" w:cs="Arial"/>
        </w:rPr>
        <w:t xml:space="preserve"> and Grammarly.</w:t>
      </w:r>
      <w:r w:rsidRPr="004F29F3">
        <w:rPr>
          <w:rFonts w:ascii="Arial" w:hAnsi="Arial" w:cs="Arial"/>
        </w:rPr>
        <w:t xml:space="preserve"> The tool was used to </w:t>
      </w:r>
      <w:r w:rsidR="00FC3038">
        <w:rPr>
          <w:rFonts w:ascii="Arial" w:hAnsi="Arial" w:cs="Arial"/>
        </w:rPr>
        <w:t xml:space="preserve">suggest relevant scholarly sources </w:t>
      </w:r>
      <w:r w:rsidR="00D564F0">
        <w:rPr>
          <w:rFonts w:ascii="Arial" w:hAnsi="Arial" w:cs="Arial"/>
        </w:rPr>
        <w:t xml:space="preserve">for consultation and to </w:t>
      </w:r>
      <w:r w:rsidRPr="004F29F3">
        <w:rPr>
          <w:rFonts w:ascii="Arial" w:hAnsi="Arial" w:cs="Arial"/>
        </w:rPr>
        <w:t>support drafting and language refinement. All substantive decisions about content, argumentation, and the final written wording were made by the author, who is responsible for checking accuracy, ensuring academic integrity, and providing appropriate APA 7th edition citations and references.</w:t>
      </w:r>
    </w:p>
    <w:p w14:paraId="1F7DF1D1" w14:textId="77777777" w:rsidR="003E172D" w:rsidRDefault="003E172D" w:rsidP="00F10702">
      <w:pPr>
        <w:spacing w:line="480" w:lineRule="auto"/>
        <w:jc w:val="center"/>
        <w:rPr>
          <w:rFonts w:ascii="Arial" w:hAnsi="Arial" w:cs="Arial"/>
          <w:b/>
          <w:bCs/>
        </w:rPr>
      </w:pPr>
    </w:p>
    <w:p w14:paraId="08173A8A" w14:textId="77777777" w:rsidR="003E172D" w:rsidRDefault="003E172D" w:rsidP="00F10702">
      <w:pPr>
        <w:spacing w:line="480" w:lineRule="auto"/>
        <w:jc w:val="center"/>
        <w:rPr>
          <w:rFonts w:ascii="Arial" w:hAnsi="Arial" w:cs="Arial"/>
          <w:b/>
          <w:bCs/>
        </w:rPr>
      </w:pPr>
    </w:p>
    <w:p w14:paraId="3217A991" w14:textId="77777777" w:rsidR="003E172D" w:rsidRDefault="003E172D" w:rsidP="00F10702">
      <w:pPr>
        <w:spacing w:line="480" w:lineRule="auto"/>
        <w:jc w:val="center"/>
        <w:rPr>
          <w:rFonts w:ascii="Arial" w:hAnsi="Arial" w:cs="Arial"/>
          <w:b/>
          <w:bCs/>
        </w:rPr>
      </w:pPr>
    </w:p>
    <w:p w14:paraId="7B549662" w14:textId="77777777" w:rsidR="003E172D" w:rsidRDefault="003E172D" w:rsidP="00F10702">
      <w:pPr>
        <w:spacing w:line="480" w:lineRule="auto"/>
        <w:jc w:val="center"/>
        <w:rPr>
          <w:rFonts w:ascii="Arial" w:hAnsi="Arial" w:cs="Arial"/>
          <w:b/>
          <w:bCs/>
        </w:rPr>
      </w:pPr>
    </w:p>
    <w:p w14:paraId="3F1A6F16" w14:textId="77777777" w:rsidR="003E172D" w:rsidRDefault="003E172D" w:rsidP="00F10702">
      <w:pPr>
        <w:spacing w:line="480" w:lineRule="auto"/>
        <w:jc w:val="center"/>
        <w:rPr>
          <w:rFonts w:ascii="Arial" w:hAnsi="Arial" w:cs="Arial"/>
          <w:b/>
          <w:bCs/>
        </w:rPr>
      </w:pPr>
    </w:p>
    <w:p w14:paraId="38197F95" w14:textId="77777777" w:rsidR="003E172D" w:rsidRDefault="003E172D" w:rsidP="00F10702">
      <w:pPr>
        <w:spacing w:line="480" w:lineRule="auto"/>
        <w:jc w:val="center"/>
        <w:rPr>
          <w:rFonts w:ascii="Arial" w:hAnsi="Arial" w:cs="Arial"/>
          <w:b/>
          <w:bCs/>
        </w:rPr>
      </w:pPr>
    </w:p>
    <w:p w14:paraId="5055016B" w14:textId="77777777" w:rsidR="003E172D" w:rsidRDefault="003E172D" w:rsidP="00F10702">
      <w:pPr>
        <w:spacing w:line="480" w:lineRule="auto"/>
        <w:jc w:val="center"/>
        <w:rPr>
          <w:rFonts w:ascii="Arial" w:hAnsi="Arial" w:cs="Arial"/>
          <w:b/>
          <w:bCs/>
        </w:rPr>
      </w:pPr>
    </w:p>
    <w:p w14:paraId="53F1A0AA" w14:textId="77777777" w:rsidR="003E172D" w:rsidRDefault="003E172D" w:rsidP="00F10702">
      <w:pPr>
        <w:spacing w:line="480" w:lineRule="auto"/>
        <w:jc w:val="center"/>
        <w:rPr>
          <w:rFonts w:ascii="Arial" w:hAnsi="Arial" w:cs="Arial"/>
          <w:b/>
          <w:bCs/>
        </w:rPr>
      </w:pPr>
    </w:p>
    <w:p w14:paraId="55E1F31D" w14:textId="77777777" w:rsidR="003E172D" w:rsidRDefault="003E172D" w:rsidP="00F10702">
      <w:pPr>
        <w:spacing w:line="480" w:lineRule="auto"/>
        <w:jc w:val="center"/>
        <w:rPr>
          <w:rFonts w:ascii="Arial" w:hAnsi="Arial" w:cs="Arial"/>
          <w:b/>
          <w:bCs/>
        </w:rPr>
      </w:pPr>
    </w:p>
    <w:p w14:paraId="0A1F2358" w14:textId="77777777" w:rsidR="003E172D" w:rsidRDefault="003E172D" w:rsidP="00F10702">
      <w:pPr>
        <w:spacing w:line="480" w:lineRule="auto"/>
        <w:jc w:val="center"/>
        <w:rPr>
          <w:rFonts w:ascii="Arial" w:hAnsi="Arial" w:cs="Arial"/>
          <w:b/>
          <w:bCs/>
        </w:rPr>
      </w:pPr>
    </w:p>
    <w:p w14:paraId="5689A435" w14:textId="77777777" w:rsidR="003E172D" w:rsidRDefault="003E172D" w:rsidP="00F10702">
      <w:pPr>
        <w:spacing w:line="480" w:lineRule="auto"/>
        <w:jc w:val="center"/>
        <w:rPr>
          <w:rFonts w:ascii="Arial" w:hAnsi="Arial" w:cs="Arial"/>
          <w:b/>
          <w:bCs/>
        </w:rPr>
      </w:pPr>
    </w:p>
    <w:p w14:paraId="75335E63" w14:textId="77777777" w:rsidR="003E172D" w:rsidRDefault="003E172D" w:rsidP="00F10702">
      <w:pPr>
        <w:spacing w:line="480" w:lineRule="auto"/>
        <w:jc w:val="center"/>
        <w:rPr>
          <w:rFonts w:ascii="Arial" w:hAnsi="Arial" w:cs="Arial"/>
          <w:b/>
          <w:bCs/>
        </w:rPr>
      </w:pPr>
    </w:p>
    <w:p w14:paraId="26FCEE68" w14:textId="77777777" w:rsidR="003E172D" w:rsidRDefault="003E172D" w:rsidP="00F10702">
      <w:pPr>
        <w:spacing w:line="480" w:lineRule="auto"/>
        <w:jc w:val="center"/>
        <w:rPr>
          <w:rFonts w:ascii="Arial" w:hAnsi="Arial" w:cs="Arial"/>
          <w:b/>
          <w:bCs/>
        </w:rPr>
      </w:pPr>
    </w:p>
    <w:p w14:paraId="16F7F9AB" w14:textId="77777777" w:rsidR="003E172D" w:rsidRDefault="003E172D" w:rsidP="00F10702">
      <w:pPr>
        <w:spacing w:line="480" w:lineRule="auto"/>
        <w:jc w:val="center"/>
        <w:rPr>
          <w:rFonts w:ascii="Arial" w:hAnsi="Arial" w:cs="Arial"/>
          <w:b/>
          <w:bCs/>
        </w:rPr>
      </w:pPr>
    </w:p>
    <w:p w14:paraId="0EC91AA4" w14:textId="77777777" w:rsidR="003E172D" w:rsidRDefault="003E172D" w:rsidP="00F10702">
      <w:pPr>
        <w:spacing w:line="480" w:lineRule="auto"/>
        <w:jc w:val="center"/>
        <w:rPr>
          <w:rFonts w:ascii="Arial" w:hAnsi="Arial" w:cs="Arial"/>
          <w:b/>
          <w:bCs/>
        </w:rPr>
      </w:pPr>
    </w:p>
    <w:p w14:paraId="79D0C48A" w14:textId="77777777" w:rsidR="003E172D" w:rsidRDefault="003E172D" w:rsidP="00F10702">
      <w:pPr>
        <w:spacing w:line="480" w:lineRule="auto"/>
        <w:jc w:val="center"/>
        <w:rPr>
          <w:rFonts w:ascii="Arial" w:hAnsi="Arial" w:cs="Arial"/>
          <w:b/>
          <w:bCs/>
        </w:rPr>
      </w:pPr>
    </w:p>
    <w:p w14:paraId="7791315E" w14:textId="77777777" w:rsidR="003E172D" w:rsidRDefault="003E172D" w:rsidP="00F10702">
      <w:pPr>
        <w:spacing w:line="480" w:lineRule="auto"/>
        <w:jc w:val="center"/>
        <w:rPr>
          <w:rFonts w:ascii="Arial" w:hAnsi="Arial" w:cs="Arial"/>
          <w:b/>
          <w:bCs/>
        </w:rPr>
      </w:pPr>
    </w:p>
    <w:p w14:paraId="1A8CE394" w14:textId="77777777" w:rsidR="003E172D" w:rsidRDefault="003E172D" w:rsidP="00F10702">
      <w:pPr>
        <w:spacing w:line="480" w:lineRule="auto"/>
        <w:jc w:val="center"/>
        <w:rPr>
          <w:rFonts w:ascii="Arial" w:hAnsi="Arial" w:cs="Arial"/>
          <w:b/>
          <w:bCs/>
        </w:rPr>
      </w:pPr>
    </w:p>
    <w:p w14:paraId="619E832E" w14:textId="77777777" w:rsidR="003E172D" w:rsidRDefault="003E172D" w:rsidP="00F10702">
      <w:pPr>
        <w:spacing w:line="480" w:lineRule="auto"/>
        <w:jc w:val="center"/>
        <w:rPr>
          <w:rFonts w:ascii="Arial" w:hAnsi="Arial" w:cs="Arial"/>
          <w:b/>
          <w:bCs/>
        </w:rPr>
      </w:pPr>
    </w:p>
    <w:p w14:paraId="4A4321A9" w14:textId="77777777" w:rsidR="003E172D" w:rsidRDefault="003E172D" w:rsidP="00F10702">
      <w:pPr>
        <w:spacing w:line="480" w:lineRule="auto"/>
        <w:jc w:val="center"/>
        <w:rPr>
          <w:rFonts w:ascii="Arial" w:hAnsi="Arial" w:cs="Arial"/>
          <w:b/>
          <w:bCs/>
        </w:rPr>
      </w:pPr>
    </w:p>
    <w:p w14:paraId="5AF1A31D" w14:textId="560D05B2" w:rsidR="00CA5E05" w:rsidRPr="00CA5E05" w:rsidRDefault="00CA5E05" w:rsidP="00CA5E05">
      <w:pPr>
        <w:spacing w:line="480" w:lineRule="auto"/>
        <w:jc w:val="center"/>
        <w:rPr>
          <w:rFonts w:ascii="Arial" w:hAnsi="Arial" w:cs="Arial"/>
          <w:b/>
          <w:bCs/>
        </w:rPr>
      </w:pPr>
      <w:r w:rsidRPr="00CA5E05">
        <w:rPr>
          <w:rFonts w:ascii="Arial" w:hAnsi="Arial" w:cs="Arial"/>
          <w:b/>
          <w:bCs/>
        </w:rPr>
        <w:t>Forensic Case Formulation (4Ps)- Mark R. (Adult Male Sexual Offender)</w:t>
      </w:r>
    </w:p>
    <w:p w14:paraId="2605B1E6" w14:textId="77777777" w:rsidR="00CA5E05" w:rsidRDefault="00CA5E05" w:rsidP="0011613A">
      <w:pPr>
        <w:spacing w:line="480" w:lineRule="auto"/>
        <w:ind w:firstLine="720"/>
        <w:jc w:val="both"/>
        <w:rPr>
          <w:rFonts w:ascii="Arial" w:hAnsi="Arial" w:cs="Arial"/>
        </w:rPr>
      </w:pPr>
    </w:p>
    <w:p w14:paraId="135446F2" w14:textId="3DCE14EE" w:rsidR="00F10702" w:rsidRDefault="004B5E0C" w:rsidP="0011613A">
      <w:pPr>
        <w:spacing w:line="480" w:lineRule="auto"/>
        <w:ind w:firstLine="720"/>
        <w:jc w:val="both"/>
        <w:rPr>
          <w:rFonts w:ascii="Arial" w:hAnsi="Arial" w:cs="Arial"/>
        </w:rPr>
      </w:pPr>
      <w:r>
        <w:rPr>
          <w:rFonts w:ascii="Arial" w:hAnsi="Arial" w:cs="Arial"/>
        </w:rPr>
        <w:t xml:space="preserve">This forensic formulation applies the 4Ps framework (Presenting, Predisposing, Precipitating, and Perpetuating factors) to explain Mark R’s index offence: sexual assault of an adult female colleague at an office party. The formulation is hypothesis-driven and integrates empirical evidence on adult male sexual offending, with particular emphasis on dynamic risk mechanisms relevant to treatment planning. Contemporary reviews highlight that psychologically meaningful dynamic risk factors for sexual offending include offence-supportive attitudes (e.g., entitlement and hostility towards women), emotional regulation deficits, sexual self-regulation problems, and antisociality, alongside situational catalysts such as intoxication and peer contexts (Seto et al., 2023). Evidence also indicates that intervention effects on sexual recidivism are typically modest but more robust when programmes match risk level, target criminogenic needs, and adhere to the risk-need-responsivity (RNR) principles (Hanson et al., 2009; Holper et al., 2024). Given Mark’s partial acknowledgement and defensiveness, the formulation further considers how shame-based responding and denial/minimisation can function as short-term coping strategies that reduce </w:t>
      </w:r>
      <w:r>
        <w:rPr>
          <w:rFonts w:ascii="Arial" w:hAnsi="Arial" w:cs="Arial"/>
        </w:rPr>
        <w:lastRenderedPageBreak/>
        <w:t>engagement and impede change (Mottershead et al., 2024), while acknowledging that the empirical link between denial and sexual recidivism is weak and clinically nuanced (Marshall et al., 2001). The goals of this formulation are to (a) explain Mark’s offending in a coherent, evidence-informed narrative; (b) identify priority dynamic risk factors for risk management; and (c) justify a rehabilitation plan that integrates strengths-based and trauma-informed principles within an RNR framework, consistent with modern best practice in forensic rehabilitation (Bonta &amp; Andrews, 2017; Thornton et al., 2024).</w:t>
      </w:r>
    </w:p>
    <w:p w14:paraId="04418F42" w14:textId="77777777" w:rsidR="00BA79F0" w:rsidRPr="00BA79F0" w:rsidRDefault="00BA79F0" w:rsidP="0011613A">
      <w:pPr>
        <w:spacing w:line="480" w:lineRule="auto"/>
        <w:ind w:firstLine="720"/>
        <w:jc w:val="both"/>
        <w:rPr>
          <w:rFonts w:ascii="Arial" w:hAnsi="Arial" w:cs="Arial"/>
          <w:b/>
          <w:bCs/>
        </w:rPr>
      </w:pPr>
      <w:r w:rsidRPr="00BA79F0">
        <w:rPr>
          <w:rFonts w:ascii="Arial" w:hAnsi="Arial" w:cs="Arial"/>
          <w:b/>
          <w:bCs/>
        </w:rPr>
        <w:t>Presenting Factors</w:t>
      </w:r>
    </w:p>
    <w:p w14:paraId="0064429A" w14:textId="0708CE19" w:rsidR="00994703" w:rsidRPr="00BA79F0" w:rsidRDefault="00BA79F0" w:rsidP="00994703">
      <w:pPr>
        <w:spacing w:line="480" w:lineRule="auto"/>
        <w:ind w:firstLine="720"/>
        <w:jc w:val="both"/>
        <w:rPr>
          <w:rFonts w:ascii="Arial" w:hAnsi="Arial" w:cs="Arial"/>
        </w:rPr>
      </w:pPr>
      <w:r w:rsidRPr="00BA79F0">
        <w:rPr>
          <w:rFonts w:ascii="Arial" w:hAnsi="Arial" w:cs="Arial"/>
        </w:rPr>
        <w:t xml:space="preserve">Mark is a 41-year-old male in a medium-secure forensic rehabilitation unit following </w:t>
      </w:r>
      <w:r>
        <w:rPr>
          <w:rFonts w:ascii="Arial" w:hAnsi="Arial" w:cs="Arial"/>
        </w:rPr>
        <w:t xml:space="preserve">a </w:t>
      </w:r>
      <w:r w:rsidRPr="00BA79F0">
        <w:rPr>
          <w:rFonts w:ascii="Arial" w:hAnsi="Arial" w:cs="Arial"/>
        </w:rPr>
        <w:t xml:space="preserve">conviction for sexual assault. His current presentation is superficially compliant (polite and cooperative) but becomes defensive when the offence is discussed. He rationalises the incident as “drunken flirting” and frames the victim’s resistance as </w:t>
      </w:r>
      <w:r>
        <w:rPr>
          <w:rFonts w:ascii="Arial" w:hAnsi="Arial" w:cs="Arial"/>
        </w:rPr>
        <w:t xml:space="preserve">a </w:t>
      </w:r>
      <w:r w:rsidRPr="00BA79F0">
        <w:rPr>
          <w:rFonts w:ascii="Arial" w:hAnsi="Arial" w:cs="Arial"/>
        </w:rPr>
        <w:t>misunderstanding, shifting responsibility away from his behaviour. This pattern is clinically significant because offence-related minimisation can be associated with reduced treatment readiness, weaker alliance, and poorer uptake of skills that require honest self-monitoring (Pinto e Silva et al., 2025). Mark also reports shame, but it is blended with resentment about the “sex offender” label, suggesting a threat to identity and status. Contemporary syntheses of offence-related shame/guilt indicate that maladaptive shame (global, self-focused devaluation) can elicit avoidance, anger, and externalisation</w:t>
      </w:r>
      <w:r w:rsidR="006E7DB1">
        <w:rPr>
          <w:rFonts w:ascii="Arial" w:hAnsi="Arial" w:cs="Arial"/>
        </w:rPr>
        <w:t>. In contrast, adaptive</w:t>
      </w:r>
      <w:r w:rsidRPr="00BA79F0">
        <w:rPr>
          <w:rFonts w:ascii="Arial" w:hAnsi="Arial" w:cs="Arial"/>
        </w:rPr>
        <w:t xml:space="preserve"> guilt (behaviour-focused responsibility) is more compatible with reparative change (Mottershead et al., 2024). In Mark’s case, shame appears to be managed through defensive cognition and emotional constriction (discomfort around feelings), which may limit empathy development and increase the likelihood of hostile attribution during conflict. Finally, Mark’s history of alcohol misuse is a salient treatment and risk issue. Experimental evidence shows that acute alcohol </w:t>
      </w:r>
      <w:r w:rsidRPr="00BA79F0">
        <w:rPr>
          <w:rFonts w:ascii="Arial" w:hAnsi="Arial" w:cs="Arial"/>
        </w:rPr>
        <w:lastRenderedPageBreak/>
        <w:t>consumption increases sexual aggression intentions/behaviours with a small but robust effect (</w:t>
      </w:r>
      <w:proofErr w:type="spellStart"/>
      <w:r w:rsidRPr="00BA79F0">
        <w:rPr>
          <w:rFonts w:ascii="Arial" w:hAnsi="Arial" w:cs="Arial"/>
        </w:rPr>
        <w:t>Rabaud</w:t>
      </w:r>
      <w:proofErr w:type="spellEnd"/>
      <w:r w:rsidRPr="00BA79F0">
        <w:rPr>
          <w:rFonts w:ascii="Arial" w:hAnsi="Arial" w:cs="Arial"/>
        </w:rPr>
        <w:t xml:space="preserve"> et al., 2025). Therefore, current risk management should prioritise relapse prevention for substance use and offence-related self-regulation, alongside targeted work on consent, boundaries, and attitudes that support coercion.</w:t>
      </w:r>
    </w:p>
    <w:p w14:paraId="398A7E0D" w14:textId="77777777" w:rsidR="00BA79F0" w:rsidRPr="00BA79F0" w:rsidRDefault="00BA79F0" w:rsidP="0011613A">
      <w:pPr>
        <w:spacing w:line="480" w:lineRule="auto"/>
        <w:ind w:firstLine="720"/>
        <w:jc w:val="both"/>
        <w:rPr>
          <w:rFonts w:ascii="Arial" w:hAnsi="Arial" w:cs="Arial"/>
          <w:b/>
          <w:bCs/>
        </w:rPr>
      </w:pPr>
      <w:r w:rsidRPr="00BA79F0">
        <w:rPr>
          <w:rFonts w:ascii="Arial" w:hAnsi="Arial" w:cs="Arial"/>
          <w:b/>
          <w:bCs/>
        </w:rPr>
        <w:t>Predisposing Factors</w:t>
      </w:r>
    </w:p>
    <w:p w14:paraId="1112890D" w14:textId="77777777" w:rsidR="00BA79F0" w:rsidRPr="00BA79F0" w:rsidRDefault="00BA79F0" w:rsidP="0011613A">
      <w:pPr>
        <w:spacing w:line="480" w:lineRule="auto"/>
        <w:ind w:firstLine="720"/>
        <w:jc w:val="both"/>
        <w:rPr>
          <w:rFonts w:ascii="Arial" w:hAnsi="Arial" w:cs="Arial"/>
        </w:rPr>
      </w:pPr>
      <w:r w:rsidRPr="00BA79F0">
        <w:rPr>
          <w:rFonts w:ascii="Arial" w:hAnsi="Arial" w:cs="Arial"/>
        </w:rPr>
        <w:t>Multiple developmental and social vulnerabilities plausibly contributed to Mark’s offence pathway. First, Mark describes a childhood marked by domestic violence and paternal alcohol misuse. Exposure to chronic family aggression and instability can shape later interpersonal functioning through hostile expectancies, emotional dysregulation, and learned coercive interaction styles, particularly when children observe aggression being used to manage stress and secure compliance (Bandura, 1977). While not deterministic, developmental adversity is a plausible contributor to difficulties tolerating negative affect and to reliance on externalising coping strategies, both of which are common treatment targets in sexual offending (Seto et al., 2023). In addition, trauma-informed literature notes that individuals in forensic systems frequently have extensive trauma histories and may interpret authority, interpersonal closeness, or rejection through a threat lens, increasing risk for reactive anger and maladaptive coping (Changing Futures Evaluation, 2023).</w:t>
      </w:r>
    </w:p>
    <w:p w14:paraId="0F206069" w14:textId="6F866DE0" w:rsidR="00BA79F0" w:rsidRPr="00BA79F0" w:rsidRDefault="00BA79F0" w:rsidP="0011613A">
      <w:pPr>
        <w:spacing w:line="480" w:lineRule="auto"/>
        <w:ind w:firstLine="720"/>
        <w:jc w:val="both"/>
        <w:rPr>
          <w:rFonts w:ascii="Arial" w:hAnsi="Arial" w:cs="Arial"/>
        </w:rPr>
      </w:pPr>
      <w:r w:rsidRPr="00BA79F0">
        <w:rPr>
          <w:rFonts w:ascii="Arial" w:hAnsi="Arial" w:cs="Arial"/>
        </w:rPr>
        <w:t xml:space="preserve">Second, Mark left school at 16 with few qualifications and worked in manual labour, which may have limited access to stable, identity-affirming roles and adaptive coping resources. After marital breakdown and increased alcohol misuse, Mark also demonstrated harassment towards his ex-partner, indicating a prior pattern of boundary violations and controlling communication under relational stress. This history is consistent with a broader externalising vulnerability (e.g., impulsivity, entitlement, </w:t>
      </w:r>
      <w:r w:rsidRPr="00BA79F0">
        <w:rPr>
          <w:rFonts w:ascii="Arial" w:hAnsi="Arial" w:cs="Arial"/>
        </w:rPr>
        <w:lastRenderedPageBreak/>
        <w:t>poor conflict management), which is relevant because general criminality and antisociality elevate risk across offence types and can undermine treatment gains if not addressed (Bonta &amp; Andrews, 2017).</w:t>
      </w:r>
    </w:p>
    <w:p w14:paraId="681F67D2" w14:textId="77777777" w:rsidR="00BA79F0" w:rsidRPr="00BA79F0" w:rsidRDefault="00BA79F0" w:rsidP="0011613A">
      <w:pPr>
        <w:spacing w:line="480" w:lineRule="auto"/>
        <w:ind w:firstLine="720"/>
        <w:jc w:val="both"/>
        <w:rPr>
          <w:rFonts w:ascii="Arial" w:hAnsi="Arial" w:cs="Arial"/>
        </w:rPr>
      </w:pPr>
      <w:r w:rsidRPr="00BA79F0">
        <w:rPr>
          <w:rFonts w:ascii="Arial" w:hAnsi="Arial" w:cs="Arial"/>
        </w:rPr>
        <w:t>Third, Mark’s interpersonal style is characterised by emotional avoidance and discomfort discussing vulnerability. From a formulation perspective, restricted emotional literacy may reduce the capacity to identify escalating arousal states (anger, sexual urgency, humiliation) and to use alternative coping responses in high-risk situations. Empirically, emotional regulation deficits are now considered supported dynamic risk factors for sexual offending (Seto et al., 2023). Consistent with integrative aetiological accounts (e.g., ITSO), sexual offending can emerge from interacting biological, developmental, and social factors that impair self-regulation and increase the salience of hostile/entitlement cognitions when opportunities arise (Ward &amp; Beech, 2006).</w:t>
      </w:r>
    </w:p>
    <w:p w14:paraId="17DECEAA" w14:textId="77777777" w:rsidR="00BA79F0" w:rsidRPr="00BA79F0" w:rsidRDefault="00BA79F0" w:rsidP="0011613A">
      <w:pPr>
        <w:spacing w:line="480" w:lineRule="auto"/>
        <w:ind w:firstLine="720"/>
        <w:jc w:val="both"/>
        <w:rPr>
          <w:rFonts w:ascii="Arial" w:hAnsi="Arial" w:cs="Arial"/>
        </w:rPr>
      </w:pPr>
      <w:r w:rsidRPr="00BA79F0">
        <w:rPr>
          <w:rFonts w:ascii="Arial" w:hAnsi="Arial" w:cs="Arial"/>
        </w:rPr>
        <w:t>Finally, although no prior sexual convictions are reported, the absence of recorded prior sexual offending does not imply the absence of underlying attitudes or scripts that normalise sexual pressure or disregard consent. Rape myth acceptance and hostile masculinity are linked to sexual aggression in community samples and are clinically relevant targets for intervention, particularly where intoxication and peer settings may amplify these beliefs (Seto et al., 2023; Yapp &amp; Quayle, 2018).</w:t>
      </w:r>
    </w:p>
    <w:p w14:paraId="59AB0E66" w14:textId="77777777" w:rsidR="00BA79F0" w:rsidRPr="00BA79F0" w:rsidRDefault="00BA79F0" w:rsidP="0011613A">
      <w:pPr>
        <w:spacing w:line="480" w:lineRule="auto"/>
        <w:ind w:firstLine="720"/>
        <w:jc w:val="both"/>
        <w:rPr>
          <w:rFonts w:ascii="Arial" w:hAnsi="Arial" w:cs="Arial"/>
          <w:b/>
          <w:bCs/>
        </w:rPr>
      </w:pPr>
      <w:r w:rsidRPr="00BA79F0">
        <w:rPr>
          <w:rFonts w:ascii="Arial" w:hAnsi="Arial" w:cs="Arial"/>
          <w:b/>
          <w:bCs/>
        </w:rPr>
        <w:t>Precipitating Factors</w:t>
      </w:r>
    </w:p>
    <w:p w14:paraId="12543334" w14:textId="77777777" w:rsidR="00BA79F0" w:rsidRPr="00BA79F0" w:rsidRDefault="00BA79F0" w:rsidP="0011613A">
      <w:pPr>
        <w:spacing w:line="480" w:lineRule="auto"/>
        <w:ind w:firstLine="720"/>
        <w:jc w:val="both"/>
        <w:rPr>
          <w:rFonts w:ascii="Arial" w:hAnsi="Arial" w:cs="Arial"/>
        </w:rPr>
      </w:pPr>
      <w:r w:rsidRPr="00BA79F0">
        <w:rPr>
          <w:rFonts w:ascii="Arial" w:hAnsi="Arial" w:cs="Arial"/>
        </w:rPr>
        <w:t xml:space="preserve">The index offence occurred in a context with multiple proximal triggers. The office party created a social setting with alcohol availability, peer norms that may tolerate sexualised behaviour, and reduced formal supervision. Both Mark and the victim were drinking; acute intoxication is a well-supported situational catalyst that can </w:t>
      </w:r>
      <w:r w:rsidRPr="00BA79F0">
        <w:rPr>
          <w:rFonts w:ascii="Arial" w:hAnsi="Arial" w:cs="Arial"/>
        </w:rPr>
        <w:lastRenderedPageBreak/>
        <w:t>narrow attention, impair processing of refusal cues, and increase reliance on dominant sexual scripts, thereby elevating the probability of coercive behaviour (</w:t>
      </w:r>
      <w:proofErr w:type="spellStart"/>
      <w:r w:rsidRPr="00BA79F0">
        <w:rPr>
          <w:rFonts w:ascii="Arial" w:hAnsi="Arial" w:cs="Arial"/>
        </w:rPr>
        <w:t>Rabaud</w:t>
      </w:r>
      <w:proofErr w:type="spellEnd"/>
      <w:r w:rsidRPr="00BA79F0">
        <w:rPr>
          <w:rFonts w:ascii="Arial" w:hAnsi="Arial" w:cs="Arial"/>
        </w:rPr>
        <w:t xml:space="preserve"> et al., 2025). From a cognitive perspective, intoxication can interact with pre-existing entitlement or misperception biases, leading to overestimation of sexual interest and reinterpretation of resistance as “playing hard to get.” Such mechanisms align with cognitive distortion accounts in which offenders use self-serving interpretations to justify boundary violations and reduce internal discomfort (Ward &amp; Hudson, 1998).</w:t>
      </w:r>
    </w:p>
    <w:p w14:paraId="433D04B1" w14:textId="77777777" w:rsidR="00BA79F0" w:rsidRPr="00BA79F0" w:rsidRDefault="00BA79F0" w:rsidP="0011613A">
      <w:pPr>
        <w:spacing w:line="480" w:lineRule="auto"/>
        <w:ind w:firstLine="720"/>
        <w:jc w:val="both"/>
        <w:rPr>
          <w:rFonts w:ascii="Arial" w:hAnsi="Arial" w:cs="Arial"/>
        </w:rPr>
      </w:pPr>
      <w:r w:rsidRPr="00BA79F0">
        <w:rPr>
          <w:rFonts w:ascii="Arial" w:hAnsi="Arial" w:cs="Arial"/>
        </w:rPr>
        <w:t>The offence also occurred following cumulative stressors (marital breakdown, estrangement from ex-wife, and a history of emotional volatility). In line with relapse prevention models, heightened negative affect and interpersonal rejection can function as distal triggers that increase vulnerability to impulsive coping, including substance use escalation and risk-taking (Bonta &amp; Andrews, 2017). Therefore, the precipitating formulation emphasises the convergence of (a) acute intoxication and opportunity, (b) impaired self-regulation under arousal, and (c) offence-supportive misinterpretation of consent cues.</w:t>
      </w:r>
    </w:p>
    <w:p w14:paraId="16E9D9FD" w14:textId="77777777" w:rsidR="00BA79F0" w:rsidRPr="00BA79F0" w:rsidRDefault="00BA79F0" w:rsidP="0011613A">
      <w:pPr>
        <w:spacing w:line="480" w:lineRule="auto"/>
        <w:ind w:firstLine="720"/>
        <w:jc w:val="both"/>
        <w:rPr>
          <w:rFonts w:ascii="Arial" w:hAnsi="Arial" w:cs="Arial"/>
          <w:b/>
          <w:bCs/>
        </w:rPr>
      </w:pPr>
      <w:r w:rsidRPr="00BA79F0">
        <w:rPr>
          <w:rFonts w:ascii="Arial" w:hAnsi="Arial" w:cs="Arial"/>
          <w:b/>
          <w:bCs/>
        </w:rPr>
        <w:t>Perpetuating Factors</w:t>
      </w:r>
    </w:p>
    <w:p w14:paraId="245C70AA" w14:textId="0D358219" w:rsidR="00BA79F0" w:rsidRPr="00BA79F0" w:rsidRDefault="00BA79F0" w:rsidP="0011613A">
      <w:pPr>
        <w:spacing w:line="480" w:lineRule="auto"/>
        <w:ind w:firstLine="720"/>
        <w:jc w:val="both"/>
        <w:rPr>
          <w:rFonts w:ascii="Arial" w:hAnsi="Arial" w:cs="Arial"/>
        </w:rPr>
      </w:pPr>
      <w:r w:rsidRPr="00BA79F0">
        <w:rPr>
          <w:rFonts w:ascii="Arial" w:hAnsi="Arial" w:cs="Arial"/>
        </w:rPr>
        <w:t>Several mechanisms plausibly maintain risk if unaddressed. First, Mark’s partial denial/minimisation may reduce learning from treatment. While categorical denial alone is not a reliable predictor of sexual recidivism and can sometimes reflect shame-avoidance rather than entrenched deviance (Marshall et al., 2001), minimisation can still obstruct the development of offence chains, victim empathy, and self-management plans because these require accurate appraisal of harm and risk situations. Mark’s statement that he “</w:t>
      </w:r>
      <w:r w:rsidR="006E7DB1">
        <w:rPr>
          <w:rFonts w:ascii="Arial" w:hAnsi="Arial" w:cs="Arial"/>
        </w:rPr>
        <w:t>did not</w:t>
      </w:r>
      <w:r w:rsidRPr="00BA79F0">
        <w:rPr>
          <w:rFonts w:ascii="Arial" w:hAnsi="Arial" w:cs="Arial"/>
        </w:rPr>
        <w:t xml:space="preserve"> mean any harm” is consistent with an outcome-minimising cognitive style in which the absence of intent is used to negate impact. Clinically, this </w:t>
      </w:r>
      <w:r w:rsidRPr="00BA79F0">
        <w:rPr>
          <w:rFonts w:ascii="Arial" w:hAnsi="Arial" w:cs="Arial"/>
        </w:rPr>
        <w:lastRenderedPageBreak/>
        <w:t>can sustain risky behaviour by preserving a self-image of being “not that kind of person,” limiting accountability and future risk anticipation (Levenson et al., 2023).</w:t>
      </w:r>
    </w:p>
    <w:p w14:paraId="095AF49D" w14:textId="77777777" w:rsidR="00BA79F0" w:rsidRPr="00BA79F0" w:rsidRDefault="00BA79F0" w:rsidP="0011613A">
      <w:pPr>
        <w:spacing w:line="480" w:lineRule="auto"/>
        <w:ind w:firstLine="720"/>
        <w:jc w:val="both"/>
        <w:rPr>
          <w:rFonts w:ascii="Arial" w:hAnsi="Arial" w:cs="Arial"/>
        </w:rPr>
      </w:pPr>
      <w:r w:rsidRPr="00BA79F0">
        <w:rPr>
          <w:rFonts w:ascii="Arial" w:hAnsi="Arial" w:cs="Arial"/>
        </w:rPr>
        <w:t>Second, untreated alcohol misuse is a critical dynamic risk factor. In sexual violence, intoxication does not cause offending in isolation, but it reliably increases risk by weakening inhibitory control and heightening misperception of sexual intent (</w:t>
      </w:r>
      <w:proofErr w:type="spellStart"/>
      <w:r w:rsidRPr="00BA79F0">
        <w:rPr>
          <w:rFonts w:ascii="Arial" w:hAnsi="Arial" w:cs="Arial"/>
        </w:rPr>
        <w:t>Rabaud</w:t>
      </w:r>
      <w:proofErr w:type="spellEnd"/>
      <w:r w:rsidRPr="00BA79F0">
        <w:rPr>
          <w:rFonts w:ascii="Arial" w:hAnsi="Arial" w:cs="Arial"/>
        </w:rPr>
        <w:t xml:space="preserve"> et al., 2025). If Mark conceptualises the offence as primarily alcohol-driven, he may externalise responsibility (“the drink made me do it”) and fail to challenge underlying attitudes about entitlement and persistence. This is a recognised treatment hazard, because effective rehabilitation requires targeting both situational and person-level criminogenic needs (Bonta &amp; Andrews, 2017; Seto et al., 2023).</w:t>
      </w:r>
    </w:p>
    <w:p w14:paraId="0166F020" w14:textId="2EDE6DEE" w:rsidR="00BA79F0" w:rsidRPr="00BA79F0" w:rsidRDefault="00BA79F0" w:rsidP="0011613A">
      <w:pPr>
        <w:spacing w:line="480" w:lineRule="auto"/>
        <w:ind w:firstLine="720"/>
        <w:jc w:val="both"/>
        <w:rPr>
          <w:rFonts w:ascii="Arial" w:hAnsi="Arial" w:cs="Arial"/>
        </w:rPr>
      </w:pPr>
      <w:r w:rsidRPr="00BA79F0">
        <w:rPr>
          <w:rFonts w:ascii="Arial" w:hAnsi="Arial" w:cs="Arial"/>
        </w:rPr>
        <w:t xml:space="preserve">Third, emotional avoidance and poor affect regulation may perpetuate risk through reactive anger and impulsivity in interpersonal contexts. Mark’s earlier harassment conviction suggests a pattern of escalation when he feels rejected or disrespected. Within Seto et al.’s (2023) updated synthesis, emotional regulation deficits and hostility towards women are now better supported than in earlier reviews, indicating they should be prioritised when </w:t>
      </w:r>
      <w:r w:rsidR="00475D64">
        <w:rPr>
          <w:rFonts w:ascii="Arial" w:hAnsi="Arial" w:cs="Arial"/>
        </w:rPr>
        <w:t>supported by clinical evidence</w:t>
      </w:r>
      <w:r w:rsidRPr="00BA79F0">
        <w:rPr>
          <w:rFonts w:ascii="Arial" w:hAnsi="Arial" w:cs="Arial"/>
        </w:rPr>
        <w:t>. Mark’s defensiveness may also reflect a broader hostile attribution style that sustains resentment and blame toward others.</w:t>
      </w:r>
    </w:p>
    <w:p w14:paraId="65169ADE" w14:textId="6FE56DED" w:rsidR="00BA79F0" w:rsidRPr="00BA79F0" w:rsidRDefault="00BA79F0" w:rsidP="0011613A">
      <w:pPr>
        <w:spacing w:line="480" w:lineRule="auto"/>
        <w:ind w:firstLine="720"/>
        <w:jc w:val="both"/>
        <w:rPr>
          <w:rFonts w:ascii="Arial" w:hAnsi="Arial" w:cs="Arial"/>
        </w:rPr>
      </w:pPr>
      <w:r w:rsidRPr="00BA79F0">
        <w:rPr>
          <w:rFonts w:ascii="Arial" w:hAnsi="Arial" w:cs="Arial"/>
        </w:rPr>
        <w:t>Fourth, social disconnection is relevant. Mark is estranged from his ex-wife, but he maintains contact with his daughter. Positive, prosocial social support is one of the few empirically supported protective factors identified in recent reviews (Seto et al., 2023)</w:t>
      </w:r>
      <w:r w:rsidR="00475D64">
        <w:rPr>
          <w:rFonts w:ascii="Arial" w:hAnsi="Arial" w:cs="Arial"/>
        </w:rPr>
        <w:t>. It is</w:t>
      </w:r>
      <w:r w:rsidRPr="00BA79F0">
        <w:rPr>
          <w:rFonts w:ascii="Arial" w:hAnsi="Arial" w:cs="Arial"/>
        </w:rPr>
        <w:t xml:space="preserve"> also emphasised within protective-factor models of assessment and treatment planning (Thornton et al., 2024). Therefore, strengthening prosocial </w:t>
      </w:r>
      <w:r w:rsidR="00475D64">
        <w:rPr>
          <w:rFonts w:ascii="Arial" w:hAnsi="Arial" w:cs="Arial"/>
        </w:rPr>
        <w:lastRenderedPageBreak/>
        <w:t>connections</w:t>
      </w:r>
      <w:r w:rsidRPr="00BA79F0">
        <w:rPr>
          <w:rFonts w:ascii="Arial" w:hAnsi="Arial" w:cs="Arial"/>
        </w:rPr>
        <w:t xml:space="preserve"> while reducing risky peer contexts (e.g., alcohol-focused environments) is likely important for sustained change.</w:t>
      </w:r>
    </w:p>
    <w:p w14:paraId="2F402D0A" w14:textId="414747B8" w:rsidR="00BA79F0" w:rsidRPr="00BA79F0" w:rsidRDefault="00BA79F0" w:rsidP="0011613A">
      <w:pPr>
        <w:spacing w:line="480" w:lineRule="auto"/>
        <w:ind w:firstLine="720"/>
        <w:jc w:val="both"/>
        <w:rPr>
          <w:rFonts w:ascii="Arial" w:hAnsi="Arial" w:cs="Arial"/>
        </w:rPr>
      </w:pPr>
      <w:r w:rsidRPr="00BA79F0">
        <w:rPr>
          <w:rFonts w:ascii="Arial" w:hAnsi="Arial" w:cs="Arial"/>
        </w:rPr>
        <w:t xml:space="preserve">Finally, accurate risk management requires ongoing monitoring of dynamic change. Evidence indicates that the predictive accuracy of dynamic sexual recidivism risk tools (e.g., STABLE-2007, ACUTE-2007) decreases </w:t>
      </w:r>
      <w:r w:rsidR="00475D64">
        <w:rPr>
          <w:rFonts w:ascii="Arial" w:hAnsi="Arial" w:cs="Arial"/>
        </w:rPr>
        <w:t xml:space="preserve">over time since assessment, supporting periodic reassessment to guide case management and </w:t>
      </w:r>
      <w:r w:rsidRPr="00BA79F0">
        <w:rPr>
          <w:rFonts w:ascii="Arial" w:hAnsi="Arial" w:cs="Arial"/>
        </w:rPr>
        <w:t>detect escalation in acute risk states (Lee et al., 2024). In Mark’s case, structured monitoring could support timely adjustments to privileges, coping plans, and relapse prevention strategies.</w:t>
      </w:r>
    </w:p>
    <w:p w14:paraId="4C0C9746" w14:textId="77777777" w:rsidR="00BA79F0" w:rsidRPr="00BA79F0" w:rsidRDefault="00BA79F0" w:rsidP="0011613A">
      <w:pPr>
        <w:spacing w:line="480" w:lineRule="auto"/>
        <w:ind w:firstLine="720"/>
        <w:jc w:val="both"/>
        <w:rPr>
          <w:rFonts w:ascii="Arial" w:hAnsi="Arial" w:cs="Arial"/>
          <w:b/>
          <w:bCs/>
        </w:rPr>
      </w:pPr>
      <w:r w:rsidRPr="00BA79F0">
        <w:rPr>
          <w:rFonts w:ascii="Arial" w:hAnsi="Arial" w:cs="Arial"/>
          <w:b/>
          <w:bCs/>
        </w:rPr>
        <w:t>Proposed Rehabilitation / Intervention Option</w:t>
      </w:r>
    </w:p>
    <w:p w14:paraId="1A142C94" w14:textId="77777777" w:rsidR="00BA79F0" w:rsidRPr="00BA79F0" w:rsidRDefault="00BA79F0" w:rsidP="0011613A">
      <w:pPr>
        <w:spacing w:line="480" w:lineRule="auto"/>
        <w:ind w:firstLine="720"/>
        <w:jc w:val="both"/>
        <w:rPr>
          <w:rFonts w:ascii="Arial" w:hAnsi="Arial" w:cs="Arial"/>
        </w:rPr>
      </w:pPr>
      <w:r w:rsidRPr="00BA79F0">
        <w:rPr>
          <w:rFonts w:ascii="Arial" w:hAnsi="Arial" w:cs="Arial"/>
        </w:rPr>
        <w:t>A defensible intervention plan for Mark should integrate (a) RNR principles to ensure the right intensity and targets, (b) a strengths-based orientation consistent with the Good Lives Model (GLM), and (c) a trauma-informed and motivational approach to improve engagement. Meta-analytic evidence indicates that sex-offending interventions show greater effectiveness when they are specialised and delivered to individuals at medium-to-high risk, consistent with RNR (Holper et al., 2024; Hanson et al., 2009). Accordingly, treatment should prioritise dynamic criminogenic needs that are salient in Mark’s case: substance misuse, offence-supportive attitudes (consent, entitlement, hostility), emotional regulation, and relationship skills.</w:t>
      </w:r>
    </w:p>
    <w:p w14:paraId="12FEDC92" w14:textId="77777777" w:rsidR="00BA79F0" w:rsidRPr="00BA79F0" w:rsidRDefault="00BA79F0" w:rsidP="0011613A">
      <w:pPr>
        <w:spacing w:line="480" w:lineRule="auto"/>
        <w:ind w:firstLine="720"/>
        <w:jc w:val="both"/>
        <w:rPr>
          <w:rFonts w:ascii="Arial" w:hAnsi="Arial" w:cs="Arial"/>
        </w:rPr>
      </w:pPr>
      <w:r w:rsidRPr="00BA79F0">
        <w:rPr>
          <w:rFonts w:ascii="Arial" w:hAnsi="Arial" w:cs="Arial"/>
        </w:rPr>
        <w:t xml:space="preserve">Given Mark’s defensiveness, the initial phase should focus on engagement and treatment readiness. A systematic review and meta-analysis of motivational interviewing (MI) with justice-involved populations found MI-based approaches improve attendance, reduce dropout, and show evidence of reducing recidivism compared to non-MI approaches (Pinto e Silva et al., 2025). MI is therefore appropriate </w:t>
      </w:r>
      <w:r w:rsidRPr="00BA79F0">
        <w:rPr>
          <w:rFonts w:ascii="Arial" w:hAnsi="Arial" w:cs="Arial"/>
        </w:rPr>
        <w:lastRenderedPageBreak/>
        <w:t>as a front-end responsivity strategy to reduce confrontation, explore ambivalence (“shame vs resentment”), and build discrepancy between Mark’s values (e.g., being a good father) and his behaviour. This approach can be paired with structured offence analysis without requiring immediate full disclosure, consistent with evidence that treatment can proceed with deniers when the focus remains on risk mechanisms and future prevention (Marshall et al., 2001).</w:t>
      </w:r>
    </w:p>
    <w:p w14:paraId="5660865C" w14:textId="77777777" w:rsidR="00BA79F0" w:rsidRPr="00BA79F0" w:rsidRDefault="00BA79F0" w:rsidP="0011613A">
      <w:pPr>
        <w:spacing w:line="480" w:lineRule="auto"/>
        <w:ind w:firstLine="720"/>
        <w:jc w:val="both"/>
        <w:rPr>
          <w:rFonts w:ascii="Arial" w:hAnsi="Arial" w:cs="Arial"/>
        </w:rPr>
      </w:pPr>
      <w:r w:rsidRPr="00BA79F0">
        <w:rPr>
          <w:rFonts w:ascii="Arial" w:hAnsi="Arial" w:cs="Arial"/>
        </w:rPr>
        <w:t>Core treatment targets should then include: (1) Alcohol-focused relapse prevention and coping plans including refusal skills, trigger mapping, and alternative emotion regulation strategies; (2) Cognitive restructuring of rape myths and consent distortions, including explicit work on recognising refusals, challenging entitlement, and developing accurate perspective taking; (3) Emotion regulation and self-control training (e.g., identifying escalation signatures, distress tolerance, anger management), which aligns with contemporary evidence identifying emotional regulation deficits as a supported risk factor (Seto et al., 2023); and (4) Relationship and communication skills to reduce coercive responding during rejection and conflict.</w:t>
      </w:r>
    </w:p>
    <w:p w14:paraId="500F4F89" w14:textId="77777777" w:rsidR="00BA79F0" w:rsidRPr="00BA79F0" w:rsidRDefault="00BA79F0" w:rsidP="0011613A">
      <w:pPr>
        <w:spacing w:line="480" w:lineRule="auto"/>
        <w:ind w:firstLine="720"/>
        <w:jc w:val="both"/>
        <w:rPr>
          <w:rFonts w:ascii="Arial" w:hAnsi="Arial" w:cs="Arial"/>
        </w:rPr>
      </w:pPr>
      <w:r w:rsidRPr="00BA79F0">
        <w:rPr>
          <w:rFonts w:ascii="Arial" w:hAnsi="Arial" w:cs="Arial"/>
        </w:rPr>
        <w:t>Trauma-informed practice should be integrated across the programme rather than treated as a separate module. UK evidence reviews emphasise that trauma-informed approaches can improve engagement and wellbeing, but also note definitional ambiguity and limits in outcome evidence, requiring cautious and reflective implementation (Changing Futures Evaluation, 2023). In secure forensic settings, staff report that trauma-informed frameworks can support safety and collaboration, but require clear boundaries and organisational support to manage risk (</w:t>
      </w:r>
      <w:proofErr w:type="spellStart"/>
      <w:r w:rsidRPr="00BA79F0">
        <w:rPr>
          <w:rFonts w:ascii="Arial" w:hAnsi="Arial" w:cs="Arial"/>
        </w:rPr>
        <w:t>Seitanidou</w:t>
      </w:r>
      <w:proofErr w:type="spellEnd"/>
      <w:r w:rsidRPr="00BA79F0">
        <w:rPr>
          <w:rFonts w:ascii="Arial" w:hAnsi="Arial" w:cs="Arial"/>
        </w:rPr>
        <w:t xml:space="preserve"> et al., 2024). For Mark, this means (a) recognising how early violence exposure may influence threat sensitivity and emotional constriction; (b) avoiding shaming, confrontational styles that intensify avoidance; and (c) using formulation to link trauma-</w:t>
      </w:r>
      <w:r w:rsidRPr="00BA79F0">
        <w:rPr>
          <w:rFonts w:ascii="Arial" w:hAnsi="Arial" w:cs="Arial"/>
        </w:rPr>
        <w:lastRenderedPageBreak/>
        <w:t>related coping patterns (e.g., alcohol use, externalisation) to current risk, without excusing harm. The clinical aim is to reduce maladaptive shame and increase adaptive guilt and responsibility, given evidence that shame-based responding is associated with avoidance and externalisation (Mottershead et al., 2024).</w:t>
      </w:r>
    </w:p>
    <w:p w14:paraId="766B2BFC" w14:textId="125889AF" w:rsidR="00BA79F0" w:rsidRPr="00BA79F0" w:rsidRDefault="00BA79F0" w:rsidP="0011613A">
      <w:pPr>
        <w:spacing w:line="480" w:lineRule="auto"/>
        <w:ind w:firstLine="720"/>
        <w:jc w:val="both"/>
        <w:rPr>
          <w:rFonts w:ascii="Arial" w:hAnsi="Arial" w:cs="Arial"/>
        </w:rPr>
      </w:pPr>
      <w:r w:rsidRPr="00BA79F0">
        <w:rPr>
          <w:rFonts w:ascii="Arial" w:hAnsi="Arial" w:cs="Arial"/>
        </w:rPr>
        <w:t xml:space="preserve">Consistent with a strengths-based case management approach, the plan should also build protective factors, such as prosocial </w:t>
      </w:r>
      <w:r w:rsidR="00475D64">
        <w:rPr>
          <w:rFonts w:ascii="Arial" w:hAnsi="Arial" w:cs="Arial"/>
        </w:rPr>
        <w:t>connections</w:t>
      </w:r>
      <w:r w:rsidRPr="00BA79F0">
        <w:rPr>
          <w:rFonts w:ascii="Arial" w:hAnsi="Arial" w:cs="Arial"/>
        </w:rPr>
        <w:t xml:space="preserve"> and future-oriented goals, which are increasingly emphasised as useful for treatment planning and risk reduction (Thornton et al., 2024). Mark’s ongoing relationship with his daughter can be framed as a primary prosocial value and reintegration anchor, with careful work on safe, respectful relationships and healthy intimacy. Finally, progress monitoring should include structured dynamic reassessment at clinically meaningful intervals (e.g., monthly acute risk review; 6-month stable factors review) to respond to fluctuations in risk and to reinforce treatment gains (Lee et al., 2024).</w:t>
      </w:r>
    </w:p>
    <w:p w14:paraId="08834DFF" w14:textId="77777777" w:rsidR="00BA79F0" w:rsidRPr="00BA79F0" w:rsidRDefault="00BA79F0" w:rsidP="0011613A">
      <w:pPr>
        <w:spacing w:line="480" w:lineRule="auto"/>
        <w:ind w:firstLine="720"/>
        <w:jc w:val="both"/>
        <w:rPr>
          <w:rFonts w:ascii="Arial" w:hAnsi="Arial" w:cs="Arial"/>
          <w:b/>
          <w:bCs/>
        </w:rPr>
      </w:pPr>
      <w:r w:rsidRPr="00BA79F0">
        <w:rPr>
          <w:rFonts w:ascii="Arial" w:hAnsi="Arial" w:cs="Arial"/>
          <w:b/>
          <w:bCs/>
        </w:rPr>
        <w:t>Potential Outcomes After Six Months</w:t>
      </w:r>
    </w:p>
    <w:p w14:paraId="3053F565" w14:textId="28030518" w:rsidR="00BA79F0" w:rsidRPr="00BA79F0" w:rsidRDefault="00BA79F0" w:rsidP="0011613A">
      <w:pPr>
        <w:spacing w:line="480" w:lineRule="auto"/>
        <w:ind w:firstLine="720"/>
        <w:jc w:val="both"/>
        <w:rPr>
          <w:rFonts w:ascii="Arial" w:hAnsi="Arial" w:cs="Arial"/>
        </w:rPr>
      </w:pPr>
      <w:r w:rsidRPr="00BA79F0">
        <w:rPr>
          <w:rFonts w:ascii="Arial" w:hAnsi="Arial" w:cs="Arial"/>
        </w:rPr>
        <w:t xml:space="preserve">At six months, realistic outcomes would be proximal change indicators rather than complete risk resolution. Based on evidence that treatment effects are typically </w:t>
      </w:r>
      <w:r w:rsidR="00475D64">
        <w:rPr>
          <w:rFonts w:ascii="Arial" w:hAnsi="Arial" w:cs="Arial"/>
        </w:rPr>
        <w:t>minor</w:t>
      </w:r>
      <w:r w:rsidRPr="00BA79F0">
        <w:rPr>
          <w:rFonts w:ascii="Arial" w:hAnsi="Arial" w:cs="Arial"/>
        </w:rPr>
        <w:t xml:space="preserve"> and moderated by programme quality and targeting (Holper et al., 2024), expected progress would include: improved treatment engagement (higher attendance, reduced defensiveness in sessions) supported by MI strategies (Pinto e Silva et al., 2025); clearer offence pathways identifying decision points where Mark ignored refusal cues; reduced cognitive distortions regarding consent and alcohol (measured via structured exercises and staff observations); and demonstrable use of emotion regulation skills during interpersonal stress within the unit (e.g., fewer angry outbursts, improved conflict management).</w:t>
      </w:r>
    </w:p>
    <w:p w14:paraId="1FFA01A7" w14:textId="3155279F" w:rsidR="00BA79F0" w:rsidRPr="00BA79F0" w:rsidRDefault="00BA79F0" w:rsidP="0011613A">
      <w:pPr>
        <w:spacing w:line="480" w:lineRule="auto"/>
        <w:ind w:firstLine="720"/>
        <w:jc w:val="both"/>
        <w:rPr>
          <w:rFonts w:ascii="Arial" w:hAnsi="Arial" w:cs="Arial"/>
        </w:rPr>
      </w:pPr>
      <w:r w:rsidRPr="00BA79F0">
        <w:rPr>
          <w:rFonts w:ascii="Arial" w:hAnsi="Arial" w:cs="Arial"/>
        </w:rPr>
        <w:lastRenderedPageBreak/>
        <w:t xml:space="preserve">In substance-related domains, progress would be indicated by sustained participation in alcohol reduction groups, explicit coping plans for high-risk situations, and behavioural consistency with abstinence or controlled-use goals agreed in risk management. In protective domains, Mark may show increased prosocial </w:t>
      </w:r>
      <w:r w:rsidR="00475D64">
        <w:rPr>
          <w:rFonts w:ascii="Arial" w:hAnsi="Arial" w:cs="Arial"/>
        </w:rPr>
        <w:t>connections (family contact managed safely, engagement in prosocial leisure/work activities),</w:t>
      </w:r>
      <w:r w:rsidRPr="00BA79F0">
        <w:rPr>
          <w:rFonts w:ascii="Arial" w:hAnsi="Arial" w:cs="Arial"/>
        </w:rPr>
        <w:t xml:space="preserve"> consistent with protective-factor frameworks (Thornton et al., 2024). Finally, dynamic risk monitoring should show either stability or improvement on relevant domains (e.g., self-regulation, cooperation, intimacy deficits), with reassessment practices aligned to evidence on the time-limited validity of dynamic measures (Lee et al., 2024).</w:t>
      </w:r>
    </w:p>
    <w:p w14:paraId="551E34F7" w14:textId="77777777" w:rsidR="00BA79F0" w:rsidRPr="00BA79F0" w:rsidRDefault="00BA79F0" w:rsidP="0011613A">
      <w:pPr>
        <w:spacing w:line="480" w:lineRule="auto"/>
        <w:ind w:firstLine="720"/>
        <w:jc w:val="both"/>
        <w:rPr>
          <w:rFonts w:ascii="Arial" w:hAnsi="Arial" w:cs="Arial"/>
          <w:b/>
          <w:bCs/>
        </w:rPr>
      </w:pPr>
      <w:r w:rsidRPr="00BA79F0">
        <w:rPr>
          <w:rFonts w:ascii="Arial" w:hAnsi="Arial" w:cs="Arial"/>
          <w:b/>
          <w:bCs/>
        </w:rPr>
        <w:t>Conclusion</w:t>
      </w:r>
    </w:p>
    <w:p w14:paraId="02E2C4A5" w14:textId="704425F2" w:rsidR="00BA79F0" w:rsidRDefault="00BA79F0" w:rsidP="0011613A">
      <w:pPr>
        <w:spacing w:line="480" w:lineRule="auto"/>
        <w:ind w:firstLine="720"/>
        <w:jc w:val="both"/>
        <w:rPr>
          <w:rFonts w:ascii="Arial" w:hAnsi="Arial" w:cs="Arial"/>
        </w:rPr>
      </w:pPr>
      <w:r w:rsidRPr="00BA79F0">
        <w:rPr>
          <w:rFonts w:ascii="Arial" w:hAnsi="Arial" w:cs="Arial"/>
        </w:rPr>
        <w:t xml:space="preserve">In summary, Mark’s sexual assault is best understood as the convergence of developmental and psychosocial vulnerabilities (family violence exposure, emotional avoidance, alcohol misuse, prior boundary violations) with proximal situational triggers (intoxication and opportunity) and perpetuating mechanisms (minimisation, poor affect regulation, social disconnection). Contemporary evidence supports prioritising dynamic risk factors such as offence-supportive attitudes and emotion regulation deficits (Seto et al., 2023), alongside structured risk-need-responsivity-informed intervention where treatment effects are </w:t>
      </w:r>
      <w:r w:rsidR="00475D64">
        <w:rPr>
          <w:rFonts w:ascii="Arial" w:hAnsi="Arial" w:cs="Arial"/>
        </w:rPr>
        <w:t>most potent</w:t>
      </w:r>
      <w:r w:rsidRPr="00BA79F0">
        <w:rPr>
          <w:rFonts w:ascii="Arial" w:hAnsi="Arial" w:cs="Arial"/>
        </w:rPr>
        <w:t xml:space="preserve"> for appropriately targeted programmes (Hanson et al., 2009; Holper et al., 2024). A combined RNR + GLM approach, delivered with motivational and trauma-informed responsivity strategies, is therefore justified to reduce Mark’s dynamic risk while strengthening protective factors that support long-term desistance (Changing Futures Evaluation, 2023; Thornton et al., 2024). Notably, the present formulation is constrained by the absence of detailed psychometric and offence-chain data (e.g., validated measures of hostility, empathy, impulsivity, and alcohol dependence), so the hypotheses should be treated as </w:t>
      </w:r>
      <w:r w:rsidRPr="00BA79F0">
        <w:rPr>
          <w:rFonts w:ascii="Arial" w:hAnsi="Arial" w:cs="Arial"/>
        </w:rPr>
        <w:lastRenderedPageBreak/>
        <w:t>provisional and updated iteratively as assessment information and behavioural observations accumulate over time.</w:t>
      </w:r>
    </w:p>
    <w:p w14:paraId="63175B69" w14:textId="77777777" w:rsidR="00955D1A" w:rsidRDefault="00955D1A" w:rsidP="0011613A">
      <w:pPr>
        <w:spacing w:line="480" w:lineRule="auto"/>
        <w:ind w:firstLine="720"/>
        <w:jc w:val="both"/>
        <w:rPr>
          <w:rFonts w:ascii="Arial" w:hAnsi="Arial" w:cs="Arial"/>
        </w:rPr>
      </w:pPr>
    </w:p>
    <w:p w14:paraId="25E72A50" w14:textId="77777777" w:rsidR="00955D1A" w:rsidRDefault="00955D1A" w:rsidP="0011613A">
      <w:pPr>
        <w:spacing w:line="480" w:lineRule="auto"/>
        <w:ind w:firstLine="720"/>
        <w:jc w:val="both"/>
        <w:rPr>
          <w:rFonts w:ascii="Arial" w:hAnsi="Arial" w:cs="Arial"/>
        </w:rPr>
      </w:pPr>
    </w:p>
    <w:p w14:paraId="618A34FB" w14:textId="77777777" w:rsidR="00955D1A" w:rsidRDefault="00955D1A" w:rsidP="0011613A">
      <w:pPr>
        <w:spacing w:line="480" w:lineRule="auto"/>
        <w:ind w:firstLine="720"/>
        <w:jc w:val="both"/>
        <w:rPr>
          <w:rFonts w:ascii="Arial" w:hAnsi="Arial" w:cs="Arial"/>
        </w:rPr>
      </w:pPr>
    </w:p>
    <w:p w14:paraId="67F038F0" w14:textId="77777777" w:rsidR="00955D1A" w:rsidRDefault="00955D1A" w:rsidP="0011613A">
      <w:pPr>
        <w:spacing w:line="480" w:lineRule="auto"/>
        <w:ind w:firstLine="720"/>
        <w:jc w:val="both"/>
        <w:rPr>
          <w:rFonts w:ascii="Arial" w:hAnsi="Arial" w:cs="Arial"/>
        </w:rPr>
      </w:pPr>
    </w:p>
    <w:p w14:paraId="7CABEAB2" w14:textId="77777777" w:rsidR="00955D1A" w:rsidRDefault="00955D1A" w:rsidP="0011613A">
      <w:pPr>
        <w:spacing w:line="480" w:lineRule="auto"/>
        <w:ind w:firstLine="720"/>
        <w:jc w:val="both"/>
        <w:rPr>
          <w:rFonts w:ascii="Arial" w:hAnsi="Arial" w:cs="Arial"/>
        </w:rPr>
      </w:pPr>
    </w:p>
    <w:p w14:paraId="411E6959" w14:textId="77777777" w:rsidR="00955D1A" w:rsidRDefault="00955D1A" w:rsidP="0011613A">
      <w:pPr>
        <w:spacing w:line="480" w:lineRule="auto"/>
        <w:ind w:firstLine="720"/>
        <w:jc w:val="both"/>
        <w:rPr>
          <w:rFonts w:ascii="Arial" w:hAnsi="Arial" w:cs="Arial"/>
        </w:rPr>
      </w:pPr>
    </w:p>
    <w:p w14:paraId="3F564A9A" w14:textId="77777777" w:rsidR="00955D1A" w:rsidRDefault="00955D1A" w:rsidP="0011613A">
      <w:pPr>
        <w:spacing w:line="480" w:lineRule="auto"/>
        <w:ind w:firstLine="720"/>
        <w:jc w:val="both"/>
        <w:rPr>
          <w:rFonts w:ascii="Arial" w:hAnsi="Arial" w:cs="Arial"/>
        </w:rPr>
      </w:pPr>
    </w:p>
    <w:p w14:paraId="6F07E360" w14:textId="77777777" w:rsidR="00955D1A" w:rsidRDefault="00955D1A" w:rsidP="0011613A">
      <w:pPr>
        <w:spacing w:line="480" w:lineRule="auto"/>
        <w:ind w:firstLine="720"/>
        <w:jc w:val="both"/>
        <w:rPr>
          <w:rFonts w:ascii="Arial" w:hAnsi="Arial" w:cs="Arial"/>
        </w:rPr>
      </w:pPr>
    </w:p>
    <w:p w14:paraId="5D8370CB" w14:textId="77777777" w:rsidR="00955D1A" w:rsidRDefault="00955D1A" w:rsidP="0011613A">
      <w:pPr>
        <w:spacing w:line="480" w:lineRule="auto"/>
        <w:ind w:firstLine="720"/>
        <w:jc w:val="both"/>
        <w:rPr>
          <w:rFonts w:ascii="Arial" w:hAnsi="Arial" w:cs="Arial"/>
        </w:rPr>
      </w:pPr>
    </w:p>
    <w:p w14:paraId="6D1EA01A" w14:textId="77777777" w:rsidR="00955D1A" w:rsidRDefault="00955D1A" w:rsidP="0011613A">
      <w:pPr>
        <w:spacing w:line="480" w:lineRule="auto"/>
        <w:ind w:firstLine="720"/>
        <w:jc w:val="both"/>
        <w:rPr>
          <w:rFonts w:ascii="Arial" w:hAnsi="Arial" w:cs="Arial"/>
        </w:rPr>
      </w:pPr>
    </w:p>
    <w:p w14:paraId="167EDC03" w14:textId="77777777" w:rsidR="00955D1A" w:rsidRDefault="00955D1A" w:rsidP="0011613A">
      <w:pPr>
        <w:spacing w:line="480" w:lineRule="auto"/>
        <w:ind w:firstLine="720"/>
        <w:jc w:val="both"/>
        <w:rPr>
          <w:rFonts w:ascii="Arial" w:hAnsi="Arial" w:cs="Arial"/>
        </w:rPr>
      </w:pPr>
    </w:p>
    <w:p w14:paraId="5AA7DE6C" w14:textId="77777777" w:rsidR="00955D1A" w:rsidRDefault="00955D1A" w:rsidP="0011613A">
      <w:pPr>
        <w:spacing w:line="480" w:lineRule="auto"/>
        <w:ind w:firstLine="720"/>
        <w:jc w:val="both"/>
        <w:rPr>
          <w:rFonts w:ascii="Arial" w:hAnsi="Arial" w:cs="Arial"/>
        </w:rPr>
      </w:pPr>
    </w:p>
    <w:p w14:paraId="034ED5F3" w14:textId="77777777" w:rsidR="00955D1A" w:rsidRDefault="00955D1A" w:rsidP="0011613A">
      <w:pPr>
        <w:spacing w:line="480" w:lineRule="auto"/>
        <w:ind w:firstLine="720"/>
        <w:jc w:val="both"/>
        <w:rPr>
          <w:rFonts w:ascii="Arial" w:hAnsi="Arial" w:cs="Arial"/>
        </w:rPr>
      </w:pPr>
    </w:p>
    <w:p w14:paraId="7B75DACE" w14:textId="77777777" w:rsidR="00955D1A" w:rsidRDefault="00955D1A" w:rsidP="0011613A">
      <w:pPr>
        <w:spacing w:line="480" w:lineRule="auto"/>
        <w:ind w:firstLine="720"/>
        <w:jc w:val="both"/>
        <w:rPr>
          <w:rFonts w:ascii="Arial" w:hAnsi="Arial" w:cs="Arial"/>
        </w:rPr>
      </w:pPr>
    </w:p>
    <w:p w14:paraId="12E60392" w14:textId="77777777" w:rsidR="00955D1A" w:rsidRDefault="00955D1A" w:rsidP="0011613A">
      <w:pPr>
        <w:spacing w:line="480" w:lineRule="auto"/>
        <w:ind w:firstLine="720"/>
        <w:jc w:val="both"/>
        <w:rPr>
          <w:rFonts w:ascii="Arial" w:hAnsi="Arial" w:cs="Arial"/>
        </w:rPr>
      </w:pPr>
    </w:p>
    <w:p w14:paraId="7F299995" w14:textId="77777777" w:rsidR="00955D1A" w:rsidRDefault="00955D1A" w:rsidP="0011613A">
      <w:pPr>
        <w:spacing w:line="480" w:lineRule="auto"/>
        <w:ind w:firstLine="720"/>
        <w:jc w:val="both"/>
        <w:rPr>
          <w:rFonts w:ascii="Arial" w:hAnsi="Arial" w:cs="Arial"/>
        </w:rPr>
      </w:pPr>
    </w:p>
    <w:p w14:paraId="6B35E5EA" w14:textId="77777777" w:rsidR="00955D1A" w:rsidRDefault="00955D1A" w:rsidP="0011613A">
      <w:pPr>
        <w:spacing w:line="480" w:lineRule="auto"/>
        <w:ind w:firstLine="720"/>
        <w:jc w:val="both"/>
        <w:rPr>
          <w:rFonts w:ascii="Arial" w:hAnsi="Arial" w:cs="Arial"/>
        </w:rPr>
      </w:pPr>
    </w:p>
    <w:p w14:paraId="6F36B196" w14:textId="77777777" w:rsidR="00955D1A" w:rsidRPr="00BA79F0" w:rsidRDefault="00955D1A" w:rsidP="0011613A">
      <w:pPr>
        <w:spacing w:line="480" w:lineRule="auto"/>
        <w:ind w:firstLine="720"/>
        <w:jc w:val="both"/>
        <w:rPr>
          <w:rFonts w:ascii="Arial" w:hAnsi="Arial" w:cs="Arial"/>
        </w:rPr>
      </w:pPr>
    </w:p>
    <w:p w14:paraId="24E678F2" w14:textId="350CD788" w:rsidR="004F107C" w:rsidRPr="004F107C" w:rsidRDefault="004F107C" w:rsidP="000E1B6A">
      <w:pPr>
        <w:spacing w:line="480" w:lineRule="auto"/>
        <w:jc w:val="center"/>
        <w:rPr>
          <w:rFonts w:ascii="Arial" w:hAnsi="Arial" w:cs="Arial"/>
          <w:b/>
          <w:bCs/>
        </w:rPr>
      </w:pPr>
      <w:r w:rsidRPr="004F107C">
        <w:rPr>
          <w:rFonts w:ascii="Arial" w:hAnsi="Arial" w:cs="Arial"/>
          <w:b/>
          <w:bCs/>
        </w:rPr>
        <w:lastRenderedPageBreak/>
        <w:t xml:space="preserve">References </w:t>
      </w:r>
    </w:p>
    <w:p w14:paraId="38BAA186"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Bandura, A. (1977). </w:t>
      </w:r>
      <w:r w:rsidRPr="004F107C">
        <w:rPr>
          <w:rFonts w:ascii="Arial" w:hAnsi="Arial" w:cs="Arial"/>
          <w:i/>
          <w:iCs/>
        </w:rPr>
        <w:t>Social learning theory</w:t>
      </w:r>
      <w:r w:rsidRPr="004F107C">
        <w:rPr>
          <w:rFonts w:ascii="Arial" w:hAnsi="Arial" w:cs="Arial"/>
        </w:rPr>
        <w:t>. Prentice Hall.</w:t>
      </w:r>
    </w:p>
    <w:p w14:paraId="6AD361B3"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Berring, L. L., Holm, T., Hansen, J. P., Delcomyn, C. L., Søndergaard, R., &amp; Hvidhjelm, J. (2024). Implementing trauma-informed care—settings, definitions, interventions, measures, and implementation across settings: A scoping review. </w:t>
      </w:r>
      <w:r w:rsidRPr="004F107C">
        <w:rPr>
          <w:rFonts w:ascii="Arial" w:hAnsi="Arial" w:cs="Arial"/>
          <w:i/>
          <w:iCs/>
        </w:rPr>
        <w:t>Healthcare (Basel), 12</w:t>
      </w:r>
      <w:r w:rsidRPr="004F107C">
        <w:rPr>
          <w:rFonts w:ascii="Arial" w:hAnsi="Arial" w:cs="Arial"/>
        </w:rPr>
        <w:t xml:space="preserve">(9), 908. </w:t>
      </w:r>
      <w:hyperlink r:id="rId5" w:tgtFrame="_new" w:history="1">
        <w:r w:rsidRPr="004F107C">
          <w:rPr>
            <w:rStyle w:val="Hyperlink"/>
            <w:rFonts w:ascii="Arial" w:hAnsi="Arial" w:cs="Arial"/>
          </w:rPr>
          <w:t>https://doi.org/10.3390/healthcare12090908</w:t>
        </w:r>
      </w:hyperlink>
    </w:p>
    <w:p w14:paraId="4A580FEE"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Bonta, J., &amp; Andrews, D. A. (2017). </w:t>
      </w:r>
      <w:r w:rsidRPr="004F107C">
        <w:rPr>
          <w:rFonts w:ascii="Arial" w:hAnsi="Arial" w:cs="Arial"/>
          <w:i/>
          <w:iCs/>
        </w:rPr>
        <w:t>The psychology of criminal conduct</w:t>
      </w:r>
      <w:r w:rsidRPr="004F107C">
        <w:rPr>
          <w:rFonts w:ascii="Arial" w:hAnsi="Arial" w:cs="Arial"/>
        </w:rPr>
        <w:t xml:space="preserve"> (6th ed.). Routledge. </w:t>
      </w:r>
      <w:hyperlink r:id="rId6" w:tgtFrame="_new" w:history="1">
        <w:r w:rsidRPr="004F107C">
          <w:rPr>
            <w:rStyle w:val="Hyperlink"/>
            <w:rFonts w:ascii="Arial" w:hAnsi="Arial" w:cs="Arial"/>
          </w:rPr>
          <w:t>https://doi.org/10.4324/9781315677187</w:t>
        </w:r>
      </w:hyperlink>
    </w:p>
    <w:p w14:paraId="2F67F9B3"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Changing Futures Evaluation. (2023). </w:t>
      </w:r>
      <w:r w:rsidRPr="004F107C">
        <w:rPr>
          <w:rFonts w:ascii="Arial" w:hAnsi="Arial" w:cs="Arial"/>
          <w:i/>
          <w:iCs/>
        </w:rPr>
        <w:t>Trauma-informed approaches to supporting people experiencing multiple disadvantage</w:t>
      </w:r>
      <w:r w:rsidRPr="004F107C">
        <w:rPr>
          <w:rFonts w:ascii="Arial" w:hAnsi="Arial" w:cs="Arial"/>
        </w:rPr>
        <w:t xml:space="preserve"> (Rapid Evidence Assessment). UK Government.</w:t>
      </w:r>
    </w:p>
    <w:p w14:paraId="42E31282"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Hanson, R. K., Bourgon, G., Helmus, L., &amp; Hodgson, S. (2009). The principles of effective correctional treatment also apply to sexual offenders: A meta-analysis. </w:t>
      </w:r>
      <w:r w:rsidRPr="004F107C">
        <w:rPr>
          <w:rFonts w:ascii="Arial" w:hAnsi="Arial" w:cs="Arial"/>
          <w:i/>
          <w:iCs/>
        </w:rPr>
        <w:t xml:space="preserve">Criminal Justice and </w:t>
      </w:r>
      <w:proofErr w:type="spellStart"/>
      <w:r w:rsidRPr="004F107C">
        <w:rPr>
          <w:rFonts w:ascii="Arial" w:hAnsi="Arial" w:cs="Arial"/>
          <w:i/>
          <w:iCs/>
        </w:rPr>
        <w:t>Behavior</w:t>
      </w:r>
      <w:proofErr w:type="spellEnd"/>
      <w:r w:rsidRPr="004F107C">
        <w:rPr>
          <w:rFonts w:ascii="Arial" w:hAnsi="Arial" w:cs="Arial"/>
          <w:i/>
          <w:iCs/>
        </w:rPr>
        <w:t>, 36</w:t>
      </w:r>
      <w:r w:rsidRPr="004F107C">
        <w:rPr>
          <w:rFonts w:ascii="Arial" w:hAnsi="Arial" w:cs="Arial"/>
        </w:rPr>
        <w:t>(9), 865–891. https://doi.org/10.1177/0093854809338545</w:t>
      </w:r>
    </w:p>
    <w:p w14:paraId="1C49CDD6"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Holper, L., Mokros, A., &amp; </w:t>
      </w:r>
      <w:proofErr w:type="spellStart"/>
      <w:r w:rsidRPr="004F107C">
        <w:rPr>
          <w:rFonts w:ascii="Arial" w:hAnsi="Arial" w:cs="Arial"/>
        </w:rPr>
        <w:t>Habermeyer</w:t>
      </w:r>
      <w:proofErr w:type="spellEnd"/>
      <w:r w:rsidRPr="004F107C">
        <w:rPr>
          <w:rFonts w:ascii="Arial" w:hAnsi="Arial" w:cs="Arial"/>
        </w:rPr>
        <w:t xml:space="preserve">, E. (2024). Moderators of sexual recidivism as indicator of treatment effectiveness in persons with sexual offense histories: An updated meta-analysis. </w:t>
      </w:r>
      <w:r w:rsidRPr="004F107C">
        <w:rPr>
          <w:rFonts w:ascii="Arial" w:hAnsi="Arial" w:cs="Arial"/>
          <w:i/>
          <w:iCs/>
        </w:rPr>
        <w:t>Sexual Abuse, 36</w:t>
      </w:r>
      <w:r w:rsidRPr="004F107C">
        <w:rPr>
          <w:rFonts w:ascii="Arial" w:hAnsi="Arial" w:cs="Arial"/>
        </w:rPr>
        <w:t xml:space="preserve">(3), 255–291. </w:t>
      </w:r>
      <w:hyperlink r:id="rId7" w:tgtFrame="_new" w:history="1">
        <w:r w:rsidRPr="004F107C">
          <w:rPr>
            <w:rStyle w:val="Hyperlink"/>
            <w:rFonts w:ascii="Arial" w:hAnsi="Arial" w:cs="Arial"/>
          </w:rPr>
          <w:t>https://doi.org/10.1177/10790632231159071</w:t>
        </w:r>
      </w:hyperlink>
    </w:p>
    <w:p w14:paraId="566A3E97"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Lee, S. C., </w:t>
      </w:r>
      <w:proofErr w:type="spellStart"/>
      <w:r w:rsidRPr="004F107C">
        <w:rPr>
          <w:rFonts w:ascii="Arial" w:hAnsi="Arial" w:cs="Arial"/>
        </w:rPr>
        <w:t>Babchishin</w:t>
      </w:r>
      <w:proofErr w:type="spellEnd"/>
      <w:r w:rsidRPr="004F107C">
        <w:rPr>
          <w:rFonts w:ascii="Arial" w:hAnsi="Arial" w:cs="Arial"/>
        </w:rPr>
        <w:t xml:space="preserve">, K. M., Mularczyk, K. P., &amp; Hanson, R. K. (2024). Dynamic risk scales degrade over time: Evidence for reassessments. </w:t>
      </w:r>
      <w:r w:rsidRPr="004F107C">
        <w:rPr>
          <w:rFonts w:ascii="Arial" w:hAnsi="Arial" w:cs="Arial"/>
          <w:i/>
          <w:iCs/>
        </w:rPr>
        <w:t>Assessment, 31</w:t>
      </w:r>
      <w:r w:rsidRPr="004F107C">
        <w:rPr>
          <w:rFonts w:ascii="Arial" w:hAnsi="Arial" w:cs="Arial"/>
        </w:rPr>
        <w:t>(3), 698–714. https://doi.org/10.1177/10731911231177227</w:t>
      </w:r>
    </w:p>
    <w:p w14:paraId="44F01B5E"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lastRenderedPageBreak/>
        <w:t xml:space="preserve">Levenson, J. S., Grady, M. D., </w:t>
      </w:r>
      <w:proofErr w:type="spellStart"/>
      <w:r w:rsidRPr="004F107C">
        <w:rPr>
          <w:rFonts w:ascii="Arial" w:hAnsi="Arial" w:cs="Arial"/>
        </w:rPr>
        <w:t>Lasoski</w:t>
      </w:r>
      <w:proofErr w:type="spellEnd"/>
      <w:r w:rsidRPr="004F107C">
        <w:rPr>
          <w:rFonts w:ascii="Arial" w:hAnsi="Arial" w:cs="Arial"/>
        </w:rPr>
        <w:t xml:space="preserve">, H., &amp; Collins, K. T. (2023). Learning from consumers of mandated sex-offending programs: “It’s not treatment, I wish it was.” </w:t>
      </w:r>
      <w:r w:rsidRPr="004F107C">
        <w:rPr>
          <w:rFonts w:ascii="Arial" w:hAnsi="Arial" w:cs="Arial"/>
          <w:i/>
          <w:iCs/>
        </w:rPr>
        <w:t>Sexual Abuse, 36</w:t>
      </w:r>
      <w:r w:rsidRPr="004F107C">
        <w:rPr>
          <w:rFonts w:ascii="Arial" w:hAnsi="Arial" w:cs="Arial"/>
        </w:rPr>
        <w:t>(1), 1–26. https://doi.org/10.1177/10790632231172158</w:t>
      </w:r>
    </w:p>
    <w:p w14:paraId="4A56D04C"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Marshall, W. L., Thornton, D., Marshall, L. E., Fernandez, Y. M., &amp; Mann, R. (2001). Treatment of sexual offenders who are in categorical denial: A pilot project. </w:t>
      </w:r>
      <w:r w:rsidRPr="004F107C">
        <w:rPr>
          <w:rFonts w:ascii="Arial" w:hAnsi="Arial" w:cs="Arial"/>
          <w:i/>
          <w:iCs/>
        </w:rPr>
        <w:t>Sexual Abuse, 13</w:t>
      </w:r>
      <w:r w:rsidRPr="004F107C">
        <w:rPr>
          <w:rFonts w:ascii="Arial" w:hAnsi="Arial" w:cs="Arial"/>
        </w:rPr>
        <w:t>(3), 205–215. https://doi.org/10.1177/107906320101300305</w:t>
      </w:r>
    </w:p>
    <w:p w14:paraId="7F81C3B4"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Mottershead, T., Griffiths, A., Nathan, R., &amp; Cole, J. (2024). A mixed-methods systematic review of offence-related shame and/or guilt in violent offenders. </w:t>
      </w:r>
      <w:r w:rsidRPr="004F107C">
        <w:rPr>
          <w:rFonts w:ascii="Arial" w:hAnsi="Arial" w:cs="Arial"/>
          <w:i/>
          <w:iCs/>
        </w:rPr>
        <w:t xml:space="preserve">Aggression and Violent </w:t>
      </w:r>
      <w:proofErr w:type="spellStart"/>
      <w:r w:rsidRPr="004F107C">
        <w:rPr>
          <w:rFonts w:ascii="Arial" w:hAnsi="Arial" w:cs="Arial"/>
          <w:i/>
          <w:iCs/>
        </w:rPr>
        <w:t>Behavior</w:t>
      </w:r>
      <w:proofErr w:type="spellEnd"/>
      <w:r w:rsidRPr="004F107C">
        <w:rPr>
          <w:rFonts w:ascii="Arial" w:hAnsi="Arial" w:cs="Arial"/>
          <w:i/>
          <w:iCs/>
        </w:rPr>
        <w:t>, 78</w:t>
      </w:r>
      <w:r w:rsidRPr="004F107C">
        <w:rPr>
          <w:rFonts w:ascii="Arial" w:hAnsi="Arial" w:cs="Arial"/>
        </w:rPr>
        <w:t xml:space="preserve">, 101989. </w:t>
      </w:r>
      <w:hyperlink r:id="rId8" w:tgtFrame="_new" w:history="1">
        <w:r w:rsidRPr="004F107C">
          <w:rPr>
            <w:rStyle w:val="Hyperlink"/>
            <w:rFonts w:ascii="Arial" w:hAnsi="Arial" w:cs="Arial"/>
          </w:rPr>
          <w:t>https://doi.org/10.1016/j.avb.2024.101989</w:t>
        </w:r>
      </w:hyperlink>
    </w:p>
    <w:p w14:paraId="303DD743"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Pinto e Silva, T., </w:t>
      </w:r>
      <w:proofErr w:type="spellStart"/>
      <w:r w:rsidRPr="004F107C">
        <w:rPr>
          <w:rFonts w:ascii="Arial" w:hAnsi="Arial" w:cs="Arial"/>
        </w:rPr>
        <w:t>Santirso</w:t>
      </w:r>
      <w:proofErr w:type="spellEnd"/>
      <w:r w:rsidRPr="004F107C">
        <w:rPr>
          <w:rFonts w:ascii="Arial" w:hAnsi="Arial" w:cs="Arial"/>
        </w:rPr>
        <w:t xml:space="preserve">, F. A., Gilchrist, E., &amp; Lila, M. (2025). Effectiveness of motivational interviewing with justice-involved people: A systematic review and meta-analysis. </w:t>
      </w:r>
      <w:r w:rsidRPr="004F107C">
        <w:rPr>
          <w:rFonts w:ascii="Arial" w:hAnsi="Arial" w:cs="Arial"/>
          <w:i/>
          <w:iCs/>
        </w:rPr>
        <w:t>Psychosocial Intervention, 34</w:t>
      </w:r>
      <w:r w:rsidRPr="004F107C">
        <w:rPr>
          <w:rFonts w:ascii="Arial" w:hAnsi="Arial" w:cs="Arial"/>
        </w:rPr>
        <w:t>(2), 89–102. https://doi.org/10.5093/pi2025a8</w:t>
      </w:r>
    </w:p>
    <w:p w14:paraId="4F77FD61"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Rabaud, E., Bègue, L., &amp; Bushman, B. J. (2025). Alcohol consumption and sexual aggression perpetration: A meta-analytic review. </w:t>
      </w:r>
      <w:r w:rsidRPr="004F107C">
        <w:rPr>
          <w:rFonts w:ascii="Arial" w:hAnsi="Arial" w:cs="Arial"/>
          <w:i/>
          <w:iCs/>
        </w:rPr>
        <w:t>Trauma, Violence, &amp; Abuse</w:t>
      </w:r>
      <w:r w:rsidRPr="004F107C">
        <w:rPr>
          <w:rFonts w:ascii="Arial" w:hAnsi="Arial" w:cs="Arial"/>
        </w:rPr>
        <w:t>. Advance online publication. https://doi.org/10.1177/15248380251366266</w:t>
      </w:r>
    </w:p>
    <w:p w14:paraId="49405C7D"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Schmucker, M., &amp; </w:t>
      </w:r>
      <w:proofErr w:type="spellStart"/>
      <w:r w:rsidRPr="004F107C">
        <w:rPr>
          <w:rFonts w:ascii="Arial" w:hAnsi="Arial" w:cs="Arial"/>
        </w:rPr>
        <w:t>Lösel</w:t>
      </w:r>
      <w:proofErr w:type="spellEnd"/>
      <w:r w:rsidRPr="004F107C">
        <w:rPr>
          <w:rFonts w:ascii="Arial" w:hAnsi="Arial" w:cs="Arial"/>
        </w:rPr>
        <w:t xml:space="preserve">, F. (2017). Sexual offender treatment for reducing recidivism among convicted sex offenders: A systematic review and meta-analysis. </w:t>
      </w:r>
      <w:r w:rsidRPr="004F107C">
        <w:rPr>
          <w:rFonts w:ascii="Arial" w:hAnsi="Arial" w:cs="Arial"/>
          <w:i/>
          <w:iCs/>
        </w:rPr>
        <w:t>Campbell Systematic Reviews, 13</w:t>
      </w:r>
      <w:r w:rsidRPr="004F107C">
        <w:rPr>
          <w:rFonts w:ascii="Arial" w:hAnsi="Arial" w:cs="Arial"/>
        </w:rPr>
        <w:t>(8), 1–75. https://doi.org/10.4073/csr.2017.8</w:t>
      </w:r>
    </w:p>
    <w:p w14:paraId="4528F09D" w14:textId="77777777" w:rsidR="004F107C" w:rsidRPr="004F107C" w:rsidRDefault="004F107C" w:rsidP="0063724F">
      <w:pPr>
        <w:spacing w:line="480" w:lineRule="auto"/>
        <w:ind w:left="720" w:hanging="720"/>
        <w:jc w:val="both"/>
        <w:rPr>
          <w:rFonts w:ascii="Arial" w:hAnsi="Arial" w:cs="Arial"/>
        </w:rPr>
      </w:pPr>
      <w:proofErr w:type="spellStart"/>
      <w:r w:rsidRPr="004F107C">
        <w:rPr>
          <w:rFonts w:ascii="Arial" w:hAnsi="Arial" w:cs="Arial"/>
        </w:rPr>
        <w:t>Seitanidou</w:t>
      </w:r>
      <w:proofErr w:type="spellEnd"/>
      <w:r w:rsidRPr="004F107C">
        <w:rPr>
          <w:rFonts w:ascii="Arial" w:hAnsi="Arial" w:cs="Arial"/>
        </w:rPr>
        <w:t xml:space="preserve">, D., </w:t>
      </w:r>
      <w:proofErr w:type="spellStart"/>
      <w:r w:rsidRPr="004F107C">
        <w:rPr>
          <w:rFonts w:ascii="Arial" w:hAnsi="Arial" w:cs="Arial"/>
        </w:rPr>
        <w:t>Melegkovits</w:t>
      </w:r>
      <w:proofErr w:type="spellEnd"/>
      <w:r w:rsidRPr="004F107C">
        <w:rPr>
          <w:rFonts w:ascii="Arial" w:hAnsi="Arial" w:cs="Arial"/>
        </w:rPr>
        <w:t xml:space="preserve">, E. A., Kenneally, L., Elliott, S., &amp; Alves-Costa, F. (2024). Trauma-informed care practices in a forensic setting: Exploring health care professionals’ perceptions and experiences. </w:t>
      </w:r>
      <w:r w:rsidRPr="004F107C">
        <w:rPr>
          <w:rFonts w:ascii="Arial" w:hAnsi="Arial" w:cs="Arial"/>
          <w:i/>
          <w:iCs/>
        </w:rPr>
        <w:t xml:space="preserve">International Journal of Forensic </w:t>
      </w:r>
      <w:r w:rsidRPr="004F107C">
        <w:rPr>
          <w:rFonts w:ascii="Arial" w:hAnsi="Arial" w:cs="Arial"/>
          <w:i/>
          <w:iCs/>
        </w:rPr>
        <w:lastRenderedPageBreak/>
        <w:t>Mental Health, 23</w:t>
      </w:r>
      <w:r w:rsidRPr="004F107C">
        <w:rPr>
          <w:rFonts w:ascii="Arial" w:hAnsi="Arial" w:cs="Arial"/>
        </w:rPr>
        <w:t xml:space="preserve">(4), 349–361. </w:t>
      </w:r>
      <w:hyperlink r:id="rId9" w:tgtFrame="_new" w:history="1">
        <w:r w:rsidRPr="004F107C">
          <w:rPr>
            <w:rStyle w:val="Hyperlink"/>
            <w:rFonts w:ascii="Arial" w:hAnsi="Arial" w:cs="Arial"/>
          </w:rPr>
          <w:t>https://doi.org/10.1080/14999013.2024.2347238</w:t>
        </w:r>
      </w:hyperlink>
    </w:p>
    <w:p w14:paraId="4EA3A2A2"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Seto, M. C., Augustyn, C., Roche, K. M., &amp; </w:t>
      </w:r>
      <w:proofErr w:type="spellStart"/>
      <w:r w:rsidRPr="004F107C">
        <w:rPr>
          <w:rFonts w:ascii="Arial" w:hAnsi="Arial" w:cs="Arial"/>
        </w:rPr>
        <w:t>Hilkes</w:t>
      </w:r>
      <w:proofErr w:type="spellEnd"/>
      <w:r w:rsidRPr="004F107C">
        <w:rPr>
          <w:rFonts w:ascii="Arial" w:hAnsi="Arial" w:cs="Arial"/>
        </w:rPr>
        <w:t xml:space="preserve">, G. (2023). Empirically-based dynamic risk and protective factors for sexual offending. </w:t>
      </w:r>
      <w:r w:rsidRPr="004F107C">
        <w:rPr>
          <w:rFonts w:ascii="Arial" w:hAnsi="Arial" w:cs="Arial"/>
          <w:i/>
          <w:iCs/>
        </w:rPr>
        <w:t>Clinical Psychology Review, 106</w:t>
      </w:r>
      <w:r w:rsidRPr="004F107C">
        <w:rPr>
          <w:rFonts w:ascii="Arial" w:hAnsi="Arial" w:cs="Arial"/>
        </w:rPr>
        <w:t>, 102355. https://doi.org/10.1016/j.cpr.2023.102355</w:t>
      </w:r>
    </w:p>
    <w:p w14:paraId="76A2F465"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Thornton, D., Willis, G. M., &amp; Kelley, S. (2024). Dynamic protective factors relevant to sexual offending. </w:t>
      </w:r>
      <w:r w:rsidRPr="004F107C">
        <w:rPr>
          <w:rFonts w:ascii="Arial" w:hAnsi="Arial" w:cs="Arial"/>
          <w:i/>
          <w:iCs/>
        </w:rPr>
        <w:t>Current Psychiatry Reports, 26</w:t>
      </w:r>
      <w:r w:rsidRPr="004F107C">
        <w:rPr>
          <w:rFonts w:ascii="Arial" w:hAnsi="Arial" w:cs="Arial"/>
        </w:rPr>
        <w:t>(4), 142–150. https://doi.org/10.1007/s11920-024-01493-5</w:t>
      </w:r>
    </w:p>
    <w:p w14:paraId="6486B4D6"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Ward, T., &amp; Beech, A. (2006). An integrated theory of sexual offending. </w:t>
      </w:r>
      <w:r w:rsidRPr="004F107C">
        <w:rPr>
          <w:rFonts w:ascii="Arial" w:hAnsi="Arial" w:cs="Arial"/>
          <w:i/>
          <w:iCs/>
        </w:rPr>
        <w:t xml:space="preserve">Aggression and Violent </w:t>
      </w:r>
      <w:proofErr w:type="spellStart"/>
      <w:r w:rsidRPr="004F107C">
        <w:rPr>
          <w:rFonts w:ascii="Arial" w:hAnsi="Arial" w:cs="Arial"/>
          <w:i/>
          <w:iCs/>
        </w:rPr>
        <w:t>Behavior</w:t>
      </w:r>
      <w:proofErr w:type="spellEnd"/>
      <w:r w:rsidRPr="004F107C">
        <w:rPr>
          <w:rFonts w:ascii="Arial" w:hAnsi="Arial" w:cs="Arial"/>
          <w:i/>
          <w:iCs/>
        </w:rPr>
        <w:t>, 11</w:t>
      </w:r>
      <w:r w:rsidRPr="004F107C">
        <w:rPr>
          <w:rFonts w:ascii="Arial" w:hAnsi="Arial" w:cs="Arial"/>
        </w:rPr>
        <w:t>(1), 44–63. https://doi.org/10.1016/j.avb.2005.05.002</w:t>
      </w:r>
    </w:p>
    <w:p w14:paraId="1ED4502F"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Ward, T., &amp; Hudson, S. M. (1998). A model of the relapse process in sexual offenders. </w:t>
      </w:r>
      <w:r w:rsidRPr="004F107C">
        <w:rPr>
          <w:rFonts w:ascii="Arial" w:hAnsi="Arial" w:cs="Arial"/>
          <w:i/>
          <w:iCs/>
        </w:rPr>
        <w:t>Journal of Interpersonal Violence, 13</w:t>
      </w:r>
      <w:r w:rsidRPr="004F107C">
        <w:rPr>
          <w:rFonts w:ascii="Arial" w:hAnsi="Arial" w:cs="Arial"/>
        </w:rPr>
        <w:t>(6), 700–725. https://doi.org/10.1177/088626098013006003</w:t>
      </w:r>
    </w:p>
    <w:p w14:paraId="5214D7C4" w14:textId="77777777" w:rsidR="004F107C" w:rsidRPr="004F107C" w:rsidRDefault="004F107C" w:rsidP="0063724F">
      <w:pPr>
        <w:spacing w:line="480" w:lineRule="auto"/>
        <w:ind w:left="720" w:hanging="720"/>
        <w:jc w:val="both"/>
        <w:rPr>
          <w:rFonts w:ascii="Arial" w:hAnsi="Arial" w:cs="Arial"/>
        </w:rPr>
      </w:pPr>
      <w:r w:rsidRPr="004F107C">
        <w:rPr>
          <w:rFonts w:ascii="Arial" w:hAnsi="Arial" w:cs="Arial"/>
        </w:rPr>
        <w:t xml:space="preserve">Yapp, E. J., &amp; Quayle, E. (2018). A systematic review of the association between rape myth acceptance and male-on-female sexual violence. </w:t>
      </w:r>
      <w:r w:rsidRPr="004F107C">
        <w:rPr>
          <w:rFonts w:ascii="Arial" w:hAnsi="Arial" w:cs="Arial"/>
          <w:i/>
          <w:iCs/>
        </w:rPr>
        <w:t xml:space="preserve">Aggression and Violent </w:t>
      </w:r>
      <w:proofErr w:type="spellStart"/>
      <w:r w:rsidRPr="004F107C">
        <w:rPr>
          <w:rFonts w:ascii="Arial" w:hAnsi="Arial" w:cs="Arial"/>
          <w:i/>
          <w:iCs/>
        </w:rPr>
        <w:t>Behavior</w:t>
      </w:r>
      <w:proofErr w:type="spellEnd"/>
      <w:r w:rsidRPr="004F107C">
        <w:rPr>
          <w:rFonts w:ascii="Arial" w:hAnsi="Arial" w:cs="Arial"/>
          <w:i/>
          <w:iCs/>
        </w:rPr>
        <w:t>, 41</w:t>
      </w:r>
      <w:r w:rsidRPr="004F107C">
        <w:rPr>
          <w:rFonts w:ascii="Arial" w:hAnsi="Arial" w:cs="Arial"/>
        </w:rPr>
        <w:t>, 1–11. https://doi.org/10.1016/j.avb.2018.05.008</w:t>
      </w:r>
    </w:p>
    <w:p w14:paraId="4634928B" w14:textId="77777777" w:rsidR="00BA79F0" w:rsidRPr="00F10702" w:rsidRDefault="00BA79F0" w:rsidP="0011613A">
      <w:pPr>
        <w:spacing w:line="480" w:lineRule="auto"/>
        <w:ind w:firstLine="720"/>
        <w:jc w:val="both"/>
        <w:rPr>
          <w:rFonts w:ascii="Arial" w:hAnsi="Arial" w:cs="Arial"/>
        </w:rPr>
      </w:pPr>
    </w:p>
    <w:sectPr w:rsidR="00BA79F0" w:rsidRPr="00F1070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BDDDDF"/>
    <w:rsid w:val="000517D5"/>
    <w:rsid w:val="000D625A"/>
    <w:rsid w:val="000E1B6A"/>
    <w:rsid w:val="000E57A2"/>
    <w:rsid w:val="001125B3"/>
    <w:rsid w:val="0011613A"/>
    <w:rsid w:val="00151D12"/>
    <w:rsid w:val="00196523"/>
    <w:rsid w:val="002648EE"/>
    <w:rsid w:val="002A1F85"/>
    <w:rsid w:val="00305CEB"/>
    <w:rsid w:val="0034716B"/>
    <w:rsid w:val="003E172D"/>
    <w:rsid w:val="00464063"/>
    <w:rsid w:val="00475D64"/>
    <w:rsid w:val="0049612D"/>
    <w:rsid w:val="004B5E0C"/>
    <w:rsid w:val="004F107C"/>
    <w:rsid w:val="004F29F3"/>
    <w:rsid w:val="005033AD"/>
    <w:rsid w:val="00563841"/>
    <w:rsid w:val="005A06CD"/>
    <w:rsid w:val="0063724F"/>
    <w:rsid w:val="006E7DB1"/>
    <w:rsid w:val="007027DA"/>
    <w:rsid w:val="00815FEB"/>
    <w:rsid w:val="00883E4C"/>
    <w:rsid w:val="008C3189"/>
    <w:rsid w:val="008F01E7"/>
    <w:rsid w:val="00923DFE"/>
    <w:rsid w:val="009468CC"/>
    <w:rsid w:val="009542A8"/>
    <w:rsid w:val="00955D1A"/>
    <w:rsid w:val="00994703"/>
    <w:rsid w:val="00AC3581"/>
    <w:rsid w:val="00B020E6"/>
    <w:rsid w:val="00B16A29"/>
    <w:rsid w:val="00B404F4"/>
    <w:rsid w:val="00BA79F0"/>
    <w:rsid w:val="00C371D8"/>
    <w:rsid w:val="00CA5E05"/>
    <w:rsid w:val="00CC3EFE"/>
    <w:rsid w:val="00D0156E"/>
    <w:rsid w:val="00D24365"/>
    <w:rsid w:val="00D564F0"/>
    <w:rsid w:val="00E93070"/>
    <w:rsid w:val="00F10702"/>
    <w:rsid w:val="00FC3038"/>
    <w:rsid w:val="00FE3782"/>
    <w:rsid w:val="66BDD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DDDDF"/>
  <w15:chartTrackingRefBased/>
  <w15:docId w15:val="{E44041EA-6E3F-49E7-9356-DE7EAF663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F107C"/>
    <w:rPr>
      <w:color w:val="467886" w:themeColor="hyperlink"/>
      <w:u w:val="single"/>
    </w:rPr>
  </w:style>
  <w:style w:type="character" w:styleId="UnresolvedMention">
    <w:name w:val="Unresolved Mention"/>
    <w:basedOn w:val="DefaultParagraphFont"/>
    <w:uiPriority w:val="99"/>
    <w:semiHidden/>
    <w:unhideWhenUsed/>
    <w:rsid w:val="004F107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avb.2024.101989" TargetMode="External" /><Relationship Id="rId3" Type="http://schemas.openxmlformats.org/officeDocument/2006/relationships/settings" Target="settings.xml" /><Relationship Id="rId7" Type="http://schemas.openxmlformats.org/officeDocument/2006/relationships/hyperlink" Target="https://doi.org/10.1177/10790632231159071"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hyperlink" Target="https://doi.org/10.4324/9781315677187" TargetMode="External" /><Relationship Id="rId11" Type="http://schemas.openxmlformats.org/officeDocument/2006/relationships/theme" Target="theme/theme1.xml" /><Relationship Id="rId5" Type="http://schemas.openxmlformats.org/officeDocument/2006/relationships/hyperlink" Target="https://doi.org/10.3390/healthcare12090908" TargetMode="Externa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doi.org/10.1080/14999013.2024.2347238"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942275-C952-406E-A390-5F1DFD8813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15</Pages>
  <Words>3531</Words>
  <Characters>20130</Characters>
  <Application>Microsoft Office Word</Application>
  <DocSecurity>0</DocSecurity>
  <Lines>167</Lines>
  <Paragraphs>47</Paragraphs>
  <ScaleCrop>false</ScaleCrop>
  <Company/>
  <LinksUpToDate>false</LinksUpToDate>
  <CharactersWithSpaces>23614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cp:lastModifiedBy>
  <cp:revision>45</cp:revision>
  <dcterms:created xsi:type="dcterms:W3CDTF">2026-01-22T17:07:00Z</dcterms:created>
  <dcterms:modified xsi:type="dcterms:W3CDTF">2026-01-22T22:42:00Z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6b5c3888-859c-442b-a88b-3465a8f45799</vt:lpwstr>
  </property>
</Properties>
</file>