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CC521" w14:textId="77777777" w:rsidR="009A5686" w:rsidRPr="001F3321" w:rsidRDefault="009A5686" w:rsidP="009A5686">
      <w:pPr>
        <w:pStyle w:val="AssignBody"/>
        <w:jc w:val="center"/>
        <w:rPr>
          <w:b/>
          <w:bCs/>
          <w:sz w:val="96"/>
          <w:szCs w:val="96"/>
        </w:rPr>
      </w:pPr>
    </w:p>
    <w:p w14:paraId="39F3A023" w14:textId="604F4C2D" w:rsidR="009A5686" w:rsidRPr="001F3321" w:rsidRDefault="009A5686" w:rsidP="009A5686">
      <w:pPr>
        <w:pStyle w:val="AssignBody"/>
        <w:jc w:val="center"/>
        <w:rPr>
          <w:b/>
          <w:bCs/>
          <w:sz w:val="96"/>
          <w:szCs w:val="96"/>
        </w:rPr>
      </w:pPr>
      <w:r w:rsidRPr="001F3321">
        <w:rPr>
          <w:b/>
          <w:bCs/>
          <w:sz w:val="96"/>
          <w:szCs w:val="96"/>
        </w:rPr>
        <w:t xml:space="preserve">Learners, </w:t>
      </w:r>
      <w:proofErr w:type="gramStart"/>
      <w:r w:rsidR="006F11FF" w:rsidRPr="001F3321">
        <w:rPr>
          <w:b/>
          <w:bCs/>
          <w:sz w:val="96"/>
          <w:szCs w:val="96"/>
        </w:rPr>
        <w:t>Schools</w:t>
      </w:r>
      <w:proofErr w:type="gramEnd"/>
      <w:r w:rsidRPr="001F3321">
        <w:rPr>
          <w:b/>
          <w:bCs/>
          <w:sz w:val="96"/>
          <w:szCs w:val="96"/>
        </w:rPr>
        <w:t xml:space="preserve"> and Communities: Where am I teaching?</w:t>
      </w:r>
    </w:p>
    <w:p w14:paraId="3DAAA1D8" w14:textId="00F5A263" w:rsidR="009A5686" w:rsidRDefault="00C823CF" w:rsidP="009A5686">
      <w:pPr>
        <w:pStyle w:val="AssignBody"/>
        <w:jc w:val="center"/>
        <w:rPr>
          <w:b/>
          <w:bCs/>
          <w:sz w:val="52"/>
          <w:szCs w:val="52"/>
        </w:rPr>
      </w:pPr>
      <w:r w:rsidRPr="00C823CF">
        <w:rPr>
          <w:b/>
          <w:bCs/>
          <w:sz w:val="52"/>
          <w:szCs w:val="52"/>
        </w:rPr>
        <w:t>Part 2</w:t>
      </w:r>
    </w:p>
    <w:p w14:paraId="6A63513B" w14:textId="77777777" w:rsidR="00C823CF" w:rsidRPr="00C823CF" w:rsidRDefault="00C823CF" w:rsidP="009A5686">
      <w:pPr>
        <w:pStyle w:val="AssignBody"/>
        <w:jc w:val="center"/>
        <w:rPr>
          <w:b/>
          <w:bCs/>
          <w:sz w:val="52"/>
          <w:szCs w:val="52"/>
        </w:rPr>
      </w:pPr>
    </w:p>
    <w:p w14:paraId="1D50C683" w14:textId="6625D831" w:rsidR="009A5686" w:rsidRPr="001F3321" w:rsidRDefault="009A5686" w:rsidP="009A5686">
      <w:pPr>
        <w:pStyle w:val="AssignBody"/>
        <w:jc w:val="center"/>
        <w:rPr>
          <w:b/>
          <w:bCs/>
          <w:sz w:val="96"/>
          <w:szCs w:val="96"/>
        </w:rPr>
      </w:pPr>
      <w:r w:rsidRPr="001F3321">
        <w:rPr>
          <w:b/>
          <w:bCs/>
          <w:sz w:val="96"/>
          <w:szCs w:val="96"/>
        </w:rPr>
        <w:t>Lauren Greenhill</w:t>
      </w:r>
    </w:p>
    <w:p w14:paraId="4D0B3F68" w14:textId="68C7185F" w:rsidR="009A5686" w:rsidRPr="009A5686" w:rsidRDefault="009A5686" w:rsidP="00E611D9">
      <w:pPr>
        <w:pStyle w:val="AssignBody"/>
        <w:rPr>
          <w:sz w:val="96"/>
          <w:szCs w:val="96"/>
        </w:rPr>
      </w:pPr>
    </w:p>
    <w:p w14:paraId="5A719681" w14:textId="77777777" w:rsidR="009A5686" w:rsidRDefault="009A5686" w:rsidP="00E611D9">
      <w:pPr>
        <w:pStyle w:val="AssignBody"/>
      </w:pPr>
    </w:p>
    <w:p w14:paraId="052C0BFB" w14:textId="77777777" w:rsidR="009A5686" w:rsidRDefault="009A5686" w:rsidP="00E611D9">
      <w:pPr>
        <w:pStyle w:val="AssignBody"/>
      </w:pPr>
    </w:p>
    <w:p w14:paraId="3D685369" w14:textId="77777777" w:rsidR="009A5686" w:rsidRDefault="009A5686" w:rsidP="00E611D9">
      <w:pPr>
        <w:pStyle w:val="AssignBody"/>
      </w:pPr>
    </w:p>
    <w:p w14:paraId="5C951933" w14:textId="77777777" w:rsidR="009A5686" w:rsidRDefault="009A5686" w:rsidP="00E611D9">
      <w:pPr>
        <w:pStyle w:val="AssignBody"/>
      </w:pPr>
    </w:p>
    <w:p w14:paraId="69A93917" w14:textId="77777777" w:rsidR="009A5686" w:rsidRDefault="009A5686" w:rsidP="00E611D9">
      <w:pPr>
        <w:pStyle w:val="AssignBody"/>
      </w:pPr>
    </w:p>
    <w:p w14:paraId="19456DE9" w14:textId="5EF49FF4" w:rsidR="00E611D9" w:rsidRDefault="00CF4162" w:rsidP="00E611D9">
      <w:pPr>
        <w:pStyle w:val="AssignBody"/>
      </w:pPr>
      <w:r>
        <w:t>Targets from 008</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398FBC6F" w:rsidR="00AD4EBD" w:rsidRDefault="009C4A7A" w:rsidP="00AE1A4C">
            <w:pPr>
              <w:pStyle w:val="AssignBody"/>
            </w:pPr>
            <w:r>
              <w:t>T</w:t>
            </w:r>
            <w:r w:rsidR="00AD4EBD">
              <w: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2071349F" w:rsidR="00AD4EBD" w:rsidRDefault="00AD4EBD" w:rsidP="00AE1A4C">
            <w:pPr>
              <w:pStyle w:val="AssignBody"/>
            </w:pPr>
            <w:bookmarkStart w:id="0" w:name="cysill"/>
            <w:bookmarkEnd w:id="0"/>
            <w:r>
              <w:t>Target 1</w:t>
            </w:r>
          </w:p>
        </w:tc>
        <w:tc>
          <w:tcPr>
            <w:tcW w:w="3647" w:type="dxa"/>
          </w:tcPr>
          <w:p w14:paraId="394C5558" w14:textId="07139BD4" w:rsidR="00AD4EBD" w:rsidRDefault="009C4A7A" w:rsidP="00AE1A4C">
            <w:pPr>
              <w:pStyle w:val="AssignBody"/>
            </w:pPr>
            <w:r>
              <w:t xml:space="preserve">Continue working on your previous target on referencing skills – adding page numbers for direct quotes. </w:t>
            </w:r>
          </w:p>
        </w:tc>
        <w:tc>
          <w:tcPr>
            <w:tcW w:w="3647" w:type="dxa"/>
          </w:tcPr>
          <w:p w14:paraId="5F7F611A" w14:textId="0A442307" w:rsidR="00AD4EBD" w:rsidRDefault="006F11FF" w:rsidP="00AE1A4C">
            <w:pPr>
              <w:pStyle w:val="AssignBody"/>
            </w:pPr>
            <w:r>
              <w:t>I have added page numbers for any quotes in this assignment and relooked over the university’s reference guidelines.</w:t>
            </w:r>
          </w:p>
        </w:tc>
      </w:tr>
      <w:tr w:rsidR="00AD4EBD" w14:paraId="73A65764" w14:textId="34BD1589" w:rsidTr="00AD4EBD">
        <w:tc>
          <w:tcPr>
            <w:tcW w:w="1722" w:type="dxa"/>
          </w:tcPr>
          <w:p w14:paraId="12A42483" w14:textId="50972AAF" w:rsidR="00AD4EBD" w:rsidRDefault="00AD4EBD" w:rsidP="00AE1A4C">
            <w:pPr>
              <w:pStyle w:val="AssignBody"/>
            </w:pPr>
            <w:r>
              <w:t>Target 2</w:t>
            </w:r>
          </w:p>
        </w:tc>
        <w:tc>
          <w:tcPr>
            <w:tcW w:w="3647" w:type="dxa"/>
          </w:tcPr>
          <w:p w14:paraId="3E19823E" w14:textId="51D812D1" w:rsidR="00AD4EBD" w:rsidRDefault="009C4A7A" w:rsidP="00AE1A4C">
            <w:pPr>
              <w:pStyle w:val="AssignBody"/>
            </w:pPr>
            <w:r>
              <w:t>More frequent references to a wider range of literature would provide greater opportunities for critical engagement, which is the key to academic writing.</w:t>
            </w:r>
          </w:p>
        </w:tc>
        <w:tc>
          <w:tcPr>
            <w:tcW w:w="3647" w:type="dxa"/>
          </w:tcPr>
          <w:p w14:paraId="54F0029C" w14:textId="6E4BBCE5" w:rsidR="00AD4EBD" w:rsidRDefault="006F11FF" w:rsidP="00AE1A4C">
            <w:pPr>
              <w:pStyle w:val="AssignBody"/>
            </w:pPr>
            <w:r>
              <w:t xml:space="preserve">I have tried use a wider range of literature for this assignment, I spent more time reading before starting the assignment and tried to use more references to be more critical. </w:t>
            </w:r>
          </w:p>
        </w:tc>
      </w:tr>
      <w:tr w:rsidR="00AD4EBD" w14:paraId="0216786F" w14:textId="16A0EC59" w:rsidTr="00AD4EBD">
        <w:tc>
          <w:tcPr>
            <w:tcW w:w="1722" w:type="dxa"/>
          </w:tcPr>
          <w:p w14:paraId="4F73937C" w14:textId="164DBBBB" w:rsidR="00AD4EBD" w:rsidRDefault="00AD4EBD" w:rsidP="00AE1A4C">
            <w:pPr>
              <w:pStyle w:val="AssignBody"/>
            </w:pP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4AF70FF6" w14:textId="77777777" w:rsidR="00CF4162" w:rsidRDefault="00CF4162" w:rsidP="00E611D9">
      <w:pPr>
        <w:pStyle w:val="AssignHeader"/>
      </w:pPr>
    </w:p>
    <w:p w14:paraId="504AC5B3" w14:textId="77777777" w:rsidR="00CF4162" w:rsidRDefault="00CF4162" w:rsidP="00E611D9">
      <w:pPr>
        <w:pStyle w:val="AssignHeader"/>
      </w:pPr>
    </w:p>
    <w:p w14:paraId="18E8AC6D" w14:textId="77777777" w:rsidR="00CF4162" w:rsidRDefault="00CF4162" w:rsidP="00E611D9">
      <w:pPr>
        <w:pStyle w:val="AssignHeader"/>
      </w:pPr>
    </w:p>
    <w:p w14:paraId="6D4F5F10" w14:textId="77777777" w:rsidR="00CF4162" w:rsidRDefault="00CF4162" w:rsidP="00E611D9">
      <w:pPr>
        <w:pStyle w:val="AssignHeader"/>
      </w:pPr>
    </w:p>
    <w:p w14:paraId="059A37A6" w14:textId="77777777" w:rsidR="00CF4162" w:rsidRDefault="00CF4162" w:rsidP="00E611D9">
      <w:pPr>
        <w:pStyle w:val="AssignHeader"/>
      </w:pPr>
    </w:p>
    <w:p w14:paraId="580DE0E7" w14:textId="77777777" w:rsidR="00CF4162" w:rsidRDefault="00CF4162" w:rsidP="00E611D9">
      <w:pPr>
        <w:pStyle w:val="AssignHeader"/>
      </w:pPr>
    </w:p>
    <w:p w14:paraId="07AD66C8" w14:textId="77777777" w:rsidR="00CF4162" w:rsidRDefault="00CF4162" w:rsidP="00E611D9">
      <w:pPr>
        <w:pStyle w:val="AssignHeader"/>
      </w:pPr>
    </w:p>
    <w:p w14:paraId="766D866C" w14:textId="77777777" w:rsidR="00CF4162" w:rsidRDefault="00CF4162" w:rsidP="00E611D9">
      <w:pPr>
        <w:pStyle w:val="AssignHeader"/>
      </w:pPr>
    </w:p>
    <w:p w14:paraId="1BE5C021" w14:textId="77777777" w:rsidR="00CF4162" w:rsidRDefault="00CF4162" w:rsidP="00E611D9">
      <w:pPr>
        <w:pStyle w:val="AssignHeader"/>
      </w:pPr>
    </w:p>
    <w:p w14:paraId="56E6E3DB" w14:textId="77777777" w:rsidR="00CF4162" w:rsidRDefault="00CF4162" w:rsidP="00E611D9">
      <w:pPr>
        <w:pStyle w:val="AssignHeader"/>
      </w:pPr>
    </w:p>
    <w:p w14:paraId="1FE738C9" w14:textId="77777777" w:rsidR="00CF4162" w:rsidRDefault="00CF4162" w:rsidP="00203B1A">
      <w:pPr>
        <w:pStyle w:val="AssignHeader"/>
        <w:jc w:val="left"/>
      </w:pPr>
    </w:p>
    <w:p w14:paraId="118CB437" w14:textId="33BACA14" w:rsidR="006419C3" w:rsidRDefault="00CF4162" w:rsidP="00E611D9">
      <w:pPr>
        <w:pStyle w:val="AssignHeader"/>
      </w:pPr>
      <w:r>
        <w:t>How School X develops the pupils’ independent skills.</w:t>
      </w:r>
    </w:p>
    <w:p w14:paraId="77027011" w14:textId="33922B85" w:rsidR="00CF4162" w:rsidRDefault="00CF4162" w:rsidP="00CF4162">
      <w:pPr>
        <w:pStyle w:val="AssignBody"/>
      </w:pPr>
    </w:p>
    <w:p w14:paraId="6419C4AA" w14:textId="4FFD3D2F" w:rsidR="00800E16" w:rsidRPr="00F26E04" w:rsidRDefault="00CF4162" w:rsidP="00693E57">
      <w:pPr>
        <w:pStyle w:val="AssignSubHeader"/>
        <w:jc w:val="center"/>
        <w:rPr>
          <w:u w:val="single"/>
        </w:rPr>
      </w:pPr>
      <w:r w:rsidRPr="00F26E04">
        <w:rPr>
          <w:u w:val="single"/>
        </w:rPr>
        <w:t>Introduction</w:t>
      </w:r>
    </w:p>
    <w:p w14:paraId="77AE88F5" w14:textId="77B97A7C" w:rsidR="00A20FDE" w:rsidRPr="0027100F" w:rsidRDefault="0049740C" w:rsidP="0027100F">
      <w:r w:rsidRPr="0027100F">
        <w:br/>
        <w:t xml:space="preserve">The objective of this assignment is </w:t>
      </w:r>
      <w:r w:rsidR="00962A46" w:rsidRPr="0027100F">
        <w:t>how a school develops one aspect of its SDP</w:t>
      </w:r>
      <w:r w:rsidRPr="0027100F">
        <w:t xml:space="preserve">, focusing on a specific English-medium primary school located in South Wales. This analysis involves a critical examination of the processes by which the school enhances one aspect of its School Improvement Plan (SIP). The school's demographic comprises 646 students, including 120 in nursery classes (Estyn, 2023). Notably, only 7% of pupils are identified as having Additional Learning Needs, a figure significantly below the national average of 13.4% (Welsh Government, 2023). Likewise, the proportion of students eligible for free school meals is 13.6%, well below the national average of 28.7% (Welsh Government, 2023). Moreover, 27.2% of learners are </w:t>
      </w:r>
      <w:r w:rsidR="005C5173" w:rsidRPr="0027100F">
        <w:t>categorised</w:t>
      </w:r>
      <w:r w:rsidRPr="0027100F">
        <w:t xml:space="preserve"> as English as Additional Language (EAL) students (Estyn, 2023). Despite these challenges, the school has received minimal critique, </w:t>
      </w:r>
      <w:r w:rsidR="00F26E04" w:rsidRPr="0027100F">
        <w:t>earnt</w:t>
      </w:r>
      <w:r w:rsidRPr="0027100F">
        <w:t xml:space="preserve"> just one recommendation and </w:t>
      </w:r>
      <w:r w:rsidR="00F26E04" w:rsidRPr="0027100F">
        <w:t>achieved</w:t>
      </w:r>
      <w:r w:rsidRPr="0027100F">
        <w:t xml:space="preserve"> commendable results in its latest Estyn report. The report highlights that "nearly all pupils make strong progress in their learning from their individual starting points" (Estyn, 2023). </w:t>
      </w:r>
    </w:p>
    <w:p w14:paraId="3B9B99BA" w14:textId="6804B6ED" w:rsidR="0049740C" w:rsidRPr="0027100F" w:rsidRDefault="0049740C" w:rsidP="0027100F"/>
    <w:p w14:paraId="7C3FA367" w14:textId="779943D6" w:rsidR="00334543" w:rsidRDefault="00334543" w:rsidP="0027100F">
      <w:r w:rsidRPr="0027100F">
        <w:br/>
      </w:r>
      <w:r w:rsidR="00D9708A" w:rsidRPr="0027100F">
        <w:t xml:space="preserve">I will refer to the school as </w:t>
      </w:r>
      <w:r w:rsidRPr="0027100F">
        <w:t>School X</w:t>
      </w:r>
      <w:r w:rsidR="00E9019D" w:rsidRPr="0027100F">
        <w:t xml:space="preserve"> </w:t>
      </w:r>
      <w:r w:rsidR="00D9708A" w:rsidRPr="0027100F">
        <w:t>to protect the anonymity of the school</w:t>
      </w:r>
      <w:r w:rsidR="00974FF9" w:rsidRPr="0027100F">
        <w:t xml:space="preserve"> (BERA</w:t>
      </w:r>
      <w:r w:rsidR="00F3630F" w:rsidRPr="0027100F">
        <w:t>, 20</w:t>
      </w:r>
      <w:r w:rsidR="00027417" w:rsidRPr="0027100F">
        <w:t>24</w:t>
      </w:r>
      <w:r w:rsidR="00F3630F" w:rsidRPr="0027100F">
        <w:t>)</w:t>
      </w:r>
      <w:r w:rsidR="003C45DA" w:rsidRPr="0027100F">
        <w:t>. School X</w:t>
      </w:r>
      <w:r w:rsidRPr="0027100F">
        <w:t xml:space="preserve"> has outlined three main priorities in its SIP for the 2023/2024 academic year: firstly, the development of students' independent skills; secondly, the incorporation of pupil voice in the strategic management of the institution; and thirdly, the refinement of curriculum design. This analysis will specifically explore how School X is executing its overarching goal of enhancing students' independent learning skills. This focus arises from a recommendation in the most recent Estyn inspection report, which advised School X to “Further improve the teaching and the learning environment to support the development of pupils’ independent learning skills” (Estyn, 2023).</w:t>
      </w:r>
    </w:p>
    <w:p w14:paraId="34C92A56" w14:textId="77777777" w:rsidR="0027100F" w:rsidRPr="0027100F" w:rsidRDefault="0027100F" w:rsidP="0027100F"/>
    <w:p w14:paraId="46CB3A8C" w14:textId="5791BAE8" w:rsidR="00060FCB" w:rsidRPr="00F26E04" w:rsidRDefault="00693E57" w:rsidP="00B3510B">
      <w:pPr>
        <w:jc w:val="center"/>
        <w:rPr>
          <w:b/>
          <w:bCs/>
          <w:sz w:val="28"/>
          <w:szCs w:val="28"/>
          <w:u w:val="single"/>
        </w:rPr>
      </w:pPr>
      <w:r w:rsidRPr="00F26E04">
        <w:rPr>
          <w:b/>
          <w:bCs/>
          <w:sz w:val="28"/>
          <w:szCs w:val="28"/>
          <w:u w:val="single"/>
        </w:rPr>
        <w:t>Literature review</w:t>
      </w:r>
    </w:p>
    <w:p w14:paraId="0CBC48DA" w14:textId="77777777" w:rsidR="006F11FF" w:rsidRPr="00AE7730" w:rsidRDefault="006F11FF" w:rsidP="0027100F">
      <w:pPr>
        <w:rPr>
          <w:b/>
          <w:bCs/>
          <w:sz w:val="28"/>
          <w:szCs w:val="28"/>
        </w:rPr>
      </w:pPr>
    </w:p>
    <w:p w14:paraId="797BF45A" w14:textId="6FC8BDC8" w:rsidR="00A04F12" w:rsidRPr="00AE7730" w:rsidRDefault="00A04F12" w:rsidP="0027100F">
      <w:pPr>
        <w:rPr>
          <w:b/>
          <w:bCs/>
          <w:sz w:val="28"/>
          <w:szCs w:val="28"/>
        </w:rPr>
      </w:pPr>
      <w:r w:rsidRPr="00AE7730">
        <w:rPr>
          <w:b/>
          <w:bCs/>
          <w:sz w:val="28"/>
          <w:szCs w:val="28"/>
        </w:rPr>
        <w:t>School Improvement Planning</w:t>
      </w:r>
    </w:p>
    <w:p w14:paraId="309D0820" w14:textId="1A9CDCCB" w:rsidR="00480926" w:rsidRPr="0027100F" w:rsidRDefault="00B97A18" w:rsidP="0027100F">
      <w:r w:rsidRPr="0027100F">
        <w:t xml:space="preserve">The Welsh Government has affirmed its dedication to establishing a self-improving education system that is fully devoted to providing inclusive, high-quality education to all citizens of Wales </w:t>
      </w:r>
      <w:sdt>
        <w:sdtPr>
          <w:id w:val="-576050261"/>
          <w:citation/>
        </w:sdtPr>
        <w:sdtContent>
          <w:r w:rsidR="006F11FF" w:rsidRPr="0027100F">
            <w:fldChar w:fldCharType="begin"/>
          </w:r>
          <w:r w:rsidR="006F11FF" w:rsidRPr="0027100F">
            <w:instrText xml:space="preserve"> CITATION OEC18 \l 2057 </w:instrText>
          </w:r>
          <w:r w:rsidR="006F11FF" w:rsidRPr="0027100F">
            <w:fldChar w:fldCharType="separate"/>
          </w:r>
          <w:r w:rsidR="006F11FF" w:rsidRPr="0027100F">
            <w:t xml:space="preserve"> (OECD, 2018)</w:t>
          </w:r>
          <w:r w:rsidR="006F11FF" w:rsidRPr="0027100F">
            <w:fldChar w:fldCharType="end"/>
          </w:r>
        </w:sdtContent>
      </w:sdt>
      <w:r w:rsidR="006F11FF" w:rsidRPr="0027100F">
        <w:t xml:space="preserve">. </w:t>
      </w:r>
      <w:r w:rsidRPr="0027100F">
        <w:t xml:space="preserve">Wales’ national </w:t>
      </w:r>
      <w:r w:rsidR="0047184C" w:rsidRPr="0027100F">
        <w:t>mission</w:t>
      </w:r>
      <w:r w:rsidRPr="0027100F">
        <w:t xml:space="preserve"> to improve educations standards </w:t>
      </w:r>
      <w:r w:rsidR="00D274F0" w:rsidRPr="0027100F">
        <w:t>included</w:t>
      </w:r>
      <w:r w:rsidR="00480926" w:rsidRPr="0027100F">
        <w:t xml:space="preserve"> a new curriculum for </w:t>
      </w:r>
      <w:r w:rsidR="0047184C" w:rsidRPr="0027100F">
        <w:t>Wales</w:t>
      </w:r>
      <w:r w:rsidR="00480926" w:rsidRPr="0027100F">
        <w:t xml:space="preserve"> and Additional learning needs reform (Dauncey, 2022), following this was the implementation of school improvement guidance framework (Welsh Government, 2022). While the guidance does not directly incorporate the new curriculum in Wales, it is designed to complement and support the implementation of the curriculum reforms. The framework outlined in the guidance </w:t>
      </w:r>
      <w:r w:rsidR="005C5173" w:rsidRPr="0027100F">
        <w:t>emphasises</w:t>
      </w:r>
      <w:r w:rsidR="00480926" w:rsidRPr="0027100F">
        <w:t xml:space="preserve"> key </w:t>
      </w:r>
      <w:r w:rsidR="00480926" w:rsidRPr="0027100F">
        <w:lastRenderedPageBreak/>
        <w:t>principles such as collaboration, evidence-based decision-making, and continuous improvement, which are also fundamental aspects of the new curriculum in line with the overarching goals of educational excellence and equity (Welsh Government, 2022).</w:t>
      </w:r>
      <w:r w:rsidR="0047184C" w:rsidRPr="0027100F">
        <w:t xml:space="preserve"> </w:t>
      </w:r>
      <w:r w:rsidR="00D451FE" w:rsidRPr="0027100F">
        <w:t xml:space="preserve">Collaboration among educators, students, and parents within Professional Learning Communities (PLCs) promotes a cohesive approach to addressing student needs and enhances teaching practices, leading to improved student outcomes. As described by Richard DuFour and </w:t>
      </w:r>
      <w:r w:rsidR="00780AD6" w:rsidRPr="0027100F">
        <w:t>colleagues (</w:t>
      </w:r>
      <w:r w:rsidR="009140D4" w:rsidRPr="0027100F">
        <w:t xml:space="preserve">Dufour et al., 2016) </w:t>
      </w:r>
      <w:r w:rsidR="00D451FE" w:rsidRPr="0027100F">
        <w:t xml:space="preserve">PLCs create a culture of shared responsibility and collective effort towards school </w:t>
      </w:r>
      <w:r w:rsidR="00F26E04" w:rsidRPr="0027100F">
        <w:t>goals.</w:t>
      </w:r>
      <w:r w:rsidR="00D451FE" w:rsidRPr="0027100F">
        <w:t xml:space="preserve"> Evidence-based decision-making is crucial in identifying and implementing instructional strategies that have been proven effective, thereby </w:t>
      </w:r>
      <w:r w:rsidR="005C5173" w:rsidRPr="0027100F">
        <w:t>maximising</w:t>
      </w:r>
      <w:r w:rsidR="00D451FE" w:rsidRPr="0027100F">
        <w:t xml:space="preserve"> student achievement. </w:t>
      </w:r>
      <w:r w:rsidR="006F31C9" w:rsidRPr="0027100F">
        <w:t>(Hattie, 2009)</w:t>
      </w:r>
      <w:r w:rsidR="00D451FE" w:rsidRPr="0027100F">
        <w:t xml:space="preserve"> </w:t>
      </w:r>
      <w:r w:rsidR="005C5173" w:rsidRPr="0027100F">
        <w:t>emphasises</w:t>
      </w:r>
      <w:r w:rsidR="00D451FE" w:rsidRPr="0027100F">
        <w:t xml:space="preserve"> the importance of using data and research to guide educational decisions, ensuring that interventions are </w:t>
      </w:r>
      <w:r w:rsidR="00780AD6" w:rsidRPr="0027100F">
        <w:t>impactful,</w:t>
      </w:r>
      <w:r w:rsidR="00D451FE" w:rsidRPr="0027100F">
        <w:t xml:space="preserve"> and resources are optimally </w:t>
      </w:r>
      <w:r w:rsidR="00780AD6" w:rsidRPr="0027100F">
        <w:t>utili</w:t>
      </w:r>
      <w:r w:rsidR="00780AD6">
        <w:t>s</w:t>
      </w:r>
      <w:r w:rsidR="00780AD6" w:rsidRPr="0027100F">
        <w:t>ed.</w:t>
      </w:r>
      <w:r w:rsidR="00D451FE" w:rsidRPr="0027100F">
        <w:t xml:space="preserve"> Continuous improvement, a core element of action research, involves educators systematically reflecting on and refining their practices to enhance student learning.</w:t>
      </w:r>
      <w:r w:rsidR="00691910" w:rsidRPr="0027100F">
        <w:t xml:space="preserve"> </w:t>
      </w:r>
      <w:r w:rsidR="006D1A57" w:rsidRPr="0027100F">
        <w:t>(</w:t>
      </w:r>
      <w:proofErr w:type="spellStart"/>
      <w:r w:rsidR="006D1A57" w:rsidRPr="0027100F">
        <w:t>Sagor</w:t>
      </w:r>
      <w:proofErr w:type="spellEnd"/>
      <w:r w:rsidR="006D1A57" w:rsidRPr="0027100F">
        <w:t>, 2011)</w:t>
      </w:r>
      <w:r w:rsidR="00D451FE" w:rsidRPr="0027100F">
        <w:t xml:space="preserve"> outlines how this iterative process can lead to sustained school improvement by encouraging ongoing assessment and adaptation of teaching </w:t>
      </w:r>
      <w:r w:rsidR="00780AD6" w:rsidRPr="0027100F">
        <w:t>methods.</w:t>
      </w:r>
      <w:r w:rsidR="00D451FE" w:rsidRPr="0027100F">
        <w:t xml:space="preserve"> By integrating these principles, schools can create a dynamic and responsive environment that continuously evolves to meet the educational needs of all students.</w:t>
      </w:r>
      <w:r w:rsidR="0037050F" w:rsidRPr="0027100F">
        <w:t xml:space="preserve"> The School Improvement Guidance for schools in Wales </w:t>
      </w:r>
      <w:r w:rsidR="00780AD6" w:rsidRPr="0027100F">
        <w:t>emphasises</w:t>
      </w:r>
      <w:r w:rsidR="0037050F" w:rsidRPr="0027100F">
        <w:t xml:space="preserve"> a structured approach to evaluate performance and drive improvement through self-evaluation, action planning, implementation, monitoring, and accountability. Collaboration is key, involving teachers, school leaders, students, parents, governing bodies, and external partners. This inclusive approach ensures comprehensive input, coordinated efforts, and transparent monitoring, fostering a supportive environment and enhancing the effectiveness of improvement strategies. Engaging all stakeholders builds a strong, cohesive school community dedicated to continuous progress (Welsh Government, 2022).</w:t>
      </w:r>
    </w:p>
    <w:p w14:paraId="1E69CF04" w14:textId="77777777" w:rsidR="00AE7730" w:rsidRDefault="00AE7730" w:rsidP="0027100F"/>
    <w:p w14:paraId="1FBB15D3" w14:textId="2604BA3F" w:rsidR="00700000" w:rsidRPr="00AE7730" w:rsidRDefault="001F3321" w:rsidP="0027100F">
      <w:pPr>
        <w:rPr>
          <w:b/>
          <w:bCs/>
          <w:sz w:val="28"/>
          <w:szCs w:val="28"/>
        </w:rPr>
      </w:pPr>
      <w:r w:rsidRPr="00AE7730">
        <w:rPr>
          <w:b/>
          <w:bCs/>
          <w:sz w:val="28"/>
          <w:szCs w:val="28"/>
        </w:rPr>
        <w:t>The whole school priority of improving pupils independent learning skills</w:t>
      </w:r>
    </w:p>
    <w:p w14:paraId="17D1C2AA" w14:textId="0D84ADD4" w:rsidR="0026029E" w:rsidRPr="0027100F" w:rsidRDefault="0026029E" w:rsidP="0027100F">
      <w:r w:rsidRPr="0027100F">
        <w:br/>
        <w:t xml:space="preserve">The skill listed by the Welsh Government as integral to the four purposes, "learners should develop emotional intelligence and awareness, becoming confident and independent" (Welsh Government, 2022), </w:t>
      </w:r>
      <w:r w:rsidR="000A50D9" w:rsidRPr="0027100F">
        <w:t>emphasises</w:t>
      </w:r>
      <w:r w:rsidRPr="0027100F">
        <w:t xml:space="preserve"> the cultivation of independence through the development of emotional intelligence and awareness. Emotional intelligence involves the ability to navigate one's emotions and </w:t>
      </w:r>
      <w:r w:rsidR="000A50D9" w:rsidRPr="0027100F">
        <w:t>empathise</w:t>
      </w:r>
      <w:r w:rsidRPr="0027100F">
        <w:t xml:space="preserve"> with others, which fosters confidence and autonomy in decision-making and actions. This focus aligns with literature that highlights the importance of emotional intelligence in educational settings. For instance, </w:t>
      </w:r>
      <w:r w:rsidR="00F1197B" w:rsidRPr="0027100F">
        <w:t>(Goleman, 1995)</w:t>
      </w:r>
      <w:r w:rsidRPr="0027100F">
        <w:t xml:space="preserve"> argues that emotional intelligence is crucial for personal and academic success, as it enhances self-awareness, self-regulation, and interpersonal skills.</w:t>
      </w:r>
    </w:p>
    <w:p w14:paraId="6525BA57" w14:textId="6439EF51" w:rsidR="0026029E" w:rsidRPr="0027100F" w:rsidRDefault="0026029E" w:rsidP="0027100F">
      <w:r w:rsidRPr="0027100F">
        <w:t xml:space="preserve">Further, the development of emotional intelligence contributes to learners' independence by promoting self-confidence and the ability to manage emotions effectively, which are critical for autonomous learning. </w:t>
      </w:r>
      <w:r w:rsidR="002C6741" w:rsidRPr="0027100F">
        <w:t>(Salovey and Mayer, 2004)</w:t>
      </w:r>
      <w:r w:rsidRPr="0027100F">
        <w:t xml:space="preserve"> supports this view, indicating that students with higher emotional intelligence are better equipped to handle the challenges of learning independently, as they can manage stress, stay motivated, and maintain focus.</w:t>
      </w:r>
    </w:p>
    <w:p w14:paraId="2B2CD5FA" w14:textId="77777777" w:rsidR="00F26E04" w:rsidRDefault="0026029E" w:rsidP="0027100F">
      <w:r w:rsidRPr="0027100F">
        <w:t xml:space="preserve">Additionally, fostering emotional intelligence in students complements the development of other key independent learning skills such as critical thinking, problem-solving, and self-regulation. </w:t>
      </w:r>
      <w:r w:rsidR="00D83A71" w:rsidRPr="0027100F">
        <w:t>A</w:t>
      </w:r>
      <w:r w:rsidRPr="0027100F">
        <w:t xml:space="preserve"> growth mindset, which is closely related to emotional intelligence, encourages resilience and persistence in learning tasks, enabling students to take ownership of their educational journey. Thus, the emphasis on emotional intelligence by the Welsh Government supports a holistic approach to </w:t>
      </w:r>
      <w:r w:rsidRPr="0027100F">
        <w:lastRenderedPageBreak/>
        <w:t>nurturing independent learners who are not only academically capable but also emotionally resilient and socially adept.</w:t>
      </w:r>
      <w:r w:rsidR="00054749" w:rsidRPr="0027100F">
        <w:t xml:space="preserve"> (Dweck, 2006)</w:t>
      </w:r>
    </w:p>
    <w:p w14:paraId="5EF7DA2D" w14:textId="6E681CFC" w:rsidR="001746B6" w:rsidRPr="0027100F" w:rsidRDefault="00F1325B" w:rsidP="0027100F">
      <w:r w:rsidRPr="0027100F">
        <w:br/>
        <w:t xml:space="preserve">School X focused on enhancing the learning environment to promote independent learning both within and beyond the classroom, </w:t>
      </w:r>
      <w:r w:rsidR="001746B6" w:rsidRPr="0027100F">
        <w:t>Wales’s</w:t>
      </w:r>
      <w:r w:rsidRPr="0027100F">
        <w:t xml:space="preserve"> new curriculum </w:t>
      </w:r>
      <w:r w:rsidR="00780AD6" w:rsidRPr="0027100F">
        <w:t>emphasises</w:t>
      </w:r>
      <w:r w:rsidRPr="0027100F">
        <w:t xml:space="preserve"> the importance of creating supportive, inclusive, and dynamic learning environments to foster holistic development and empower learners</w:t>
      </w:r>
      <w:r w:rsidR="001746B6" w:rsidRPr="0027100F">
        <w:t xml:space="preserve"> (Welsh Government, 2022)</w:t>
      </w:r>
      <w:r w:rsidRPr="0027100F">
        <w:t>.</w:t>
      </w:r>
      <w:r w:rsidR="006707D7" w:rsidRPr="0027100F">
        <w:t xml:space="preserve"> </w:t>
      </w:r>
      <w:r w:rsidR="00F26E04">
        <w:t xml:space="preserve"> </w:t>
      </w:r>
      <w:r w:rsidR="00E916C4" w:rsidRPr="0027100F">
        <w:t xml:space="preserve">Furthermore, Gardner's (1983) perspective advocates for creating flexible learning environments that accommodate diverse learning styles and provide opportunities for students to express their abilities and talents in various ways, further </w:t>
      </w:r>
      <w:r w:rsidR="00780AD6" w:rsidRPr="0027100F">
        <w:t>emphasising</w:t>
      </w:r>
      <w:r w:rsidR="00E916C4" w:rsidRPr="0027100F">
        <w:t xml:space="preserve"> the importance of designing environments that cater to the needs and strengths of all learners (Gardner, 1983). By embracing Gardner's theory of multiple intelligences, educators not only acknowledge the diversity of learners but also empower them to develop independence. When students are provided with opportunities to engage with content and demonstrate understanding through avenues that align with their individual intelligences, they gain a sense of agency and ownership over their learning journey. This fosters independence as students learn to leverage their strengths, preferences, and interests to navigate their educational experiences effectively. Additionally, by experiencing success and recognition in areas where they excel, students build confidence and self-efficacy, further supporting their development as independent learners (Gardner, 1983).</w:t>
      </w:r>
    </w:p>
    <w:p w14:paraId="15C13590" w14:textId="2B967A06" w:rsidR="004E372B" w:rsidRDefault="00FE2F45" w:rsidP="0027100F">
      <w:r w:rsidRPr="0027100F">
        <w:br/>
      </w:r>
      <w:r w:rsidR="004E372B" w:rsidRPr="0027100F">
        <w:t xml:space="preserve">Estyn's report highlights effective practices in fostering independent learning among pupils (Estyn, 2019), </w:t>
      </w:r>
      <w:r w:rsidR="00780AD6" w:rsidRPr="0027100F">
        <w:t>emphasising</w:t>
      </w:r>
      <w:r w:rsidR="004E372B" w:rsidRPr="0027100F">
        <w:t xml:space="preserve"> its significance in enabling educators to concentrate on and enhance the performance of specific student cohorts. The report underscores the implementation of various strategies to facilitate the development of students as independent learners, including setting goals for their work, establishing success criteria, and encouraging self-assessment of progress. These strategies empower students to take charge of their learning process, enhancing their independence and enabling educators to better address the needs of specific student groups. By implementing initiatives that promote independent skills, schools like School X aim to narrow the attainment gap among learners, aligning with the Welsh Government's emphasis on this aspect (Dauncey, 2022). Particularly in schools with mixed-age classes, such as School X, where several mixed-age classes are featured, fostering independent learning becomes even more crucial (Estyn, 2019).</w:t>
      </w:r>
    </w:p>
    <w:p w14:paraId="1CCF0DA3" w14:textId="77777777" w:rsidR="00EA6BC2" w:rsidRPr="0027100F" w:rsidRDefault="00EA6BC2" w:rsidP="0027100F"/>
    <w:p w14:paraId="132BFC5E" w14:textId="2CDB9E45" w:rsidR="001F3321" w:rsidRPr="00F26E04" w:rsidRDefault="000E3EB2" w:rsidP="00EA6BC2">
      <w:pPr>
        <w:jc w:val="center"/>
        <w:rPr>
          <w:b/>
          <w:bCs/>
          <w:sz w:val="28"/>
          <w:szCs w:val="28"/>
          <w:u w:val="single"/>
        </w:rPr>
      </w:pPr>
      <w:r w:rsidRPr="00F26E04">
        <w:rPr>
          <w:b/>
          <w:bCs/>
          <w:sz w:val="28"/>
          <w:szCs w:val="28"/>
          <w:u w:val="single"/>
        </w:rPr>
        <w:t>Developing an action point</w:t>
      </w:r>
    </w:p>
    <w:p w14:paraId="024CEB7B" w14:textId="77777777" w:rsidR="00F71082" w:rsidRPr="00D364EF" w:rsidRDefault="001F3321" w:rsidP="0027100F">
      <w:pPr>
        <w:rPr>
          <w:b/>
          <w:bCs/>
          <w:sz w:val="28"/>
          <w:szCs w:val="28"/>
        </w:rPr>
      </w:pPr>
      <w:r w:rsidRPr="00D364EF">
        <w:rPr>
          <w:b/>
          <w:bCs/>
          <w:sz w:val="28"/>
          <w:szCs w:val="28"/>
        </w:rPr>
        <w:t>Self-Evaluation</w:t>
      </w:r>
      <w:r w:rsidR="00F71082" w:rsidRPr="00D364EF">
        <w:rPr>
          <w:b/>
          <w:bCs/>
          <w:sz w:val="28"/>
          <w:szCs w:val="28"/>
        </w:rPr>
        <w:t xml:space="preserve"> </w:t>
      </w:r>
    </w:p>
    <w:p w14:paraId="4AE5CB4B" w14:textId="0A579303" w:rsidR="005402D6" w:rsidRPr="0027100F" w:rsidRDefault="00F12977" w:rsidP="0027100F">
      <w:r w:rsidRPr="0027100F">
        <w:t>In the school’s most recent</w:t>
      </w:r>
      <w:r w:rsidR="00C42B3F" w:rsidRPr="0027100F">
        <w:t xml:space="preserve"> Estyn</w:t>
      </w:r>
      <w:r w:rsidRPr="0027100F">
        <w:t xml:space="preserve"> inspection</w:t>
      </w:r>
      <w:r w:rsidR="007A1315" w:rsidRPr="0027100F">
        <w:t xml:space="preserve"> in 2023,</w:t>
      </w:r>
      <w:r w:rsidRPr="0027100F">
        <w:t xml:space="preserve"> it was noted that</w:t>
      </w:r>
      <w:r w:rsidR="006F11FF" w:rsidRPr="0027100F">
        <w:t xml:space="preserve"> </w:t>
      </w:r>
      <w:proofErr w:type="gramStart"/>
      <w:r w:rsidR="006F11FF" w:rsidRPr="0027100F">
        <w:t>In</w:t>
      </w:r>
      <w:proofErr w:type="gramEnd"/>
      <w:r w:rsidR="006F11FF" w:rsidRPr="0027100F">
        <w:t xml:space="preserve"> some cases, the learning environment lacks ample opportunities for students to fully develop their independent learning and problem-solving abilities. Additionally, teachers occasionally fail to encourage younger students to explore their surroundings and investigate their own inquiries </w:t>
      </w:r>
      <w:sdt>
        <w:sdtPr>
          <w:id w:val="891697244"/>
          <w:citation/>
        </w:sdtPr>
        <w:sdtContent>
          <w:r w:rsidR="006F11FF" w:rsidRPr="0027100F">
            <w:fldChar w:fldCharType="begin"/>
          </w:r>
          <w:r w:rsidR="006F11FF" w:rsidRPr="0027100F">
            <w:instrText xml:space="preserve"> CITATION Est23 \l 2057 </w:instrText>
          </w:r>
          <w:r w:rsidR="006F11FF" w:rsidRPr="0027100F">
            <w:fldChar w:fldCharType="separate"/>
          </w:r>
          <w:r w:rsidR="006F11FF" w:rsidRPr="0027100F">
            <w:t>(Estyn, 2023)</w:t>
          </w:r>
          <w:r w:rsidR="006F11FF" w:rsidRPr="0027100F">
            <w:fldChar w:fldCharType="end"/>
          </w:r>
        </w:sdtContent>
      </w:sdt>
      <w:r w:rsidR="006F11FF" w:rsidRPr="0027100F">
        <w:t xml:space="preserve"> </w:t>
      </w:r>
      <w:r w:rsidR="00C42B3F" w:rsidRPr="0027100F">
        <w:t>Experiential learning theory</w:t>
      </w:r>
      <w:r w:rsidR="007856BF" w:rsidRPr="0027100F">
        <w:t xml:space="preserve"> (Kol</w:t>
      </w:r>
      <w:r w:rsidR="00175465" w:rsidRPr="0027100F">
        <w:t>b</w:t>
      </w:r>
      <w:r w:rsidR="007856BF" w:rsidRPr="0027100F">
        <w:t>, 1984)</w:t>
      </w:r>
      <w:r w:rsidR="00C42B3F" w:rsidRPr="0027100F">
        <w:t xml:space="preserve"> </w:t>
      </w:r>
      <w:r w:rsidR="00E66083" w:rsidRPr="0027100F">
        <w:t>emphasises</w:t>
      </w:r>
      <w:r w:rsidR="00C42B3F" w:rsidRPr="0027100F">
        <w:t xml:space="preserve"> the importance of learning through concrete experiences and reflection. </w:t>
      </w:r>
      <w:r w:rsidR="005402D6" w:rsidRPr="0027100F">
        <w:t>The observations indicating limited opportunities for students to explore their environment and investigate their own questions suggest a potential deficit in experiential learning opportunities. Increasing the provision of open-ended tasks and hands-on exploration opportunities could enhance experiential learning and foster the development of independent learning and problem-solving skills (Kolb, 1984).</w:t>
      </w:r>
      <w:r w:rsidR="00A134F4" w:rsidRPr="0027100F">
        <w:t xml:space="preserve"> Dewey (19</w:t>
      </w:r>
      <w:r w:rsidR="00395244" w:rsidRPr="0027100F">
        <w:t>97</w:t>
      </w:r>
      <w:r w:rsidR="00A134F4" w:rsidRPr="0027100F">
        <w:t xml:space="preserve">) also supports the importance of experiential </w:t>
      </w:r>
      <w:r w:rsidR="00A134F4" w:rsidRPr="0027100F">
        <w:lastRenderedPageBreak/>
        <w:t xml:space="preserve">learning in fostering independent learning and problem-solving skills. Dewey </w:t>
      </w:r>
      <w:r w:rsidR="00E66083" w:rsidRPr="0027100F">
        <w:t>emphasises</w:t>
      </w:r>
      <w:r w:rsidR="00A134F4" w:rsidRPr="0027100F">
        <w:t xml:space="preserve"> the significance of hands-on experiences and active engagement with the environment in facilitating meaningful learning experiences and developing critical thinking abilities.</w:t>
      </w:r>
    </w:p>
    <w:p w14:paraId="2AF3DFEF" w14:textId="2FA11604" w:rsidR="00DD7906" w:rsidRPr="0027100F" w:rsidRDefault="00C42B3F" w:rsidP="0027100F">
      <w:r w:rsidRPr="0027100F">
        <w:t>The most recent Estyn report</w:t>
      </w:r>
      <w:r w:rsidR="00F12977" w:rsidRPr="0027100F">
        <w:t xml:space="preserve"> also noted</w:t>
      </w:r>
      <w:r w:rsidR="006F11FF" w:rsidRPr="0027100F">
        <w:t xml:space="preserve"> Sometimes, teachers offer excessive guidance, limiting younger students' opportunities for independent learning and problem-solving. Tasks are often too structured, hindering exploration and curiosity-driven inquiry (Estyn, 2023)</w:t>
      </w:r>
      <w:r w:rsidR="003B4056" w:rsidRPr="0027100F">
        <w:t>.</w:t>
      </w:r>
      <w:r w:rsidRPr="0027100F">
        <w:t xml:space="preserve"> According to Vygotsky's ZPD, learning occurs most effectively when students are supported in a zone that is just beyond their current level of competence. The observations about teachers providing too much direction and tasks being too closed suggest that students may not be operating within their ZPD, hindering their potential for independent learning.</w:t>
      </w:r>
      <w:r w:rsidR="00111555" w:rsidRPr="0027100F">
        <w:t xml:space="preserve"> </w:t>
      </w:r>
      <w:sdt>
        <w:sdtPr>
          <w:id w:val="1307745853"/>
          <w:citation/>
        </w:sdtPr>
        <w:sdtContent>
          <w:r w:rsidR="00111555" w:rsidRPr="0027100F">
            <w:fldChar w:fldCharType="begin"/>
          </w:r>
          <w:r w:rsidR="00111555" w:rsidRPr="0027100F">
            <w:instrText xml:space="preserve"> CITATION Lev78 \l 2057 </w:instrText>
          </w:r>
          <w:r w:rsidR="00111555" w:rsidRPr="0027100F">
            <w:fldChar w:fldCharType="separate"/>
          </w:r>
          <w:r w:rsidR="00111555" w:rsidRPr="0027100F">
            <w:t>(Vygotsky, 1978)</w:t>
          </w:r>
          <w:r w:rsidR="00111555" w:rsidRPr="0027100F">
            <w:fldChar w:fldCharType="end"/>
          </w:r>
        </w:sdtContent>
      </w:sdt>
      <w:r w:rsidR="00111555" w:rsidRPr="0027100F">
        <w:t xml:space="preserve"> </w:t>
      </w:r>
      <w:r w:rsidR="004A64F9" w:rsidRPr="0027100F">
        <w:t>This notion serves as a foundational principle within the Curriculum for Wales, Welsh Government (2022).</w:t>
      </w:r>
      <w:r w:rsidR="00DD7906" w:rsidRPr="0027100F">
        <w:t xml:space="preserve"> The prevalence of teachers providing excessive guidance is a concern highlighted in educational research, with studies indicating potential drawbacks associated with overly directive teaching approaches </w:t>
      </w:r>
      <w:r w:rsidR="00932BF5" w:rsidRPr="0027100F">
        <w:t>(</w:t>
      </w:r>
      <w:proofErr w:type="spellStart"/>
      <w:r w:rsidR="00932BF5" w:rsidRPr="0027100F">
        <w:t>Pianta</w:t>
      </w:r>
      <w:proofErr w:type="spellEnd"/>
      <w:r w:rsidR="00932BF5" w:rsidRPr="0027100F">
        <w:t>, La and Hamre, 2008)</w:t>
      </w:r>
      <w:r w:rsidR="00DD7906" w:rsidRPr="0027100F">
        <w:t xml:space="preserve">. When teachers offer excessive guidance, they risk limiting students' opportunities for independent exploration and critical thinking development. This aligns with theories of </w:t>
      </w:r>
      <w:r w:rsidR="00E66083" w:rsidRPr="0027100F">
        <w:t>student-centred</w:t>
      </w:r>
      <w:r w:rsidR="00DD7906" w:rsidRPr="0027100F">
        <w:t xml:space="preserve"> learning, which </w:t>
      </w:r>
      <w:r w:rsidR="00E66083" w:rsidRPr="0027100F">
        <w:t>emphasise</w:t>
      </w:r>
      <w:r w:rsidR="00DD7906" w:rsidRPr="0027100F">
        <w:t xml:space="preserve"> the importance of empowering students to take ownership of their learning process </w:t>
      </w:r>
      <w:r w:rsidR="004B38D8" w:rsidRPr="0027100F">
        <w:t xml:space="preserve">(Fisher, </w:t>
      </w:r>
      <w:proofErr w:type="gramStart"/>
      <w:r w:rsidR="004B38D8" w:rsidRPr="0027100F">
        <w:t>Frey</w:t>
      </w:r>
      <w:proofErr w:type="gramEnd"/>
      <w:r w:rsidR="004B38D8" w:rsidRPr="0027100F">
        <w:t xml:space="preserve"> and Hattie, 2016)</w:t>
      </w:r>
      <w:r w:rsidR="00DD7906" w:rsidRPr="0027100F">
        <w:t>. By fostering an environment that encourages student autonomy and self-directed learning, educators can better support the development of lifelong learners equipped with the skills necessary for success in the 21st century.</w:t>
      </w:r>
    </w:p>
    <w:p w14:paraId="755A4BCD" w14:textId="77777777" w:rsidR="006F11FF" w:rsidRPr="0027100F" w:rsidRDefault="006F11FF" w:rsidP="0027100F">
      <w:r w:rsidRPr="0027100F">
        <w:br/>
        <w:t>Learning walks, a form of observation conducted at School X involving staff and occasionally governors, unveiled instances where activities were found to be limiting, hindering pupils' opportunities to explore, guide, and test themselves. Staff members were noted for being overly directive, highlighting the need for increased observation and support of student learning.</w:t>
      </w:r>
    </w:p>
    <w:p w14:paraId="519B17B1" w14:textId="1518CED7" w:rsidR="006F11FF" w:rsidRPr="0027100F" w:rsidRDefault="006F11FF" w:rsidP="0027100F">
      <w:r w:rsidRPr="0027100F">
        <w:t xml:space="preserve">The factors mentioned above collectively influenced School X's decision to </w:t>
      </w:r>
      <w:r w:rsidR="00E66083" w:rsidRPr="0027100F">
        <w:t>prioritise</w:t>
      </w:r>
      <w:r w:rsidRPr="0027100F">
        <w:t xml:space="preserve"> the enhancement of learners' independent skills within their comprehensive school improvement plan. </w:t>
      </w:r>
      <w:r w:rsidR="00E66083" w:rsidRPr="0027100F">
        <w:t>Recognising</w:t>
      </w:r>
      <w:r w:rsidRPr="0027100F">
        <w:t xml:space="preserve"> the need to address issues such as limited exploration opportunities, overly directive teaching approaches, and the importance of fostering self-directed learning</w:t>
      </w:r>
      <w:sdt>
        <w:sdtPr>
          <w:id w:val="-1633173790"/>
          <w:citation/>
        </w:sdtPr>
        <w:sdtContent>
          <w:r w:rsidRPr="0027100F">
            <w:fldChar w:fldCharType="begin"/>
          </w:r>
          <w:r w:rsidRPr="0027100F">
            <w:instrText xml:space="preserve"> CITATION Dav14 \l 2057 </w:instrText>
          </w:r>
          <w:r w:rsidRPr="0027100F">
            <w:fldChar w:fldCharType="separate"/>
          </w:r>
          <w:r w:rsidRPr="0027100F">
            <w:t xml:space="preserve"> (David Merrill, 2014)</w:t>
          </w:r>
          <w:r w:rsidRPr="0027100F">
            <w:fldChar w:fldCharType="end"/>
          </w:r>
        </w:sdtContent>
      </w:sdt>
      <w:r w:rsidRPr="0027100F">
        <w:t xml:space="preserve">, School X identified the promotion of independent skills as </w:t>
      </w:r>
      <w:proofErr w:type="gramStart"/>
      <w:r w:rsidRPr="0027100F">
        <w:t>a</w:t>
      </w:r>
      <w:proofErr w:type="gramEnd"/>
      <w:r w:rsidRPr="0027100F">
        <w:t xml:space="preserve"> area for improvement.</w:t>
      </w:r>
    </w:p>
    <w:p w14:paraId="237DC747" w14:textId="30DEDF75" w:rsidR="00693E57" w:rsidRPr="00D364EF" w:rsidRDefault="006F11FF" w:rsidP="0027100F">
      <w:pPr>
        <w:rPr>
          <w:b/>
          <w:bCs/>
          <w:sz w:val="28"/>
          <w:szCs w:val="28"/>
        </w:rPr>
      </w:pPr>
      <w:r w:rsidRPr="00D364EF">
        <w:rPr>
          <w:b/>
          <w:bCs/>
          <w:sz w:val="28"/>
          <w:szCs w:val="28"/>
        </w:rPr>
        <w:t xml:space="preserve">Strategic Planning </w:t>
      </w:r>
    </w:p>
    <w:p w14:paraId="2DD71F65" w14:textId="0481348A" w:rsidR="00614C24" w:rsidRPr="0027100F" w:rsidRDefault="00614C24" w:rsidP="0027100F">
      <w:r w:rsidRPr="0027100F">
        <w:t xml:space="preserve">Across the school, efforts have been made to address the overarching priority of enhancing students' independent skills. Notably, the implementation of designated reset times before lunch and at the end of the day has been undertaken to fulfil specific objectives, such as ensuring that learning environments are left in an </w:t>
      </w:r>
      <w:r w:rsidR="003F0583" w:rsidRPr="0027100F">
        <w:t>organised</w:t>
      </w:r>
      <w:r w:rsidRPr="0027100F">
        <w:t xml:space="preserve"> and conducive state for subsequent activities. This practice aligns with research indicating that structured routines promote task completion and </w:t>
      </w:r>
      <w:r w:rsidR="003F0583" w:rsidRPr="0027100F">
        <w:t>organisation</w:t>
      </w:r>
      <w:r w:rsidRPr="0027100F">
        <w:t xml:space="preserve"> (Marzano &amp; Pickering, 2005). Additionally, the concept of creating structured routines to support task completion was introduced. This approach is supported by Hattie's meta-analysis, which highlights the effectiveness of visible learning strategies, including establishing clear routines, in improving student outcomes (Hattie, 2009).</w:t>
      </w:r>
    </w:p>
    <w:p w14:paraId="53DCABB1" w14:textId="3BDCF526" w:rsidR="003F4CDB" w:rsidRPr="0027100F" w:rsidRDefault="003F4CDB" w:rsidP="0027100F">
      <w:r w:rsidRPr="0027100F">
        <w:br/>
        <w:t>The visit of a group of staff to a neighbouring school renowned for its exceptional learning environments resonates with the commitment to continuous improvement and aligns with several theoretical frameworks. Firstly, this initiative reflects the concept of</w:t>
      </w:r>
      <w:r w:rsidR="00EF7661" w:rsidRPr="0027100F">
        <w:t xml:space="preserve"> (Etienne Wenger-</w:t>
      </w:r>
      <w:proofErr w:type="spellStart"/>
      <w:r w:rsidR="00EF7661" w:rsidRPr="0027100F">
        <w:t>Trayner</w:t>
      </w:r>
      <w:proofErr w:type="spellEnd"/>
      <w:r w:rsidR="00EF7661" w:rsidRPr="0027100F">
        <w:t> et al., 2014)</w:t>
      </w:r>
      <w:r w:rsidRPr="0027100F">
        <w:t xml:space="preserve">, wherein learning and innovation are fostered through collaboration and sharing of best </w:t>
      </w:r>
      <w:r w:rsidRPr="0027100F">
        <w:lastRenderedPageBreak/>
        <w:t xml:space="preserve">practices within professional communities. By seeking inspiration from a successful peer institution, the staff group engages in collective learning and knowledge exchange, promoting continuous improvement within their own educational setting. Secondly, the visit aligns with the principles of "school improvement" as advocated by </w:t>
      </w:r>
      <w:r w:rsidR="00747C47" w:rsidRPr="0027100F">
        <w:t>(Fullan, 2001)</w:t>
      </w:r>
      <w:r w:rsidRPr="0027100F">
        <w:t xml:space="preserve"> who </w:t>
      </w:r>
      <w:r w:rsidR="00E66083" w:rsidRPr="0027100F">
        <w:t>emphasises</w:t>
      </w:r>
      <w:r w:rsidRPr="0027100F">
        <w:t xml:space="preserve"> the importance of schools learning from one another to drive positive change. By observing and studying the exemplary learning environments of the neighbouring school, the staff gain insights into effective practices and strategies for enhancing their own learning spaces, thus contributing to the ongoing improvement of </w:t>
      </w:r>
      <w:proofErr w:type="gramStart"/>
      <w:r w:rsidRPr="0027100F">
        <w:t>teaching</w:t>
      </w:r>
      <w:proofErr w:type="gramEnd"/>
      <w:r w:rsidRPr="0027100F">
        <w:t xml:space="preserve"> and learning outcomes.</w:t>
      </w:r>
    </w:p>
    <w:p w14:paraId="4C3109E9" w14:textId="77777777" w:rsidR="001A081A" w:rsidRDefault="00180DB4" w:rsidP="0027100F">
      <w:r w:rsidRPr="0027100F">
        <w:t xml:space="preserve">The </w:t>
      </w:r>
      <w:r w:rsidR="00E66083" w:rsidRPr="0027100F">
        <w:t>utilisation</w:t>
      </w:r>
      <w:r w:rsidRPr="0027100F">
        <w:t xml:space="preserve"> of Inset Day to refine learning environments aligns with the concept of professional learning communities (PLCs) within educational theory. PLCs, as</w:t>
      </w:r>
      <w:r w:rsidR="00544EE0">
        <w:t xml:space="preserve"> described by </w:t>
      </w:r>
      <w:r w:rsidR="00544EE0">
        <w:rPr>
          <w:rFonts w:eastAsia="Times New Roman"/>
          <w:color w:val="000000"/>
        </w:rPr>
        <w:t xml:space="preserve">(Dufour and </w:t>
      </w:r>
      <w:proofErr w:type="spellStart"/>
      <w:r w:rsidR="00544EE0">
        <w:rPr>
          <w:rFonts w:eastAsia="Times New Roman"/>
          <w:color w:val="000000"/>
        </w:rPr>
        <w:t>Eaker</w:t>
      </w:r>
      <w:proofErr w:type="spellEnd"/>
      <w:r w:rsidR="00544EE0">
        <w:rPr>
          <w:rFonts w:eastAsia="Times New Roman"/>
          <w:color w:val="000000"/>
        </w:rPr>
        <w:t>, 1998)</w:t>
      </w:r>
      <w:r w:rsidRPr="0027100F">
        <w:t xml:space="preserve">, </w:t>
      </w:r>
      <w:r w:rsidR="00E66083" w:rsidRPr="0027100F">
        <w:t>emphasise</w:t>
      </w:r>
      <w:r w:rsidRPr="0027100F">
        <w:t xml:space="preserve"> collaborative inquiry and continuous improvement among educators to enhance student learning outcomes. By dedicating time to collaborative planning and resource allocation during Inset Day, staff engage in collective decision-making processes aimed at creating inclusive and stimulating spaces that promote student autonomy. This collaborative approach reflects the fundamental principles of PLCs, where educators work together to </w:t>
      </w:r>
      <w:r w:rsidR="00E66083" w:rsidRPr="0027100F">
        <w:t>analyse</w:t>
      </w:r>
      <w:r w:rsidRPr="0027100F">
        <w:t xml:space="preserve"> data, share best practices, and implement evidence-based strategies to meet the diverse needs of students and foster their academic growth.</w:t>
      </w:r>
    </w:p>
    <w:p w14:paraId="5503B8B5" w14:textId="066E2FEB" w:rsidR="001A081A" w:rsidRPr="0027100F" w:rsidRDefault="000C444A" w:rsidP="0027100F">
      <w:r w:rsidRPr="0027100F">
        <w:br/>
        <w:t>The integration of loose parts into indoor and outdoor learning environments fosters purposeful, collaborative activities, promoting creativity and problem-solving, aligning with the principles of play-based learning (Ginsburg, 2007). Loose parts, defined as materials with no specific instructions for use, encourage children to engage in open-ended exploration and imaginative play, facilitating the development of critical thinking and social skills. By incorporating loose parts into educational settings, educators create dynamic environments that support children's natural inclination to learn through hands-on experiences and peer interactions.</w:t>
      </w:r>
    </w:p>
    <w:p w14:paraId="4DC118EA" w14:textId="215628EE" w:rsidR="006F11FF" w:rsidRPr="0027100F" w:rsidRDefault="006F11FF" w:rsidP="0027100F">
      <w:r w:rsidRPr="0027100F">
        <w:t>The Strategic Improvement Plan of the school delineates its intentions to share the knowledge acquired from professional development courses with all staff, thereby fostering effective dissemination across the school community. This approach not only conserves financial resources within School X's budget by covering expenses for courses and a small portion of staff, but also ensures that all staff members receive essential training.</w:t>
      </w:r>
    </w:p>
    <w:p w14:paraId="7659CF15" w14:textId="32196719" w:rsidR="00700000" w:rsidRPr="00F26E04" w:rsidRDefault="000E3EB2" w:rsidP="00EA6BC2">
      <w:pPr>
        <w:jc w:val="center"/>
        <w:rPr>
          <w:b/>
          <w:bCs/>
          <w:sz w:val="28"/>
          <w:szCs w:val="28"/>
          <w:u w:val="single"/>
        </w:rPr>
      </w:pPr>
      <w:r w:rsidRPr="00F26E04">
        <w:rPr>
          <w:b/>
          <w:bCs/>
          <w:sz w:val="28"/>
          <w:szCs w:val="28"/>
          <w:u w:val="single"/>
        </w:rPr>
        <w:t>Reflection and evaluation</w:t>
      </w:r>
    </w:p>
    <w:p w14:paraId="3ECA4D37" w14:textId="5B6F0554" w:rsidR="001F3321" w:rsidRPr="0027100F" w:rsidRDefault="00700000" w:rsidP="0027100F">
      <w:r w:rsidRPr="00D364EF">
        <w:rPr>
          <w:b/>
          <w:bCs/>
          <w:sz w:val="28"/>
          <w:szCs w:val="28"/>
        </w:rPr>
        <w:t>Reviewing impact</w:t>
      </w:r>
      <w:r w:rsidR="000E3EB2" w:rsidRPr="00D364EF">
        <w:rPr>
          <w:b/>
          <w:bCs/>
          <w:sz w:val="28"/>
          <w:szCs w:val="28"/>
        </w:rPr>
        <w:br/>
      </w:r>
      <w:r w:rsidR="006F11FF" w:rsidRPr="0027100F">
        <w:t xml:space="preserve">In terms of assessing progress, the school employs a RAG (red-amber-green) system. This system is </w:t>
      </w:r>
      <w:r w:rsidR="00955EA8" w:rsidRPr="0027100F">
        <w:t>utilised</w:t>
      </w:r>
      <w:r w:rsidR="006F11FF" w:rsidRPr="0027100F">
        <w:t xml:space="preserve"> to evaluate progress against the success criteria outlined previously (refer to Appendix A). Additionally, the school conducts regular observations, including learning walks and observations recorded via an online platform called Iris. However, it's important to </w:t>
      </w:r>
      <w:r w:rsidR="00955EA8" w:rsidRPr="0027100F">
        <w:t>recognise</w:t>
      </w:r>
      <w:r w:rsidR="006F11FF" w:rsidRPr="0027100F">
        <w:t xml:space="preserve"> that observations may offer only a limited glimpse into teaching practice and might not fully grasp the intricacies of teaching and learning. As </w:t>
      </w:r>
      <w:proofErr w:type="spellStart"/>
      <w:r w:rsidR="006F11FF" w:rsidRPr="0027100F">
        <w:t>Stronge</w:t>
      </w:r>
      <w:proofErr w:type="spellEnd"/>
      <w:r w:rsidR="006F11FF" w:rsidRPr="0027100F">
        <w:t xml:space="preserve"> (2002) contends, a solitary observation may not offer a complete assessment of a teacher's effectiveness.</w:t>
      </w:r>
    </w:p>
    <w:p w14:paraId="6DA5BD69" w14:textId="77777777" w:rsidR="006F11FF" w:rsidRPr="0027100F" w:rsidRDefault="006F11FF" w:rsidP="0027100F"/>
    <w:p w14:paraId="7D1E9C62" w14:textId="676D781C" w:rsidR="00693E57" w:rsidRPr="00D364EF" w:rsidRDefault="00761597" w:rsidP="0027100F">
      <w:pPr>
        <w:rPr>
          <w:b/>
          <w:bCs/>
          <w:sz w:val="28"/>
          <w:szCs w:val="28"/>
        </w:rPr>
      </w:pPr>
      <w:r w:rsidRPr="00D364EF">
        <w:rPr>
          <w:b/>
          <w:bCs/>
          <w:sz w:val="28"/>
          <w:szCs w:val="28"/>
        </w:rPr>
        <w:t xml:space="preserve">Critical Summary </w:t>
      </w:r>
    </w:p>
    <w:p w14:paraId="45BD7FEE" w14:textId="77777777" w:rsidR="006F11FF" w:rsidRPr="0027100F" w:rsidRDefault="006F11FF" w:rsidP="0027100F">
      <w:r w:rsidRPr="0027100F">
        <w:t xml:space="preserve">After critically assessing the implementation of the school-wide priority of enhancing students' independence in learning, the school has empowered all staff members to assume ownership of the </w:t>
      </w:r>
      <w:r w:rsidRPr="0027100F">
        <w:lastRenderedPageBreak/>
        <w:t xml:space="preserve">process of school improvement. Through collaborative efforts with the senior leadership team, all staff have been actively engaged in enhancing learning environments and fostering students' independent learning skills. </w:t>
      </w:r>
    </w:p>
    <w:p w14:paraId="537EE82C" w14:textId="38B6D07F" w:rsidR="006F11FF" w:rsidRPr="0027100F" w:rsidRDefault="006F11FF" w:rsidP="0027100F">
      <w:r w:rsidRPr="0027100F">
        <w:t xml:space="preserve">In the recent Estyn inspection, it was noted that the learning environment at School X lacked ample opportunities for students to develop their independent learning and problem-solving abilities. Teachers sometimes failed to encourage younger students to explore their surroundings and pursue their inquiries, limiting experiential learning opportunities. Additionally, teachers provided excessive guidance, hindering students' independence and problem-solving skills (Estyn, 2023). These observations influenced School X's decision to </w:t>
      </w:r>
      <w:r w:rsidR="00955EA8" w:rsidRPr="0027100F">
        <w:t>prioritise</w:t>
      </w:r>
      <w:r w:rsidRPr="0027100F">
        <w:t xml:space="preserve"> enhancing students' independent skills within their school improvement plan, aiming to address issues such as limited exploration opportunities and overly directive teaching approaches. </w:t>
      </w:r>
    </w:p>
    <w:p w14:paraId="27BDC457" w14:textId="04D67536" w:rsidR="006F11FF" w:rsidRPr="0027100F" w:rsidRDefault="006F11FF" w:rsidP="0027100F">
      <w:r w:rsidRPr="0027100F">
        <w:t xml:space="preserve">Efforts across School X aim to enhance students' independent skills through coordinated actions. This includes implementing designated reset times to maintain conducive learning environments and establishing structured routines to support task completion, aligning with habit formation theory. Staff visited a neighbouring school for inspiration on </w:t>
      </w:r>
      <w:r w:rsidR="00955EA8" w:rsidRPr="0027100F">
        <w:t>optimising</w:t>
      </w:r>
      <w:r w:rsidRPr="0027100F">
        <w:t xml:space="preserve"> spaces for independent learning. Inset Day facilitated collaborative planning and resource allocation, while additional training opportunities equipped educators with skills to enhance independent learning practices. The school plans to share knowledge from professional development courses with all staff, ensuring effective dissemination and </w:t>
      </w:r>
      <w:r w:rsidR="00955EA8" w:rsidRPr="0027100F">
        <w:t>maximising</w:t>
      </w:r>
      <w:r w:rsidRPr="0027100F">
        <w:t xml:space="preserve"> resources.</w:t>
      </w:r>
    </w:p>
    <w:p w14:paraId="0E4A44FC" w14:textId="77777777" w:rsidR="006F11FF" w:rsidRPr="00D364EF" w:rsidRDefault="000E3EB2" w:rsidP="0027100F">
      <w:pPr>
        <w:rPr>
          <w:b/>
          <w:bCs/>
          <w:sz w:val="28"/>
          <w:szCs w:val="28"/>
        </w:rPr>
      </w:pPr>
      <w:r w:rsidRPr="00D364EF">
        <w:rPr>
          <w:b/>
          <w:bCs/>
          <w:sz w:val="28"/>
          <w:szCs w:val="28"/>
        </w:rPr>
        <w:t xml:space="preserve">Conclusion </w:t>
      </w:r>
    </w:p>
    <w:p w14:paraId="42FF527D" w14:textId="02BFAC86" w:rsidR="000E3EB2" w:rsidRPr="0027100F" w:rsidRDefault="006F11FF" w:rsidP="0027100F">
      <w:r w:rsidRPr="0027100F">
        <w:t>In conclusion, this assignment has undertaken a comprehensive exploration of the practical implementation of school improvement initiatives within a specific English-medium primary school in South Wales. Through critical examination, the analysis has elucidated the strategies employed by the school to enhance one aspect of its School Improvement Plan (SIP). By focusing on this specific aspect, the assignment has shed light on the school's efforts to address key areas for development and foster continuous improvement in its educational practices.</w:t>
      </w:r>
    </w:p>
    <w:p w14:paraId="1E16D010" w14:textId="64568EA3" w:rsidR="00453E49" w:rsidRPr="0027100F" w:rsidRDefault="006F11FF" w:rsidP="0027100F">
      <w:r w:rsidRPr="0027100F">
        <w:t>Moving forward, I am committed to aligning my classroom practices with the improvement priorities of my school. This entails understanding and implementing strategies, both within and beyond the classroom, to contribute to their achievement.</w:t>
      </w:r>
      <w:r w:rsidR="00164C24" w:rsidRPr="0027100F">
        <w:t xml:space="preserve"> I will also strive to </w:t>
      </w:r>
      <w:r w:rsidR="00020700" w:rsidRPr="0027100F">
        <w:t xml:space="preserve">use my knowledge of the importance of fostering opportunities to develop </w:t>
      </w:r>
      <w:r w:rsidR="00F26E04" w:rsidRPr="0027100F">
        <w:t>learners’</w:t>
      </w:r>
      <w:r w:rsidR="00020700" w:rsidRPr="0027100F">
        <w:t xml:space="preserve"> independent skills and will</w:t>
      </w:r>
      <w:r w:rsidR="00847766" w:rsidRPr="0027100F">
        <w:t xml:space="preserve"> implement this into my future practice.</w:t>
      </w:r>
      <w:r w:rsidRPr="0027100F">
        <w:t xml:space="preserve"> Importantly, engagement with this assignment has underscored the significance of taking ownership of my own professional development journey.</w:t>
      </w:r>
    </w:p>
    <w:p w14:paraId="71FC17FA" w14:textId="37B4E549" w:rsidR="00955EA8" w:rsidRPr="00F26E04" w:rsidRDefault="00955EA8" w:rsidP="006F11FF">
      <w:pPr>
        <w:pStyle w:val="AssignBody"/>
        <w:jc w:val="center"/>
        <w:rPr>
          <w:b/>
          <w:bCs/>
          <w:sz w:val="28"/>
          <w:szCs w:val="28"/>
          <w:u w:val="single"/>
        </w:rPr>
      </w:pPr>
    </w:p>
    <w:p w14:paraId="6FF391CC" w14:textId="71496962" w:rsidR="000E3EB2" w:rsidRPr="00F26E04" w:rsidRDefault="008244E7" w:rsidP="006F11FF">
      <w:pPr>
        <w:pStyle w:val="AssignBody"/>
        <w:jc w:val="center"/>
        <w:rPr>
          <w:b/>
          <w:bCs/>
          <w:sz w:val="28"/>
          <w:szCs w:val="28"/>
          <w:u w:val="single"/>
        </w:rPr>
      </w:pPr>
      <w:r w:rsidRPr="00F26E04">
        <w:rPr>
          <w:b/>
          <w:bCs/>
          <w:sz w:val="28"/>
          <w:szCs w:val="28"/>
          <w:u w:val="single"/>
        </w:rPr>
        <w:t>References</w:t>
      </w:r>
    </w:p>
    <w:sdt>
      <w:sdtPr>
        <w:id w:val="-1153749745"/>
        <w:docPartObj>
          <w:docPartGallery w:val="Bibliographies"/>
          <w:docPartUnique/>
        </w:docPartObj>
      </w:sdtPr>
      <w:sdtContent>
        <w:p w14:paraId="771B437E" w14:textId="3BAE2D95" w:rsidR="0007156F" w:rsidRPr="00E142CA" w:rsidRDefault="0007156F" w:rsidP="00E142CA">
          <w:pPr>
            <w:rPr>
              <w:lang w:eastAsia="en-GB"/>
            </w:rPr>
          </w:pPr>
          <w:r w:rsidRPr="00E142CA">
            <w:rPr>
              <w:lang w:eastAsia="en-GB"/>
            </w:rPr>
            <w:t xml:space="preserve">British Educational Research Association (2024) Ethical Guidelines for Educational Research. 5th </w:t>
          </w:r>
          <w:proofErr w:type="spellStart"/>
          <w:r w:rsidRPr="00E142CA">
            <w:rPr>
              <w:lang w:eastAsia="en-GB"/>
            </w:rPr>
            <w:t>edn</w:t>
          </w:r>
          <w:proofErr w:type="spellEnd"/>
          <w:r w:rsidRPr="00E142CA">
            <w:rPr>
              <w:lang w:eastAsia="en-GB"/>
            </w:rPr>
            <w:t>. London: British Educational Research Association.</w:t>
          </w:r>
        </w:p>
        <w:p w14:paraId="4FF5240E" w14:textId="46460401" w:rsidR="0007156F" w:rsidRPr="0007156F" w:rsidRDefault="0007156F" w:rsidP="00E142CA">
          <w:pPr>
            <w:rPr>
              <w:lang w:eastAsia="en-GB"/>
            </w:rPr>
          </w:pPr>
          <w:r w:rsidRPr="0007156F">
            <w:rPr>
              <w:lang w:eastAsia="en-GB"/>
            </w:rPr>
            <w:t>Dauncey, M. (2022) Re-energising the school improvement agenda. Senedd Research.</w:t>
          </w:r>
        </w:p>
        <w:p w14:paraId="0A751B4F" w14:textId="2D22087A" w:rsidR="0007156F" w:rsidRPr="0007156F" w:rsidRDefault="0007156F" w:rsidP="00E142CA">
          <w:pPr>
            <w:rPr>
              <w:lang w:eastAsia="en-GB"/>
            </w:rPr>
          </w:pPr>
          <w:r w:rsidRPr="0007156F">
            <w:rPr>
              <w:lang w:eastAsia="en-GB"/>
            </w:rPr>
            <w:t>David Merrill, C. R. L. W. R. J. S. (2014) Self-Directed Learning: Emerging Theory and Practice in Digital Age. 1 ed. New York: Routledge.</w:t>
          </w:r>
        </w:p>
        <w:p w14:paraId="49A56098" w14:textId="5055A398" w:rsidR="0007156F" w:rsidRPr="0007156F" w:rsidRDefault="0007156F" w:rsidP="00E142CA">
          <w:pPr>
            <w:rPr>
              <w:lang w:eastAsia="en-GB"/>
            </w:rPr>
          </w:pPr>
          <w:r w:rsidRPr="0007156F">
            <w:rPr>
              <w:lang w:eastAsia="en-GB"/>
            </w:rPr>
            <w:t xml:space="preserve">Dewey, J. (1997) Experience </w:t>
          </w:r>
          <w:proofErr w:type="gramStart"/>
          <w:r w:rsidRPr="0007156F">
            <w:rPr>
              <w:lang w:eastAsia="en-GB"/>
            </w:rPr>
            <w:t>And</w:t>
          </w:r>
          <w:proofErr w:type="gramEnd"/>
          <w:r w:rsidRPr="0007156F">
            <w:rPr>
              <w:lang w:eastAsia="en-GB"/>
            </w:rPr>
            <w:t xml:space="preserve"> Education.</w:t>
          </w:r>
        </w:p>
        <w:p w14:paraId="68777837" w14:textId="2E61E287" w:rsidR="0007156F" w:rsidRPr="0007156F" w:rsidRDefault="0007156F" w:rsidP="00E142CA">
          <w:pPr>
            <w:rPr>
              <w:lang w:eastAsia="en-GB"/>
            </w:rPr>
          </w:pPr>
          <w:r w:rsidRPr="0007156F">
            <w:rPr>
              <w:lang w:eastAsia="en-GB"/>
            </w:rPr>
            <w:lastRenderedPageBreak/>
            <w:t>Dufour, R. et al. (2016) Learning by Doing: A Handbook for Professional Learning Communities at Work. Bloomington, IN: Solution Tree Press.</w:t>
          </w:r>
        </w:p>
        <w:p w14:paraId="56AD258D" w14:textId="56F8047D" w:rsidR="0007156F" w:rsidRPr="0007156F" w:rsidRDefault="0007156F" w:rsidP="00E142CA">
          <w:pPr>
            <w:rPr>
              <w:lang w:eastAsia="en-GB"/>
            </w:rPr>
          </w:pPr>
          <w:r w:rsidRPr="0007156F">
            <w:rPr>
              <w:lang w:eastAsia="en-GB"/>
            </w:rPr>
            <w:t xml:space="preserve">Dufour, R. and </w:t>
          </w:r>
          <w:proofErr w:type="spellStart"/>
          <w:r w:rsidRPr="0007156F">
            <w:rPr>
              <w:lang w:eastAsia="en-GB"/>
            </w:rPr>
            <w:t>Eaker</w:t>
          </w:r>
          <w:proofErr w:type="spellEnd"/>
          <w:r w:rsidRPr="0007156F">
            <w:rPr>
              <w:lang w:eastAsia="en-GB"/>
            </w:rPr>
            <w:t xml:space="preserve">, R. E. (1998) Professional Learning Communities at Work: Best Practices for Enhancing Student Achievement. Bloomington, IN: National Education Service; Alexandria, </w:t>
          </w:r>
          <w:proofErr w:type="gramStart"/>
          <w:r w:rsidRPr="0007156F">
            <w:rPr>
              <w:lang w:eastAsia="en-GB"/>
            </w:rPr>
            <w:t>VA..</w:t>
          </w:r>
          <w:proofErr w:type="gramEnd"/>
        </w:p>
        <w:p w14:paraId="4B8680F7" w14:textId="30992E9E" w:rsidR="0007156F" w:rsidRPr="0007156F" w:rsidRDefault="003142A6" w:rsidP="00E142CA">
          <w:pPr>
            <w:rPr>
              <w:lang w:eastAsia="en-GB"/>
            </w:rPr>
          </w:pPr>
          <w:r>
            <w:rPr>
              <w:noProof/>
              <w:lang w:eastAsia="en-GB"/>
            </w:rPr>
            <mc:AlternateContent>
              <mc:Choice Requires="wps">
                <w:drawing>
                  <wp:anchor distT="0" distB="0" distL="114300" distR="114300" simplePos="0" relativeHeight="251660288" behindDoc="0" locked="0" layoutInCell="1" allowOverlap="1" wp14:anchorId="7ED35E9A" wp14:editId="486F2757">
                    <wp:simplePos x="0" y="0"/>
                    <wp:positionH relativeFrom="column">
                      <wp:posOffset>1429385</wp:posOffset>
                    </wp:positionH>
                    <wp:positionV relativeFrom="paragraph">
                      <wp:posOffset>204470</wp:posOffset>
                    </wp:positionV>
                    <wp:extent cx="1013460" cy="283210"/>
                    <wp:effectExtent l="0" t="0" r="15240" b="8890"/>
                    <wp:wrapNone/>
                    <wp:docPr id="6" name="Rectangle 6"/>
                    <wp:cNvGraphicFramePr/>
                    <a:graphic xmlns:a="http://schemas.openxmlformats.org/drawingml/2006/main">
                      <a:graphicData uri="http://schemas.microsoft.com/office/word/2010/wordprocessingShape">
                        <wps:wsp>
                          <wps:cNvSpPr/>
                          <wps:spPr>
                            <a:xfrm>
                              <a:off x="0" y="0"/>
                              <a:ext cx="1013460" cy="283210"/>
                            </a:xfrm>
                            <a:prstGeom prst="rect">
                              <a:avLst/>
                            </a:prstGeom>
                            <a:solidFill>
                              <a:schemeClr val="bg1">
                                <a:lumMod val="1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DA8E46" id="Rectangle 6" o:spid="_x0000_s1026" style="position:absolute;margin-left:112.55pt;margin-top:16.1pt;width:79.8pt;height:2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2znDfQIAAGoFAAAOAAAAZHJzL2Uyb0RvYy54bWysVMFu2zAMvQ/YPwi6r7bTtOuCOkXQosOA&#13;&#10;bi3WDj0rshQLkERNUuJkXz9Kdpys63YYloNCmuSj+ETy8mprNNkIHxTYmlYnJSXCcmiUXdX029Pt&#13;&#10;uwtKQmS2YRqsqOlOBHo1f/vmsnMzMYEWdCM8QRAbZp2raRujmxVF4K0wLJyAExaNErxhEVW/KhrP&#13;&#10;OkQ3upiU5XnRgW+cBy5CwK83vZHOM76Ugsd7KYOIRNcU7xbz6fO5TGcxv2SzlWeuVXy4BvuHWxim&#13;&#10;LCYdoW5YZGTt1W9QRnEPAWQ84WAKkFJxkWvAaqryRTWPLXMi14LkBDfSFP4fLP+yeXQPHmnoXJgF&#13;&#10;FFMVW+lN+sf7kW0mazeSJbaRcPxYldXp9Bw55WibXJxOqsxmcYh2PsSPAgxJQk09PkbmiG3uQsSM&#13;&#10;6Lp3SckCaNXcKq2zkhpAXGtPNgyfbrmqcqhem8/Q9N+qEn/pAREn90ty77UDUnEoK0txp0XC1/ar&#13;&#10;kEQ1WMgkI48IPTjjXNjYJw0ta8SQ8+xPOTNgQpZYwYg9APxazB67v/rgn0JFbtgxuPzbxfrgMSJn&#13;&#10;BhvHYKMs+NcANFY1ZO79kbIjapK4hGb34ImHflyC47cKn/COhfjAPM4HvjrOfLzHQ2roagqDREkL&#13;&#10;/sdr35M/ti1aKelw3moavq+ZF5ToTxYb+kM1naYBzcr07P0EFX9sWR5b7NpcA/ZFhdvF8Swm/6j3&#13;&#10;ovRgnnE1LFJWNDHLMXdNefR75Tr2ewCXCxeLRXbDoXQs3tlHxxN4YjW16NP2mXk39HHECfgC+9lk&#13;&#10;sxft3PumSAuLdQSpcq8feB34xoHOzTosn7QxjvXsdViR858AAAD//wMAUEsDBBQABgAIAAAAIQAL&#13;&#10;gzdi4QAAAA4BAAAPAAAAZHJzL2Rvd25yZXYueG1sTE/dSsMwFL4XfIdwBO9cuky7ruvpkBZvFAS3&#13;&#10;PUDWnDXFJilN1nVvb7zSmwMf5/stdrPp2USj75xFWC4SYGQbpzrbIhwPb08ZMB+kVbJ3lhBu5GFX&#13;&#10;3t8VMlfuar9o2oeWRRPrc4mgQxhyzn2jyUi/cAPZ+Du70cgQ4dhyNcprNDc9F0mSciM7GxO0HKjS&#13;&#10;1HzvLwbhkH6+t/WmmjZVUt/o/KGOSgfEx4e53sbzugUWaA5/CvjdEPtDGYud3MUqz3oEIV6WkYqw&#13;&#10;EgJYJKyy5zWwE8I6zYCXBf8/o/wBAAD//wMAUEsBAi0AFAAGAAgAAAAhALaDOJL+AAAA4QEAABMA&#13;&#10;AAAAAAAAAAAAAAAAAAAAAFtDb250ZW50X1R5cGVzXS54bWxQSwECLQAUAAYACAAAACEAOP0h/9YA&#13;&#10;AACUAQAACwAAAAAAAAAAAAAAAAAvAQAAX3JlbHMvLnJlbHNQSwECLQAUAAYACAAAACEAfNs5w30C&#13;&#10;AABqBQAADgAAAAAAAAAAAAAAAAAuAgAAZHJzL2Uyb0RvYy54bWxQSwECLQAUAAYACAAAACEAC4M3&#13;&#10;YuEAAAAOAQAADwAAAAAAAAAAAAAAAADXBAAAZHJzL2Rvd25yZXYueG1sUEsFBgAAAAAEAAQA8wAA&#13;&#10;AOUFAAAAAA==&#13;&#10;" fillcolor="#191919 [332]" strokecolor="#09101d [484]" strokeweight="1pt"/>
                </w:pict>
              </mc:Fallback>
            </mc:AlternateContent>
          </w:r>
          <w:r w:rsidR="0007156F" w:rsidRPr="0007156F">
            <w:rPr>
              <w:lang w:eastAsia="en-GB"/>
            </w:rPr>
            <w:t>Estyn (2019) Enabling pupils to become independent learners. Wales: Estyn.</w:t>
          </w:r>
        </w:p>
        <w:p w14:paraId="020E6F68" w14:textId="65F57910" w:rsidR="0007156F" w:rsidRPr="0007156F" w:rsidRDefault="0007156F" w:rsidP="00E142CA">
          <w:pPr>
            <w:rPr>
              <w:lang w:eastAsia="en-GB"/>
            </w:rPr>
          </w:pPr>
          <w:r w:rsidRPr="0007156F">
            <w:rPr>
              <w:lang w:eastAsia="en-GB"/>
            </w:rPr>
            <w:t>Estyn (2023) A report on Parkland Primary School. Swansea: Estyn.</w:t>
          </w:r>
        </w:p>
        <w:p w14:paraId="7ED49CEE" w14:textId="37C8F259" w:rsidR="0007156F" w:rsidRPr="0007156F" w:rsidRDefault="0007156F" w:rsidP="00E142CA">
          <w:pPr>
            <w:rPr>
              <w:lang w:eastAsia="en-GB"/>
            </w:rPr>
          </w:pPr>
          <w:r w:rsidRPr="0007156F">
            <w:rPr>
              <w:lang w:eastAsia="en-GB"/>
            </w:rPr>
            <w:t>Fisher, D., Frey, N. and Hattie, J. (2016) Visible Learning for Literacy, Grades K-12: Implementing the Practices That Work Best to Accelerate Student Learning. Thousand Oaks: Sage Publications.</w:t>
          </w:r>
        </w:p>
        <w:p w14:paraId="3D95407D" w14:textId="4583090A" w:rsidR="0007156F" w:rsidRPr="0007156F" w:rsidRDefault="0007156F" w:rsidP="00E142CA">
          <w:pPr>
            <w:rPr>
              <w:lang w:eastAsia="en-GB"/>
            </w:rPr>
          </w:pPr>
          <w:r w:rsidRPr="0007156F">
            <w:rPr>
              <w:lang w:eastAsia="en-GB"/>
            </w:rPr>
            <w:t xml:space="preserve">Fullan, M. (2001) Leading </w:t>
          </w:r>
          <w:proofErr w:type="gramStart"/>
          <w:r w:rsidRPr="0007156F">
            <w:rPr>
              <w:lang w:eastAsia="en-GB"/>
            </w:rPr>
            <w:t>In</w:t>
          </w:r>
          <w:proofErr w:type="gramEnd"/>
          <w:r w:rsidRPr="0007156F">
            <w:rPr>
              <w:lang w:eastAsia="en-GB"/>
            </w:rPr>
            <w:t xml:space="preserve"> A Culture Of Change. San Francisco: Jossey-Bass.</w:t>
          </w:r>
        </w:p>
        <w:p w14:paraId="21D7C6B7" w14:textId="6845027F" w:rsidR="0007156F" w:rsidRPr="0007156F" w:rsidRDefault="0007156F" w:rsidP="00E142CA">
          <w:pPr>
            <w:rPr>
              <w:lang w:eastAsia="en-GB"/>
            </w:rPr>
          </w:pPr>
          <w:r w:rsidRPr="0007156F">
            <w:rPr>
              <w:lang w:eastAsia="en-GB"/>
            </w:rPr>
            <w:t>Gardner, H. (1983) Frames of Mind: The Theory of Multiple Intelligences. 1 ed. New York: Basic Books.</w:t>
          </w:r>
        </w:p>
        <w:p w14:paraId="6DEF2302" w14:textId="665372E8" w:rsidR="0007156F" w:rsidRPr="0007156F" w:rsidRDefault="0007156F" w:rsidP="00E142CA">
          <w:pPr>
            <w:rPr>
              <w:lang w:eastAsia="en-GB"/>
            </w:rPr>
          </w:pPr>
          <w:r w:rsidRPr="0007156F">
            <w:rPr>
              <w:lang w:eastAsia="en-GB"/>
            </w:rPr>
            <w:t xml:space="preserve">Ginsburg, K. (2007) The Importance of Play in Promoting Healthy Child Development and Maintaining Strong Parent-Child Bonds. Illinois: American Academy </w:t>
          </w:r>
          <w:proofErr w:type="gramStart"/>
          <w:r w:rsidRPr="0007156F">
            <w:rPr>
              <w:lang w:eastAsia="en-GB"/>
            </w:rPr>
            <w:t>Of</w:t>
          </w:r>
          <w:proofErr w:type="gramEnd"/>
          <w:r w:rsidRPr="0007156F">
            <w:rPr>
              <w:lang w:eastAsia="en-GB"/>
            </w:rPr>
            <w:t xml:space="preserve"> </w:t>
          </w:r>
          <w:proofErr w:type="spellStart"/>
          <w:r w:rsidRPr="0007156F">
            <w:rPr>
              <w:lang w:eastAsia="en-GB"/>
            </w:rPr>
            <w:t>Pediatrics</w:t>
          </w:r>
          <w:proofErr w:type="spellEnd"/>
          <w:r w:rsidRPr="0007156F">
            <w:rPr>
              <w:lang w:eastAsia="en-GB"/>
            </w:rPr>
            <w:t>.</w:t>
          </w:r>
        </w:p>
        <w:p w14:paraId="0A1EFD57" w14:textId="77E317E6" w:rsidR="0007156F" w:rsidRPr="0007156F" w:rsidRDefault="0007156F" w:rsidP="00E142CA">
          <w:pPr>
            <w:rPr>
              <w:lang w:eastAsia="en-GB"/>
            </w:rPr>
          </w:pPr>
          <w:r w:rsidRPr="0007156F">
            <w:rPr>
              <w:lang w:eastAsia="en-GB"/>
            </w:rPr>
            <w:t>Goleman, D. (1995) Emotional Intelligence. Bantam.</w:t>
          </w:r>
        </w:p>
        <w:p w14:paraId="61E99E96" w14:textId="27F7A6CE" w:rsidR="0007156F" w:rsidRPr="0007156F" w:rsidRDefault="0007156F" w:rsidP="00E142CA">
          <w:pPr>
            <w:rPr>
              <w:lang w:eastAsia="en-GB"/>
            </w:rPr>
          </w:pPr>
          <w:r w:rsidRPr="0007156F">
            <w:rPr>
              <w:lang w:eastAsia="en-GB"/>
            </w:rPr>
            <w:t>Hattie, J. (2009) Visible Learning: A Synthesis of Over 800 Meta-Analyses Relating to Achievement. London: Routledge.</w:t>
          </w:r>
        </w:p>
        <w:p w14:paraId="5A75D23B" w14:textId="05499BA9" w:rsidR="0007156F" w:rsidRPr="0007156F" w:rsidRDefault="0007156F" w:rsidP="00E142CA">
          <w:pPr>
            <w:rPr>
              <w:lang w:eastAsia="en-GB"/>
            </w:rPr>
          </w:pPr>
          <w:r w:rsidRPr="0007156F">
            <w:rPr>
              <w:lang w:eastAsia="en-GB"/>
            </w:rPr>
            <w:t>Kilpatrick, W. H. (2002) The Project Method. Kessinger Publishing.</w:t>
          </w:r>
        </w:p>
        <w:p w14:paraId="5EFD8DBB" w14:textId="156DCE8A" w:rsidR="0007156F" w:rsidRPr="0007156F" w:rsidRDefault="0007156F" w:rsidP="00E142CA">
          <w:pPr>
            <w:rPr>
              <w:lang w:eastAsia="en-GB"/>
            </w:rPr>
          </w:pPr>
          <w:r w:rsidRPr="0007156F">
            <w:rPr>
              <w:lang w:eastAsia="en-GB"/>
            </w:rPr>
            <w:t xml:space="preserve">Kolb, D. (1984) Experiential Learning: Experience as the Source of Learning and Development. 2 ed. New Jersey: Prentice </w:t>
          </w:r>
          <w:proofErr w:type="gramStart"/>
          <w:r w:rsidRPr="0007156F">
            <w:rPr>
              <w:lang w:eastAsia="en-GB"/>
            </w:rPr>
            <w:t>Hall..</w:t>
          </w:r>
          <w:proofErr w:type="gramEnd"/>
        </w:p>
        <w:p w14:paraId="403337F1" w14:textId="77777777" w:rsidR="0007156F" w:rsidRPr="0007156F" w:rsidRDefault="0007156F" w:rsidP="00E142CA">
          <w:pPr>
            <w:rPr>
              <w:lang w:eastAsia="en-GB"/>
            </w:rPr>
          </w:pPr>
          <w:r w:rsidRPr="0007156F">
            <w:rPr>
              <w:lang w:eastAsia="en-GB"/>
            </w:rPr>
            <w:t>OECD (2018) Improving Schools in Wales: An OECD Perspective. Paris: OECD.</w:t>
          </w:r>
        </w:p>
        <w:p w14:paraId="07F5FFCE" w14:textId="0F97C7BF" w:rsidR="0007156F" w:rsidRPr="0007156F" w:rsidRDefault="0007156F" w:rsidP="00E142CA">
          <w:pPr>
            <w:rPr>
              <w:lang w:eastAsia="en-GB"/>
            </w:rPr>
          </w:pPr>
          <w:proofErr w:type="spellStart"/>
          <w:r w:rsidRPr="0007156F">
            <w:rPr>
              <w:lang w:eastAsia="en-GB"/>
            </w:rPr>
            <w:t>Pianta</w:t>
          </w:r>
          <w:proofErr w:type="spellEnd"/>
          <w:r w:rsidRPr="0007156F">
            <w:rPr>
              <w:lang w:eastAsia="en-GB"/>
            </w:rPr>
            <w:t>, R. C., La Paro, K. M., and Hamre, B. K. (2008) Classroom Assessment Scoring System. Early Childhood Research Quarterly, 23(3), pp. 431-451.</w:t>
          </w:r>
        </w:p>
        <w:p w14:paraId="036340DB" w14:textId="77777777" w:rsidR="0007156F" w:rsidRPr="0007156F" w:rsidRDefault="0007156F" w:rsidP="00E142CA">
          <w:pPr>
            <w:rPr>
              <w:lang w:eastAsia="en-GB"/>
            </w:rPr>
          </w:pPr>
          <w:proofErr w:type="spellStart"/>
          <w:r w:rsidRPr="0007156F">
            <w:rPr>
              <w:lang w:eastAsia="en-GB"/>
            </w:rPr>
            <w:t>Sagor</w:t>
          </w:r>
          <w:proofErr w:type="spellEnd"/>
          <w:r w:rsidRPr="0007156F">
            <w:rPr>
              <w:lang w:eastAsia="en-GB"/>
            </w:rPr>
            <w:t>, R. (2011) The Action Research Guidebook: A Four-Stage Process for Educators and School Teams. Thousand Oaks, CA: Corwin Press.</w:t>
          </w:r>
        </w:p>
        <w:p w14:paraId="11BBBBD2" w14:textId="77777777" w:rsidR="0007156F" w:rsidRPr="0007156F" w:rsidRDefault="0007156F" w:rsidP="00E142CA">
          <w:pPr>
            <w:rPr>
              <w:lang w:eastAsia="en-GB"/>
            </w:rPr>
          </w:pPr>
          <w:r w:rsidRPr="0007156F">
            <w:rPr>
              <w:lang w:eastAsia="en-GB"/>
            </w:rPr>
            <w:t>Salovey, P. and Mayer, J. D. (2004) Emotional Intelligence: Key Readings on the Mayer and Salovey Model. Port Chester, NY: Dude Pub. Co.</w:t>
          </w:r>
        </w:p>
        <w:p w14:paraId="6A212BD9" w14:textId="77777777" w:rsidR="0007156F" w:rsidRPr="0007156F" w:rsidRDefault="0007156F" w:rsidP="00E142CA">
          <w:pPr>
            <w:rPr>
              <w:lang w:eastAsia="en-GB"/>
            </w:rPr>
          </w:pPr>
          <w:proofErr w:type="spellStart"/>
          <w:r w:rsidRPr="0007156F">
            <w:rPr>
              <w:lang w:eastAsia="en-GB"/>
            </w:rPr>
            <w:t>Stronge</w:t>
          </w:r>
          <w:proofErr w:type="spellEnd"/>
          <w:r w:rsidRPr="0007156F">
            <w:rPr>
              <w:lang w:eastAsia="en-GB"/>
            </w:rPr>
            <w:t>, J. H. (2002) Qualities of Effective Teachers. 1 ed. USA: Association for Supervision and Curriculum Development (ASCD).</w:t>
          </w:r>
        </w:p>
        <w:p w14:paraId="159C0564" w14:textId="77777777" w:rsidR="0007156F" w:rsidRPr="0007156F" w:rsidRDefault="0007156F" w:rsidP="00E142CA">
          <w:pPr>
            <w:rPr>
              <w:lang w:eastAsia="en-GB"/>
            </w:rPr>
          </w:pPr>
          <w:r w:rsidRPr="0007156F">
            <w:rPr>
              <w:lang w:eastAsia="en-GB"/>
            </w:rPr>
            <w:t>Vygotsky, L. (1978) Mind in Society: The Development of Higher Psychological Processes. Revised ed. Cambridge: Harvard University Press.</w:t>
          </w:r>
        </w:p>
        <w:p w14:paraId="1D8793D7" w14:textId="77777777" w:rsidR="0007156F" w:rsidRPr="0007156F" w:rsidRDefault="0007156F" w:rsidP="00E142CA">
          <w:pPr>
            <w:rPr>
              <w:lang w:eastAsia="en-GB"/>
            </w:rPr>
          </w:pPr>
          <w:r w:rsidRPr="0007156F">
            <w:rPr>
              <w:lang w:eastAsia="en-GB"/>
            </w:rPr>
            <w:t>Welsh Government (2023) Schools' Census Results: January 2023. Wales: Welsh Government.</w:t>
          </w:r>
        </w:p>
        <w:p w14:paraId="753F4FA8" w14:textId="77777777" w:rsidR="0007156F" w:rsidRPr="0007156F" w:rsidRDefault="0007156F" w:rsidP="00E142CA">
          <w:pPr>
            <w:rPr>
              <w:lang w:eastAsia="en-GB"/>
            </w:rPr>
          </w:pPr>
          <w:r w:rsidRPr="0007156F">
            <w:rPr>
              <w:lang w:eastAsia="en-GB"/>
            </w:rPr>
            <w:t>Wenger-</w:t>
          </w:r>
          <w:proofErr w:type="spellStart"/>
          <w:r w:rsidRPr="0007156F">
            <w:rPr>
              <w:lang w:eastAsia="en-GB"/>
            </w:rPr>
            <w:t>Trayner</w:t>
          </w:r>
          <w:proofErr w:type="spellEnd"/>
          <w:r w:rsidRPr="0007156F">
            <w:rPr>
              <w:lang w:eastAsia="en-GB"/>
            </w:rPr>
            <w:t>, E. et al. (2014) Learning in Landscapes of Practice. Routledge.</w:t>
          </w:r>
        </w:p>
        <w:p w14:paraId="1891F6D3" w14:textId="18DFD4D9" w:rsidR="006F11FF" w:rsidRPr="00E142CA" w:rsidRDefault="006F11FF" w:rsidP="00E142CA"/>
        <w:sdt>
          <w:sdtPr>
            <w:id w:val="111145805"/>
            <w:bibliography/>
          </w:sdtPr>
          <w:sdtContent>
            <w:p w14:paraId="5CF6B99D" w14:textId="57519F84" w:rsidR="006F11FF" w:rsidRDefault="006F11FF" w:rsidP="00EF10AA">
              <w:pPr>
                <w:pStyle w:val="Bibliography"/>
                <w:rPr>
                  <w:noProof/>
                  <w:lang w:val="en-US"/>
                </w:rPr>
              </w:pPr>
              <w:r>
                <w:fldChar w:fldCharType="begin"/>
              </w:r>
              <w:r>
                <w:instrText xml:space="preserve"> BIBLIOGRAPHY </w:instrText>
              </w:r>
              <w:r>
                <w:fldChar w:fldCharType="separate"/>
              </w:r>
            </w:p>
            <w:p w14:paraId="32B6A903" w14:textId="1A53C4BF" w:rsidR="006F11FF" w:rsidRDefault="006F11FF" w:rsidP="006F11FF">
              <w:r>
                <w:rPr>
                  <w:b/>
                  <w:bCs/>
                  <w:noProof/>
                </w:rPr>
                <w:fldChar w:fldCharType="end"/>
              </w:r>
            </w:p>
          </w:sdtContent>
        </w:sdt>
      </w:sdtContent>
    </w:sdt>
    <w:p w14:paraId="504F9849" w14:textId="7437EACC" w:rsidR="006F11FF" w:rsidRDefault="006F11FF" w:rsidP="006F11FF">
      <w:pPr>
        <w:pStyle w:val="AssignBody"/>
        <w:jc w:val="center"/>
        <w:rPr>
          <w:b/>
          <w:bCs/>
          <w:sz w:val="28"/>
          <w:szCs w:val="28"/>
        </w:rPr>
      </w:pPr>
      <w:r>
        <w:rPr>
          <w:b/>
          <w:bCs/>
          <w:sz w:val="28"/>
          <w:szCs w:val="28"/>
        </w:rPr>
        <w:lastRenderedPageBreak/>
        <w:t>Appendices</w:t>
      </w:r>
    </w:p>
    <w:p w14:paraId="20378E3F" w14:textId="0E58BD5D" w:rsidR="006F11FF" w:rsidRDefault="006F11FF" w:rsidP="006F11FF">
      <w:pPr>
        <w:pStyle w:val="AssignBody"/>
        <w:jc w:val="center"/>
        <w:rPr>
          <w:b/>
          <w:bCs/>
          <w:sz w:val="28"/>
          <w:szCs w:val="28"/>
        </w:rPr>
      </w:pPr>
    </w:p>
    <w:p w14:paraId="7D654E48" w14:textId="5CEC7B8B" w:rsidR="006F11FF" w:rsidRDefault="006F11FF" w:rsidP="006F11FF">
      <w:pPr>
        <w:pStyle w:val="AssignBody"/>
        <w:rPr>
          <w:b/>
          <w:bCs/>
          <w:sz w:val="24"/>
          <w:szCs w:val="24"/>
        </w:rPr>
      </w:pPr>
      <w:r w:rsidRPr="006F11FF">
        <w:rPr>
          <w:b/>
          <w:bCs/>
          <w:sz w:val="24"/>
          <w:szCs w:val="24"/>
        </w:rPr>
        <w:t>Appendices A</w:t>
      </w:r>
    </w:p>
    <w:p w14:paraId="774C7024" w14:textId="2EF717B0" w:rsidR="006F11FF" w:rsidRPr="006F11FF" w:rsidRDefault="006F11FF" w:rsidP="006F11FF">
      <w:pPr>
        <w:pStyle w:val="AssignBody"/>
        <w:rPr>
          <w:b/>
          <w:bCs/>
          <w:sz w:val="24"/>
          <w:szCs w:val="24"/>
        </w:rPr>
      </w:pPr>
      <w:r>
        <w:rPr>
          <w:b/>
          <w:bCs/>
          <w:noProof/>
          <w:sz w:val="24"/>
          <w:szCs w:val="24"/>
        </w:rPr>
        <mc:AlternateContent>
          <mc:Choice Requires="wps">
            <w:drawing>
              <wp:anchor distT="0" distB="0" distL="114300" distR="114300" simplePos="0" relativeHeight="251659264" behindDoc="0" locked="0" layoutInCell="1" allowOverlap="1" wp14:anchorId="5854759B" wp14:editId="62A1FF6C">
                <wp:simplePos x="0" y="0"/>
                <wp:positionH relativeFrom="column">
                  <wp:posOffset>2324911</wp:posOffset>
                </wp:positionH>
                <wp:positionV relativeFrom="paragraph">
                  <wp:posOffset>92818</wp:posOffset>
                </wp:positionV>
                <wp:extent cx="1361872" cy="77821"/>
                <wp:effectExtent l="0" t="0" r="10160" b="11430"/>
                <wp:wrapNone/>
                <wp:docPr id="3" name="Rectangle 3"/>
                <wp:cNvGraphicFramePr/>
                <a:graphic xmlns:a="http://schemas.openxmlformats.org/drawingml/2006/main">
                  <a:graphicData uri="http://schemas.microsoft.com/office/word/2010/wordprocessingShape">
                    <wps:wsp>
                      <wps:cNvSpPr/>
                      <wps:spPr>
                        <a:xfrm>
                          <a:off x="0" y="0"/>
                          <a:ext cx="1361872" cy="77821"/>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93C241" id="Rectangle 3" o:spid="_x0000_s1026" style="position:absolute;margin-left:183.05pt;margin-top:7.3pt;width:107.25pt;height:6.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KbgIAAEUFAAAOAAAAZHJzL2Uyb0RvYy54bWysVFFPGzEMfp+0/xDlfVyvA8oqrqgCMU1C&#13;&#10;gICJ55BLuEi5OHPSXrtfPyd3vXYM7WFaH1L7bH+2v9g5v9i0lq0VBgOu4uXRhDPlJNTGvVb8+9P1&#13;&#10;pzPOQhSuFhacqvhWBX6x+PjhvPNzNYUGbK2QEYgL885XvInRz4siyEa1IhyBV46MGrAVkVR8LWoU&#13;&#10;HaG3tphOJqdFB1h7BKlCoK9XvZEvMr7WSsY7rYOKzFacaov5xHy+pLNYnIv5KwrfGDmUIf6hilYY&#13;&#10;R0lHqCsRBVuh+QOqNRIhgI5HEtoCtDZS5R6om3LyppvHRniVeyFygh9pCv8PVt6uH/09Eg2dD/NA&#13;&#10;Yupio7FN/1Qf22SytiNZahOZpI/l59PybDblTJJtNjublonMYh/sMcSvClqWhIoj3UWmSKxvQuxd&#13;&#10;dy4pVwBr6mtjbVbS/atLi2wt6ObiZgd+4FXsK85S3FqVYq17UJqZmmqc5oR5mPZgQkrlYtmbGlGr&#13;&#10;PsfJhH5DC2NEbigDJmRN1Y3YA8Dvhe6w+/YG/xSq8iyOwZO/FdYHjxE5M7g4BrfGAb4HYKmrIXPv&#13;&#10;T+UfUJPEF6i398gQ+k0IXl4bup4bEeK9QBp9WhJa53hHh7bQVRwGibMG8Od735M/TSRZOetolSoe&#13;&#10;fqwEKs7sN0ez+qU8Pk67l5Xjk9mUFDy0vBxa3Kq9BLrzkh4OL7OY/KPdiRqhfaatX6asZBJOUu6K&#13;&#10;y4g75TL2K07vhlTLZXajffMi3rhHLxN4YjWN39PmWaAfZjTScN/Cbu3E/M2o9r4p0sFyFUGbPMd7&#13;&#10;Xge+aVfz4AzvSnoMDvXstX/9Fr8AAAD//wMAUEsDBBQABgAIAAAAIQD567dC4QAAAA4BAAAPAAAA&#13;&#10;ZHJzL2Rvd25yZXYueG1sTE89T8MwEN2R+A/WIbFU1E4Bq6RxKgRiYaPtAJsbX5OU+BzFThv49RwT&#13;&#10;LKc7vXfvo1hPvhMnHGIbyEA2VyCQquBaqg3sti83SxAxWXK2C4QGvjDCury8KGzuwpne8LRJtWAR&#13;&#10;irk10KTU51LGqkFv4zz0SIwdwuBt4nOopRvsmcV9JxdKaeltS+zQ2B6fGqw+N6M3MH7Uh9fQvY+7&#13;&#10;o9y676OaZb2cGXN9NT2veDyuQCSc0t8H/Hbg/FBysH0YyUXRGbjVOmMqA3caBBPul4qXvYGFfgBZ&#13;&#10;FvJ/jfIHAAD//wMAUEsBAi0AFAAGAAgAAAAhALaDOJL+AAAA4QEAABMAAAAAAAAAAAAAAAAAAAAA&#13;&#10;AFtDb250ZW50X1R5cGVzXS54bWxQSwECLQAUAAYACAAAACEAOP0h/9YAAACUAQAACwAAAAAAAAAA&#13;&#10;AAAAAAAvAQAAX3JlbHMvLnJlbHNQSwECLQAUAAYACAAAACEAR//gSm4CAABFBQAADgAAAAAAAAAA&#13;&#10;AAAAAAAuAgAAZHJzL2Uyb0RvYy54bWxQSwECLQAUAAYACAAAACEA+eu3QuEAAAAOAQAADwAAAAAA&#13;&#10;AAAAAAAAAADIBAAAZHJzL2Rvd25yZXYueG1sUEsFBgAAAAAEAAQA8wAAANYFAAAAAA==&#13;&#10;" fillcolor="black [3213]" strokecolor="#1f3763 [1604]" strokeweight="1pt"/>
            </w:pict>
          </mc:Fallback>
        </mc:AlternateContent>
      </w:r>
      <w:r>
        <w:rPr>
          <w:b/>
          <w:bCs/>
          <w:noProof/>
          <w:sz w:val="24"/>
          <w:szCs w:val="24"/>
        </w:rPr>
        <w:drawing>
          <wp:inline distT="0" distB="0" distL="0" distR="0" wp14:anchorId="054DC10C" wp14:editId="64EC22C4">
            <wp:extent cx="6011694" cy="3687361"/>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13070" t="16024" r="13605" b="12012"/>
                    <a:stretch/>
                  </pic:blipFill>
                  <pic:spPr bwMode="auto">
                    <a:xfrm>
                      <a:off x="0" y="0"/>
                      <a:ext cx="6029701" cy="3698406"/>
                    </a:xfrm>
                    <a:prstGeom prst="rect">
                      <a:avLst/>
                    </a:prstGeom>
                    <a:ln>
                      <a:noFill/>
                    </a:ln>
                    <a:extLst>
                      <a:ext uri="{53640926-AAD7-44D8-BBD7-CCE9431645EC}">
                        <a14:shadowObscured xmlns:a14="http://schemas.microsoft.com/office/drawing/2010/main"/>
                      </a:ext>
                    </a:extLst>
                  </pic:spPr>
                </pic:pic>
              </a:graphicData>
            </a:graphic>
          </wp:inline>
        </w:drawing>
      </w:r>
    </w:p>
    <w:sectPr w:rsidR="006F11FF" w:rsidRPr="006F11F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2401B" w14:textId="77777777" w:rsidR="0061099E" w:rsidRDefault="0061099E" w:rsidP="00E611D9">
      <w:pPr>
        <w:spacing w:after="0" w:line="240" w:lineRule="auto"/>
      </w:pPr>
      <w:r>
        <w:separator/>
      </w:r>
    </w:p>
  </w:endnote>
  <w:endnote w:type="continuationSeparator" w:id="0">
    <w:p w14:paraId="1292430D" w14:textId="77777777" w:rsidR="0061099E" w:rsidRDefault="0061099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5346B" w14:textId="77777777" w:rsidR="0061099E" w:rsidRDefault="0061099E" w:rsidP="00E611D9">
      <w:pPr>
        <w:spacing w:after="0" w:line="240" w:lineRule="auto"/>
      </w:pPr>
      <w:r>
        <w:separator/>
      </w:r>
    </w:p>
  </w:footnote>
  <w:footnote w:type="continuationSeparator" w:id="0">
    <w:p w14:paraId="10B7B6F0" w14:textId="77777777" w:rsidR="0061099E" w:rsidRDefault="0061099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5E56DF1"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A5686">
            <w:rPr>
              <w:rFonts w:ascii="Arial" w:hAnsi="Arial" w:cs="Arial"/>
            </w:rPr>
            <w:t>7003</w:t>
          </w:r>
        </w:p>
      </w:tc>
      <w:tc>
        <w:tcPr>
          <w:tcW w:w="4508" w:type="dxa"/>
        </w:tcPr>
        <w:p w14:paraId="51D506A0" w14:textId="7F52A442" w:rsidR="00E611D9" w:rsidRPr="00E611D9" w:rsidRDefault="00E611D9" w:rsidP="00E611D9">
          <w:pPr>
            <w:pStyle w:val="Header"/>
            <w:jc w:val="right"/>
            <w:rPr>
              <w:rFonts w:ascii="Arial" w:hAnsi="Arial" w:cs="Arial"/>
            </w:rPr>
          </w:pPr>
          <w:r>
            <w:rPr>
              <w:rFonts w:ascii="Arial" w:hAnsi="Arial" w:cs="Arial"/>
            </w:rPr>
            <w:t xml:space="preserve"> Student Number: </w:t>
          </w:r>
          <w:r w:rsidR="007039E1">
            <w:rPr>
              <w:rFonts w:ascii="Arial" w:hAnsi="Arial" w:cs="Arial"/>
            </w:rPr>
            <w:t>2012008</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9A58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EA09FE"/>
    <w:multiLevelType w:val="multilevel"/>
    <w:tmpl w:val="11BE2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0907861">
    <w:abstractNumId w:val="1"/>
  </w:num>
  <w:num w:numId="2" w16cid:durableId="491605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7F99"/>
    <w:rsid w:val="00020700"/>
    <w:rsid w:val="00027417"/>
    <w:rsid w:val="00044331"/>
    <w:rsid w:val="00054749"/>
    <w:rsid w:val="00060FCB"/>
    <w:rsid w:val="0007156F"/>
    <w:rsid w:val="00076FA8"/>
    <w:rsid w:val="00087FFD"/>
    <w:rsid w:val="000A09ED"/>
    <w:rsid w:val="000A50D9"/>
    <w:rsid w:val="000C444A"/>
    <w:rsid w:val="000E1062"/>
    <w:rsid w:val="000E3EB2"/>
    <w:rsid w:val="000F71AB"/>
    <w:rsid w:val="00111555"/>
    <w:rsid w:val="00112933"/>
    <w:rsid w:val="00151C72"/>
    <w:rsid w:val="00164C24"/>
    <w:rsid w:val="001746B6"/>
    <w:rsid w:val="00175465"/>
    <w:rsid w:val="00180DB4"/>
    <w:rsid w:val="001A081A"/>
    <w:rsid w:val="001F3321"/>
    <w:rsid w:val="00203B1A"/>
    <w:rsid w:val="00213F86"/>
    <w:rsid w:val="002229F0"/>
    <w:rsid w:val="0024069D"/>
    <w:rsid w:val="0026029E"/>
    <w:rsid w:val="0027100F"/>
    <w:rsid w:val="002C6741"/>
    <w:rsid w:val="002E7708"/>
    <w:rsid w:val="002F44D3"/>
    <w:rsid w:val="003142A6"/>
    <w:rsid w:val="00334543"/>
    <w:rsid w:val="00365BA3"/>
    <w:rsid w:val="0037050F"/>
    <w:rsid w:val="00395244"/>
    <w:rsid w:val="003B4056"/>
    <w:rsid w:val="003C45DA"/>
    <w:rsid w:val="003D3BB9"/>
    <w:rsid w:val="003D6F3B"/>
    <w:rsid w:val="003E55AE"/>
    <w:rsid w:val="003F0583"/>
    <w:rsid w:val="003F4CDB"/>
    <w:rsid w:val="004030D2"/>
    <w:rsid w:val="00433F17"/>
    <w:rsid w:val="00453E49"/>
    <w:rsid w:val="0047184C"/>
    <w:rsid w:val="00480926"/>
    <w:rsid w:val="004828BE"/>
    <w:rsid w:val="0049740C"/>
    <w:rsid w:val="004A64F9"/>
    <w:rsid w:val="004B38D8"/>
    <w:rsid w:val="004C54A0"/>
    <w:rsid w:val="004E372B"/>
    <w:rsid w:val="004F7997"/>
    <w:rsid w:val="004F7BF6"/>
    <w:rsid w:val="005402D6"/>
    <w:rsid w:val="00544EE0"/>
    <w:rsid w:val="00551D1A"/>
    <w:rsid w:val="0058239F"/>
    <w:rsid w:val="005C5173"/>
    <w:rsid w:val="005C62C6"/>
    <w:rsid w:val="005D5BD3"/>
    <w:rsid w:val="0061099E"/>
    <w:rsid w:val="00614C24"/>
    <w:rsid w:val="006319BF"/>
    <w:rsid w:val="006419C3"/>
    <w:rsid w:val="006707D7"/>
    <w:rsid w:val="006721A2"/>
    <w:rsid w:val="00672A8B"/>
    <w:rsid w:val="00691910"/>
    <w:rsid w:val="00691A46"/>
    <w:rsid w:val="00693E57"/>
    <w:rsid w:val="006B5861"/>
    <w:rsid w:val="006D1A57"/>
    <w:rsid w:val="006E580A"/>
    <w:rsid w:val="006F11FF"/>
    <w:rsid w:val="006F31C9"/>
    <w:rsid w:val="00700000"/>
    <w:rsid w:val="007039E1"/>
    <w:rsid w:val="00747C47"/>
    <w:rsid w:val="007505FC"/>
    <w:rsid w:val="00761597"/>
    <w:rsid w:val="007616BD"/>
    <w:rsid w:val="00762665"/>
    <w:rsid w:val="00772515"/>
    <w:rsid w:val="00772938"/>
    <w:rsid w:val="00780AD6"/>
    <w:rsid w:val="007856BF"/>
    <w:rsid w:val="00795BBE"/>
    <w:rsid w:val="007A1315"/>
    <w:rsid w:val="00800E16"/>
    <w:rsid w:val="00802C6B"/>
    <w:rsid w:val="008104D2"/>
    <w:rsid w:val="00817F7A"/>
    <w:rsid w:val="008244E7"/>
    <w:rsid w:val="00824CE8"/>
    <w:rsid w:val="00847766"/>
    <w:rsid w:val="00872FDB"/>
    <w:rsid w:val="00873EA2"/>
    <w:rsid w:val="008E7D62"/>
    <w:rsid w:val="008F5C06"/>
    <w:rsid w:val="00905C52"/>
    <w:rsid w:val="009140D4"/>
    <w:rsid w:val="009228E9"/>
    <w:rsid w:val="00932BF5"/>
    <w:rsid w:val="00955EA8"/>
    <w:rsid w:val="00962A46"/>
    <w:rsid w:val="00971903"/>
    <w:rsid w:val="00974FF9"/>
    <w:rsid w:val="00996B7E"/>
    <w:rsid w:val="009A5686"/>
    <w:rsid w:val="009B3306"/>
    <w:rsid w:val="009C417C"/>
    <w:rsid w:val="009C4A7A"/>
    <w:rsid w:val="009D4B8B"/>
    <w:rsid w:val="009F0923"/>
    <w:rsid w:val="00A04F12"/>
    <w:rsid w:val="00A134F4"/>
    <w:rsid w:val="00A20FDE"/>
    <w:rsid w:val="00A222CA"/>
    <w:rsid w:val="00A34B64"/>
    <w:rsid w:val="00A44905"/>
    <w:rsid w:val="00AD4EBD"/>
    <w:rsid w:val="00AE7730"/>
    <w:rsid w:val="00AF6B29"/>
    <w:rsid w:val="00B3510B"/>
    <w:rsid w:val="00B75578"/>
    <w:rsid w:val="00B819F6"/>
    <w:rsid w:val="00B97A18"/>
    <w:rsid w:val="00BA1B09"/>
    <w:rsid w:val="00BC651E"/>
    <w:rsid w:val="00C42B3F"/>
    <w:rsid w:val="00C43587"/>
    <w:rsid w:val="00C478E2"/>
    <w:rsid w:val="00C62D4C"/>
    <w:rsid w:val="00C757D2"/>
    <w:rsid w:val="00C823CF"/>
    <w:rsid w:val="00CB7EEA"/>
    <w:rsid w:val="00CD1240"/>
    <w:rsid w:val="00CF4162"/>
    <w:rsid w:val="00D245C6"/>
    <w:rsid w:val="00D274F0"/>
    <w:rsid w:val="00D364EF"/>
    <w:rsid w:val="00D451FE"/>
    <w:rsid w:val="00D57957"/>
    <w:rsid w:val="00D64B87"/>
    <w:rsid w:val="00D83A71"/>
    <w:rsid w:val="00D879F7"/>
    <w:rsid w:val="00D9708A"/>
    <w:rsid w:val="00DD7906"/>
    <w:rsid w:val="00DE48F1"/>
    <w:rsid w:val="00E142CA"/>
    <w:rsid w:val="00E611D9"/>
    <w:rsid w:val="00E66083"/>
    <w:rsid w:val="00E81C1F"/>
    <w:rsid w:val="00E9019D"/>
    <w:rsid w:val="00E916C4"/>
    <w:rsid w:val="00EA272B"/>
    <w:rsid w:val="00EA6BC2"/>
    <w:rsid w:val="00EF10AA"/>
    <w:rsid w:val="00EF7661"/>
    <w:rsid w:val="00F1197B"/>
    <w:rsid w:val="00F12977"/>
    <w:rsid w:val="00F1325B"/>
    <w:rsid w:val="00F26E04"/>
    <w:rsid w:val="00F3630F"/>
    <w:rsid w:val="00F71082"/>
    <w:rsid w:val="00F84C51"/>
    <w:rsid w:val="00FA26A5"/>
    <w:rsid w:val="00FD6DF0"/>
    <w:rsid w:val="00FE0DB9"/>
    <w:rsid w:val="00FE2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E49"/>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E2F4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E2F4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E2F4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E2F45"/>
    <w:rPr>
      <w:rFonts w:ascii="Arial" w:eastAsia="Times New Roman" w:hAnsi="Arial" w:cs="Arial"/>
      <w:vanish/>
      <w:sz w:val="16"/>
      <w:szCs w:val="16"/>
      <w:lang w:eastAsia="en-GB"/>
    </w:rPr>
  </w:style>
  <w:style w:type="paragraph" w:styleId="EndnoteText">
    <w:name w:val="endnote text"/>
    <w:basedOn w:val="Normal"/>
    <w:link w:val="EndnoteTextChar"/>
    <w:uiPriority w:val="99"/>
    <w:semiHidden/>
    <w:unhideWhenUsed/>
    <w:rsid w:val="00453E4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53E49"/>
    <w:rPr>
      <w:sz w:val="20"/>
      <w:szCs w:val="20"/>
    </w:rPr>
  </w:style>
  <w:style w:type="character" w:styleId="EndnoteReference">
    <w:name w:val="endnote reference"/>
    <w:basedOn w:val="DefaultParagraphFont"/>
    <w:uiPriority w:val="99"/>
    <w:semiHidden/>
    <w:unhideWhenUsed/>
    <w:rsid w:val="00453E49"/>
    <w:rPr>
      <w:vertAlign w:val="superscript"/>
    </w:rPr>
  </w:style>
  <w:style w:type="character" w:customStyle="1" w:styleId="Heading1Char">
    <w:name w:val="Heading 1 Char"/>
    <w:basedOn w:val="DefaultParagraphFont"/>
    <w:link w:val="Heading1"/>
    <w:uiPriority w:val="9"/>
    <w:rsid w:val="00453E4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53E49"/>
  </w:style>
  <w:style w:type="character" w:styleId="Strong">
    <w:name w:val="Strong"/>
    <w:basedOn w:val="DefaultParagraphFont"/>
    <w:uiPriority w:val="22"/>
    <w:qFormat/>
    <w:rsid w:val="006F11FF"/>
    <w:rPr>
      <w:b/>
      <w:bCs/>
    </w:rPr>
  </w:style>
  <w:style w:type="character" w:customStyle="1" w:styleId="apple-converted-space">
    <w:name w:val="apple-converted-space"/>
    <w:basedOn w:val="DefaultParagraphFont"/>
    <w:rsid w:val="009140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46718">
      <w:bodyDiv w:val="1"/>
      <w:marLeft w:val="0"/>
      <w:marRight w:val="0"/>
      <w:marTop w:val="0"/>
      <w:marBottom w:val="0"/>
      <w:divBdr>
        <w:top w:val="none" w:sz="0" w:space="0" w:color="auto"/>
        <w:left w:val="none" w:sz="0" w:space="0" w:color="auto"/>
        <w:bottom w:val="none" w:sz="0" w:space="0" w:color="auto"/>
        <w:right w:val="none" w:sz="0" w:space="0" w:color="auto"/>
      </w:divBdr>
    </w:div>
    <w:div w:id="122310854">
      <w:bodyDiv w:val="1"/>
      <w:marLeft w:val="0"/>
      <w:marRight w:val="0"/>
      <w:marTop w:val="0"/>
      <w:marBottom w:val="0"/>
      <w:divBdr>
        <w:top w:val="none" w:sz="0" w:space="0" w:color="auto"/>
        <w:left w:val="none" w:sz="0" w:space="0" w:color="auto"/>
        <w:bottom w:val="none" w:sz="0" w:space="0" w:color="auto"/>
        <w:right w:val="none" w:sz="0" w:space="0" w:color="auto"/>
      </w:divBdr>
    </w:div>
    <w:div w:id="162935570">
      <w:bodyDiv w:val="1"/>
      <w:marLeft w:val="0"/>
      <w:marRight w:val="0"/>
      <w:marTop w:val="0"/>
      <w:marBottom w:val="0"/>
      <w:divBdr>
        <w:top w:val="none" w:sz="0" w:space="0" w:color="auto"/>
        <w:left w:val="none" w:sz="0" w:space="0" w:color="auto"/>
        <w:bottom w:val="none" w:sz="0" w:space="0" w:color="auto"/>
        <w:right w:val="none" w:sz="0" w:space="0" w:color="auto"/>
      </w:divBdr>
    </w:div>
    <w:div w:id="173806651">
      <w:bodyDiv w:val="1"/>
      <w:marLeft w:val="0"/>
      <w:marRight w:val="0"/>
      <w:marTop w:val="0"/>
      <w:marBottom w:val="0"/>
      <w:divBdr>
        <w:top w:val="none" w:sz="0" w:space="0" w:color="auto"/>
        <w:left w:val="none" w:sz="0" w:space="0" w:color="auto"/>
        <w:bottom w:val="none" w:sz="0" w:space="0" w:color="auto"/>
        <w:right w:val="none" w:sz="0" w:space="0" w:color="auto"/>
      </w:divBdr>
    </w:div>
    <w:div w:id="188301127">
      <w:bodyDiv w:val="1"/>
      <w:marLeft w:val="0"/>
      <w:marRight w:val="0"/>
      <w:marTop w:val="0"/>
      <w:marBottom w:val="0"/>
      <w:divBdr>
        <w:top w:val="none" w:sz="0" w:space="0" w:color="auto"/>
        <w:left w:val="none" w:sz="0" w:space="0" w:color="auto"/>
        <w:bottom w:val="none" w:sz="0" w:space="0" w:color="auto"/>
        <w:right w:val="none" w:sz="0" w:space="0" w:color="auto"/>
      </w:divBdr>
    </w:div>
    <w:div w:id="212350132">
      <w:bodyDiv w:val="1"/>
      <w:marLeft w:val="0"/>
      <w:marRight w:val="0"/>
      <w:marTop w:val="0"/>
      <w:marBottom w:val="0"/>
      <w:divBdr>
        <w:top w:val="none" w:sz="0" w:space="0" w:color="auto"/>
        <w:left w:val="none" w:sz="0" w:space="0" w:color="auto"/>
        <w:bottom w:val="none" w:sz="0" w:space="0" w:color="auto"/>
        <w:right w:val="none" w:sz="0" w:space="0" w:color="auto"/>
      </w:divBdr>
    </w:div>
    <w:div w:id="241763464">
      <w:bodyDiv w:val="1"/>
      <w:marLeft w:val="0"/>
      <w:marRight w:val="0"/>
      <w:marTop w:val="0"/>
      <w:marBottom w:val="0"/>
      <w:divBdr>
        <w:top w:val="none" w:sz="0" w:space="0" w:color="auto"/>
        <w:left w:val="none" w:sz="0" w:space="0" w:color="auto"/>
        <w:bottom w:val="none" w:sz="0" w:space="0" w:color="auto"/>
        <w:right w:val="none" w:sz="0" w:space="0" w:color="auto"/>
      </w:divBdr>
    </w:div>
    <w:div w:id="335503238">
      <w:bodyDiv w:val="1"/>
      <w:marLeft w:val="0"/>
      <w:marRight w:val="0"/>
      <w:marTop w:val="0"/>
      <w:marBottom w:val="0"/>
      <w:divBdr>
        <w:top w:val="none" w:sz="0" w:space="0" w:color="auto"/>
        <w:left w:val="none" w:sz="0" w:space="0" w:color="auto"/>
        <w:bottom w:val="none" w:sz="0" w:space="0" w:color="auto"/>
        <w:right w:val="none" w:sz="0" w:space="0" w:color="auto"/>
      </w:divBdr>
    </w:div>
    <w:div w:id="453641526">
      <w:bodyDiv w:val="1"/>
      <w:marLeft w:val="0"/>
      <w:marRight w:val="0"/>
      <w:marTop w:val="0"/>
      <w:marBottom w:val="0"/>
      <w:divBdr>
        <w:top w:val="none" w:sz="0" w:space="0" w:color="auto"/>
        <w:left w:val="none" w:sz="0" w:space="0" w:color="auto"/>
        <w:bottom w:val="none" w:sz="0" w:space="0" w:color="auto"/>
        <w:right w:val="none" w:sz="0" w:space="0" w:color="auto"/>
      </w:divBdr>
    </w:div>
    <w:div w:id="512451059">
      <w:bodyDiv w:val="1"/>
      <w:marLeft w:val="0"/>
      <w:marRight w:val="0"/>
      <w:marTop w:val="0"/>
      <w:marBottom w:val="0"/>
      <w:divBdr>
        <w:top w:val="none" w:sz="0" w:space="0" w:color="auto"/>
        <w:left w:val="none" w:sz="0" w:space="0" w:color="auto"/>
        <w:bottom w:val="none" w:sz="0" w:space="0" w:color="auto"/>
        <w:right w:val="none" w:sz="0" w:space="0" w:color="auto"/>
      </w:divBdr>
    </w:div>
    <w:div w:id="655761601">
      <w:bodyDiv w:val="1"/>
      <w:marLeft w:val="0"/>
      <w:marRight w:val="0"/>
      <w:marTop w:val="0"/>
      <w:marBottom w:val="0"/>
      <w:divBdr>
        <w:top w:val="none" w:sz="0" w:space="0" w:color="auto"/>
        <w:left w:val="none" w:sz="0" w:space="0" w:color="auto"/>
        <w:bottom w:val="none" w:sz="0" w:space="0" w:color="auto"/>
        <w:right w:val="none" w:sz="0" w:space="0" w:color="auto"/>
      </w:divBdr>
    </w:div>
    <w:div w:id="681320061">
      <w:bodyDiv w:val="1"/>
      <w:marLeft w:val="0"/>
      <w:marRight w:val="0"/>
      <w:marTop w:val="0"/>
      <w:marBottom w:val="0"/>
      <w:divBdr>
        <w:top w:val="none" w:sz="0" w:space="0" w:color="auto"/>
        <w:left w:val="none" w:sz="0" w:space="0" w:color="auto"/>
        <w:bottom w:val="none" w:sz="0" w:space="0" w:color="auto"/>
        <w:right w:val="none" w:sz="0" w:space="0" w:color="auto"/>
      </w:divBdr>
    </w:div>
    <w:div w:id="724526132">
      <w:bodyDiv w:val="1"/>
      <w:marLeft w:val="0"/>
      <w:marRight w:val="0"/>
      <w:marTop w:val="0"/>
      <w:marBottom w:val="0"/>
      <w:divBdr>
        <w:top w:val="none" w:sz="0" w:space="0" w:color="auto"/>
        <w:left w:val="none" w:sz="0" w:space="0" w:color="auto"/>
        <w:bottom w:val="none" w:sz="0" w:space="0" w:color="auto"/>
        <w:right w:val="none" w:sz="0" w:space="0" w:color="auto"/>
      </w:divBdr>
    </w:div>
    <w:div w:id="785852353">
      <w:bodyDiv w:val="1"/>
      <w:marLeft w:val="0"/>
      <w:marRight w:val="0"/>
      <w:marTop w:val="0"/>
      <w:marBottom w:val="0"/>
      <w:divBdr>
        <w:top w:val="none" w:sz="0" w:space="0" w:color="auto"/>
        <w:left w:val="none" w:sz="0" w:space="0" w:color="auto"/>
        <w:bottom w:val="none" w:sz="0" w:space="0" w:color="auto"/>
        <w:right w:val="none" w:sz="0" w:space="0" w:color="auto"/>
      </w:divBdr>
    </w:div>
    <w:div w:id="845171929">
      <w:bodyDiv w:val="1"/>
      <w:marLeft w:val="0"/>
      <w:marRight w:val="0"/>
      <w:marTop w:val="0"/>
      <w:marBottom w:val="0"/>
      <w:divBdr>
        <w:top w:val="none" w:sz="0" w:space="0" w:color="auto"/>
        <w:left w:val="none" w:sz="0" w:space="0" w:color="auto"/>
        <w:bottom w:val="none" w:sz="0" w:space="0" w:color="auto"/>
        <w:right w:val="none" w:sz="0" w:space="0" w:color="auto"/>
      </w:divBdr>
      <w:divsChild>
        <w:div w:id="1922056189">
          <w:marLeft w:val="0"/>
          <w:marRight w:val="0"/>
          <w:marTop w:val="0"/>
          <w:marBottom w:val="0"/>
          <w:divBdr>
            <w:top w:val="single" w:sz="2" w:space="0" w:color="D9D9E3"/>
            <w:left w:val="single" w:sz="2" w:space="0" w:color="D9D9E3"/>
            <w:bottom w:val="single" w:sz="2" w:space="0" w:color="D9D9E3"/>
            <w:right w:val="single" w:sz="2" w:space="0" w:color="D9D9E3"/>
          </w:divBdr>
          <w:divsChild>
            <w:div w:id="495924594">
              <w:marLeft w:val="0"/>
              <w:marRight w:val="0"/>
              <w:marTop w:val="0"/>
              <w:marBottom w:val="0"/>
              <w:divBdr>
                <w:top w:val="single" w:sz="2" w:space="0" w:color="D9D9E3"/>
                <w:left w:val="single" w:sz="2" w:space="0" w:color="D9D9E3"/>
                <w:bottom w:val="single" w:sz="2" w:space="0" w:color="D9D9E3"/>
                <w:right w:val="single" w:sz="2" w:space="0" w:color="D9D9E3"/>
              </w:divBdr>
              <w:divsChild>
                <w:div w:id="1817993273">
                  <w:marLeft w:val="0"/>
                  <w:marRight w:val="0"/>
                  <w:marTop w:val="0"/>
                  <w:marBottom w:val="0"/>
                  <w:divBdr>
                    <w:top w:val="single" w:sz="2" w:space="0" w:color="D9D9E3"/>
                    <w:left w:val="single" w:sz="2" w:space="0" w:color="D9D9E3"/>
                    <w:bottom w:val="single" w:sz="2" w:space="0" w:color="D9D9E3"/>
                    <w:right w:val="single" w:sz="2" w:space="0" w:color="D9D9E3"/>
                  </w:divBdr>
                  <w:divsChild>
                    <w:div w:id="281426691">
                      <w:marLeft w:val="0"/>
                      <w:marRight w:val="0"/>
                      <w:marTop w:val="0"/>
                      <w:marBottom w:val="0"/>
                      <w:divBdr>
                        <w:top w:val="single" w:sz="2" w:space="0" w:color="D9D9E3"/>
                        <w:left w:val="single" w:sz="2" w:space="0" w:color="D9D9E3"/>
                        <w:bottom w:val="single" w:sz="2" w:space="0" w:color="D9D9E3"/>
                        <w:right w:val="single" w:sz="2" w:space="0" w:color="D9D9E3"/>
                      </w:divBdr>
                      <w:divsChild>
                        <w:div w:id="542206620">
                          <w:marLeft w:val="0"/>
                          <w:marRight w:val="0"/>
                          <w:marTop w:val="0"/>
                          <w:marBottom w:val="0"/>
                          <w:divBdr>
                            <w:top w:val="single" w:sz="2" w:space="0" w:color="D9D9E3"/>
                            <w:left w:val="single" w:sz="2" w:space="0" w:color="D9D9E3"/>
                            <w:bottom w:val="single" w:sz="2" w:space="0" w:color="D9D9E3"/>
                            <w:right w:val="single" w:sz="2" w:space="0" w:color="D9D9E3"/>
                          </w:divBdr>
                          <w:divsChild>
                            <w:div w:id="1693455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3348505">
                                  <w:marLeft w:val="0"/>
                                  <w:marRight w:val="0"/>
                                  <w:marTop w:val="0"/>
                                  <w:marBottom w:val="0"/>
                                  <w:divBdr>
                                    <w:top w:val="single" w:sz="2" w:space="0" w:color="D9D9E3"/>
                                    <w:left w:val="single" w:sz="2" w:space="0" w:color="D9D9E3"/>
                                    <w:bottom w:val="single" w:sz="2" w:space="0" w:color="D9D9E3"/>
                                    <w:right w:val="single" w:sz="2" w:space="0" w:color="D9D9E3"/>
                                  </w:divBdr>
                                  <w:divsChild>
                                    <w:div w:id="60449814">
                                      <w:marLeft w:val="0"/>
                                      <w:marRight w:val="0"/>
                                      <w:marTop w:val="0"/>
                                      <w:marBottom w:val="0"/>
                                      <w:divBdr>
                                        <w:top w:val="single" w:sz="2" w:space="0" w:color="D9D9E3"/>
                                        <w:left w:val="single" w:sz="2" w:space="0" w:color="D9D9E3"/>
                                        <w:bottom w:val="single" w:sz="2" w:space="0" w:color="D9D9E3"/>
                                        <w:right w:val="single" w:sz="2" w:space="0" w:color="D9D9E3"/>
                                      </w:divBdr>
                                      <w:divsChild>
                                        <w:div w:id="2029215897">
                                          <w:marLeft w:val="0"/>
                                          <w:marRight w:val="0"/>
                                          <w:marTop w:val="0"/>
                                          <w:marBottom w:val="0"/>
                                          <w:divBdr>
                                            <w:top w:val="single" w:sz="2" w:space="0" w:color="D9D9E3"/>
                                            <w:left w:val="single" w:sz="2" w:space="0" w:color="D9D9E3"/>
                                            <w:bottom w:val="single" w:sz="2" w:space="0" w:color="D9D9E3"/>
                                            <w:right w:val="single" w:sz="2" w:space="0" w:color="D9D9E3"/>
                                          </w:divBdr>
                                          <w:divsChild>
                                            <w:div w:id="1022168311">
                                              <w:marLeft w:val="0"/>
                                              <w:marRight w:val="0"/>
                                              <w:marTop w:val="0"/>
                                              <w:marBottom w:val="0"/>
                                              <w:divBdr>
                                                <w:top w:val="single" w:sz="2" w:space="0" w:color="D9D9E3"/>
                                                <w:left w:val="single" w:sz="2" w:space="0" w:color="D9D9E3"/>
                                                <w:bottom w:val="single" w:sz="2" w:space="0" w:color="D9D9E3"/>
                                                <w:right w:val="single" w:sz="2" w:space="0" w:color="D9D9E3"/>
                                              </w:divBdr>
                                              <w:divsChild>
                                                <w:div w:id="1721250691">
                                                  <w:marLeft w:val="0"/>
                                                  <w:marRight w:val="0"/>
                                                  <w:marTop w:val="0"/>
                                                  <w:marBottom w:val="0"/>
                                                  <w:divBdr>
                                                    <w:top w:val="single" w:sz="2" w:space="0" w:color="D9D9E3"/>
                                                    <w:left w:val="single" w:sz="2" w:space="0" w:color="D9D9E3"/>
                                                    <w:bottom w:val="single" w:sz="2" w:space="0" w:color="D9D9E3"/>
                                                    <w:right w:val="single" w:sz="2" w:space="0" w:color="D9D9E3"/>
                                                  </w:divBdr>
                                                  <w:divsChild>
                                                    <w:div w:id="1759790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496089">
          <w:marLeft w:val="0"/>
          <w:marRight w:val="0"/>
          <w:marTop w:val="0"/>
          <w:marBottom w:val="0"/>
          <w:divBdr>
            <w:top w:val="single" w:sz="2" w:space="0" w:color="D9D9E3"/>
            <w:left w:val="single" w:sz="2" w:space="0" w:color="D9D9E3"/>
            <w:bottom w:val="single" w:sz="2" w:space="0" w:color="D9D9E3"/>
            <w:right w:val="single" w:sz="2" w:space="0" w:color="D9D9E3"/>
          </w:divBdr>
          <w:divsChild>
            <w:div w:id="1663238918">
              <w:marLeft w:val="0"/>
              <w:marRight w:val="0"/>
              <w:marTop w:val="0"/>
              <w:marBottom w:val="0"/>
              <w:divBdr>
                <w:top w:val="single" w:sz="2" w:space="0" w:color="D9D9E3"/>
                <w:left w:val="single" w:sz="2" w:space="0" w:color="D9D9E3"/>
                <w:bottom w:val="single" w:sz="2" w:space="0" w:color="D9D9E3"/>
                <w:right w:val="single" w:sz="2" w:space="0" w:color="D9D9E3"/>
              </w:divBdr>
              <w:divsChild>
                <w:div w:id="1821580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74195548">
      <w:bodyDiv w:val="1"/>
      <w:marLeft w:val="0"/>
      <w:marRight w:val="0"/>
      <w:marTop w:val="0"/>
      <w:marBottom w:val="0"/>
      <w:divBdr>
        <w:top w:val="none" w:sz="0" w:space="0" w:color="auto"/>
        <w:left w:val="none" w:sz="0" w:space="0" w:color="auto"/>
        <w:bottom w:val="none" w:sz="0" w:space="0" w:color="auto"/>
        <w:right w:val="none" w:sz="0" w:space="0" w:color="auto"/>
      </w:divBdr>
    </w:div>
    <w:div w:id="1064719263">
      <w:bodyDiv w:val="1"/>
      <w:marLeft w:val="0"/>
      <w:marRight w:val="0"/>
      <w:marTop w:val="0"/>
      <w:marBottom w:val="0"/>
      <w:divBdr>
        <w:top w:val="none" w:sz="0" w:space="0" w:color="auto"/>
        <w:left w:val="none" w:sz="0" w:space="0" w:color="auto"/>
        <w:bottom w:val="none" w:sz="0" w:space="0" w:color="auto"/>
        <w:right w:val="none" w:sz="0" w:space="0" w:color="auto"/>
      </w:divBdr>
    </w:div>
    <w:div w:id="1108738780">
      <w:bodyDiv w:val="1"/>
      <w:marLeft w:val="0"/>
      <w:marRight w:val="0"/>
      <w:marTop w:val="0"/>
      <w:marBottom w:val="0"/>
      <w:divBdr>
        <w:top w:val="none" w:sz="0" w:space="0" w:color="auto"/>
        <w:left w:val="none" w:sz="0" w:space="0" w:color="auto"/>
        <w:bottom w:val="none" w:sz="0" w:space="0" w:color="auto"/>
        <w:right w:val="none" w:sz="0" w:space="0" w:color="auto"/>
      </w:divBdr>
    </w:div>
    <w:div w:id="1117992567">
      <w:bodyDiv w:val="1"/>
      <w:marLeft w:val="0"/>
      <w:marRight w:val="0"/>
      <w:marTop w:val="0"/>
      <w:marBottom w:val="0"/>
      <w:divBdr>
        <w:top w:val="none" w:sz="0" w:space="0" w:color="auto"/>
        <w:left w:val="none" w:sz="0" w:space="0" w:color="auto"/>
        <w:bottom w:val="none" w:sz="0" w:space="0" w:color="auto"/>
        <w:right w:val="none" w:sz="0" w:space="0" w:color="auto"/>
      </w:divBdr>
    </w:div>
    <w:div w:id="1175151535">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89555982">
      <w:bodyDiv w:val="1"/>
      <w:marLeft w:val="0"/>
      <w:marRight w:val="0"/>
      <w:marTop w:val="0"/>
      <w:marBottom w:val="0"/>
      <w:divBdr>
        <w:top w:val="none" w:sz="0" w:space="0" w:color="auto"/>
        <w:left w:val="none" w:sz="0" w:space="0" w:color="auto"/>
        <w:bottom w:val="none" w:sz="0" w:space="0" w:color="auto"/>
        <w:right w:val="none" w:sz="0" w:space="0" w:color="auto"/>
      </w:divBdr>
    </w:div>
    <w:div w:id="1402798103">
      <w:bodyDiv w:val="1"/>
      <w:marLeft w:val="0"/>
      <w:marRight w:val="0"/>
      <w:marTop w:val="0"/>
      <w:marBottom w:val="0"/>
      <w:divBdr>
        <w:top w:val="none" w:sz="0" w:space="0" w:color="auto"/>
        <w:left w:val="none" w:sz="0" w:space="0" w:color="auto"/>
        <w:bottom w:val="none" w:sz="0" w:space="0" w:color="auto"/>
        <w:right w:val="none" w:sz="0" w:space="0" w:color="auto"/>
      </w:divBdr>
    </w:div>
    <w:div w:id="1453938454">
      <w:bodyDiv w:val="1"/>
      <w:marLeft w:val="0"/>
      <w:marRight w:val="0"/>
      <w:marTop w:val="0"/>
      <w:marBottom w:val="0"/>
      <w:divBdr>
        <w:top w:val="none" w:sz="0" w:space="0" w:color="auto"/>
        <w:left w:val="none" w:sz="0" w:space="0" w:color="auto"/>
        <w:bottom w:val="none" w:sz="0" w:space="0" w:color="auto"/>
        <w:right w:val="none" w:sz="0" w:space="0" w:color="auto"/>
      </w:divBdr>
    </w:div>
    <w:div w:id="1524392605">
      <w:bodyDiv w:val="1"/>
      <w:marLeft w:val="0"/>
      <w:marRight w:val="0"/>
      <w:marTop w:val="0"/>
      <w:marBottom w:val="0"/>
      <w:divBdr>
        <w:top w:val="none" w:sz="0" w:space="0" w:color="auto"/>
        <w:left w:val="none" w:sz="0" w:space="0" w:color="auto"/>
        <w:bottom w:val="none" w:sz="0" w:space="0" w:color="auto"/>
        <w:right w:val="none" w:sz="0" w:space="0" w:color="auto"/>
      </w:divBdr>
    </w:div>
    <w:div w:id="1595898818">
      <w:bodyDiv w:val="1"/>
      <w:marLeft w:val="0"/>
      <w:marRight w:val="0"/>
      <w:marTop w:val="0"/>
      <w:marBottom w:val="0"/>
      <w:divBdr>
        <w:top w:val="none" w:sz="0" w:space="0" w:color="auto"/>
        <w:left w:val="none" w:sz="0" w:space="0" w:color="auto"/>
        <w:bottom w:val="none" w:sz="0" w:space="0" w:color="auto"/>
        <w:right w:val="none" w:sz="0" w:space="0" w:color="auto"/>
      </w:divBdr>
    </w:div>
    <w:div w:id="1700004974">
      <w:bodyDiv w:val="1"/>
      <w:marLeft w:val="0"/>
      <w:marRight w:val="0"/>
      <w:marTop w:val="0"/>
      <w:marBottom w:val="0"/>
      <w:divBdr>
        <w:top w:val="none" w:sz="0" w:space="0" w:color="auto"/>
        <w:left w:val="none" w:sz="0" w:space="0" w:color="auto"/>
        <w:bottom w:val="none" w:sz="0" w:space="0" w:color="auto"/>
        <w:right w:val="none" w:sz="0" w:space="0" w:color="auto"/>
      </w:divBdr>
    </w:div>
    <w:div w:id="1898776820">
      <w:bodyDiv w:val="1"/>
      <w:marLeft w:val="0"/>
      <w:marRight w:val="0"/>
      <w:marTop w:val="0"/>
      <w:marBottom w:val="0"/>
      <w:divBdr>
        <w:top w:val="none" w:sz="0" w:space="0" w:color="auto"/>
        <w:left w:val="none" w:sz="0" w:space="0" w:color="auto"/>
        <w:bottom w:val="none" w:sz="0" w:space="0" w:color="auto"/>
        <w:right w:val="none" w:sz="0" w:space="0" w:color="auto"/>
      </w:divBdr>
    </w:div>
    <w:div w:id="1900240855">
      <w:bodyDiv w:val="1"/>
      <w:marLeft w:val="0"/>
      <w:marRight w:val="0"/>
      <w:marTop w:val="0"/>
      <w:marBottom w:val="0"/>
      <w:divBdr>
        <w:top w:val="none" w:sz="0" w:space="0" w:color="auto"/>
        <w:left w:val="none" w:sz="0" w:space="0" w:color="auto"/>
        <w:bottom w:val="none" w:sz="0" w:space="0" w:color="auto"/>
        <w:right w:val="none" w:sz="0" w:space="0" w:color="auto"/>
      </w:divBdr>
    </w:div>
    <w:div w:id="1960449265">
      <w:bodyDiv w:val="1"/>
      <w:marLeft w:val="0"/>
      <w:marRight w:val="0"/>
      <w:marTop w:val="0"/>
      <w:marBottom w:val="0"/>
      <w:divBdr>
        <w:top w:val="none" w:sz="0" w:space="0" w:color="auto"/>
        <w:left w:val="none" w:sz="0" w:space="0" w:color="auto"/>
        <w:bottom w:val="none" w:sz="0" w:space="0" w:color="auto"/>
        <w:right w:val="none" w:sz="0" w:space="0" w:color="auto"/>
      </w:divBdr>
    </w:div>
    <w:div w:id="2033727400">
      <w:bodyDiv w:val="1"/>
      <w:marLeft w:val="0"/>
      <w:marRight w:val="0"/>
      <w:marTop w:val="0"/>
      <w:marBottom w:val="0"/>
      <w:divBdr>
        <w:top w:val="none" w:sz="0" w:space="0" w:color="auto"/>
        <w:left w:val="none" w:sz="0" w:space="0" w:color="auto"/>
        <w:bottom w:val="none" w:sz="0" w:space="0" w:color="auto"/>
        <w:right w:val="none" w:sz="0" w:space="0" w:color="auto"/>
      </w:divBdr>
      <w:divsChild>
        <w:div w:id="600071891">
          <w:marLeft w:val="0"/>
          <w:marRight w:val="0"/>
          <w:marTop w:val="0"/>
          <w:marBottom w:val="0"/>
          <w:divBdr>
            <w:top w:val="none" w:sz="0" w:space="0" w:color="auto"/>
            <w:left w:val="none" w:sz="0" w:space="0" w:color="auto"/>
            <w:bottom w:val="none" w:sz="0" w:space="0" w:color="auto"/>
            <w:right w:val="none" w:sz="0" w:space="0" w:color="auto"/>
          </w:divBdr>
          <w:divsChild>
            <w:div w:id="1587349669">
              <w:marLeft w:val="0"/>
              <w:marRight w:val="0"/>
              <w:marTop w:val="0"/>
              <w:marBottom w:val="0"/>
              <w:divBdr>
                <w:top w:val="none" w:sz="0" w:space="0" w:color="auto"/>
                <w:left w:val="none" w:sz="0" w:space="0" w:color="auto"/>
                <w:bottom w:val="none" w:sz="0" w:space="0" w:color="auto"/>
                <w:right w:val="none" w:sz="0" w:space="0" w:color="auto"/>
              </w:divBdr>
              <w:divsChild>
                <w:div w:id="10683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26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Est19</b:Tag>
    <b:SourceType>Report</b:SourceType>
    <b:Guid>{D5354D98-E334-0D44-A2B2-5FBB41D9B992}</b:Guid>
    <b:Author>
      <b:Author>
        <b:Corporate>Estyn</b:Corporate>
      </b:Author>
    </b:Author>
    <b:Title>Enabling pupils to become independant learners</b:Title>
    <b:Publisher>Estyn</b:Publisher>
    <b:City>Wales</b:City>
    <b:Year>2019</b:Year>
    <b:RefOrder>9</b:RefOrder>
  </b:Source>
  <b:Source>
    <b:Tag>Est23</b:Tag>
    <b:SourceType>Report</b:SourceType>
    <b:Guid>{16DDFB00-3620-9645-A0D3-9ADC6FB31DC0}</b:Guid>
    <b:Author>
      <b:Author>
        <b:Corporate>Estyn</b:Corporate>
      </b:Author>
    </b:Author>
    <b:Title>A report on Parkland Primary School</b:Title>
    <b:Publisher>Estyn </b:Publisher>
    <b:City>Swansea</b:City>
    <b:Year>2023</b:Year>
    <b:RefOrder>3</b:RefOrder>
  </b:Source>
  <b:Source>
    <b:Tag>Wel23</b:Tag>
    <b:SourceType>Report</b:SourceType>
    <b:Guid>{0BE3E25F-A819-1445-AB94-C4298CDF1FF1}</b:Guid>
    <b:Author>
      <b:Author>
        <b:Corporate>Welsh Government</b:Corporate>
      </b:Author>
    </b:Author>
    <b:Title>Schools' census results: January 2023</b:Title>
    <b:Publisher>Welsh Goverenment</b:Publisher>
    <b:City>Wales</b:City>
    <b:Year>2023</b:Year>
    <b:RefOrder>10</b:RefOrder>
  </b:Source>
  <b:Source>
    <b:Tag>Mic22</b:Tag>
    <b:SourceType>JournalArticle</b:SourceType>
    <b:Guid>{01F2C977-4A06-DA4B-9C08-AB3368369529}</b:Guid>
    <b:Title>Re-energising the school improvement agenda</b:Title>
    <b:Year>2022</b:Year>
    <b:Author>
      <b:Author>
        <b:NameList>
          <b:Person>
            <b:Last>Dauncey</b:Last>
            <b:First>Michael</b:First>
          </b:Person>
        </b:NameList>
      </b:Author>
    </b:Author>
    <b:JournalName>Senedd Research</b:JournalName>
    <b:RefOrder>11</b:RefOrder>
  </b:Source>
  <b:Source>
    <b:Tag>How83</b:Tag>
    <b:SourceType>Book</b:SourceType>
    <b:Guid>{3DFCC643-837C-2E4A-AFBE-0C063B54C9E9}</b:Guid>
    <b:Title>Frames of Mind: The thory of multiple intelligences</b:Title>
    <b:Year>1983</b:Year>
    <b:Author>
      <b:Author>
        <b:NameList>
          <b:Person>
            <b:Last>Gardner</b:Last>
            <b:First>Howard</b:First>
          </b:Person>
        </b:NameList>
      </b:Author>
    </b:Author>
    <b:City>New York</b:City>
    <b:Publisher>Basic Books</b:Publisher>
    <b:Edition>1</b:Edition>
    <b:RefOrder>2</b:RefOrder>
  </b:Source>
  <b:Source>
    <b:Tag>Joh09</b:Tag>
    <b:SourceType>Book</b:SourceType>
    <b:Guid>{976FFDCD-85F5-EF45-8452-8846E3C4C304}</b:Guid>
    <b:Author>
      <b:Author>
        <b:NameList>
          <b:Person>
            <b:Last>Hattie</b:Last>
            <b:First>John</b:First>
          </b:Person>
        </b:NameList>
      </b:Author>
    </b:Author>
    <b:Title>Visible Learning: A Synthesis of Over 800 Meta-Analyses Relating to Achievement</b:Title>
    <b:City>New York</b:City>
    <b:Publisher>Routledge</b:Publisher>
    <b:Year>2009</b:Year>
    <b:Edition>1</b:Edition>
    <b:RefOrder>12</b:RefOrder>
  </b:Source>
  <b:Source>
    <b:Tag>Dav84</b:Tag>
    <b:SourceType>Book</b:SourceType>
    <b:Guid>{A14647A0-0E92-9B4D-98E3-93005BD0B5D2}</b:Guid>
    <b:Author>
      <b:Author>
        <b:NameList>
          <b:Person>
            <b:Last>Kolb</b:Last>
            <b:First>David</b:First>
          </b:Person>
        </b:NameList>
      </b:Author>
    </b:Author>
    <b:Title>Experiential learning: Experience as the source of learning and development</b:Title>
    <b:City>New Jersey</b:City>
    <b:Publisher>Prentice Hall</b:Publisher>
    <b:Year>1984</b:Year>
    <b:Edition>2</b:Edition>
    <b:RefOrder>4</b:RefOrder>
  </b:Source>
  <b:Source>
    <b:Tag>Lev78</b:Tag>
    <b:SourceType>Book</b:SourceType>
    <b:Guid>{4F2B814C-7040-4949-B190-3DDD904FA506}</b:Guid>
    <b:Author>
      <b:Author>
        <b:NameList>
          <b:Person>
            <b:Last>Vygotsky</b:Last>
            <b:First>Lev</b:First>
          </b:Person>
        </b:NameList>
      </b:Author>
    </b:Author>
    <b:Title>Mind in Society: The Development of Higher Psychological Processes</b:Title>
    <b:City>Cambridge</b:City>
    <b:Publisher>Harvard University Press</b:Publisher>
    <b:Year>1978</b:Year>
    <b:Edition>Revised</b:Edition>
    <b:RefOrder>5</b:RefOrder>
  </b:Source>
  <b:Source>
    <b:Tag>Dav14</b:Tag>
    <b:SourceType>Book</b:SourceType>
    <b:Guid>{D124987A-9776-5540-AF73-A79B6C7B943E}</b:Guid>
    <b:Author>
      <b:Author>
        <b:NameList>
          <b:Person>
            <b:Last>David Merrill</b:Last>
            <b:First>Charles</b:First>
            <b:Middle>Reigeluth, Laura W Ruel, Jason Su</b:Middle>
          </b:Person>
        </b:NameList>
      </b:Author>
    </b:Author>
    <b:Title>Self-Directed Learning: Emerging Theory and Practice in Digital Age</b:Title>
    <b:City>New York</b:City>
    <b:Publisher>Routledge </b:Publisher>
    <b:Year>2014</b:Year>
    <b:Edition>1</b:Edition>
    <b:RefOrder>6</b:RefOrder>
  </b:Source>
  <b:Source>
    <b:Tag>Cha12</b:Tag>
    <b:SourceType>Book</b:SourceType>
    <b:Guid>{61AE2515-6073-2C42-A832-242F8460A15F}</b:Guid>
    <b:Author>
      <b:Author>
        <b:NameList>
          <b:Person>
            <b:Last>Duhigg</b:Last>
            <b:First>Charles</b:First>
          </b:Person>
        </b:NameList>
      </b:Author>
    </b:Author>
    <b:Title>The Power of Habit: Why We Do What We Do In Life and Business</b:Title>
    <b:City>New York</b:City>
    <b:Publisher>Random House</b:Publisher>
    <b:Year>2012</b:Year>
    <b:Edition> 1</b:Edition>
    <b:RefOrder>7</b:RefOrder>
  </b:Source>
  <b:Source>
    <b:Tag>Lis15</b:Tag>
    <b:SourceType>Book</b:SourceType>
    <b:Guid>{9438FB70-D707-2849-936F-8BF1B827C79A}</b:Guid>
    <b:Author>
      <b:Author>
        <b:NameList>
          <b:Person>
            <b:Last>Lisa Daly</b:Last>
            <b:First>Miriam</b:First>
            <b:Middle>Beloglovsky</b:Middle>
          </b:Person>
        </b:NameList>
      </b:Author>
    </b:Author>
    <b:Title>Loose Parts: Inspiring Play in Young Children</b:Title>
    <b:City>Minnesota </b:City>
    <b:Publisher>Redleaf press </b:Publisher>
    <b:Year>2015</b:Year>
    <b:Edition>1</b:Edition>
    <b:RefOrder>13</b:RefOrder>
  </b:Source>
  <b:Source>
    <b:Tag>OEC18</b:Tag>
    <b:SourceType>Report</b:SourceType>
    <b:Guid>{95394B55-CC76-B64F-9C99-1CD87C4CEAD2}</b:Guid>
    <b:Author>
      <b:Author>
        <b:NameList>
          <b:Person>
            <b:Last>OECD</b:Last>
          </b:Person>
        </b:NameList>
      </b:Author>
    </b:Author>
    <b:Title>Imroving Schools in Wales: An OECD Perspective</b:Title>
    <b:City>Paris</b:City>
    <b:Publisher>OECD</b:Publisher>
    <b:Year>2018</b:Year>
    <b:RefOrder>1</b:RefOrder>
  </b:Source>
  <b:Source>
    <b:Tag>Jam02</b:Tag>
    <b:SourceType>Book</b:SourceType>
    <b:Guid>{764B995D-503C-A146-A44E-F592291E9C1B}</b:Guid>
    <b:Title>Qualities of Effective Teachers</b:Title>
    <b:Publisher>Association for Supervision and Curriculum Development (ASCD)</b:Publisher>
    <b:City>USA</b:City>
    <b:Year>2002</b:Year>
    <b:Author>
      <b:Author>
        <b:NameList>
          <b:Person>
            <b:Last>Stronge</b:Last>
            <b:First>James</b:First>
            <b:Middle>H</b:Middle>
          </b:Person>
        </b:NameList>
      </b:Author>
    </b:Author>
    <b:Edition>1</b:Edition>
    <b:RefOrder>14</b:RefOrder>
  </b:Source>
  <b:Source>
    <b:Tag>Col89</b:Tag>
    <b:SourceType>BookSection</b:SourceType>
    <b:Guid>{AF1F313E-0181-AA4F-AB24-78CC38849702}</b:Guid>
    <b:Title>Cognitive apprenticeship: Teaching the crafts or reading, writing and mathematics.</b:Title>
    <b:City>Mahwah, New Jersey, USA</b:City>
    <b:Publisher>Lawrence Erlbaum Associates</b:Publisher>
    <b:Year>1989</b:Year>
    <b:Author>
      <b:Author>
        <b:NameList>
          <b:Person>
            <b:Last>Collins</b:Last>
            <b:First>Brown,</b:First>
            <b:Middle>Newman</b:Middle>
          </b:Person>
        </b:NameList>
      </b:Author>
      <b:Editor>
        <b:NameList>
          <b:Person>
            <b:Last>Resnick</b:Last>
            <b:First>Lauren</b:First>
            <b:Middle>B.</b:Middle>
          </b:Person>
        </b:NameList>
      </b:Editor>
    </b:Author>
    <b:BookTitle>Knowing, Learning, and Instruction: Essays in Honor of Rober Glaser</b:BookTitle>
    <b:Pages>453-494</b:Pages>
    <b:RefOrder>8</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83CD99-B26C-9D4B-A976-E26AB4F405C6}">
  <ds:schemaRefs>
    <ds:schemaRef ds:uri="http://schemas.openxmlformats.org/officeDocument/2006/bibliography"/>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891</TotalTime>
  <Pages>10</Pages>
  <Words>3592</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Lauren Greenhill (2012008)</cp:lastModifiedBy>
  <cp:revision>108</cp:revision>
  <dcterms:created xsi:type="dcterms:W3CDTF">2024-01-30T10:56:00Z</dcterms:created>
  <dcterms:modified xsi:type="dcterms:W3CDTF">2024-06-05T09:47:00Z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