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94AB6" w14:textId="77777777" w:rsidR="00725ED0" w:rsidRDefault="00725ED0" w:rsidP="00831E14">
      <w:pPr>
        <w:spacing w:after="0" w:line="240" w:lineRule="auto"/>
        <w:rPr>
          <w:rFonts w:ascii="Times New Roman" w:eastAsia="Times New Roman" w:hAnsi="Times New Roman" w:cs="Times New Roman"/>
          <w:b/>
          <w:bCs/>
          <w:i/>
          <w:iCs/>
          <w:kern w:val="0"/>
          <w:sz w:val="32"/>
          <w:szCs w:val="32"/>
          <w:lang w:eastAsia="ro-RO"/>
          <w14:ligatures w14:val="none"/>
        </w:rPr>
      </w:pPr>
    </w:p>
    <w:p w14:paraId="2A3B2103" w14:textId="77777777" w:rsidR="00725ED0" w:rsidRDefault="00725ED0" w:rsidP="00831E14">
      <w:pPr>
        <w:spacing w:after="0" w:line="240" w:lineRule="auto"/>
        <w:rPr>
          <w:rFonts w:ascii="Times New Roman" w:eastAsia="Times New Roman" w:hAnsi="Times New Roman" w:cs="Times New Roman"/>
          <w:b/>
          <w:bCs/>
          <w:i/>
          <w:iCs/>
          <w:kern w:val="0"/>
          <w:sz w:val="32"/>
          <w:szCs w:val="32"/>
          <w:lang w:eastAsia="ro-RO"/>
          <w14:ligatures w14:val="none"/>
        </w:rPr>
      </w:pPr>
    </w:p>
    <w:p w14:paraId="5D4EE39E" w14:textId="77777777" w:rsidR="00725ED0" w:rsidRDefault="00725ED0" w:rsidP="00831E14">
      <w:pPr>
        <w:spacing w:after="0" w:line="240" w:lineRule="auto"/>
        <w:rPr>
          <w:rFonts w:ascii="Times New Roman" w:eastAsia="Times New Roman" w:hAnsi="Times New Roman" w:cs="Times New Roman"/>
          <w:b/>
          <w:bCs/>
          <w:i/>
          <w:iCs/>
          <w:kern w:val="0"/>
          <w:sz w:val="32"/>
          <w:szCs w:val="32"/>
          <w:lang w:eastAsia="ro-RO"/>
          <w14:ligatures w14:val="none"/>
        </w:rPr>
      </w:pPr>
    </w:p>
    <w:p w14:paraId="565194DD" w14:textId="760C4DB7" w:rsidR="00725ED0" w:rsidRDefault="00725ED0" w:rsidP="00831E14">
      <w:pPr>
        <w:spacing w:after="0" w:line="240" w:lineRule="auto"/>
        <w:rPr>
          <w:rFonts w:ascii="Times New Roman" w:eastAsia="Times New Roman" w:hAnsi="Times New Roman" w:cs="Times New Roman"/>
          <w:b/>
          <w:bCs/>
          <w:i/>
          <w:iCs/>
          <w:kern w:val="0"/>
          <w:sz w:val="32"/>
          <w:szCs w:val="32"/>
          <w:lang w:eastAsia="ro-RO"/>
          <w14:ligatures w14:val="none"/>
        </w:rPr>
      </w:pPr>
      <w:r>
        <w:rPr>
          <w:rFonts w:ascii="Times New Roman" w:eastAsia="Times New Roman" w:hAnsi="Times New Roman" w:cs="Times New Roman"/>
          <w:b/>
          <w:bCs/>
          <w:i/>
          <w:iCs/>
          <w:noProof/>
          <w:kern w:val="0"/>
          <w:sz w:val="32"/>
          <w:szCs w:val="32"/>
          <w:lang w:eastAsia="ro-RO"/>
          <w14:ligatures w14:val="none"/>
        </w:rPr>
        <w:drawing>
          <wp:inline distT="0" distB="0" distL="0" distR="0" wp14:anchorId="31E148C5" wp14:editId="032F72C2">
            <wp:extent cx="1857217" cy="752475"/>
            <wp:effectExtent l="0" t="0" r="0" b="0"/>
            <wp:docPr id="577223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63741" cy="755118"/>
                    </a:xfrm>
                    <a:prstGeom prst="rect">
                      <a:avLst/>
                    </a:prstGeom>
                    <a:noFill/>
                  </pic:spPr>
                </pic:pic>
              </a:graphicData>
            </a:graphic>
          </wp:inline>
        </w:drawing>
      </w:r>
    </w:p>
    <w:p w14:paraId="3A0867BF" w14:textId="77777777" w:rsidR="00725ED0" w:rsidRDefault="00725ED0" w:rsidP="00831E14">
      <w:pPr>
        <w:spacing w:after="0" w:line="240" w:lineRule="auto"/>
        <w:rPr>
          <w:rFonts w:ascii="Times New Roman" w:eastAsia="Times New Roman" w:hAnsi="Times New Roman" w:cs="Times New Roman"/>
          <w:b/>
          <w:bCs/>
          <w:i/>
          <w:iCs/>
          <w:kern w:val="0"/>
          <w:sz w:val="32"/>
          <w:szCs w:val="32"/>
          <w:lang w:eastAsia="ro-RO"/>
          <w14:ligatures w14:val="none"/>
        </w:rPr>
      </w:pPr>
    </w:p>
    <w:p w14:paraId="3D05AAA9" w14:textId="77777777" w:rsidR="00725ED0" w:rsidRDefault="00725ED0" w:rsidP="00831E14">
      <w:pPr>
        <w:spacing w:after="0" w:line="240" w:lineRule="auto"/>
        <w:rPr>
          <w:rFonts w:ascii="Times New Roman" w:eastAsia="Times New Roman" w:hAnsi="Times New Roman" w:cs="Times New Roman"/>
          <w:b/>
          <w:bCs/>
          <w:i/>
          <w:iCs/>
          <w:kern w:val="0"/>
          <w:sz w:val="32"/>
          <w:szCs w:val="32"/>
          <w:lang w:eastAsia="ro-RO"/>
          <w14:ligatures w14:val="none"/>
        </w:rPr>
      </w:pPr>
    </w:p>
    <w:p w14:paraId="3405B9F3" w14:textId="2AB31EEE" w:rsidR="00831E14" w:rsidRPr="00831E14" w:rsidRDefault="00831E14" w:rsidP="00831E14">
      <w:pPr>
        <w:spacing w:after="0" w:line="240" w:lineRule="auto"/>
        <w:rPr>
          <w:rFonts w:ascii="Times New Roman" w:eastAsia="Times New Roman" w:hAnsi="Times New Roman" w:cs="Times New Roman"/>
          <w:b/>
          <w:bCs/>
          <w:i/>
          <w:iCs/>
          <w:kern w:val="0"/>
          <w:sz w:val="32"/>
          <w:szCs w:val="32"/>
          <w:lang w:eastAsia="ro-RO"/>
          <w14:ligatures w14:val="none"/>
        </w:rPr>
      </w:pPr>
      <w:r w:rsidRPr="00831E14">
        <w:rPr>
          <w:rFonts w:ascii="Times New Roman" w:eastAsia="Times New Roman" w:hAnsi="Times New Roman" w:cs="Times New Roman"/>
          <w:b/>
          <w:bCs/>
          <w:i/>
          <w:iCs/>
          <w:kern w:val="0"/>
          <w:sz w:val="32"/>
          <w:szCs w:val="32"/>
          <w:lang w:eastAsia="ro-RO"/>
          <w14:ligatures w14:val="none"/>
        </w:rPr>
        <w:t xml:space="preserve">A Case Study of </w:t>
      </w:r>
      <w:r w:rsidR="000050E8">
        <w:rPr>
          <w:rFonts w:ascii="Times New Roman" w:eastAsia="Times New Roman" w:hAnsi="Times New Roman" w:cs="Times New Roman"/>
          <w:b/>
          <w:bCs/>
          <w:i/>
          <w:iCs/>
          <w:kern w:val="0"/>
          <w:sz w:val="32"/>
          <w:szCs w:val="32"/>
          <w:lang w:eastAsia="ro-RO"/>
          <w14:ligatures w14:val="none"/>
        </w:rPr>
        <w:t>Lloyds</w:t>
      </w:r>
      <w:r w:rsidRPr="00831E14">
        <w:rPr>
          <w:rFonts w:ascii="Times New Roman" w:eastAsia="Times New Roman" w:hAnsi="Times New Roman" w:cs="Times New Roman"/>
          <w:b/>
          <w:bCs/>
          <w:i/>
          <w:iCs/>
          <w:kern w:val="0"/>
          <w:sz w:val="32"/>
          <w:szCs w:val="32"/>
          <w:lang w:eastAsia="ro-RO"/>
          <w14:ligatures w14:val="none"/>
        </w:rPr>
        <w:t xml:space="preserve"> UK: Stakeholder Engagement in Office Consolidation </w:t>
      </w:r>
      <w:r w:rsidRPr="00831E14">
        <w:rPr>
          <w:rFonts w:ascii="Times New Roman" w:eastAsia="Times New Roman" w:hAnsi="Times New Roman" w:cs="Times New Roman"/>
          <w:b/>
          <w:bCs/>
          <w:i/>
          <w:iCs/>
          <w:kern w:val="0"/>
          <w:sz w:val="32"/>
          <w:szCs w:val="32"/>
          <w:lang w:eastAsia="ro-RO"/>
          <w14:ligatures w14:val="none"/>
        </w:rPr>
        <w:br/>
      </w:r>
      <w:r w:rsidRPr="00831E14">
        <w:rPr>
          <w:rFonts w:ascii="Times New Roman" w:eastAsia="Times New Roman" w:hAnsi="Times New Roman" w:cs="Times New Roman"/>
          <w:b/>
          <w:bCs/>
          <w:i/>
          <w:iCs/>
          <w:kern w:val="0"/>
          <w:sz w:val="32"/>
          <w:szCs w:val="32"/>
          <w:lang w:eastAsia="ro-RO"/>
          <w14:ligatures w14:val="none"/>
        </w:rPr>
        <w:br/>
        <w:t xml:space="preserve">Report for School </w:t>
      </w:r>
      <w:r w:rsidRPr="00831E14">
        <w:rPr>
          <w:rFonts w:ascii="Times New Roman" w:eastAsia="Times New Roman" w:hAnsi="Times New Roman" w:cs="Times New Roman"/>
          <w:b/>
          <w:bCs/>
          <w:i/>
          <w:iCs/>
          <w:kern w:val="0"/>
          <w:sz w:val="32"/>
          <w:szCs w:val="32"/>
          <w:lang w:eastAsia="ro-RO"/>
          <w14:ligatures w14:val="none"/>
        </w:rPr>
        <w:br/>
      </w:r>
      <w:r w:rsidRPr="00831E14">
        <w:rPr>
          <w:rFonts w:ascii="Times New Roman" w:eastAsia="Times New Roman" w:hAnsi="Times New Roman" w:cs="Times New Roman"/>
          <w:b/>
          <w:bCs/>
          <w:i/>
          <w:iCs/>
          <w:kern w:val="0"/>
          <w:sz w:val="32"/>
          <w:szCs w:val="32"/>
          <w:lang w:eastAsia="ro-RO"/>
          <w14:ligatures w14:val="none"/>
        </w:rPr>
        <w:br/>
        <w:t xml:space="preserve">Sent by: </w:t>
      </w:r>
      <w:r w:rsidR="00725ED0">
        <w:rPr>
          <w:rFonts w:ascii="Times New Roman" w:eastAsia="Times New Roman" w:hAnsi="Times New Roman" w:cs="Times New Roman"/>
          <w:b/>
          <w:bCs/>
          <w:i/>
          <w:iCs/>
          <w:kern w:val="0"/>
          <w:sz w:val="32"/>
          <w:szCs w:val="32"/>
          <w:lang w:eastAsia="ro-RO"/>
          <w14:ligatures w14:val="none"/>
        </w:rPr>
        <w:t>Raul Andrei Margel</w:t>
      </w:r>
      <w:r w:rsidRPr="00831E14">
        <w:rPr>
          <w:rFonts w:ascii="Times New Roman" w:eastAsia="Times New Roman" w:hAnsi="Times New Roman" w:cs="Times New Roman"/>
          <w:b/>
          <w:bCs/>
          <w:i/>
          <w:iCs/>
          <w:kern w:val="0"/>
          <w:sz w:val="32"/>
          <w:szCs w:val="32"/>
          <w:lang w:eastAsia="ro-RO"/>
          <w14:ligatures w14:val="none"/>
        </w:rPr>
        <w:br/>
        <w:t>Student ID Number</w:t>
      </w:r>
      <w:r w:rsidR="00725ED0">
        <w:rPr>
          <w:rFonts w:ascii="Times New Roman" w:eastAsia="Times New Roman" w:hAnsi="Times New Roman" w:cs="Times New Roman"/>
          <w:b/>
          <w:bCs/>
          <w:i/>
          <w:iCs/>
          <w:kern w:val="0"/>
          <w:sz w:val="32"/>
          <w:szCs w:val="32"/>
          <w:lang w:eastAsia="ro-RO"/>
          <w14:ligatures w14:val="none"/>
        </w:rPr>
        <w:t>:2334867</w:t>
      </w:r>
    </w:p>
    <w:p w14:paraId="62E2EE6B" w14:textId="77777777" w:rsidR="00831E14" w:rsidRDefault="00831E14" w:rsidP="00FD2305">
      <w:pPr>
        <w:spacing w:after="0" w:line="240" w:lineRule="auto"/>
        <w:rPr>
          <w:rFonts w:ascii="Times New Roman" w:eastAsia="Times New Roman" w:hAnsi="Times New Roman" w:cs="Times New Roman"/>
          <w:b/>
          <w:bCs/>
          <w:i/>
          <w:iCs/>
          <w:kern w:val="0"/>
          <w:sz w:val="32"/>
          <w:szCs w:val="32"/>
          <w:lang w:eastAsia="ro-RO"/>
          <w14:ligatures w14:val="none"/>
        </w:rPr>
      </w:pPr>
    </w:p>
    <w:p w14:paraId="0347F3EA" w14:textId="77777777" w:rsidR="00831E14" w:rsidRPr="000050E8" w:rsidRDefault="00831E14" w:rsidP="00FD2305">
      <w:pPr>
        <w:spacing w:after="0" w:line="240" w:lineRule="auto"/>
        <w:rPr>
          <w:rFonts w:ascii="Times New Roman" w:eastAsia="Times New Roman" w:hAnsi="Times New Roman" w:cs="Times New Roman"/>
          <w:b/>
          <w:bCs/>
          <w:i/>
          <w:iCs/>
          <w:kern w:val="0"/>
          <w:sz w:val="32"/>
          <w:szCs w:val="32"/>
          <w:lang w:eastAsia="ro-RO"/>
          <w14:ligatures w14:val="none"/>
        </w:rPr>
      </w:pPr>
    </w:p>
    <w:p w14:paraId="0E6C4B12" w14:textId="77777777" w:rsidR="000050E8" w:rsidRPr="000050E8" w:rsidRDefault="000050E8" w:rsidP="000050E8">
      <w:pPr>
        <w:spacing w:after="0" w:line="240" w:lineRule="auto"/>
        <w:rPr>
          <w:rFonts w:ascii="Times New Roman" w:eastAsia="Times New Roman" w:hAnsi="Times New Roman" w:cs="Times New Roman"/>
          <w:b/>
          <w:bCs/>
          <w:i/>
          <w:iCs/>
          <w:kern w:val="0"/>
          <w:sz w:val="32"/>
          <w:szCs w:val="32"/>
          <w:lang w:eastAsia="ro-RO"/>
          <w14:ligatures w14:val="none"/>
        </w:rPr>
      </w:pPr>
      <w:r w:rsidRPr="000050E8">
        <w:rPr>
          <w:rFonts w:ascii="Times New Roman" w:eastAsia="Times New Roman" w:hAnsi="Times New Roman" w:cs="Times New Roman"/>
          <w:b/>
          <w:bCs/>
          <w:i/>
          <w:iCs/>
          <w:kern w:val="0"/>
          <w:sz w:val="32"/>
          <w:szCs w:val="32"/>
          <w:lang w:eastAsia="ro-RO"/>
          <w14:ligatures w14:val="none"/>
        </w:rPr>
        <w:t>The History Of Lloyds Bank</w:t>
      </w:r>
    </w:p>
    <w:p w14:paraId="6B88A636"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745D5A0E"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Founded in 1765, Lloyds Bank is one of the U.K.'s most historic banks. Based in Birmingham, it has grown to become a major U.K. Retail and Commercial Banking Institution, with an acquisition of HBOS in 2009 during the global financial crisis increasing Lloyds' market share in retail and mortgage banking and creating the U.K.'s largest domestic bank by customer numbers. After the financial crisis, Lloyds Banking Group was required to undergo significant regulatory reform that required it to be organized as a "ring-fenced" bank with primary focus on UK retail banking, commercial banking and wealth management.</w:t>
      </w:r>
    </w:p>
    <w:p w14:paraId="3C54AF6A"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17DA57BE"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As of 2023, Lloyds Banking Group reported a profit before tax of £18.8 Billion and had a common equity tier 1 (CET1) capital ratio of 14.6% indicating a strong financial position and regulatory compliance (Bank of England, 2023).</w:t>
      </w:r>
    </w:p>
    <w:p w14:paraId="2E64CC85"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6C06E281"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Key to Lloyds Bank's Competitive Advantage are:</w:t>
      </w:r>
    </w:p>
    <w:p w14:paraId="5F2C670C"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457A1EAF"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Leadership in the Market: With the largest share of UK current accounts, savings and mortgages.</w:t>
      </w:r>
    </w:p>
    <w:p w14:paraId="78F80BEB"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5EEE293C"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lastRenderedPageBreak/>
        <w:t>Digital Capability: Over 20 million active digital users who are serviced through continuous investment in mobile and online banking systems.</w:t>
      </w:r>
    </w:p>
    <w:p w14:paraId="71B0CE2B"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26E22CA0"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Sustainable Finance: Lloyds Banking Group has committed to achieve Net-Zero Emissions by 2050 and will provide funding for green initiatives throughout the UK Economy.</w:t>
      </w:r>
    </w:p>
    <w:p w14:paraId="4DD6CA45"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441A923B"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Location of Birmingham within Lloyds Banking Group</w:t>
      </w:r>
    </w:p>
    <w:p w14:paraId="4A68C11E"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2FC57404"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Birmingham is a key location for Lloyds Banking Group. Lloyds Banking Group's headquarters and several large offices across the city service the group's business function, including:</w:t>
      </w:r>
    </w:p>
    <w:p w14:paraId="4500884E"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407A03C9"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Retail and Commercial Banking Operations: Service millions of individual and business customers across the UK.</w:t>
      </w:r>
    </w:p>
    <w:p w14:paraId="23EFFBA1"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48951F83"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Technology and Digital Services: Thousands of employees work in Birmingham providing cyber security, data analytics and digital services to the group.</w:t>
      </w:r>
    </w:p>
    <w:p w14:paraId="1BE6BE22"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7E18D426"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Risk and Compliance Functions: Provide regulatory compliance, financial crime prevention and operational risk services.</w:t>
      </w:r>
    </w:p>
    <w:p w14:paraId="198F9FAE"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35EDA303"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The consolidation of Lloyds Banking Group offices into a single new office is expected to improve internal communication and collaboration between departments, reduce employee travel and associated expenses. However, Lloyds Banking Group's offices in Birmingham are currently dispersed across a number of different buildings resulting in inefficient operation of the business and higher costs due to duplicate facilities and employee travel between sites.</w:t>
      </w:r>
    </w:p>
    <w:p w14:paraId="78938AE5"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4F44671B"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Importance to Strategy</w:t>
      </w:r>
    </w:p>
    <w:p w14:paraId="0E3450A7"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0806C1FB"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The Office Consolidation Project is a key part of Lloyds Banking Group's overall strategy to improve three main areas of its business:</w:t>
      </w:r>
    </w:p>
    <w:p w14:paraId="064C6D37"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3D067ED8"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Cost Efficiency: To reduce the Group's property and operational costs through improved productivity and lower overhead costs.</w:t>
      </w:r>
    </w:p>
    <w:p w14:paraId="3D3CF039"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65D886AF"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Employee Experience: Improve employee experience and talent retention by providing a modern and collaborative work environment that supports hybrid working.</w:t>
      </w:r>
    </w:p>
    <w:p w14:paraId="3EB3C875"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121E0507"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Sustainability: Reduce the Group's carbon footprint by locating the new office in a more sustainable building and reducing the need for employee commutes.</w:t>
      </w:r>
    </w:p>
    <w:p w14:paraId="24B38CD3" w14:textId="77777777" w:rsidR="000050E8" w:rsidRPr="000050E8" w:rsidRDefault="000050E8" w:rsidP="000050E8">
      <w:pPr>
        <w:spacing w:after="0" w:line="240" w:lineRule="auto"/>
        <w:rPr>
          <w:rFonts w:ascii="Times New Roman" w:eastAsia="Times New Roman" w:hAnsi="Times New Roman" w:cs="Times New Roman"/>
          <w:kern w:val="0"/>
          <w:sz w:val="28"/>
          <w:szCs w:val="28"/>
          <w:lang w:eastAsia="ro-RO"/>
          <w14:ligatures w14:val="none"/>
        </w:rPr>
      </w:pPr>
    </w:p>
    <w:p w14:paraId="3BD1A5AB" w14:textId="77777777" w:rsidR="003C6933" w:rsidRDefault="000050E8" w:rsidP="000050E8">
      <w:pPr>
        <w:spacing w:after="0" w:line="240" w:lineRule="auto"/>
        <w:rPr>
          <w:rFonts w:ascii="Times New Roman" w:eastAsia="Times New Roman" w:hAnsi="Times New Roman" w:cs="Times New Roman"/>
          <w:kern w:val="0"/>
          <w:sz w:val="28"/>
          <w:szCs w:val="28"/>
          <w:lang w:eastAsia="ro-RO"/>
          <w14:ligatures w14:val="none"/>
        </w:rPr>
      </w:pPr>
      <w:r w:rsidRPr="000050E8">
        <w:rPr>
          <w:rFonts w:ascii="Times New Roman" w:eastAsia="Times New Roman" w:hAnsi="Times New Roman" w:cs="Times New Roman"/>
          <w:kern w:val="0"/>
          <w:sz w:val="28"/>
          <w:szCs w:val="28"/>
          <w:lang w:eastAsia="ro-RO"/>
          <w14:ligatures w14:val="none"/>
        </w:rPr>
        <w:t>Overall, Lloyds Banking Group remains a leading institution in the UK banking sector, retaining a strong combination of history and innovation. The consolidation project is therefore a key strategic initiative to drive improvement in cost, sustainability and competitiveness.</w:t>
      </w:r>
    </w:p>
    <w:p w14:paraId="029051F8" w14:textId="77777777" w:rsidR="00E403C0" w:rsidRPr="00E403C0" w:rsidRDefault="00FD2305" w:rsidP="00E403C0">
      <w:pPr>
        <w:spacing w:after="0" w:line="240" w:lineRule="auto"/>
        <w:rPr>
          <w:rFonts w:ascii="Times New Roman" w:eastAsia="Times New Roman" w:hAnsi="Times New Roman" w:cs="Times New Roman"/>
          <w:kern w:val="0"/>
          <w:sz w:val="28"/>
          <w:szCs w:val="28"/>
          <w:lang w:eastAsia="ro-RO"/>
          <w14:ligatures w14:val="none"/>
        </w:rPr>
      </w:pPr>
      <w:r w:rsidRPr="00FD2305">
        <w:rPr>
          <w:rFonts w:ascii="Times New Roman" w:eastAsia="Times New Roman" w:hAnsi="Times New Roman" w:cs="Times New Roman"/>
          <w:kern w:val="0"/>
          <w:sz w:val="28"/>
          <w:szCs w:val="28"/>
          <w:lang w:eastAsia="ro-RO"/>
          <w14:ligatures w14:val="none"/>
        </w:rPr>
        <w:br/>
      </w:r>
      <w:r w:rsidR="00E403C0" w:rsidRPr="00E403C0">
        <w:rPr>
          <w:rFonts w:ascii="Times New Roman" w:eastAsia="Times New Roman" w:hAnsi="Times New Roman" w:cs="Times New Roman"/>
          <w:kern w:val="0"/>
          <w:sz w:val="28"/>
          <w:szCs w:val="28"/>
          <w:lang w:eastAsia="ro-RO"/>
          <w14:ligatures w14:val="none"/>
        </w:rPr>
        <w:t>1. Operational Efficiencies</w:t>
      </w:r>
    </w:p>
    <w:p w14:paraId="75A53FB4"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5F89C777"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To optimise office space is a fundamental goal of the Lloyds Bank consolidation project; the Group wants to cut back on surplus property and better utilise it to reduce property-related costs by about 35%. To do this, Lloyds Bank plans to implement hybrid working practices, supported by a 60% desk-sharing ratio, that mirrors the broader flexible working strategy of Lloyds Banking Group.</w:t>
      </w:r>
    </w:p>
    <w:p w14:paraId="43B6005D"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3838CB59"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Also, by putting teams under the same roof, Lloyds Bank can reduce the inefficiencies generated by staff moving between offices. By eliminating unnecessary inter-office travel, Lloyds Bank expects to increase collaboration and decision-making among teams while cutting down time spent traveling to and from other offices.</w:t>
      </w:r>
    </w:p>
    <w:p w14:paraId="75DDEDD2"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5DF97EFC"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2. Employee Experience and Well-being</w:t>
      </w:r>
    </w:p>
    <w:p w14:paraId="47896063"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7C43A3CE"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Another important consideration is to promote employee experience. Approximately 2,500 employees will move from three offices to one new office building when the consolidation is complete. The new office is being built to help foster collaboration, knowledge sharing, and innovation.</w:t>
      </w:r>
    </w:p>
    <w:p w14:paraId="49F020FA"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1C2DFC80"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To show its commitment to promoting employee health, well-being, and productivity, Lloyds Bank intends to achieve WELL Gold certification. Enhanced air quality, natural light, ergonomically-designed workspaces, and wellness-focused amenities are some of the measures to be incorporated in the design to help promote employee engagement and to support Lloyds Banking Group's aim to be a top employer of choice in the UK financial services sector.</w:t>
      </w:r>
    </w:p>
    <w:p w14:paraId="2B3C80A2"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4B1FA14A"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3. Sustainability Commitments</w:t>
      </w:r>
    </w:p>
    <w:p w14:paraId="177B76F1"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768EB3F8"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lastRenderedPageBreak/>
        <w:t>Sustainability is a main focus of Lloyds Bank's corporate strategy and the consolidation project is designed to meet a BREEAM "Outstanding" standard. Some of the environmental projects include:</w:t>
      </w:r>
    </w:p>
    <w:p w14:paraId="5B9B28AE"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6A747127"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 Photovoltaic roof panels generating 1.2 MW of power, to lower the amount of grid electricity needed.</w:t>
      </w:r>
    </w:p>
    <w:p w14:paraId="1025CC1F"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15148AC5"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 Rainwater harvesting systems, to minimize the amount of water consumed by the new office.</w:t>
      </w:r>
    </w:p>
    <w:p w14:paraId="501C624F"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6BF45A1F"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 Electric Vehicle (EV) charging points installed in 20% of the available car-parking spaces, to support the transition towards low-carbon transportation options.</w:t>
      </w:r>
    </w:p>
    <w:p w14:paraId="183246E8"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5BD6FEA2"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At an estimated cost of £60 million, the consolidated office space is expected to produce £4.2 million in annual cost reductions from 2026 onwards and have an approximate payback period of seven years (Lloyds Banking Group Internal Projections, 2023).</w:t>
      </w:r>
    </w:p>
    <w:p w14:paraId="61F36A36"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523E7FE5"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4. Regulatory Framework</w:t>
      </w:r>
    </w:p>
    <w:p w14:paraId="42BD4BB5"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730E3E96"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As a Prudential Regulation Authority (PRA)-regulated bank, Lloyds Bank must confirm the consolidation project meets all relevant legal and regulatory requirements, such as:</w:t>
      </w:r>
    </w:p>
    <w:p w14:paraId="0483E68C"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53304B9F"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 Senior Managers and Certification Regime (SMCR), clearly defining accountability for strategic and operational decisions relating to the relocation.</w:t>
      </w:r>
    </w:p>
    <w:p w14:paraId="7ED1E687"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5585CC17"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 Operational Resilience Requirements, ensuring the continued delivery of uninterrupted customer service and continuity of system availability during the transition period.</w:t>
      </w:r>
    </w:p>
    <w:p w14:paraId="08F382B9"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00EAAA0F"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r w:rsidRPr="00E403C0">
        <w:rPr>
          <w:rFonts w:ascii="Times New Roman" w:eastAsia="Times New Roman" w:hAnsi="Times New Roman" w:cs="Times New Roman"/>
          <w:kern w:val="0"/>
          <w:sz w:val="28"/>
          <w:szCs w:val="28"/>
          <w:lang w:eastAsia="ro-RO"/>
          <w14:ligatures w14:val="none"/>
        </w:rPr>
        <w:t>- Equality Act 2010, full access for employees and customers with disabilities, through inclusive workplace design.</w:t>
      </w:r>
    </w:p>
    <w:p w14:paraId="458AB36D" w14:textId="77777777" w:rsidR="00E403C0" w:rsidRPr="00E403C0" w:rsidRDefault="00E403C0" w:rsidP="00E403C0">
      <w:pPr>
        <w:spacing w:after="0" w:line="240" w:lineRule="auto"/>
        <w:rPr>
          <w:rFonts w:ascii="Times New Roman" w:eastAsia="Times New Roman" w:hAnsi="Times New Roman" w:cs="Times New Roman"/>
          <w:kern w:val="0"/>
          <w:sz w:val="28"/>
          <w:szCs w:val="28"/>
          <w:lang w:eastAsia="ro-RO"/>
          <w14:ligatures w14:val="none"/>
        </w:rPr>
      </w:pPr>
    </w:p>
    <w:p w14:paraId="348B1B34"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Strategic Relevance</w:t>
      </w:r>
    </w:p>
    <w:p w14:paraId="579F7274"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AF6C0C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 xml:space="preserve">Lloyds Bank's consolidation of its regional offices in Birmingham is the most significant change in at least the last ten years. The successful completion of this consolidation can be used as a model for the upgrade of other regional hubs across Lloyds Banking Group. In order to successfully complete this </w:t>
      </w:r>
      <w:r w:rsidRPr="0087596F">
        <w:rPr>
          <w:rFonts w:ascii="Times New Roman" w:eastAsia="Times New Roman" w:hAnsi="Times New Roman" w:cs="Times New Roman"/>
          <w:kern w:val="0"/>
          <w:sz w:val="28"/>
          <w:szCs w:val="28"/>
          <w:lang w:eastAsia="ro-RO"/>
          <w14:ligatures w14:val="none"/>
        </w:rPr>
        <w:lastRenderedPageBreak/>
        <w:t>consolidation, Lloyds Bank must effectively engage with all fourteen of the identified stakeholder groups, each having different expectations, levels of risk exposure, and value contributions that are necessary to the success of the project.</w:t>
      </w:r>
    </w:p>
    <w:p w14:paraId="074F719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DC442C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Alignment with Lloyds Bank’s Corporate Objectives</w:t>
      </w:r>
    </w:p>
    <w:p w14:paraId="3D43BA1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A46FBB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The consolidation of Lloyds Bank's office in Birmingham was to develop one sustainable head office from three separate leased buildings. The purpose of the consolidation was to optimize the use of workplace resources, reduce operating costs, and increase employee productivity. Below are the primary objectives of the consolidation:</w:t>
      </w:r>
    </w:p>
    <w:p w14:paraId="403382E2"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330E50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1. Cost Savings and Space Optimization</w:t>
      </w:r>
    </w:p>
    <w:p w14:paraId="55D0127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2A614AE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Optimize the amount of office space, from 18,000 m² to 12,500 m², allowing 20% more employees to work from home.</w:t>
      </w:r>
    </w:p>
    <w:p w14:paraId="71835A6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73117F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Save an estimated 35% annually on real estate costs, equal to about £2.1 million annually, through the rationalization of leases (JLL, 2023).</w:t>
      </w:r>
    </w:p>
    <w:p w14:paraId="1171F94A"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C753E15"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Implement Activity-Based Work (ABW) using a 60% desk-sharing ratio; this results in a 40% reduction of fixed desk usage.</w:t>
      </w:r>
    </w:p>
    <w:p w14:paraId="18DBA04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3CA12FF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2. Operational Efficiency</w:t>
      </w:r>
    </w:p>
    <w:p w14:paraId="0EBA04F4"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15CBF8A"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Prevent inter-office travel, resulting in an approximate 1,200 hours saved monthly by employees.</w:t>
      </w:r>
    </w:p>
    <w:p w14:paraId="2E2CBBC5"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52C359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Improve response time for systems by 25% through centralizing IT infrastructure (Gensler Workplace Survey, 2023).</w:t>
      </w:r>
    </w:p>
    <w:p w14:paraId="0C11484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E0DFAB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Streamline facilities management by combining the existing security, cleaning, and maintenance service contracts.</w:t>
      </w:r>
    </w:p>
    <w:p w14:paraId="49585084"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C15B27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3. Employee Health and Sustainability</w:t>
      </w:r>
    </w:p>
    <w:p w14:paraId="476C6941"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250EBD4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Utilize energy efficient lighting (LEDs), solar panels, and smart heating, ventilation, and air conditioning (HVAC) systems to achieve a BREEAM "Excellent" rating.</w:t>
      </w:r>
    </w:p>
    <w:p w14:paraId="41801E64"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B1AB4B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lastRenderedPageBreak/>
        <w:t>Include biophilic design elements, ergonomic work stations, and continuous air quality monitoring to meet WELL Gold Certification standards.</w:t>
      </w:r>
    </w:p>
    <w:p w14:paraId="7A94FC1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4098168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In accordance with the Lloyds Banking Group's net zero strategy, reduce carbon emissions by 45% per employee by 2025.</w:t>
      </w:r>
    </w:p>
    <w:p w14:paraId="25A55C5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3D33B0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4. Future-Proofing and Flexibility</w:t>
      </w:r>
    </w:p>
    <w:p w14:paraId="698C972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19030B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Allow for flexible reconfiguration of modular floor plates to accommodate expanding or contracting teams.</w:t>
      </w:r>
    </w:p>
    <w:p w14:paraId="23AA1CD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020888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Implement smart office technologies, such as Internet-of-Things (IoT) sensors to analyze space utilization.</w:t>
      </w:r>
    </w:p>
    <w:p w14:paraId="0B2317B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C50709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Develop backup sites for critical operations to ensure business continuity and disaster recovery.</w:t>
      </w:r>
    </w:p>
    <w:p w14:paraId="14FC066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238F7EE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This consolidation aligns with the Lloyds Banking Group’s “Fewer, Better Locations” workplace strategy, which seeks to enhance collaboration, sustainability, and cost-effectiveness throughout its United Kingdom estate.</w:t>
      </w:r>
    </w:p>
    <w:p w14:paraId="5305498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CE37EF1"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Key Stakeholders in the Lloyds Bank Office Consolidation Project</w:t>
      </w:r>
    </w:p>
    <w:p w14:paraId="0E89996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4FCFB51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Internal Stakeholders</w:t>
      </w:r>
    </w:p>
    <w:p w14:paraId="6E6288D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529AD3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C-Level Executives (High Power/High Interest)</w:t>
      </w:r>
    </w:p>
    <w:p w14:paraId="3AE7583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830477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CEO and CFO: Ultimate decision makers who are accountable for ensuring alignment with corporate strategy and approving budgets.</w:t>
      </w:r>
    </w:p>
    <w:p w14:paraId="4F337CD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54A578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COO: Responsible for maintaining operational continuity and managing transitional planning.</w:t>
      </w:r>
    </w:p>
    <w:p w14:paraId="100C615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45FFCA4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Facilities and Real Estate Team (High Power/High Interest)</w:t>
      </w:r>
    </w:p>
    <w:p w14:paraId="010101E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EB2E684"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Head of Workplace Strategy: Responsible for overseeing space planning and designing the new office.</w:t>
      </w:r>
    </w:p>
    <w:p w14:paraId="5042298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53EE6C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Facilities Managers: Responsible for coordinating relocation logistics and vendor management.</w:t>
      </w:r>
    </w:p>
    <w:p w14:paraId="29286F8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F4C7FD1"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lastRenderedPageBreak/>
        <w:t>IT and Infrastructure Team (High Power/High Interest)</w:t>
      </w:r>
    </w:p>
    <w:p w14:paraId="04D0379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42F24ED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CIO: Responsible for ensuring the integration of technology systems, including smart office and network upgrades.</w:t>
      </w:r>
    </w:p>
    <w:p w14:paraId="64C7488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4C3716C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Cyber Security Lead: Responsible for managing data protection and cyber risks associated with relocation.</w:t>
      </w:r>
    </w:p>
    <w:p w14:paraId="787183B1"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35D60E5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Human Resources (Medium Power/High Interest)</w:t>
      </w:r>
    </w:p>
    <w:p w14:paraId="6FF209B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336C461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HR Director: Responsible for employee communications, change management, and training.</w:t>
      </w:r>
    </w:p>
    <w:p w14:paraId="5BCAB80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B03ABA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Employee Wellbeing Team: Responsible for ensuring compliance with ergonomic standards and accessibility.</w:t>
      </w:r>
    </w:p>
    <w:p w14:paraId="26DE0DB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2FC05D8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Department Heads (Medium Power/Medium Interest)</w:t>
      </w:r>
    </w:p>
    <w:p w14:paraId="01D1B5A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533845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Retail Banking, Commercial Banking, and IT: Represent departmental workspace needs and operational requirements.</w:t>
      </w:r>
    </w:p>
    <w:p w14:paraId="0467E26F"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20667FF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Employees (Low Power/High Interest)</w:t>
      </w:r>
    </w:p>
    <w:p w14:paraId="1748C13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D29063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Employee Representatives: Communicate employee concerns related to workspace design and hybrid work arrangements.</w:t>
      </w:r>
    </w:p>
    <w:p w14:paraId="09E03E6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7AC6C7C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Union Representatives: Negotiate relocation conditions and flexible work arrangements.</w:t>
      </w:r>
    </w:p>
    <w:p w14:paraId="36EA7595"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BADA4C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External Stakeholders</w:t>
      </w:r>
    </w:p>
    <w:p w14:paraId="2F97435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8FFC47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Birmingham City Council (High Power/Medium Interest)</w:t>
      </w:r>
    </w:p>
    <w:p w14:paraId="6720CADE"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701384F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Planning Department: Approve construction permits and ensure compliance with sustainability regulations.</w:t>
      </w:r>
    </w:p>
    <w:p w14:paraId="37E1855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1C4899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Transport Authority: Manage traffic and transportation disruptions due to construction.</w:t>
      </w:r>
    </w:p>
    <w:p w14:paraId="4BDFF1F3"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951CDAB"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Contractors and Consultants (High Power/Medium Interest)</w:t>
      </w:r>
    </w:p>
    <w:p w14:paraId="024C038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392FDC75"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lastRenderedPageBreak/>
        <w:t>Main Contractor (e.g., Mace Group): Ensure timely delivery and within budget.</w:t>
      </w:r>
    </w:p>
    <w:p w14:paraId="7C2957D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91C7E3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JLL (Real Estate Advisor): Optimize space usage and assist with lease negotiations.</w:t>
      </w:r>
    </w:p>
    <w:p w14:paraId="35230861"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C054982"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Vendors and Suppliers (Medium Power/Medium Interest)</w:t>
      </w:r>
    </w:p>
    <w:p w14:paraId="11E1B2A8"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1A8F93E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Technology Providers (e.g., Cisco, Siemens): Implement smart office and digital solutions.</w:t>
      </w:r>
    </w:p>
    <w:p w14:paraId="1128BEB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329FB4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Sustainability Consultants: Assist with achieving BREEAM and WELL certifications.</w:t>
      </w:r>
    </w:p>
    <w:p w14:paraId="5C99A97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E07D9F5"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Community (Medium Power/Low Interest)</w:t>
      </w:r>
    </w:p>
    <w:p w14:paraId="5E4152A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B0D024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Business Improvement District (BID): Manage disruption caused by construction activity.</w:t>
      </w:r>
    </w:p>
    <w:p w14:paraId="0D1C1776"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9BCC4EA"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Resident Groups and NGOs: Participate through corporate social responsibility (CSR) initiatives, including the development of green spaces.</w:t>
      </w:r>
    </w:p>
    <w:p w14:paraId="29DAFD95"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513EF5ED"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Regulators (High Power/Low Interest)</w:t>
      </w:r>
    </w:p>
    <w:p w14:paraId="776D52C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380E43D0"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Prudential Regulation Authority (PRA): Ensure compliance with operational resilience regulations.</w:t>
      </w:r>
    </w:p>
    <w:p w14:paraId="164C4507"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0700D571"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Health and Safety Executive (HSE): Oversee workplace safety standards.</w:t>
      </w:r>
    </w:p>
    <w:p w14:paraId="460916DC"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65BEC25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r w:rsidRPr="0087596F">
        <w:rPr>
          <w:rFonts w:ascii="Times New Roman" w:eastAsia="Times New Roman" w:hAnsi="Times New Roman" w:cs="Times New Roman"/>
          <w:kern w:val="0"/>
          <w:sz w:val="28"/>
          <w:szCs w:val="28"/>
          <w:lang w:eastAsia="ro-RO"/>
          <w14:ligatures w14:val="none"/>
        </w:rPr>
        <w:t>Prioritization of Stakeholders</w:t>
      </w:r>
    </w:p>
    <w:p w14:paraId="6232B4A9" w14:textId="77777777" w:rsidR="0087596F" w:rsidRPr="0087596F" w:rsidRDefault="0087596F" w:rsidP="0087596F">
      <w:pPr>
        <w:spacing w:after="0" w:line="240" w:lineRule="auto"/>
        <w:rPr>
          <w:rFonts w:ascii="Times New Roman" w:eastAsia="Times New Roman" w:hAnsi="Times New Roman" w:cs="Times New Roman"/>
          <w:kern w:val="0"/>
          <w:sz w:val="28"/>
          <w:szCs w:val="28"/>
          <w:lang w:eastAsia="ro-RO"/>
          <w14:ligatures w14:val="none"/>
        </w:rPr>
      </w:pPr>
    </w:p>
    <w:p w14:paraId="7990A2A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C-Suite Executives (CEO, CFO, COO), Facilities and Real Estate Team, IT Teams, and Birmingham City Council have High Priority, while employees, human resources, and major vendors/suppliers will require regular contact and therefore have Medium Priority; media and local community will have Low Priority and will be communicated with broadly.</w:t>
      </w:r>
    </w:p>
    <w:p w14:paraId="3CBC000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35940F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Responsibilities, Advantages and Disadvantages of Major Stakeholders</w:t>
      </w:r>
    </w:p>
    <w:p w14:paraId="621D2CD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44D7B3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1. C-Suite Executives (CEO, CFO, COO)</w:t>
      </w:r>
    </w:p>
    <w:p w14:paraId="7B7D8BC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A6943F7"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and Responsibilities:</w:t>
      </w:r>
    </w:p>
    <w:p w14:paraId="5361246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0BDB2A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CFO: Approves the £60 million capital budget, reviews the Return on Investment (ROI) for the entire duration of the project, and manages costs across the whole project.</w:t>
      </w:r>
    </w:p>
    <w:p w14:paraId="187B452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C17A6A7"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COO: Manages the operational integration so that it has minimal effect on the bank's customer facing operations and core banking service.</w:t>
      </w:r>
    </w:p>
    <w:p w14:paraId="4261403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7E8646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Advantages of the Project</w:t>
      </w:r>
    </w:p>
    <w:p w14:paraId="195FA92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5E8A3FF"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Strategic Alignment: The project will allow the bank to align its workplace strategy with Lloyds Banking Group’s "Future of Work" and workplace modernization strategy.</w:t>
      </w:r>
    </w:p>
    <w:p w14:paraId="48E81FE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C1D294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Funding Access: Will enable the bank to invest in high impact infrastructure, including smart HVAC systems and electric vehicle (EV) charging facilities.</w:t>
      </w:r>
    </w:p>
    <w:p w14:paraId="55C5576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EB685E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Disadvantages</w:t>
      </w:r>
    </w:p>
    <w:p w14:paraId="0B3C8C7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CE5BA5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Long Term Benefits vs. Short-Term Costs: Balance between the short term costs of the £60 million capital expenditure versus the estimated long term benefits of £4.2 million per year in cost savings.</w:t>
      </w:r>
    </w:p>
    <w:p w14:paraId="042AD19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9B8090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Delays due to Decision Making: Senior executive teams will be required to make decisions at times which can create delays in reaching agreement on design and/or scope changes.</w:t>
      </w:r>
    </w:p>
    <w:p w14:paraId="243EB2E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461F04F"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2. Facilities and Real Estate Team</w:t>
      </w:r>
    </w:p>
    <w:p w14:paraId="0C4CB68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602485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and Responsibilities</w:t>
      </w:r>
    </w:p>
    <w:p w14:paraId="509EAE9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29BAC8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Head of Workplace Strategy: Manage space planning using Activity-Based Working (ABW) principles.</w:t>
      </w:r>
    </w:p>
    <w:p w14:paraId="59372F5B"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5208E6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Facilities Managers: Manage the construction program and relocation programs in conjunction with Mace Group.</w:t>
      </w:r>
    </w:p>
    <w:p w14:paraId="3D03BED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3BC10A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Advantages of the Project</w:t>
      </w:r>
    </w:p>
    <w:p w14:paraId="70D7770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4FE801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Economic Gains: Desk sharing and flexible workstation use reduces the total floor area required by approximately 30%.</w:t>
      </w:r>
    </w:p>
    <w:p w14:paraId="0284DAE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DCDD27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Sustainability Compliance: Includes BREEAM certified elements, including solar panels and energy efficient equipment.</w:t>
      </w:r>
    </w:p>
    <w:p w14:paraId="1C10DCB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DEFC75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Disadvantages</w:t>
      </w:r>
    </w:p>
    <w:p w14:paraId="02BE7E2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60F9ED6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Resisting Change: Some employees may resist giving up their assigned workstations.</w:t>
      </w:r>
    </w:p>
    <w:p w14:paraId="6F14E5A7"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FBB1DB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Supply Chain Risks: There may be potential supply chain risks in obtaining sustainable materials, such as recycled steel.</w:t>
      </w:r>
    </w:p>
    <w:p w14:paraId="187004F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C7B71DE"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3. IT Department (CIO and Cybersecurity Lead)</w:t>
      </w:r>
    </w:p>
    <w:p w14:paraId="46CC07F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C5AA96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and Responsibilities</w:t>
      </w:r>
    </w:p>
    <w:p w14:paraId="5D20EAD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2DE3CEE"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CIO: Leads the upgrade of the bank’s IT infrastructure to support the office of the future (IoT-enabled offices), including smart lighting and occupancy sensors.</w:t>
      </w:r>
    </w:p>
    <w:p w14:paraId="32D455D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6EE221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Cybersecurity Lead: Protects the bank’s data and systems during the server migrations and infrastructure upgrades.</w:t>
      </w:r>
    </w:p>
    <w:p w14:paraId="489E0E3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295241B"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Advantages of the Project</w:t>
      </w:r>
    </w:p>
    <w:p w14:paraId="5E9719DE"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65C82F7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Integration of Technology: Centralized IT hubs provide improved network performance of 25%.</w:t>
      </w:r>
    </w:p>
    <w:p w14:paraId="4BD0DB1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670ECE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Risk Management: Minimizes cybercrime threats during the transition from legacy systems to smart digital environments.</w:t>
      </w:r>
    </w:p>
    <w:p w14:paraId="553DFA17"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5B034D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Disadvantages</w:t>
      </w:r>
    </w:p>
    <w:p w14:paraId="13E74EC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BC6171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Potential Downtime: Critical systems, including fraud detection and compliance monitoring, must continue to operate.</w:t>
      </w:r>
    </w:p>
    <w:p w14:paraId="69717FCF"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24124F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Exceeding Budget: Costs associated with IoT deployments may exceed initial projections.</w:t>
      </w:r>
    </w:p>
    <w:p w14:paraId="58338F0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D0349C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4. Human Resources (HR Director and Wellbeing Team)</w:t>
      </w:r>
    </w:p>
    <w:p w14:paraId="1232144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64108D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lastRenderedPageBreak/>
        <w:t>Roles and Responsibilities</w:t>
      </w:r>
    </w:p>
    <w:p w14:paraId="27FBFAA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8CC233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HR Director: Leverages change communications via town halls, internal campaigns, and e-learning programs.</w:t>
      </w:r>
    </w:p>
    <w:p w14:paraId="1A6F346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739CA8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Wellbeing Team: Manages WELL Gold certification, including circadian lighting, ergonomic furniture, and quiet zones.</w:t>
      </w:r>
    </w:p>
    <w:p w14:paraId="3F1A791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5A4A3C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Advantages of the Project</w:t>
      </w:r>
    </w:p>
    <w:p w14:paraId="482CC2A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833FF6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Engagement of Employees: Transparency of communication will minimize the risk of employee turnover.</w:t>
      </w:r>
    </w:p>
    <w:p w14:paraId="7DD99C2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0489C0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Adherence to Legal Requirements: Adheres to the Equality Act 2010, especially regarding access.</w:t>
      </w:r>
    </w:p>
    <w:p w14:paraId="1C975965"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54D33C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Disadvantages</w:t>
      </w:r>
    </w:p>
    <w:p w14:paraId="2DC8736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E00C22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Hybrid Working Policy: Balances the needs of remote employees with the need for collaboration among employees who work on-site.</w:t>
      </w:r>
    </w:p>
    <w:p w14:paraId="7E2492A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C1A032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Negotiation with Unions: Employee representatives may demand stronger commitments to flexible working arrangements.</w:t>
      </w:r>
    </w:p>
    <w:p w14:paraId="6CF6DE5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5BC387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5. Birmingham City Council (Planning and Transport Authorities)</w:t>
      </w:r>
    </w:p>
    <w:p w14:paraId="30CE580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77143D5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and Responsibilities</w:t>
      </w:r>
    </w:p>
    <w:p w14:paraId="5E81236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B38955E"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Planning Department: Approve structural modifications to the property, including the installation of EV charging equipment.</w:t>
      </w:r>
    </w:p>
    <w:p w14:paraId="64C6F44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F969D1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Transport Authority: Manage road closures and traffic patterns during the construction phase.</w:t>
      </w:r>
    </w:p>
    <w:p w14:paraId="1016406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0B13AE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Advantages of the Project</w:t>
      </w:r>
    </w:p>
    <w:p w14:paraId="6A2CC1E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218620F"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Supportive Regulatory Environment: Lloyds Bank's £60 million investment will strengthen the bank's argument for timely approval.</w:t>
      </w:r>
    </w:p>
    <w:p w14:paraId="0C76C5C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38EEF9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Opportunities for Corporate Social Responsibility (CSR): Opportunities to partner on local sustainability/green and regeneration initiatives.</w:t>
      </w:r>
    </w:p>
    <w:p w14:paraId="5D8B1EF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D2FEE21"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Disadvantages</w:t>
      </w:r>
    </w:p>
    <w:p w14:paraId="72CF404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3E0D668"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Bureaucratic Delays: Approval processes may take longer than 12 weeks.</w:t>
      </w:r>
    </w:p>
    <w:p w14:paraId="338E10B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6C23705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Concerns Regarding Traffic/Noise: Local business owners may object to the disruption caused by the construction activity.</w:t>
      </w:r>
    </w:p>
    <w:p w14:paraId="269A17EB"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094698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6. Contractors and Consultants (Mace Group and JLL)</w:t>
      </w:r>
    </w:p>
    <w:p w14:paraId="58A0A9F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6A47D3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and Responsibilities</w:t>
      </w:r>
    </w:p>
    <w:p w14:paraId="0F644CD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5E3E3B7"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Mace Group: Responsible for the delivery of the construction on time (Q1 2024 – Q4 2025).</w:t>
      </w:r>
    </w:p>
    <w:p w14:paraId="62A3ABA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BFC62FB"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JLL: Provides advice on lease exit options, space optimization, and negotiating commercial options.</w:t>
      </w:r>
    </w:p>
    <w:p w14:paraId="5C6E1E0F"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07840E5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Advantages of the Project</w:t>
      </w:r>
    </w:p>
    <w:p w14:paraId="7027518F"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F70C400"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Expertise in Specialized Areas: Mace has an extensive history of providing expertise in delivering projects in the Financial Services Sector.</w:t>
      </w:r>
    </w:p>
    <w:p w14:paraId="141C00F4"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15D590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Savings in Cost: JLL may negotiate a reduction of up to 15% in lease break penalties.</w:t>
      </w:r>
    </w:p>
    <w:p w14:paraId="452D007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6A7895E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Disadvantages</w:t>
      </w:r>
    </w:p>
    <w:p w14:paraId="2F1C68C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6FEBB523"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Labor Shortage: Skilled construction labor shortages may cause delays in completion.</w:t>
      </w:r>
    </w:p>
    <w:p w14:paraId="4090F7AD"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147A7A5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Scope Creep: Late stage design changes, including adding meeting rooms, may add unforeseen costs to the project.</w:t>
      </w:r>
    </w:p>
    <w:p w14:paraId="39B45B49"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571EC6C6"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7. Employees and Trade Unions</w:t>
      </w:r>
    </w:p>
    <w:p w14:paraId="52BC902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26F38D3A"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Roles and Responsibilities</w:t>
      </w:r>
    </w:p>
    <w:p w14:paraId="687DA81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37A7234C"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r w:rsidRPr="00C84377">
        <w:rPr>
          <w:rFonts w:ascii="Times New Roman" w:eastAsia="Times New Roman" w:hAnsi="Times New Roman" w:cs="Times New Roman"/>
          <w:kern w:val="0"/>
          <w:sz w:val="28"/>
          <w:szCs w:val="28"/>
          <w:lang w:eastAsia="ro-RO"/>
          <w14:ligatures w14:val="none"/>
        </w:rPr>
        <w:t>Staff Representatives: Provide feedback on the design of the workspace through surveys and focus groups.</w:t>
      </w:r>
    </w:p>
    <w:p w14:paraId="2201EE62" w14:textId="77777777" w:rsidR="00C84377" w:rsidRPr="00C84377" w:rsidRDefault="00C84377" w:rsidP="00C84377">
      <w:pPr>
        <w:spacing w:after="0" w:line="240" w:lineRule="auto"/>
        <w:rPr>
          <w:rFonts w:ascii="Times New Roman" w:eastAsia="Times New Roman" w:hAnsi="Times New Roman" w:cs="Times New Roman"/>
          <w:kern w:val="0"/>
          <w:sz w:val="28"/>
          <w:szCs w:val="28"/>
          <w:lang w:eastAsia="ro-RO"/>
          <w14:ligatures w14:val="none"/>
        </w:rPr>
      </w:pPr>
    </w:p>
    <w:p w14:paraId="49F946B1"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lastRenderedPageBreak/>
        <w:t>Managing Stakeholders in the relocation of the Lloyds Banking Group’s Birmingham Office</w:t>
      </w:r>
    </w:p>
    <w:p w14:paraId="7B19CCB6"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The purpose of this case study is to assess how Lloyds Banking Group engaged with stakeholders in respect of the relocation of its large-scale Birmingham office and how the organisation employed the 4 C’s Model (Communication, Consultation, Collaboration and Commitment) to deliver successful change.</w:t>
      </w:r>
    </w:p>
    <w:p w14:paraId="27CF6F35"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A significant change to all employees, trade unions, senior leaders, contractors and external parties occurred as a result of the relocation of the office. Therefore, it was essential to effectively manage stakeholders to mitigate risk and gain support for the relocation in order to achieve the desired business outcomes.</w:t>
      </w:r>
    </w:p>
    <w:p w14:paraId="5BEA1F4A"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Conflict and Resolution of Stakeholder Issues</w:t>
      </w:r>
    </w:p>
    <w:p w14:paraId="3FBF4E52"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Initially, the project encountered a major stakeholder issue arising out of trade unions’ objections to proposals for compulsory office attendance. Trade union representatives stated that loss of flexibility would be detrimental to the well-being and work-life balance of employees and therefore posed a credible threat of industrial action, which could disrupt business activities and delay the relocation.</w:t>
      </w:r>
    </w:p>
    <w:p w14:paraId="292C83F8"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Therefore, Lloyds Banking Group took a consultative and evidence-based approach to resolving the above-mentioned issue and employed best practice change management processes. Instead of making a unilateral decision, the organisation consulted with the trade union representatives and employees and engaged them in creating possible solutions to address their concerns.</w:t>
      </w:r>
    </w:p>
    <w:p w14:paraId="2BCF9551"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Pilot Test</w:t>
      </w:r>
    </w:p>
    <w:p w14:paraId="559FFE32"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Upon completion of the consultation process, Lloyds Banking Group created a hybrid-working pilot within one department. In this pilot programme, employees in the selected department were permitted to work remotely for three days each week over a six-month trial period. The pilot enabled the organisation to test the viability of hybrid-working arrangements on a limited basis prior to introducing a full rollout of the hybrid working model across the organisation.</w:t>
      </w:r>
    </w:p>
    <w:p w14:paraId="75E79FB9"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Additionally, the pilot program offered Lloyds Banking Group an opportunity to collect objective data on the feasibility of implementing a hybrid-working arrangement prior to fully rolling out the model. To determine the extent to which space usage was improved using a hybrid-working arrangement, desk occupancy sensors were installed in the offices to monitor both the level of utilization of available space and collaboration among employees.</w:t>
      </w:r>
    </w:p>
    <w:p w14:paraId="51E77B0F"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Utilising data to inform decisions and to strengthen the credibility of decisions made by managers assisted in reducing reliance upon opinions and changing the nature of the discussion.</w:t>
      </w:r>
    </w:p>
    <w:p w14:paraId="3868DC38"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Conclusion of Pilot Test</w:t>
      </w:r>
    </w:p>
    <w:p w14:paraId="29D52E28"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lastRenderedPageBreak/>
        <w:t>Results collected and analyzed from the pilot data demonstrated that the use of desks in the office was more productive and that levels of collaboration increased when employees were provided with greater flexibility. The results of the analysis challenged the perception that employees needed to be present in the office on a full-time basis to be able to collaborate effectively with colleagues and resolved many of the concerns raised by the trade unions.</w:t>
      </w:r>
    </w:p>
    <w:p w14:paraId="725877E4"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Resolution of Industrial Action Threat</w:t>
      </w:r>
    </w:p>
    <w:p w14:paraId="46FC4AFB"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Employee acceptance of the hybrid-working model increased dramatically after the successful pilot test, from 45% to 87%, providing a high degree of assurance to both employees and union representatives and resulted in the abandonment of the threat of industrial action.</w:t>
      </w:r>
    </w:p>
    <w:p w14:paraId="57D5616A"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This section of the project provides examples of the importance of consultation and data-driven decision making in managing conflict between stakeholders.</w:t>
      </w:r>
    </w:p>
    <w:p w14:paraId="3006FE5E"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Commitment: Converting Passive Stakeholders into Active Supporters</w:t>
      </w:r>
    </w:p>
    <w:p w14:paraId="17593458"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Having successfully managed the opposition of some stakeholders, the project then progressed to the stage of securing long-term commitments from stakeholders through converting passive stakeholders into active supporters of the relocation and the introduction of new methods of working.</w:t>
      </w:r>
    </w:p>
    <w:p w14:paraId="5439BF6D"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Public Commitments</w:t>
      </w:r>
    </w:p>
    <w:p w14:paraId="46719FEC"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Senior management members performed a critical role in this area of the project. Senior Executives publicly signed a pledge agreeing to implement a net zero workplace strategy, thus reinforcing the sustainability ambition of the organisation and demonstrating accountability from the top. The public pledge of senior executives assisted in building confidence and reinforced the strategic significance of the relocation.</w:t>
      </w:r>
    </w:p>
    <w:p w14:paraId="10110D15"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Departmental Heads agreed to develop and publish clear Key Performance Indicators (KPIs) to measure the success of the relocation and the new ways of working. For example, the IT department agreed to maintain server downtime at less than 1% during the relocation. The publication of KPIs increased transparency and established what expectations, responsibilities and measures of success were expected of stakeholders.</w:t>
      </w:r>
    </w:p>
    <w:p w14:paraId="792FAB21"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Incentives</w:t>
      </w:r>
    </w:p>
    <w:p w14:paraId="34C4FC49" w14:textId="77777777" w:rsidR="00A96BC6" w:rsidRP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Further to promote participation in the relocation, Lloyds Banking Group developed targeted incentives. Move Champions were appointed from within the workforce to act as employee representatives and advocate for the relocation. Move Champions played a pivotal role in communicating with employees, answering questions and promoting the adoption of the new workplace model. A reward system was used to reinforce positive behaviours of the Move Champions.</w:t>
      </w:r>
    </w:p>
    <w:p w14:paraId="040F5A8F" w14:textId="77777777" w:rsidR="00A96BC6" w:rsidRDefault="00A96BC6" w:rsidP="00A96BC6">
      <w:pPr>
        <w:spacing w:after="0" w:line="240" w:lineRule="auto"/>
        <w:rPr>
          <w:rFonts w:ascii="Times New Roman" w:eastAsia="Times New Roman" w:hAnsi="Times New Roman" w:cs="Times New Roman"/>
          <w:kern w:val="0"/>
          <w:sz w:val="28"/>
          <w:szCs w:val="28"/>
          <w:lang w:eastAsia="ro-RO"/>
          <w14:ligatures w14:val="none"/>
        </w:rPr>
      </w:pPr>
      <w:r w:rsidRPr="00A96BC6">
        <w:rPr>
          <w:rFonts w:ascii="Times New Roman" w:eastAsia="Times New Roman" w:hAnsi="Times New Roman" w:cs="Times New Roman"/>
          <w:kern w:val="0"/>
          <w:sz w:val="28"/>
          <w:szCs w:val="28"/>
          <w:lang w:eastAsia="ro-RO"/>
          <w14:ligatures w14:val="none"/>
        </w:rPr>
        <w:t xml:space="preserve">Similar to the Move Champions, contractors were incentivised to complete the relocation efficiently and safely. Through aligning contractors’ commercial </w:t>
      </w:r>
      <w:r w:rsidRPr="00A96BC6">
        <w:rPr>
          <w:rFonts w:ascii="Times New Roman" w:eastAsia="Times New Roman" w:hAnsi="Times New Roman" w:cs="Times New Roman"/>
          <w:kern w:val="0"/>
          <w:sz w:val="28"/>
          <w:szCs w:val="28"/>
          <w:lang w:eastAsia="ro-RO"/>
          <w14:ligatures w14:val="none"/>
        </w:rPr>
        <w:lastRenderedPageBreak/>
        <w:t>objectives with the project objectives, the organisation reduced the possibility of delays and quality issues in the relocation.</w:t>
      </w:r>
    </w:p>
    <w:p w14:paraId="30B6ADD4" w14:textId="77777777" w:rsidR="00B9035F" w:rsidRPr="00A96BC6" w:rsidRDefault="00B9035F" w:rsidP="00A96BC6">
      <w:pPr>
        <w:spacing w:after="0" w:line="240" w:lineRule="auto"/>
        <w:rPr>
          <w:rFonts w:ascii="Times New Roman" w:eastAsia="Times New Roman" w:hAnsi="Times New Roman" w:cs="Times New Roman"/>
          <w:kern w:val="0"/>
          <w:sz w:val="28"/>
          <w:szCs w:val="28"/>
          <w:lang w:eastAsia="ro-RO"/>
          <w14:ligatures w14:val="none"/>
        </w:rPr>
      </w:pPr>
    </w:p>
    <w:p w14:paraId="74FA34E5"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Risk of Supply Chain Disruption from Contractor Delays</w:t>
      </w:r>
    </w:p>
    <w:p w14:paraId="3DCC3D7D"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Although the relocation plan was developed in detail, there was still a possibility of a supply chain disruption due to the contractor's delays. Due to the size of the relocation, the contractor's delays could have caused serious consequences to both the project time frame and budget.</w:t>
      </w:r>
    </w:p>
    <w:p w14:paraId="5F5FA778"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Strategies to Manage the Identified Risk</w:t>
      </w:r>
    </w:p>
    <w:p w14:paraId="73A8963C"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Lloyds Bank incorporated "penalty" and "reward" clauses into the contractor contract as part of managing the identified risk. If the contractor delivered goods late, a financial penalty of £10,000 per day would apply; conversely, if the contractor delivered goods earlier than agreed upon, they would be eligible to receive a 5% bonus on their total contract price. Both the financial penalties and rewards helped create clear accountability for the contractor and also motivated them to meet the project time frame requirements.</w:t>
      </w:r>
    </w:p>
    <w:p w14:paraId="25986E5D"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Proactive Reduction of Exposure to Risk</w:t>
      </w:r>
    </w:p>
    <w:p w14:paraId="63CEB548"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Additionally, Lloyds Bank implemented a number of other proactive risk-reduction strategies to reduce its dependence on one supplier by identifying additional suppliers for critical items. This proactive reduction of dependency of the bank on one supplier provided greater resilience to the bank's supply chain and limited the impact of any subsequent disruptions to the supply chain. In combination, these strategies prevented disruptions to the project time frames, and promoted cooperation with contractors instead of creating adversarial relationships.</w:t>
      </w:r>
    </w:p>
    <w:p w14:paraId="0C0D80A6"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Foreseen Outcomes and Benefits to Lloyds Bank</w:t>
      </w:r>
    </w:p>
    <w:p w14:paraId="7D0D0C95"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The structured approach to engaging with stakeholders had real-world benefits. Structured communications improve decision making by 30% and collaborative design increase stakeholder satisfaction by 15% according to PMI (2023). The outcome of the structured approach to engaging with stakeholders was seen in the successful delivery of the relocation.</w:t>
      </w:r>
    </w:p>
    <w:p w14:paraId="78A8BDBE"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There was no interruption to services during the relocation and there were no work stoppages or disputes between union representatives and the company. Therefore, the early identification and resolution of potential issues, along with the development of strategies to prevent risks, resulted in a successful relocation.</w:t>
      </w:r>
    </w:p>
    <w:p w14:paraId="7C84078C"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Cost Avoidance Strategies</w:t>
      </w:r>
    </w:p>
    <w:p w14:paraId="70228ADB"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Approximately £500,000 in delay-related costs were saved by the use of risk reduction strategies and the early consultations with trade unions removed the risk of conflict with the workforce.</w:t>
      </w:r>
    </w:p>
    <w:p w14:paraId="7835DD48"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Recommendations for Future Lloyds Bank Projects</w:t>
      </w:r>
    </w:p>
    <w:p w14:paraId="4576F862"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lastRenderedPageBreak/>
        <w:t>Structured Digital Communications</w:t>
      </w:r>
    </w:p>
    <w:p w14:paraId="0023B0BB"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Future projects should consider implementing new digital communication tools, including:</w:t>
      </w:r>
    </w:p>
    <w:p w14:paraId="743FA356"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Virtual reality (VR) technology to allow remote stakeholders to walk-through the site;</w:t>
      </w:r>
    </w:p>
    <w:p w14:paraId="486A1D4B"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Sentiment Analysis using artificial intelligence (AI) to identify emerging concerns in advance of the issue becoming a concern.</w:t>
      </w:r>
    </w:p>
    <w:p w14:paraId="29F2A2A2"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Measurement and Evaluation of Performance</w:t>
      </w:r>
    </w:p>
    <w:p w14:paraId="5C55F944"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Stakeholder satisfaction should be measured as a Key Performance Indicator (KPI) for example a minimum of 90% positive post-move feedback. In addition, annual Value Realization Reports should be prepared for Senior Management to demonstrate the business benefits resulting from workplace changes.</w:t>
      </w:r>
    </w:p>
    <w:p w14:paraId="69488C6D"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Standard Operating Procedures for Engagement with Stakeholders</w:t>
      </w:r>
    </w:p>
    <w:p w14:paraId="1F4032ED"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A Stakeholder Engagement Playbook, which includes RACI models and Communication Models, should be developed for Lloyds Bank. All Project Managers should receive training in the 4C’s Model to ensure consistency in implementation of the model across all projects.</w:t>
      </w:r>
    </w:p>
    <w:p w14:paraId="7CEE7534"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Corporate Partnerships</w:t>
      </w:r>
    </w:p>
    <w:p w14:paraId="63133430"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Lloyds Bank should promote its suppliers to develop sustainable products and to participate in corporate social responsibility (CSR) activities such as apprenticeships in the community in which it operates.</w:t>
      </w:r>
    </w:p>
    <w:p w14:paraId="72C60FA5"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Conclusion</w:t>
      </w:r>
    </w:p>
    <w:p w14:paraId="33531099"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This case study shows how Lloyds Bank successfully utilized structured stakeholder engagement to implement a complex change initiative as part of its relocation of its Birmingham office. The relocation provided Lloyds Bank with £4.2 million in annual savings through increased efficiency in space usage, very high levels of employee acceptance of hybrid working (87%) and sustainable performance through achievement of 'Excellent' BREEAM rating and full regulatory compliance.</w:t>
      </w:r>
    </w:p>
    <w:p w14:paraId="14B0878A" w14:textId="77777777" w:rsidR="00B9035F" w:rsidRPr="00B9035F" w:rsidRDefault="00B9035F" w:rsidP="00B9035F">
      <w:pPr>
        <w:spacing w:after="0" w:line="240" w:lineRule="auto"/>
        <w:rPr>
          <w:rFonts w:ascii="Times New Roman" w:eastAsia="Times New Roman" w:hAnsi="Times New Roman" w:cs="Times New Roman"/>
          <w:kern w:val="0"/>
          <w:sz w:val="28"/>
          <w:szCs w:val="28"/>
          <w:lang w:eastAsia="ro-RO"/>
          <w14:ligatures w14:val="none"/>
        </w:rPr>
      </w:pPr>
      <w:r w:rsidRPr="00B9035F">
        <w:rPr>
          <w:rFonts w:ascii="Times New Roman" w:eastAsia="Times New Roman" w:hAnsi="Times New Roman" w:cs="Times New Roman"/>
          <w:kern w:val="0"/>
          <w:sz w:val="28"/>
          <w:szCs w:val="28"/>
          <w:lang w:eastAsia="ro-RO"/>
          <w14:ligatures w14:val="none"/>
        </w:rPr>
        <w:t>By utilizing well-established models (such as the Stakeholder Power-Interest Matrix, RACI and Kotter's 8-Step Change Model), along with data-driven pilots and incentive-based contracting, Lloyds Bank was able to establish alignment and momentum throughout the entire project life cycle. By embedding these processes into future projects, Lloyds Banking Group can maintain its position as a responsible, innovative and employee-centric organization.</w:t>
      </w:r>
    </w:p>
    <w:p w14:paraId="3907094A" w14:textId="389512A6" w:rsidR="0097290D" w:rsidRPr="0097290D" w:rsidRDefault="0097290D" w:rsidP="0097290D">
      <w:pPr>
        <w:spacing w:after="0" w:line="240" w:lineRule="auto"/>
        <w:rPr>
          <w:rFonts w:ascii="Times New Roman" w:eastAsia="Times New Roman" w:hAnsi="Times New Roman" w:cs="Times New Roman"/>
          <w:kern w:val="0"/>
          <w:sz w:val="28"/>
          <w:szCs w:val="28"/>
          <w:lang w:eastAsia="ro-RO"/>
          <w14:ligatures w14:val="none"/>
        </w:rPr>
      </w:pPr>
    </w:p>
    <w:p w14:paraId="6EB4CB84" w14:textId="77777777" w:rsidR="000965FD" w:rsidRDefault="000965FD" w:rsidP="000965FD">
      <w:pPr>
        <w:spacing w:after="0" w:line="240" w:lineRule="auto"/>
      </w:pPr>
    </w:p>
    <w:p w14:paraId="28F088F5" w14:textId="77777777" w:rsidR="000965FD" w:rsidRDefault="000965FD" w:rsidP="000965FD">
      <w:pPr>
        <w:spacing w:after="0" w:line="240" w:lineRule="auto"/>
      </w:pPr>
      <w:r>
        <w:t>References</w:t>
      </w:r>
    </w:p>
    <w:p w14:paraId="2EC2D82D" w14:textId="77777777" w:rsidR="000965FD" w:rsidRDefault="000965FD" w:rsidP="000965FD">
      <w:pPr>
        <w:spacing w:after="0" w:line="240" w:lineRule="auto"/>
      </w:pPr>
    </w:p>
    <w:p w14:paraId="03EC0088" w14:textId="77777777" w:rsidR="000965FD" w:rsidRDefault="000965FD" w:rsidP="000965FD">
      <w:pPr>
        <w:spacing w:after="0" w:line="240" w:lineRule="auto"/>
      </w:pPr>
      <w:r>
        <w:t>Lloyds Banking Group Plc. (2023). Annual Report and Accounts 2022.</w:t>
      </w:r>
    </w:p>
    <w:p w14:paraId="0FDD0E24" w14:textId="77777777" w:rsidR="000965FD" w:rsidRDefault="000965FD" w:rsidP="000965FD">
      <w:pPr>
        <w:spacing w:after="0" w:line="240" w:lineRule="auto"/>
      </w:pPr>
    </w:p>
    <w:p w14:paraId="2E743F6A" w14:textId="77777777" w:rsidR="000965FD" w:rsidRDefault="000965FD" w:rsidP="000965FD">
      <w:pPr>
        <w:spacing w:after="0" w:line="240" w:lineRule="auto"/>
      </w:pPr>
      <w:r>
        <w:lastRenderedPageBreak/>
        <w:t>JLL. (2023) UK Workplace Strategy Benchmarking Report.</w:t>
      </w:r>
    </w:p>
    <w:p w14:paraId="3CB19229" w14:textId="77777777" w:rsidR="000965FD" w:rsidRDefault="000965FD" w:rsidP="000965FD">
      <w:pPr>
        <w:spacing w:after="0" w:line="240" w:lineRule="auto"/>
      </w:pPr>
    </w:p>
    <w:p w14:paraId="034101C5" w14:textId="77777777" w:rsidR="000965FD" w:rsidRDefault="000965FD" w:rsidP="000965FD">
      <w:pPr>
        <w:spacing w:after="0" w:line="240" w:lineRule="auto"/>
      </w:pPr>
      <w:r>
        <w:t>Gensler. (2023). UK Workplace Performance Survey.</w:t>
      </w:r>
    </w:p>
    <w:p w14:paraId="6FED91FE" w14:textId="77777777" w:rsidR="000965FD" w:rsidRDefault="000965FD" w:rsidP="000965FD">
      <w:pPr>
        <w:spacing w:after="0" w:line="240" w:lineRule="auto"/>
      </w:pPr>
    </w:p>
    <w:p w14:paraId="0806BCA8" w14:textId="77777777" w:rsidR="000965FD" w:rsidRDefault="000965FD" w:rsidP="000965FD">
      <w:pPr>
        <w:spacing w:after="0" w:line="240" w:lineRule="auto"/>
      </w:pPr>
      <w:r>
        <w:t>Project Management Institute (PMI). (2021). PMBOK Guide – Seventh Edition.</w:t>
      </w:r>
    </w:p>
    <w:p w14:paraId="05803B7F" w14:textId="77777777" w:rsidR="000965FD" w:rsidRDefault="000965FD" w:rsidP="000965FD">
      <w:pPr>
        <w:spacing w:after="0" w:line="240" w:lineRule="auto"/>
      </w:pPr>
    </w:p>
    <w:p w14:paraId="23772F09" w14:textId="77777777" w:rsidR="000965FD" w:rsidRDefault="000965FD" w:rsidP="000965FD">
      <w:pPr>
        <w:spacing w:after="0" w:line="240" w:lineRule="auto"/>
      </w:pPr>
      <w:r>
        <w:t>Kotter. (1996). Leading Change. Harvard Business Review Press.</w:t>
      </w:r>
    </w:p>
    <w:p w14:paraId="2E543314" w14:textId="77777777" w:rsidR="000965FD" w:rsidRDefault="000965FD" w:rsidP="000965FD">
      <w:pPr>
        <w:spacing w:after="0" w:line="240" w:lineRule="auto"/>
      </w:pPr>
    </w:p>
    <w:p w14:paraId="6F3852B1" w14:textId="77777777" w:rsidR="000965FD" w:rsidRDefault="000965FD" w:rsidP="000965FD">
      <w:pPr>
        <w:spacing w:after="0" w:line="240" w:lineRule="auto"/>
      </w:pPr>
      <w:r>
        <w:t>Leesman. (2023). Workplace Experience Benchmark.</w:t>
      </w:r>
    </w:p>
    <w:p w14:paraId="5EC934A1" w14:textId="77777777" w:rsidR="000965FD" w:rsidRDefault="000965FD" w:rsidP="000965FD">
      <w:pPr>
        <w:spacing w:after="0" w:line="240" w:lineRule="auto"/>
      </w:pPr>
    </w:p>
    <w:p w14:paraId="67F4E6B8" w14:textId="77777777" w:rsidR="000965FD" w:rsidRDefault="000965FD" w:rsidP="000965FD">
      <w:pPr>
        <w:spacing w:after="0" w:line="240" w:lineRule="auto"/>
      </w:pPr>
      <w:r>
        <w:t>KPMG. (2023). Return on Investment of Stakeholder Involvement in Corporate Real Estate.</w:t>
      </w:r>
    </w:p>
    <w:p w14:paraId="3943FFB4" w14:textId="77777777" w:rsidR="000965FD" w:rsidRDefault="000965FD" w:rsidP="000965FD">
      <w:pPr>
        <w:spacing w:after="0" w:line="240" w:lineRule="auto"/>
      </w:pPr>
    </w:p>
    <w:p w14:paraId="00B57496" w14:textId="77777777" w:rsidR="000965FD" w:rsidRDefault="000965FD" w:rsidP="000965FD">
      <w:pPr>
        <w:spacing w:after="0" w:line="240" w:lineRule="auto"/>
      </w:pPr>
      <w:r>
        <w:t>Chartered Institute of Personnel and Development (CIPD). (2023). Managing Conflicts During Organisation Change.</w:t>
      </w:r>
    </w:p>
    <w:p w14:paraId="4C4649F3" w14:textId="77777777" w:rsidR="000965FD" w:rsidRDefault="000965FD" w:rsidP="000965FD">
      <w:pPr>
        <w:spacing w:after="0" w:line="240" w:lineRule="auto"/>
      </w:pPr>
    </w:p>
    <w:p w14:paraId="0DBB53F9" w14:textId="3F8FD69B" w:rsidR="000965FD" w:rsidRDefault="000965FD" w:rsidP="000965FD">
      <w:pPr>
        <w:spacing w:after="0" w:line="240" w:lineRule="auto"/>
      </w:pPr>
      <w:r>
        <w:t>Bank of England. (2023). Financial Stability Report.</w:t>
      </w:r>
    </w:p>
    <w:sectPr w:rsidR="000965F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0AB3A" w14:textId="77777777" w:rsidR="00036406" w:rsidRDefault="00036406" w:rsidP="00831E14">
      <w:pPr>
        <w:spacing w:after="0" w:line="240" w:lineRule="auto"/>
      </w:pPr>
      <w:r>
        <w:separator/>
      </w:r>
    </w:p>
  </w:endnote>
  <w:endnote w:type="continuationSeparator" w:id="0">
    <w:p w14:paraId="364E16DC" w14:textId="77777777" w:rsidR="00036406" w:rsidRDefault="00036406" w:rsidP="00831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57107" w14:textId="77777777" w:rsidR="00036406" w:rsidRDefault="00036406" w:rsidP="00831E14">
      <w:pPr>
        <w:spacing w:after="0" w:line="240" w:lineRule="auto"/>
      </w:pPr>
      <w:r>
        <w:separator/>
      </w:r>
    </w:p>
  </w:footnote>
  <w:footnote w:type="continuationSeparator" w:id="0">
    <w:p w14:paraId="2CF131EB" w14:textId="77777777" w:rsidR="00036406" w:rsidRDefault="00036406" w:rsidP="00831E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9AE47" w14:textId="6F161D3B" w:rsidR="00725ED0" w:rsidRDefault="00464423">
    <w:pPr>
      <w:pStyle w:val="Header"/>
    </w:pPr>
    <w:r w:rsidRPr="00464423">
      <w:rPr>
        <w:rFonts w:ascii="Times New Roman" w:eastAsia="Times New Roman" w:hAnsi="Times New Roman" w:cs="Times New Roman"/>
        <w:kern w:val="0"/>
        <w:sz w:val="40"/>
        <w:szCs w:val="40"/>
        <w:lang w:eastAsia="ro-RO"/>
        <w14:ligatures w14:val="none"/>
      </w:rPr>
      <w:t>Strategies for Involving Stakeholders in the Consolidation of Corporate Offices: A Case Study of Lloyds Bank UK’s Birmingham Office Transformation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305"/>
    <w:rsid w:val="000050E8"/>
    <w:rsid w:val="00036406"/>
    <w:rsid w:val="0008247F"/>
    <w:rsid w:val="000965FD"/>
    <w:rsid w:val="00200EF2"/>
    <w:rsid w:val="003206B4"/>
    <w:rsid w:val="003C6933"/>
    <w:rsid w:val="00464423"/>
    <w:rsid w:val="00493EFE"/>
    <w:rsid w:val="004E7953"/>
    <w:rsid w:val="005669A8"/>
    <w:rsid w:val="00725ED0"/>
    <w:rsid w:val="00831E14"/>
    <w:rsid w:val="0087596F"/>
    <w:rsid w:val="0097290D"/>
    <w:rsid w:val="00A10CAD"/>
    <w:rsid w:val="00A96BC6"/>
    <w:rsid w:val="00B9035F"/>
    <w:rsid w:val="00B945F0"/>
    <w:rsid w:val="00BD0301"/>
    <w:rsid w:val="00C84377"/>
    <w:rsid w:val="00C9177F"/>
    <w:rsid w:val="00DA7A38"/>
    <w:rsid w:val="00E403C0"/>
    <w:rsid w:val="00EA3AC3"/>
    <w:rsid w:val="00EA4391"/>
    <w:rsid w:val="00FC22A6"/>
    <w:rsid w:val="00FD230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6854B9"/>
  <w15:chartTrackingRefBased/>
  <w15:docId w15:val="{D13CC05B-8138-4C3B-BD01-E4DFE5544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3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23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3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3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3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3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3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3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3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3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23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3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3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3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3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3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3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305"/>
    <w:rPr>
      <w:rFonts w:eastAsiaTheme="majorEastAsia" w:cstheme="majorBidi"/>
      <w:color w:val="272727" w:themeColor="text1" w:themeTint="D8"/>
    </w:rPr>
  </w:style>
  <w:style w:type="paragraph" w:styleId="Title">
    <w:name w:val="Title"/>
    <w:basedOn w:val="Normal"/>
    <w:next w:val="Normal"/>
    <w:link w:val="TitleChar"/>
    <w:uiPriority w:val="10"/>
    <w:qFormat/>
    <w:rsid w:val="00FD23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3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3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3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305"/>
    <w:pPr>
      <w:spacing w:before="160"/>
      <w:jc w:val="center"/>
    </w:pPr>
    <w:rPr>
      <w:i/>
      <w:iCs/>
      <w:color w:val="404040" w:themeColor="text1" w:themeTint="BF"/>
    </w:rPr>
  </w:style>
  <w:style w:type="character" w:customStyle="1" w:styleId="QuoteChar">
    <w:name w:val="Quote Char"/>
    <w:basedOn w:val="DefaultParagraphFont"/>
    <w:link w:val="Quote"/>
    <w:uiPriority w:val="29"/>
    <w:rsid w:val="00FD2305"/>
    <w:rPr>
      <w:i/>
      <w:iCs/>
      <w:color w:val="404040" w:themeColor="text1" w:themeTint="BF"/>
    </w:rPr>
  </w:style>
  <w:style w:type="paragraph" w:styleId="ListParagraph">
    <w:name w:val="List Paragraph"/>
    <w:basedOn w:val="Normal"/>
    <w:uiPriority w:val="34"/>
    <w:qFormat/>
    <w:rsid w:val="00FD2305"/>
    <w:pPr>
      <w:ind w:left="720"/>
      <w:contextualSpacing/>
    </w:pPr>
  </w:style>
  <w:style w:type="character" w:styleId="IntenseEmphasis">
    <w:name w:val="Intense Emphasis"/>
    <w:basedOn w:val="DefaultParagraphFont"/>
    <w:uiPriority w:val="21"/>
    <w:qFormat/>
    <w:rsid w:val="00FD2305"/>
    <w:rPr>
      <w:i/>
      <w:iCs/>
      <w:color w:val="0F4761" w:themeColor="accent1" w:themeShade="BF"/>
    </w:rPr>
  </w:style>
  <w:style w:type="paragraph" w:styleId="IntenseQuote">
    <w:name w:val="Intense Quote"/>
    <w:basedOn w:val="Normal"/>
    <w:next w:val="Normal"/>
    <w:link w:val="IntenseQuoteChar"/>
    <w:uiPriority w:val="30"/>
    <w:qFormat/>
    <w:rsid w:val="00FD23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305"/>
    <w:rPr>
      <w:i/>
      <w:iCs/>
      <w:color w:val="0F4761" w:themeColor="accent1" w:themeShade="BF"/>
    </w:rPr>
  </w:style>
  <w:style w:type="character" w:styleId="IntenseReference">
    <w:name w:val="Intense Reference"/>
    <w:basedOn w:val="DefaultParagraphFont"/>
    <w:uiPriority w:val="32"/>
    <w:qFormat/>
    <w:rsid w:val="00FD2305"/>
    <w:rPr>
      <w:b/>
      <w:bCs/>
      <w:smallCaps/>
      <w:color w:val="0F4761" w:themeColor="accent1" w:themeShade="BF"/>
      <w:spacing w:val="5"/>
    </w:rPr>
  </w:style>
  <w:style w:type="paragraph" w:styleId="Header">
    <w:name w:val="header"/>
    <w:basedOn w:val="Normal"/>
    <w:link w:val="HeaderChar"/>
    <w:uiPriority w:val="99"/>
    <w:unhideWhenUsed/>
    <w:rsid w:val="00831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E14"/>
  </w:style>
  <w:style w:type="paragraph" w:styleId="Footer">
    <w:name w:val="footer"/>
    <w:basedOn w:val="Normal"/>
    <w:link w:val="FooterChar"/>
    <w:uiPriority w:val="99"/>
    <w:unhideWhenUsed/>
    <w:rsid w:val="00831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6540">
      <w:bodyDiv w:val="1"/>
      <w:marLeft w:val="0"/>
      <w:marRight w:val="0"/>
      <w:marTop w:val="0"/>
      <w:marBottom w:val="0"/>
      <w:divBdr>
        <w:top w:val="none" w:sz="0" w:space="0" w:color="auto"/>
        <w:left w:val="none" w:sz="0" w:space="0" w:color="auto"/>
        <w:bottom w:val="none" w:sz="0" w:space="0" w:color="auto"/>
        <w:right w:val="none" w:sz="0" w:space="0" w:color="auto"/>
      </w:divBdr>
    </w:div>
    <w:div w:id="195001402">
      <w:bodyDiv w:val="1"/>
      <w:marLeft w:val="0"/>
      <w:marRight w:val="0"/>
      <w:marTop w:val="0"/>
      <w:marBottom w:val="0"/>
      <w:divBdr>
        <w:top w:val="none" w:sz="0" w:space="0" w:color="auto"/>
        <w:left w:val="none" w:sz="0" w:space="0" w:color="auto"/>
        <w:bottom w:val="none" w:sz="0" w:space="0" w:color="auto"/>
        <w:right w:val="none" w:sz="0" w:space="0" w:color="auto"/>
      </w:divBdr>
    </w:div>
    <w:div w:id="340082210">
      <w:bodyDiv w:val="1"/>
      <w:marLeft w:val="0"/>
      <w:marRight w:val="0"/>
      <w:marTop w:val="0"/>
      <w:marBottom w:val="0"/>
      <w:divBdr>
        <w:top w:val="none" w:sz="0" w:space="0" w:color="auto"/>
        <w:left w:val="none" w:sz="0" w:space="0" w:color="auto"/>
        <w:bottom w:val="none" w:sz="0" w:space="0" w:color="auto"/>
        <w:right w:val="none" w:sz="0" w:space="0" w:color="auto"/>
      </w:divBdr>
    </w:div>
    <w:div w:id="469176378">
      <w:bodyDiv w:val="1"/>
      <w:marLeft w:val="0"/>
      <w:marRight w:val="0"/>
      <w:marTop w:val="0"/>
      <w:marBottom w:val="0"/>
      <w:divBdr>
        <w:top w:val="none" w:sz="0" w:space="0" w:color="auto"/>
        <w:left w:val="none" w:sz="0" w:space="0" w:color="auto"/>
        <w:bottom w:val="none" w:sz="0" w:space="0" w:color="auto"/>
        <w:right w:val="none" w:sz="0" w:space="0" w:color="auto"/>
      </w:divBdr>
    </w:div>
    <w:div w:id="483356063">
      <w:bodyDiv w:val="1"/>
      <w:marLeft w:val="0"/>
      <w:marRight w:val="0"/>
      <w:marTop w:val="0"/>
      <w:marBottom w:val="0"/>
      <w:divBdr>
        <w:top w:val="none" w:sz="0" w:space="0" w:color="auto"/>
        <w:left w:val="none" w:sz="0" w:space="0" w:color="auto"/>
        <w:bottom w:val="none" w:sz="0" w:space="0" w:color="auto"/>
        <w:right w:val="none" w:sz="0" w:space="0" w:color="auto"/>
      </w:divBdr>
    </w:div>
    <w:div w:id="723912578">
      <w:bodyDiv w:val="1"/>
      <w:marLeft w:val="0"/>
      <w:marRight w:val="0"/>
      <w:marTop w:val="0"/>
      <w:marBottom w:val="0"/>
      <w:divBdr>
        <w:top w:val="none" w:sz="0" w:space="0" w:color="auto"/>
        <w:left w:val="none" w:sz="0" w:space="0" w:color="auto"/>
        <w:bottom w:val="none" w:sz="0" w:space="0" w:color="auto"/>
        <w:right w:val="none" w:sz="0" w:space="0" w:color="auto"/>
      </w:divBdr>
    </w:div>
    <w:div w:id="892422014">
      <w:bodyDiv w:val="1"/>
      <w:marLeft w:val="0"/>
      <w:marRight w:val="0"/>
      <w:marTop w:val="0"/>
      <w:marBottom w:val="0"/>
      <w:divBdr>
        <w:top w:val="none" w:sz="0" w:space="0" w:color="auto"/>
        <w:left w:val="none" w:sz="0" w:space="0" w:color="auto"/>
        <w:bottom w:val="none" w:sz="0" w:space="0" w:color="auto"/>
        <w:right w:val="none" w:sz="0" w:space="0" w:color="auto"/>
      </w:divBdr>
    </w:div>
    <w:div w:id="1308978279">
      <w:bodyDiv w:val="1"/>
      <w:marLeft w:val="0"/>
      <w:marRight w:val="0"/>
      <w:marTop w:val="0"/>
      <w:marBottom w:val="0"/>
      <w:divBdr>
        <w:top w:val="none" w:sz="0" w:space="0" w:color="auto"/>
        <w:left w:val="none" w:sz="0" w:space="0" w:color="auto"/>
        <w:bottom w:val="none" w:sz="0" w:space="0" w:color="auto"/>
        <w:right w:val="none" w:sz="0" w:space="0" w:color="auto"/>
      </w:divBdr>
    </w:div>
    <w:div w:id="1397050021">
      <w:bodyDiv w:val="1"/>
      <w:marLeft w:val="0"/>
      <w:marRight w:val="0"/>
      <w:marTop w:val="0"/>
      <w:marBottom w:val="0"/>
      <w:divBdr>
        <w:top w:val="none" w:sz="0" w:space="0" w:color="auto"/>
        <w:left w:val="none" w:sz="0" w:space="0" w:color="auto"/>
        <w:bottom w:val="none" w:sz="0" w:space="0" w:color="auto"/>
        <w:right w:val="none" w:sz="0" w:space="0" w:color="auto"/>
      </w:divBdr>
    </w:div>
    <w:div w:id="1612861314">
      <w:bodyDiv w:val="1"/>
      <w:marLeft w:val="0"/>
      <w:marRight w:val="0"/>
      <w:marTop w:val="0"/>
      <w:marBottom w:val="0"/>
      <w:divBdr>
        <w:top w:val="none" w:sz="0" w:space="0" w:color="auto"/>
        <w:left w:val="none" w:sz="0" w:space="0" w:color="auto"/>
        <w:bottom w:val="none" w:sz="0" w:space="0" w:color="auto"/>
        <w:right w:val="none" w:sz="0" w:space="0" w:color="auto"/>
      </w:divBdr>
    </w:div>
    <w:div w:id="2004769872">
      <w:bodyDiv w:val="1"/>
      <w:marLeft w:val="0"/>
      <w:marRight w:val="0"/>
      <w:marTop w:val="0"/>
      <w:marBottom w:val="0"/>
      <w:divBdr>
        <w:top w:val="none" w:sz="0" w:space="0" w:color="auto"/>
        <w:left w:val="none" w:sz="0" w:space="0" w:color="auto"/>
        <w:bottom w:val="none" w:sz="0" w:space="0" w:color="auto"/>
        <w:right w:val="none" w:sz="0" w:space="0" w:color="auto"/>
      </w:divBdr>
    </w:div>
    <w:div w:id="2026394190">
      <w:bodyDiv w:val="1"/>
      <w:marLeft w:val="0"/>
      <w:marRight w:val="0"/>
      <w:marTop w:val="0"/>
      <w:marBottom w:val="0"/>
      <w:divBdr>
        <w:top w:val="none" w:sz="0" w:space="0" w:color="auto"/>
        <w:left w:val="none" w:sz="0" w:space="0" w:color="auto"/>
        <w:bottom w:val="none" w:sz="0" w:space="0" w:color="auto"/>
        <w:right w:val="none" w:sz="0" w:space="0" w:color="auto"/>
      </w:divBdr>
    </w:div>
    <w:div w:id="2074037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4185</Words>
  <Characters>24279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Netoiu Andrei</dc:creator>
  <cp:keywords/>
  <dc:description/>
  <cp:lastModifiedBy>Netoiu Ionut Daniel</cp:lastModifiedBy>
  <cp:revision>2</cp:revision>
  <dcterms:created xsi:type="dcterms:W3CDTF">2025-12-14T20:25:00Z</dcterms:created>
  <dcterms:modified xsi:type="dcterms:W3CDTF">2025-12-14T20:25:00Z</dcterms:modified>
</cp:coreProperties>
</file>