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C65" w:rsidRPr="00221C65" w:rsidRDefault="00221C65" w:rsidP="00221C65">
      <w:pPr>
        <w:spacing w:before="0" w:after="0"/>
        <w:ind w:firstLine="0"/>
        <w:rPr>
          <w:rFonts w:eastAsia="Calibri" w:cs="Times New Roman"/>
          <w:b/>
          <w:bCs/>
          <w:color w:val="000000"/>
          <w:szCs w:val="24"/>
          <w:lang w:val="en-US"/>
        </w:rPr>
      </w:pPr>
      <w:r>
        <w:rPr>
          <w:rFonts w:eastAsia="Calibri" w:cs="Times New Roman"/>
          <w:b/>
          <w:szCs w:val="24"/>
          <w:lang w:val="en-US"/>
        </w:rPr>
        <w:t>Financial</w:t>
      </w:r>
      <w:r w:rsidRPr="00221C65">
        <w:rPr>
          <w:rFonts w:eastAsia="Calibri" w:cs="Times New Roman"/>
          <w:b/>
          <w:szCs w:val="24"/>
          <w:lang w:val="en-US"/>
        </w:rPr>
        <w:t xml:space="preserve"> Management</w:t>
      </w:r>
    </w:p>
    <w:p w:rsidR="00221C65" w:rsidRPr="00221C65" w:rsidRDefault="00221C65" w:rsidP="00221C65">
      <w:pPr>
        <w:spacing w:before="0" w:after="0"/>
        <w:ind w:firstLine="0"/>
        <w:rPr>
          <w:rFonts w:eastAsia="Calibri" w:cs="Times New Roman"/>
          <w:b/>
          <w:bCs/>
          <w:color w:val="000000"/>
          <w:szCs w:val="24"/>
          <w:lang w:val="en-US"/>
        </w:rPr>
      </w:pPr>
    </w:p>
    <w:p w:rsidR="00221C65" w:rsidRPr="00221C65" w:rsidRDefault="00221C65" w:rsidP="00221C65">
      <w:pPr>
        <w:spacing w:before="0" w:after="0"/>
        <w:ind w:firstLine="0"/>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p>
    <w:p w:rsidR="00221C65" w:rsidRPr="00221C65" w:rsidRDefault="00221C65" w:rsidP="00221C65">
      <w:pPr>
        <w:spacing w:before="0" w:after="0"/>
        <w:ind w:firstLine="0"/>
        <w:jc w:val="center"/>
        <w:rPr>
          <w:rFonts w:eastAsia="Calibri" w:cs="Times New Roman"/>
          <w:bCs/>
          <w:color w:val="000000"/>
          <w:szCs w:val="24"/>
          <w:lang w:val="en-US"/>
        </w:rPr>
      </w:pPr>
      <w:r w:rsidRPr="00221C65">
        <w:rPr>
          <w:rFonts w:eastAsia="Calibri" w:cs="Times New Roman"/>
          <w:bCs/>
          <w:color w:val="000000"/>
          <w:szCs w:val="24"/>
          <w:lang w:val="en-US"/>
        </w:rPr>
        <w:t>University of Wales Trinity Saint David</w:t>
      </w:r>
    </w:p>
    <w:p w:rsidR="00221C65" w:rsidRPr="00221C65" w:rsidRDefault="00221C65" w:rsidP="00221C65">
      <w:pPr>
        <w:spacing w:before="0" w:after="0"/>
        <w:ind w:firstLine="0"/>
        <w:jc w:val="center"/>
        <w:rPr>
          <w:rFonts w:eastAsia="Calibri" w:cs="Times New Roman"/>
          <w:bCs/>
          <w:color w:val="000000"/>
          <w:szCs w:val="24"/>
          <w:lang w:val="en-US"/>
        </w:rPr>
      </w:pPr>
      <w:r>
        <w:rPr>
          <w:rFonts w:eastAsia="Calibri" w:cs="Times New Roman"/>
          <w:bCs/>
          <w:color w:val="000000"/>
          <w:szCs w:val="24"/>
          <w:lang w:val="en-US"/>
        </w:rPr>
        <w:t>Financial</w:t>
      </w:r>
      <w:r w:rsidRPr="00221C65">
        <w:rPr>
          <w:rFonts w:eastAsia="Calibri" w:cs="Times New Roman"/>
          <w:bCs/>
          <w:color w:val="000000"/>
          <w:szCs w:val="24"/>
          <w:lang w:val="en-US"/>
        </w:rPr>
        <w:t xml:space="preserve"> Management</w:t>
      </w:r>
    </w:p>
    <w:p w:rsidR="00221C65" w:rsidRPr="00221C65" w:rsidRDefault="00221C65" w:rsidP="00221C65">
      <w:pPr>
        <w:spacing w:before="0" w:after="0"/>
        <w:ind w:firstLine="0"/>
        <w:jc w:val="center"/>
        <w:rPr>
          <w:rFonts w:eastAsia="Calibri" w:cs="Times New Roman"/>
          <w:bCs/>
          <w:color w:val="000000"/>
          <w:szCs w:val="24"/>
          <w:lang w:val="en-US"/>
        </w:rPr>
      </w:pPr>
      <w:r w:rsidRPr="00221C65">
        <w:rPr>
          <w:rFonts w:eastAsia="Calibri" w:cs="Times New Roman"/>
          <w:bCs/>
          <w:color w:val="000000"/>
          <w:szCs w:val="24"/>
          <w:lang w:val="en-US"/>
        </w:rPr>
        <w:t>(SBMA</w:t>
      </w:r>
      <w:r>
        <w:rPr>
          <w:rFonts w:eastAsia="Calibri" w:cs="Times New Roman"/>
          <w:bCs/>
          <w:color w:val="000000"/>
          <w:szCs w:val="24"/>
          <w:lang w:val="en-US"/>
        </w:rPr>
        <w:t>7100D</w:t>
      </w:r>
      <w:r w:rsidRPr="00221C65">
        <w:rPr>
          <w:rFonts w:eastAsia="Calibri" w:cs="Times New Roman"/>
          <w:bCs/>
          <w:color w:val="000000"/>
          <w:szCs w:val="24"/>
          <w:lang w:val="en-US"/>
        </w:rPr>
        <w:t>)</w:t>
      </w:r>
    </w:p>
    <w:p w:rsidR="00221C65" w:rsidRPr="00221C65" w:rsidRDefault="00221C65" w:rsidP="00221C65">
      <w:pPr>
        <w:spacing w:before="0" w:after="0"/>
        <w:ind w:firstLine="0"/>
        <w:jc w:val="center"/>
        <w:rPr>
          <w:rFonts w:eastAsia="Calibri" w:cs="Times New Roman"/>
          <w:szCs w:val="24"/>
          <w:lang w:val="en-US"/>
        </w:rPr>
      </w:pPr>
      <w:r>
        <w:rPr>
          <w:rFonts w:eastAsia="Calibri" w:cs="Times New Roman"/>
          <w:szCs w:val="24"/>
          <w:lang w:val="en-US"/>
        </w:rPr>
        <w:t>Assignment 1</w:t>
      </w:r>
      <w:r w:rsidR="009459E3">
        <w:rPr>
          <w:rFonts w:eastAsia="Calibri" w:cs="Times New Roman"/>
          <w:szCs w:val="24"/>
          <w:lang w:val="en-US"/>
        </w:rPr>
        <w:t xml:space="preserve"> - </w:t>
      </w:r>
      <w:r w:rsidR="009459E3" w:rsidRPr="009459E3">
        <w:rPr>
          <w:rFonts w:eastAsia="Calibri" w:cs="Times New Roman"/>
          <w:szCs w:val="24"/>
          <w:lang w:val="en-US"/>
        </w:rPr>
        <w:t>Royal Mail Group Ratio Analysis</w:t>
      </w: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spacing w:before="0" w:after="0"/>
        <w:ind w:firstLine="0"/>
        <w:jc w:val="center"/>
        <w:rPr>
          <w:rFonts w:eastAsia="Calibri" w:cs="Times New Roman"/>
          <w:b/>
          <w:bCs/>
          <w:color w:val="000000"/>
          <w:szCs w:val="24"/>
          <w:lang w:val="en-US"/>
        </w:rPr>
      </w:pPr>
    </w:p>
    <w:p w:rsidR="00221C65" w:rsidRPr="00221C65" w:rsidRDefault="00221C65" w:rsidP="00221C65">
      <w:pPr>
        <w:tabs>
          <w:tab w:val="left" w:pos="2880"/>
        </w:tabs>
        <w:spacing w:before="0" w:after="200" w:line="276" w:lineRule="auto"/>
        <w:ind w:firstLine="0"/>
        <w:rPr>
          <w:rFonts w:eastAsia="Calibri" w:cs="Times New Roman"/>
          <w:szCs w:val="24"/>
          <w:lang w:val="en-US"/>
        </w:rPr>
      </w:pPr>
      <w:r w:rsidRPr="00221C65">
        <w:rPr>
          <w:rFonts w:eastAsia="Calibri" w:cs="Times New Roman"/>
          <w:szCs w:val="24"/>
          <w:lang w:val="en-US"/>
        </w:rPr>
        <w:t>Name: SIU KEUNG O</w:t>
      </w:r>
    </w:p>
    <w:p w:rsidR="00221C65" w:rsidRPr="00221C65" w:rsidRDefault="00221C65" w:rsidP="00221C65">
      <w:pPr>
        <w:tabs>
          <w:tab w:val="left" w:pos="2880"/>
        </w:tabs>
        <w:spacing w:before="0" w:after="200" w:line="276" w:lineRule="auto"/>
        <w:ind w:firstLine="0"/>
        <w:rPr>
          <w:rFonts w:eastAsia="Calibri" w:cs="Times New Roman"/>
          <w:color w:val="222222"/>
          <w:szCs w:val="24"/>
          <w:shd w:val="clear" w:color="auto" w:fill="FFFFFF"/>
          <w:lang w:val="en-US"/>
        </w:rPr>
      </w:pPr>
      <w:r w:rsidRPr="00221C65">
        <w:rPr>
          <w:rFonts w:eastAsia="Calibri" w:cs="Times New Roman"/>
          <w:szCs w:val="24"/>
          <w:lang w:val="en-US"/>
        </w:rPr>
        <w:t>Student Number: 1706317</w:t>
      </w:r>
    </w:p>
    <w:p w:rsidR="00221C65" w:rsidRPr="00221C65" w:rsidRDefault="00221C65" w:rsidP="00221C65">
      <w:pPr>
        <w:tabs>
          <w:tab w:val="center" w:pos="4680"/>
          <w:tab w:val="right" w:pos="9360"/>
        </w:tabs>
        <w:spacing w:before="0" w:after="0" w:line="240" w:lineRule="auto"/>
        <w:ind w:firstLine="0"/>
        <w:rPr>
          <w:rFonts w:ascii="Calibri" w:eastAsia="Calibri" w:hAnsi="Calibri" w:cs="Times New Roman"/>
          <w:szCs w:val="24"/>
          <w:lang w:val="en-US"/>
        </w:rPr>
      </w:pPr>
      <w:r w:rsidRPr="00221C65">
        <w:rPr>
          <w:rFonts w:eastAsia="Calibri" w:cs="Times New Roman"/>
          <w:szCs w:val="24"/>
          <w:lang w:val="en-US"/>
        </w:rPr>
        <w:t xml:space="preserve">Date: </w:t>
      </w:r>
      <w:r>
        <w:rPr>
          <w:rFonts w:eastAsia="Calibri" w:cs="Times New Roman"/>
          <w:szCs w:val="24"/>
          <w:lang w:val="en-US"/>
        </w:rPr>
        <w:t>31-Dec</w:t>
      </w:r>
      <w:r w:rsidRPr="00221C65">
        <w:rPr>
          <w:rFonts w:eastAsia="Calibri" w:cs="Times New Roman"/>
          <w:szCs w:val="24"/>
          <w:lang w:val="en-US"/>
        </w:rPr>
        <w:t>-2018</w:t>
      </w:r>
    </w:p>
    <w:sdt>
      <w:sdtPr>
        <w:rPr>
          <w:rFonts w:ascii="Times New Roman" w:eastAsiaTheme="minorHAnsi" w:hAnsi="Times New Roman" w:cstheme="minorBidi"/>
          <w:color w:val="auto"/>
          <w:sz w:val="24"/>
          <w:szCs w:val="22"/>
          <w:lang w:val="en-GB"/>
        </w:rPr>
        <w:id w:val="1782839451"/>
        <w:docPartObj>
          <w:docPartGallery w:val="Table of Contents"/>
          <w:docPartUnique/>
        </w:docPartObj>
      </w:sdtPr>
      <w:sdtEndPr>
        <w:rPr>
          <w:b/>
          <w:bCs/>
          <w:noProof/>
        </w:rPr>
      </w:sdtEndPr>
      <w:sdtContent>
        <w:p w:rsidR="00A219D8" w:rsidRDefault="00A219D8">
          <w:pPr>
            <w:pStyle w:val="TOCHeading"/>
          </w:pPr>
          <w:r>
            <w:t>Contents</w:t>
          </w:r>
        </w:p>
        <w:p w:rsidR="00BD4578" w:rsidRDefault="00A219D8">
          <w:pPr>
            <w:pStyle w:val="TOC1"/>
            <w:tabs>
              <w:tab w:val="right" w:leader="dot" w:pos="9350"/>
            </w:tabs>
            <w:rPr>
              <w:rFonts w:asciiTheme="minorHAnsi" w:eastAsiaTheme="minorEastAsia" w:hAnsiTheme="minorHAnsi"/>
              <w:noProof/>
              <w:sz w:val="22"/>
              <w:lang w:val="en-US" w:eastAsia="zh-TW"/>
            </w:rPr>
          </w:pPr>
          <w:r>
            <w:fldChar w:fldCharType="begin"/>
          </w:r>
          <w:r>
            <w:instrText xml:space="preserve"> TOC \o "1-3" \h \z \u </w:instrText>
          </w:r>
          <w:r>
            <w:fldChar w:fldCharType="separate"/>
          </w:r>
          <w:hyperlink w:anchor="_Toc532804893" w:history="1">
            <w:r w:rsidR="00BD4578" w:rsidRPr="00C30488">
              <w:rPr>
                <w:rStyle w:val="Hyperlink"/>
                <w:rFonts w:cs="Times New Roman"/>
                <w:noProof/>
              </w:rPr>
              <w:t>Introduction:</w:t>
            </w:r>
            <w:r w:rsidR="00BD4578">
              <w:rPr>
                <w:noProof/>
                <w:webHidden/>
              </w:rPr>
              <w:tab/>
            </w:r>
            <w:r w:rsidR="00BD4578">
              <w:rPr>
                <w:noProof/>
                <w:webHidden/>
              </w:rPr>
              <w:fldChar w:fldCharType="begin"/>
            </w:r>
            <w:r w:rsidR="00BD4578">
              <w:rPr>
                <w:noProof/>
                <w:webHidden/>
              </w:rPr>
              <w:instrText xml:space="preserve"> PAGEREF _Toc532804893 \h </w:instrText>
            </w:r>
            <w:r w:rsidR="00BD4578">
              <w:rPr>
                <w:noProof/>
                <w:webHidden/>
              </w:rPr>
            </w:r>
            <w:r w:rsidR="00BD4578">
              <w:rPr>
                <w:noProof/>
                <w:webHidden/>
              </w:rPr>
              <w:fldChar w:fldCharType="separate"/>
            </w:r>
            <w:r w:rsidR="00BD4578">
              <w:rPr>
                <w:noProof/>
                <w:webHidden/>
              </w:rPr>
              <w:t>4</w:t>
            </w:r>
            <w:r w:rsidR="00BD4578">
              <w:rPr>
                <w:noProof/>
                <w:webHidden/>
              </w:rPr>
              <w:fldChar w:fldCharType="end"/>
            </w:r>
          </w:hyperlink>
        </w:p>
        <w:p w:rsidR="00BD4578" w:rsidRDefault="00BD4578">
          <w:pPr>
            <w:pStyle w:val="TOC1"/>
            <w:tabs>
              <w:tab w:val="right" w:leader="dot" w:pos="9350"/>
            </w:tabs>
            <w:rPr>
              <w:rFonts w:asciiTheme="minorHAnsi" w:eastAsiaTheme="minorEastAsia" w:hAnsiTheme="minorHAnsi"/>
              <w:noProof/>
              <w:sz w:val="22"/>
              <w:lang w:val="en-US" w:eastAsia="zh-TW"/>
            </w:rPr>
          </w:pPr>
          <w:hyperlink w:anchor="_Toc532804894" w:history="1">
            <w:r w:rsidRPr="00C30488">
              <w:rPr>
                <w:rStyle w:val="Hyperlink"/>
                <w:rFonts w:cs="Times New Roman"/>
                <w:noProof/>
              </w:rPr>
              <w:t>Ratios:</w:t>
            </w:r>
            <w:r>
              <w:rPr>
                <w:noProof/>
                <w:webHidden/>
              </w:rPr>
              <w:tab/>
            </w:r>
            <w:r>
              <w:rPr>
                <w:noProof/>
                <w:webHidden/>
              </w:rPr>
              <w:fldChar w:fldCharType="begin"/>
            </w:r>
            <w:r>
              <w:rPr>
                <w:noProof/>
                <w:webHidden/>
              </w:rPr>
              <w:instrText xml:space="preserve"> PAGEREF _Toc532804894 \h </w:instrText>
            </w:r>
            <w:r>
              <w:rPr>
                <w:noProof/>
                <w:webHidden/>
              </w:rPr>
            </w:r>
            <w:r>
              <w:rPr>
                <w:noProof/>
                <w:webHidden/>
              </w:rPr>
              <w:fldChar w:fldCharType="separate"/>
            </w:r>
            <w:r>
              <w:rPr>
                <w:noProof/>
                <w:webHidden/>
              </w:rPr>
              <w:t>4</w:t>
            </w:r>
            <w:r>
              <w:rPr>
                <w:noProof/>
                <w:webHidden/>
              </w:rPr>
              <w:fldChar w:fldCharType="end"/>
            </w:r>
          </w:hyperlink>
        </w:p>
        <w:p w:rsidR="00BD4578" w:rsidRDefault="00BD4578">
          <w:pPr>
            <w:pStyle w:val="TOC2"/>
            <w:tabs>
              <w:tab w:val="right" w:leader="dot" w:pos="9350"/>
            </w:tabs>
            <w:rPr>
              <w:rFonts w:asciiTheme="minorHAnsi" w:eastAsiaTheme="minorEastAsia" w:hAnsiTheme="minorHAnsi"/>
              <w:noProof/>
              <w:sz w:val="22"/>
              <w:lang w:val="en-US" w:eastAsia="zh-TW"/>
            </w:rPr>
          </w:pPr>
          <w:hyperlink w:anchor="_Toc532804895" w:history="1">
            <w:r w:rsidRPr="00C30488">
              <w:rPr>
                <w:rStyle w:val="Hyperlink"/>
                <w:rFonts w:cs="Times New Roman"/>
                <w:noProof/>
              </w:rPr>
              <w:t>Profitability Ratios:</w:t>
            </w:r>
            <w:r>
              <w:rPr>
                <w:noProof/>
                <w:webHidden/>
              </w:rPr>
              <w:tab/>
            </w:r>
            <w:r>
              <w:rPr>
                <w:noProof/>
                <w:webHidden/>
              </w:rPr>
              <w:fldChar w:fldCharType="begin"/>
            </w:r>
            <w:r>
              <w:rPr>
                <w:noProof/>
                <w:webHidden/>
              </w:rPr>
              <w:instrText xml:space="preserve"> PAGEREF _Toc532804895 \h </w:instrText>
            </w:r>
            <w:r>
              <w:rPr>
                <w:noProof/>
                <w:webHidden/>
              </w:rPr>
            </w:r>
            <w:r>
              <w:rPr>
                <w:noProof/>
                <w:webHidden/>
              </w:rPr>
              <w:fldChar w:fldCharType="separate"/>
            </w:r>
            <w:r>
              <w:rPr>
                <w:noProof/>
                <w:webHidden/>
              </w:rPr>
              <w:t>4</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896" w:history="1">
            <w:r w:rsidRPr="00C30488">
              <w:rPr>
                <w:rStyle w:val="Hyperlink"/>
                <w:noProof/>
              </w:rPr>
              <w:t>Return on Equity (ROE)</w:t>
            </w:r>
            <w:r>
              <w:rPr>
                <w:noProof/>
                <w:webHidden/>
              </w:rPr>
              <w:tab/>
            </w:r>
            <w:r>
              <w:rPr>
                <w:noProof/>
                <w:webHidden/>
              </w:rPr>
              <w:fldChar w:fldCharType="begin"/>
            </w:r>
            <w:r>
              <w:rPr>
                <w:noProof/>
                <w:webHidden/>
              </w:rPr>
              <w:instrText xml:space="preserve"> PAGEREF _Toc532804896 \h </w:instrText>
            </w:r>
            <w:r>
              <w:rPr>
                <w:noProof/>
                <w:webHidden/>
              </w:rPr>
            </w:r>
            <w:r>
              <w:rPr>
                <w:noProof/>
                <w:webHidden/>
              </w:rPr>
              <w:fldChar w:fldCharType="separate"/>
            </w:r>
            <w:r>
              <w:rPr>
                <w:noProof/>
                <w:webHidden/>
              </w:rPr>
              <w:t>5</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897" w:history="1">
            <w:r w:rsidRPr="00C30488">
              <w:rPr>
                <w:rStyle w:val="Hyperlink"/>
                <w:rFonts w:cs="Times New Roman"/>
                <w:noProof/>
              </w:rPr>
              <w:t>Earnings per Share (EPS)</w:t>
            </w:r>
            <w:r>
              <w:rPr>
                <w:noProof/>
                <w:webHidden/>
              </w:rPr>
              <w:tab/>
            </w:r>
            <w:r>
              <w:rPr>
                <w:noProof/>
                <w:webHidden/>
              </w:rPr>
              <w:fldChar w:fldCharType="begin"/>
            </w:r>
            <w:r>
              <w:rPr>
                <w:noProof/>
                <w:webHidden/>
              </w:rPr>
              <w:instrText xml:space="preserve"> PAGEREF _Toc532804897 \h </w:instrText>
            </w:r>
            <w:r>
              <w:rPr>
                <w:noProof/>
                <w:webHidden/>
              </w:rPr>
            </w:r>
            <w:r>
              <w:rPr>
                <w:noProof/>
                <w:webHidden/>
              </w:rPr>
              <w:fldChar w:fldCharType="separate"/>
            </w:r>
            <w:r>
              <w:rPr>
                <w:noProof/>
                <w:webHidden/>
              </w:rPr>
              <w:t>5</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898" w:history="1">
            <w:r w:rsidRPr="00C30488">
              <w:rPr>
                <w:rStyle w:val="Hyperlink"/>
                <w:rFonts w:cs="Times New Roman"/>
                <w:noProof/>
              </w:rPr>
              <w:t>Dividend per Share (DPS)</w:t>
            </w:r>
            <w:r>
              <w:rPr>
                <w:noProof/>
                <w:webHidden/>
              </w:rPr>
              <w:tab/>
            </w:r>
            <w:r>
              <w:rPr>
                <w:noProof/>
                <w:webHidden/>
              </w:rPr>
              <w:fldChar w:fldCharType="begin"/>
            </w:r>
            <w:r>
              <w:rPr>
                <w:noProof/>
                <w:webHidden/>
              </w:rPr>
              <w:instrText xml:space="preserve"> PAGEREF _Toc532804898 \h </w:instrText>
            </w:r>
            <w:r>
              <w:rPr>
                <w:noProof/>
                <w:webHidden/>
              </w:rPr>
            </w:r>
            <w:r>
              <w:rPr>
                <w:noProof/>
                <w:webHidden/>
              </w:rPr>
              <w:fldChar w:fldCharType="separate"/>
            </w:r>
            <w:r>
              <w:rPr>
                <w:noProof/>
                <w:webHidden/>
              </w:rPr>
              <w:t>5</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899" w:history="1">
            <w:r w:rsidRPr="00C30488">
              <w:rPr>
                <w:rStyle w:val="Hyperlink"/>
                <w:rFonts w:cs="Times New Roman"/>
                <w:noProof/>
              </w:rPr>
              <w:t>Price to Earning (P/E)</w:t>
            </w:r>
            <w:r>
              <w:rPr>
                <w:noProof/>
                <w:webHidden/>
              </w:rPr>
              <w:tab/>
            </w:r>
            <w:r>
              <w:rPr>
                <w:noProof/>
                <w:webHidden/>
              </w:rPr>
              <w:fldChar w:fldCharType="begin"/>
            </w:r>
            <w:r>
              <w:rPr>
                <w:noProof/>
                <w:webHidden/>
              </w:rPr>
              <w:instrText xml:space="preserve"> PAGEREF _Toc532804899 \h </w:instrText>
            </w:r>
            <w:r>
              <w:rPr>
                <w:noProof/>
                <w:webHidden/>
              </w:rPr>
            </w:r>
            <w:r>
              <w:rPr>
                <w:noProof/>
                <w:webHidden/>
              </w:rPr>
              <w:fldChar w:fldCharType="separate"/>
            </w:r>
            <w:r>
              <w:rPr>
                <w:noProof/>
                <w:webHidden/>
              </w:rPr>
              <w:t>6</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0" w:history="1">
            <w:r w:rsidRPr="00C30488">
              <w:rPr>
                <w:rStyle w:val="Hyperlink"/>
                <w:rFonts w:cs="Times New Roman"/>
                <w:noProof/>
              </w:rPr>
              <w:t>Return on Capital (ROC)</w:t>
            </w:r>
            <w:r>
              <w:rPr>
                <w:noProof/>
                <w:webHidden/>
              </w:rPr>
              <w:tab/>
            </w:r>
            <w:r>
              <w:rPr>
                <w:noProof/>
                <w:webHidden/>
              </w:rPr>
              <w:fldChar w:fldCharType="begin"/>
            </w:r>
            <w:r>
              <w:rPr>
                <w:noProof/>
                <w:webHidden/>
              </w:rPr>
              <w:instrText xml:space="preserve"> PAGEREF _Toc532804900 \h </w:instrText>
            </w:r>
            <w:r>
              <w:rPr>
                <w:noProof/>
                <w:webHidden/>
              </w:rPr>
            </w:r>
            <w:r>
              <w:rPr>
                <w:noProof/>
                <w:webHidden/>
              </w:rPr>
              <w:fldChar w:fldCharType="separate"/>
            </w:r>
            <w:r>
              <w:rPr>
                <w:noProof/>
                <w:webHidden/>
              </w:rPr>
              <w:t>6</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1" w:history="1">
            <w:r w:rsidRPr="00C30488">
              <w:rPr>
                <w:rStyle w:val="Hyperlink"/>
                <w:rFonts w:cs="Times New Roman"/>
                <w:noProof/>
              </w:rPr>
              <w:t>Return on Assets (ROA)</w:t>
            </w:r>
            <w:r>
              <w:rPr>
                <w:noProof/>
                <w:webHidden/>
              </w:rPr>
              <w:tab/>
            </w:r>
            <w:r>
              <w:rPr>
                <w:noProof/>
                <w:webHidden/>
              </w:rPr>
              <w:fldChar w:fldCharType="begin"/>
            </w:r>
            <w:r>
              <w:rPr>
                <w:noProof/>
                <w:webHidden/>
              </w:rPr>
              <w:instrText xml:space="preserve"> PAGEREF _Toc532804901 \h </w:instrText>
            </w:r>
            <w:r>
              <w:rPr>
                <w:noProof/>
                <w:webHidden/>
              </w:rPr>
            </w:r>
            <w:r>
              <w:rPr>
                <w:noProof/>
                <w:webHidden/>
              </w:rPr>
              <w:fldChar w:fldCharType="separate"/>
            </w:r>
            <w:r>
              <w:rPr>
                <w:noProof/>
                <w:webHidden/>
              </w:rPr>
              <w:t>6</w:t>
            </w:r>
            <w:r>
              <w:rPr>
                <w:noProof/>
                <w:webHidden/>
              </w:rPr>
              <w:fldChar w:fldCharType="end"/>
            </w:r>
          </w:hyperlink>
        </w:p>
        <w:p w:rsidR="00BD4578" w:rsidRDefault="00BD4578">
          <w:pPr>
            <w:pStyle w:val="TOC2"/>
            <w:tabs>
              <w:tab w:val="right" w:leader="dot" w:pos="9350"/>
            </w:tabs>
            <w:rPr>
              <w:rFonts w:asciiTheme="minorHAnsi" w:eastAsiaTheme="minorEastAsia" w:hAnsiTheme="minorHAnsi"/>
              <w:noProof/>
              <w:sz w:val="22"/>
              <w:lang w:val="en-US" w:eastAsia="zh-TW"/>
            </w:rPr>
          </w:pPr>
          <w:hyperlink w:anchor="_Toc532804902" w:history="1">
            <w:r w:rsidRPr="00C30488">
              <w:rPr>
                <w:rStyle w:val="Hyperlink"/>
                <w:rFonts w:cs="Times New Roman"/>
                <w:noProof/>
              </w:rPr>
              <w:t>Liquidity Ratios:</w:t>
            </w:r>
            <w:r>
              <w:rPr>
                <w:noProof/>
                <w:webHidden/>
              </w:rPr>
              <w:tab/>
            </w:r>
            <w:r>
              <w:rPr>
                <w:noProof/>
                <w:webHidden/>
              </w:rPr>
              <w:fldChar w:fldCharType="begin"/>
            </w:r>
            <w:r>
              <w:rPr>
                <w:noProof/>
                <w:webHidden/>
              </w:rPr>
              <w:instrText xml:space="preserve"> PAGEREF _Toc532804902 \h </w:instrText>
            </w:r>
            <w:r>
              <w:rPr>
                <w:noProof/>
                <w:webHidden/>
              </w:rPr>
            </w:r>
            <w:r>
              <w:rPr>
                <w:noProof/>
                <w:webHidden/>
              </w:rPr>
              <w:fldChar w:fldCharType="separate"/>
            </w:r>
            <w:r>
              <w:rPr>
                <w:noProof/>
                <w:webHidden/>
              </w:rPr>
              <w:t>7</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3" w:history="1">
            <w:r w:rsidRPr="00C30488">
              <w:rPr>
                <w:rStyle w:val="Hyperlink"/>
                <w:rFonts w:cs="Times New Roman"/>
                <w:noProof/>
              </w:rPr>
              <w:t>Current Ratio</w:t>
            </w:r>
            <w:r>
              <w:rPr>
                <w:noProof/>
                <w:webHidden/>
              </w:rPr>
              <w:tab/>
            </w:r>
            <w:r>
              <w:rPr>
                <w:noProof/>
                <w:webHidden/>
              </w:rPr>
              <w:fldChar w:fldCharType="begin"/>
            </w:r>
            <w:r>
              <w:rPr>
                <w:noProof/>
                <w:webHidden/>
              </w:rPr>
              <w:instrText xml:space="preserve"> PAGEREF _Toc532804903 \h </w:instrText>
            </w:r>
            <w:r>
              <w:rPr>
                <w:noProof/>
                <w:webHidden/>
              </w:rPr>
            </w:r>
            <w:r>
              <w:rPr>
                <w:noProof/>
                <w:webHidden/>
              </w:rPr>
              <w:fldChar w:fldCharType="separate"/>
            </w:r>
            <w:r>
              <w:rPr>
                <w:noProof/>
                <w:webHidden/>
              </w:rPr>
              <w:t>7</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4" w:history="1">
            <w:r w:rsidRPr="00C30488">
              <w:rPr>
                <w:rStyle w:val="Hyperlink"/>
                <w:rFonts w:cs="Times New Roman"/>
                <w:noProof/>
              </w:rPr>
              <w:t>Acid Test</w:t>
            </w:r>
            <w:r>
              <w:rPr>
                <w:noProof/>
                <w:webHidden/>
              </w:rPr>
              <w:tab/>
            </w:r>
            <w:r>
              <w:rPr>
                <w:noProof/>
                <w:webHidden/>
              </w:rPr>
              <w:fldChar w:fldCharType="begin"/>
            </w:r>
            <w:r>
              <w:rPr>
                <w:noProof/>
                <w:webHidden/>
              </w:rPr>
              <w:instrText xml:space="preserve"> PAGEREF _Toc532804904 \h </w:instrText>
            </w:r>
            <w:r>
              <w:rPr>
                <w:noProof/>
                <w:webHidden/>
              </w:rPr>
            </w:r>
            <w:r>
              <w:rPr>
                <w:noProof/>
                <w:webHidden/>
              </w:rPr>
              <w:fldChar w:fldCharType="separate"/>
            </w:r>
            <w:r>
              <w:rPr>
                <w:noProof/>
                <w:webHidden/>
              </w:rPr>
              <w:t>7</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5" w:history="1">
            <w:r w:rsidRPr="00C30488">
              <w:rPr>
                <w:rStyle w:val="Hyperlink"/>
                <w:rFonts w:cs="Times New Roman"/>
                <w:noProof/>
              </w:rPr>
              <w:t>Absolute Liquidity Ratio</w:t>
            </w:r>
            <w:r>
              <w:rPr>
                <w:noProof/>
                <w:webHidden/>
              </w:rPr>
              <w:tab/>
            </w:r>
            <w:r>
              <w:rPr>
                <w:noProof/>
                <w:webHidden/>
              </w:rPr>
              <w:fldChar w:fldCharType="begin"/>
            </w:r>
            <w:r>
              <w:rPr>
                <w:noProof/>
                <w:webHidden/>
              </w:rPr>
              <w:instrText xml:space="preserve"> PAGEREF _Toc532804905 \h </w:instrText>
            </w:r>
            <w:r>
              <w:rPr>
                <w:noProof/>
                <w:webHidden/>
              </w:rPr>
            </w:r>
            <w:r>
              <w:rPr>
                <w:noProof/>
                <w:webHidden/>
              </w:rPr>
              <w:fldChar w:fldCharType="separate"/>
            </w:r>
            <w:r>
              <w:rPr>
                <w:noProof/>
                <w:webHidden/>
              </w:rPr>
              <w:t>8</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6" w:history="1">
            <w:r w:rsidRPr="00C30488">
              <w:rPr>
                <w:rStyle w:val="Hyperlink"/>
                <w:rFonts w:cs="Times New Roman"/>
                <w:noProof/>
              </w:rPr>
              <w:t>Basic Defence Ratio</w:t>
            </w:r>
            <w:r>
              <w:rPr>
                <w:noProof/>
                <w:webHidden/>
              </w:rPr>
              <w:tab/>
            </w:r>
            <w:r>
              <w:rPr>
                <w:noProof/>
                <w:webHidden/>
              </w:rPr>
              <w:fldChar w:fldCharType="begin"/>
            </w:r>
            <w:r>
              <w:rPr>
                <w:noProof/>
                <w:webHidden/>
              </w:rPr>
              <w:instrText xml:space="preserve"> PAGEREF _Toc532804906 \h </w:instrText>
            </w:r>
            <w:r>
              <w:rPr>
                <w:noProof/>
                <w:webHidden/>
              </w:rPr>
            </w:r>
            <w:r>
              <w:rPr>
                <w:noProof/>
                <w:webHidden/>
              </w:rPr>
              <w:fldChar w:fldCharType="separate"/>
            </w:r>
            <w:r>
              <w:rPr>
                <w:noProof/>
                <w:webHidden/>
              </w:rPr>
              <w:t>8</w:t>
            </w:r>
            <w:r>
              <w:rPr>
                <w:noProof/>
                <w:webHidden/>
              </w:rPr>
              <w:fldChar w:fldCharType="end"/>
            </w:r>
          </w:hyperlink>
        </w:p>
        <w:p w:rsidR="00BD4578" w:rsidRDefault="00BD4578">
          <w:pPr>
            <w:pStyle w:val="TOC2"/>
            <w:tabs>
              <w:tab w:val="right" w:leader="dot" w:pos="9350"/>
            </w:tabs>
            <w:rPr>
              <w:rFonts w:asciiTheme="minorHAnsi" w:eastAsiaTheme="minorEastAsia" w:hAnsiTheme="minorHAnsi"/>
              <w:noProof/>
              <w:sz w:val="22"/>
              <w:lang w:val="en-US" w:eastAsia="zh-TW"/>
            </w:rPr>
          </w:pPr>
          <w:hyperlink w:anchor="_Toc532804907" w:history="1">
            <w:r w:rsidRPr="00C30488">
              <w:rPr>
                <w:rStyle w:val="Hyperlink"/>
                <w:rFonts w:cs="Times New Roman"/>
                <w:noProof/>
              </w:rPr>
              <w:t>Gearing Ratios:</w:t>
            </w:r>
            <w:r>
              <w:rPr>
                <w:noProof/>
                <w:webHidden/>
              </w:rPr>
              <w:tab/>
            </w:r>
            <w:r>
              <w:rPr>
                <w:noProof/>
                <w:webHidden/>
              </w:rPr>
              <w:fldChar w:fldCharType="begin"/>
            </w:r>
            <w:r>
              <w:rPr>
                <w:noProof/>
                <w:webHidden/>
              </w:rPr>
              <w:instrText xml:space="preserve"> PAGEREF _Toc532804907 \h </w:instrText>
            </w:r>
            <w:r>
              <w:rPr>
                <w:noProof/>
                <w:webHidden/>
              </w:rPr>
            </w:r>
            <w:r>
              <w:rPr>
                <w:noProof/>
                <w:webHidden/>
              </w:rPr>
              <w:fldChar w:fldCharType="separate"/>
            </w:r>
            <w:r>
              <w:rPr>
                <w:noProof/>
                <w:webHidden/>
              </w:rPr>
              <w:t>9</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8" w:history="1">
            <w:r w:rsidRPr="00C30488">
              <w:rPr>
                <w:rStyle w:val="Hyperlink"/>
                <w:rFonts w:cs="Times New Roman"/>
                <w:noProof/>
              </w:rPr>
              <w:t>Debt to Equity Ratio</w:t>
            </w:r>
            <w:r>
              <w:rPr>
                <w:noProof/>
                <w:webHidden/>
              </w:rPr>
              <w:tab/>
            </w:r>
            <w:r>
              <w:rPr>
                <w:noProof/>
                <w:webHidden/>
              </w:rPr>
              <w:fldChar w:fldCharType="begin"/>
            </w:r>
            <w:r>
              <w:rPr>
                <w:noProof/>
                <w:webHidden/>
              </w:rPr>
              <w:instrText xml:space="preserve"> PAGEREF _Toc532804908 \h </w:instrText>
            </w:r>
            <w:r>
              <w:rPr>
                <w:noProof/>
                <w:webHidden/>
              </w:rPr>
            </w:r>
            <w:r>
              <w:rPr>
                <w:noProof/>
                <w:webHidden/>
              </w:rPr>
              <w:fldChar w:fldCharType="separate"/>
            </w:r>
            <w:r>
              <w:rPr>
                <w:noProof/>
                <w:webHidden/>
              </w:rPr>
              <w:t>9</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09" w:history="1">
            <w:r w:rsidRPr="00C30488">
              <w:rPr>
                <w:rStyle w:val="Hyperlink"/>
                <w:rFonts w:cs="Times New Roman"/>
                <w:noProof/>
              </w:rPr>
              <w:t>Debt to Capital Ratio</w:t>
            </w:r>
            <w:r>
              <w:rPr>
                <w:noProof/>
                <w:webHidden/>
              </w:rPr>
              <w:tab/>
            </w:r>
            <w:r>
              <w:rPr>
                <w:noProof/>
                <w:webHidden/>
              </w:rPr>
              <w:fldChar w:fldCharType="begin"/>
            </w:r>
            <w:r>
              <w:rPr>
                <w:noProof/>
                <w:webHidden/>
              </w:rPr>
              <w:instrText xml:space="preserve"> PAGEREF _Toc532804909 \h </w:instrText>
            </w:r>
            <w:r>
              <w:rPr>
                <w:noProof/>
                <w:webHidden/>
              </w:rPr>
            </w:r>
            <w:r>
              <w:rPr>
                <w:noProof/>
                <w:webHidden/>
              </w:rPr>
              <w:fldChar w:fldCharType="separate"/>
            </w:r>
            <w:r>
              <w:rPr>
                <w:noProof/>
                <w:webHidden/>
              </w:rPr>
              <w:t>10</w:t>
            </w:r>
            <w:r>
              <w:rPr>
                <w:noProof/>
                <w:webHidden/>
              </w:rPr>
              <w:fldChar w:fldCharType="end"/>
            </w:r>
          </w:hyperlink>
        </w:p>
        <w:p w:rsidR="00BD4578" w:rsidRDefault="00BD4578">
          <w:pPr>
            <w:pStyle w:val="TOC2"/>
            <w:tabs>
              <w:tab w:val="right" w:leader="dot" w:pos="9350"/>
            </w:tabs>
            <w:rPr>
              <w:rFonts w:asciiTheme="minorHAnsi" w:eastAsiaTheme="minorEastAsia" w:hAnsiTheme="minorHAnsi"/>
              <w:noProof/>
              <w:sz w:val="22"/>
              <w:lang w:val="en-US" w:eastAsia="zh-TW"/>
            </w:rPr>
          </w:pPr>
          <w:hyperlink w:anchor="_Toc532804910" w:history="1">
            <w:r w:rsidRPr="00C30488">
              <w:rPr>
                <w:rStyle w:val="Hyperlink"/>
                <w:rFonts w:cs="Times New Roman"/>
                <w:noProof/>
              </w:rPr>
              <w:t>Efficiency Ratios:</w:t>
            </w:r>
            <w:r>
              <w:rPr>
                <w:noProof/>
                <w:webHidden/>
              </w:rPr>
              <w:tab/>
            </w:r>
            <w:r>
              <w:rPr>
                <w:noProof/>
                <w:webHidden/>
              </w:rPr>
              <w:fldChar w:fldCharType="begin"/>
            </w:r>
            <w:r>
              <w:rPr>
                <w:noProof/>
                <w:webHidden/>
              </w:rPr>
              <w:instrText xml:space="preserve"> PAGEREF _Toc532804910 \h </w:instrText>
            </w:r>
            <w:r>
              <w:rPr>
                <w:noProof/>
                <w:webHidden/>
              </w:rPr>
            </w:r>
            <w:r>
              <w:rPr>
                <w:noProof/>
                <w:webHidden/>
              </w:rPr>
              <w:fldChar w:fldCharType="separate"/>
            </w:r>
            <w:r>
              <w:rPr>
                <w:noProof/>
                <w:webHidden/>
              </w:rPr>
              <w:t>10</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11" w:history="1">
            <w:r w:rsidRPr="00C30488">
              <w:rPr>
                <w:rStyle w:val="Hyperlink"/>
                <w:rFonts w:cs="Times New Roman"/>
                <w:noProof/>
              </w:rPr>
              <w:t>Working Capital Ratio</w:t>
            </w:r>
            <w:r>
              <w:rPr>
                <w:noProof/>
                <w:webHidden/>
              </w:rPr>
              <w:tab/>
            </w:r>
            <w:r>
              <w:rPr>
                <w:noProof/>
                <w:webHidden/>
              </w:rPr>
              <w:fldChar w:fldCharType="begin"/>
            </w:r>
            <w:r>
              <w:rPr>
                <w:noProof/>
                <w:webHidden/>
              </w:rPr>
              <w:instrText xml:space="preserve"> PAGEREF _Toc532804911 \h </w:instrText>
            </w:r>
            <w:r>
              <w:rPr>
                <w:noProof/>
                <w:webHidden/>
              </w:rPr>
            </w:r>
            <w:r>
              <w:rPr>
                <w:noProof/>
                <w:webHidden/>
              </w:rPr>
              <w:fldChar w:fldCharType="separate"/>
            </w:r>
            <w:r>
              <w:rPr>
                <w:noProof/>
                <w:webHidden/>
              </w:rPr>
              <w:t>11</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12" w:history="1">
            <w:r w:rsidRPr="00C30488">
              <w:rPr>
                <w:rStyle w:val="Hyperlink"/>
                <w:rFonts w:cs="Times New Roman"/>
                <w:noProof/>
              </w:rPr>
              <w:t>Asset Turnover Ratio</w:t>
            </w:r>
            <w:r>
              <w:rPr>
                <w:noProof/>
                <w:webHidden/>
              </w:rPr>
              <w:tab/>
            </w:r>
            <w:r>
              <w:rPr>
                <w:noProof/>
                <w:webHidden/>
              </w:rPr>
              <w:fldChar w:fldCharType="begin"/>
            </w:r>
            <w:r>
              <w:rPr>
                <w:noProof/>
                <w:webHidden/>
              </w:rPr>
              <w:instrText xml:space="preserve"> PAGEREF _Toc532804912 \h </w:instrText>
            </w:r>
            <w:r>
              <w:rPr>
                <w:noProof/>
                <w:webHidden/>
              </w:rPr>
            </w:r>
            <w:r>
              <w:rPr>
                <w:noProof/>
                <w:webHidden/>
              </w:rPr>
              <w:fldChar w:fldCharType="separate"/>
            </w:r>
            <w:r>
              <w:rPr>
                <w:noProof/>
                <w:webHidden/>
              </w:rPr>
              <w:t>11</w:t>
            </w:r>
            <w:r>
              <w:rPr>
                <w:noProof/>
                <w:webHidden/>
              </w:rPr>
              <w:fldChar w:fldCharType="end"/>
            </w:r>
          </w:hyperlink>
        </w:p>
        <w:p w:rsidR="00BD4578" w:rsidRDefault="00BD4578">
          <w:pPr>
            <w:pStyle w:val="TOC2"/>
            <w:tabs>
              <w:tab w:val="right" w:leader="dot" w:pos="9350"/>
            </w:tabs>
            <w:rPr>
              <w:rFonts w:asciiTheme="minorHAnsi" w:eastAsiaTheme="minorEastAsia" w:hAnsiTheme="minorHAnsi"/>
              <w:noProof/>
              <w:sz w:val="22"/>
              <w:lang w:val="en-US" w:eastAsia="zh-TW"/>
            </w:rPr>
          </w:pPr>
          <w:hyperlink w:anchor="_Toc532804913" w:history="1">
            <w:r w:rsidRPr="00C30488">
              <w:rPr>
                <w:rStyle w:val="Hyperlink"/>
                <w:rFonts w:cs="Times New Roman"/>
                <w:noProof/>
              </w:rPr>
              <w:t>Investors Ratios:</w:t>
            </w:r>
            <w:r>
              <w:rPr>
                <w:noProof/>
                <w:webHidden/>
              </w:rPr>
              <w:tab/>
            </w:r>
            <w:r>
              <w:rPr>
                <w:noProof/>
                <w:webHidden/>
              </w:rPr>
              <w:fldChar w:fldCharType="begin"/>
            </w:r>
            <w:r>
              <w:rPr>
                <w:noProof/>
                <w:webHidden/>
              </w:rPr>
              <w:instrText xml:space="preserve"> PAGEREF _Toc532804913 \h </w:instrText>
            </w:r>
            <w:r>
              <w:rPr>
                <w:noProof/>
                <w:webHidden/>
              </w:rPr>
            </w:r>
            <w:r>
              <w:rPr>
                <w:noProof/>
                <w:webHidden/>
              </w:rPr>
              <w:fldChar w:fldCharType="separate"/>
            </w:r>
            <w:r>
              <w:rPr>
                <w:noProof/>
                <w:webHidden/>
              </w:rPr>
              <w:t>11</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14" w:history="1">
            <w:r w:rsidRPr="00C30488">
              <w:rPr>
                <w:rStyle w:val="Hyperlink"/>
                <w:rFonts w:cs="Times New Roman"/>
                <w:noProof/>
              </w:rPr>
              <w:t>Quality of Earnings Ratio</w:t>
            </w:r>
            <w:r>
              <w:rPr>
                <w:noProof/>
                <w:webHidden/>
              </w:rPr>
              <w:tab/>
            </w:r>
            <w:r>
              <w:rPr>
                <w:noProof/>
                <w:webHidden/>
              </w:rPr>
              <w:fldChar w:fldCharType="begin"/>
            </w:r>
            <w:r>
              <w:rPr>
                <w:noProof/>
                <w:webHidden/>
              </w:rPr>
              <w:instrText xml:space="preserve"> PAGEREF _Toc532804914 \h </w:instrText>
            </w:r>
            <w:r>
              <w:rPr>
                <w:noProof/>
                <w:webHidden/>
              </w:rPr>
            </w:r>
            <w:r>
              <w:rPr>
                <w:noProof/>
                <w:webHidden/>
              </w:rPr>
              <w:fldChar w:fldCharType="separate"/>
            </w:r>
            <w:r>
              <w:rPr>
                <w:noProof/>
                <w:webHidden/>
              </w:rPr>
              <w:t>12</w:t>
            </w:r>
            <w:r>
              <w:rPr>
                <w:noProof/>
                <w:webHidden/>
              </w:rPr>
              <w:fldChar w:fldCharType="end"/>
            </w:r>
          </w:hyperlink>
        </w:p>
        <w:p w:rsidR="00BD4578" w:rsidRDefault="00BD4578">
          <w:pPr>
            <w:pStyle w:val="TOC3"/>
            <w:tabs>
              <w:tab w:val="right" w:leader="dot" w:pos="9350"/>
            </w:tabs>
            <w:rPr>
              <w:rFonts w:asciiTheme="minorHAnsi" w:eastAsiaTheme="minorEastAsia" w:hAnsiTheme="minorHAnsi"/>
              <w:noProof/>
              <w:sz w:val="22"/>
              <w:lang w:val="en-US" w:eastAsia="zh-TW"/>
            </w:rPr>
          </w:pPr>
          <w:hyperlink w:anchor="_Toc532804915" w:history="1">
            <w:r w:rsidRPr="00C30488">
              <w:rPr>
                <w:rStyle w:val="Hyperlink"/>
                <w:rFonts w:cs="Times New Roman"/>
                <w:noProof/>
              </w:rPr>
              <w:t>Du Pont Analysis</w:t>
            </w:r>
            <w:r>
              <w:rPr>
                <w:noProof/>
                <w:webHidden/>
              </w:rPr>
              <w:tab/>
            </w:r>
            <w:r>
              <w:rPr>
                <w:noProof/>
                <w:webHidden/>
              </w:rPr>
              <w:fldChar w:fldCharType="begin"/>
            </w:r>
            <w:r>
              <w:rPr>
                <w:noProof/>
                <w:webHidden/>
              </w:rPr>
              <w:instrText xml:space="preserve"> PAGEREF _Toc532804915 \h </w:instrText>
            </w:r>
            <w:r>
              <w:rPr>
                <w:noProof/>
                <w:webHidden/>
              </w:rPr>
            </w:r>
            <w:r>
              <w:rPr>
                <w:noProof/>
                <w:webHidden/>
              </w:rPr>
              <w:fldChar w:fldCharType="separate"/>
            </w:r>
            <w:r>
              <w:rPr>
                <w:noProof/>
                <w:webHidden/>
              </w:rPr>
              <w:t>12</w:t>
            </w:r>
            <w:r>
              <w:rPr>
                <w:noProof/>
                <w:webHidden/>
              </w:rPr>
              <w:fldChar w:fldCharType="end"/>
            </w:r>
          </w:hyperlink>
        </w:p>
        <w:p w:rsidR="00BD4578" w:rsidRDefault="00BD4578">
          <w:pPr>
            <w:pStyle w:val="TOC1"/>
            <w:tabs>
              <w:tab w:val="right" w:leader="dot" w:pos="9350"/>
            </w:tabs>
            <w:rPr>
              <w:rFonts w:asciiTheme="minorHAnsi" w:eastAsiaTheme="minorEastAsia" w:hAnsiTheme="minorHAnsi"/>
              <w:noProof/>
              <w:sz w:val="22"/>
              <w:lang w:val="en-US" w:eastAsia="zh-TW"/>
            </w:rPr>
          </w:pPr>
          <w:hyperlink w:anchor="_Toc532804916" w:history="1">
            <w:r w:rsidRPr="00C30488">
              <w:rPr>
                <w:rStyle w:val="Hyperlink"/>
                <w:rFonts w:cs="Times New Roman"/>
                <w:noProof/>
              </w:rPr>
              <w:t>Limitations of Ratio Analysis:</w:t>
            </w:r>
            <w:r>
              <w:rPr>
                <w:noProof/>
                <w:webHidden/>
              </w:rPr>
              <w:tab/>
            </w:r>
            <w:r>
              <w:rPr>
                <w:noProof/>
                <w:webHidden/>
              </w:rPr>
              <w:fldChar w:fldCharType="begin"/>
            </w:r>
            <w:r>
              <w:rPr>
                <w:noProof/>
                <w:webHidden/>
              </w:rPr>
              <w:instrText xml:space="preserve"> PAGEREF _Toc532804916 \h </w:instrText>
            </w:r>
            <w:r>
              <w:rPr>
                <w:noProof/>
                <w:webHidden/>
              </w:rPr>
            </w:r>
            <w:r>
              <w:rPr>
                <w:noProof/>
                <w:webHidden/>
              </w:rPr>
              <w:fldChar w:fldCharType="separate"/>
            </w:r>
            <w:r>
              <w:rPr>
                <w:noProof/>
                <w:webHidden/>
              </w:rPr>
              <w:t>13</w:t>
            </w:r>
            <w:r>
              <w:rPr>
                <w:noProof/>
                <w:webHidden/>
              </w:rPr>
              <w:fldChar w:fldCharType="end"/>
            </w:r>
          </w:hyperlink>
        </w:p>
        <w:p w:rsidR="00BD4578" w:rsidRDefault="00BD4578">
          <w:pPr>
            <w:pStyle w:val="TOC1"/>
            <w:tabs>
              <w:tab w:val="right" w:leader="dot" w:pos="9350"/>
            </w:tabs>
            <w:rPr>
              <w:rFonts w:asciiTheme="minorHAnsi" w:eastAsiaTheme="minorEastAsia" w:hAnsiTheme="minorHAnsi"/>
              <w:noProof/>
              <w:sz w:val="22"/>
              <w:lang w:val="en-US" w:eastAsia="zh-TW"/>
            </w:rPr>
          </w:pPr>
          <w:hyperlink w:anchor="_Toc532804917" w:history="1">
            <w:r w:rsidRPr="00C30488">
              <w:rPr>
                <w:rStyle w:val="Hyperlink"/>
                <w:rFonts w:cs="Times New Roman"/>
                <w:noProof/>
              </w:rPr>
              <w:t>Recommendations:</w:t>
            </w:r>
            <w:r>
              <w:rPr>
                <w:noProof/>
                <w:webHidden/>
              </w:rPr>
              <w:tab/>
            </w:r>
            <w:r>
              <w:rPr>
                <w:noProof/>
                <w:webHidden/>
              </w:rPr>
              <w:fldChar w:fldCharType="begin"/>
            </w:r>
            <w:r>
              <w:rPr>
                <w:noProof/>
                <w:webHidden/>
              </w:rPr>
              <w:instrText xml:space="preserve"> PAGEREF _Toc532804917 \h </w:instrText>
            </w:r>
            <w:r>
              <w:rPr>
                <w:noProof/>
                <w:webHidden/>
              </w:rPr>
            </w:r>
            <w:r>
              <w:rPr>
                <w:noProof/>
                <w:webHidden/>
              </w:rPr>
              <w:fldChar w:fldCharType="separate"/>
            </w:r>
            <w:r>
              <w:rPr>
                <w:noProof/>
                <w:webHidden/>
              </w:rPr>
              <w:t>14</w:t>
            </w:r>
            <w:r>
              <w:rPr>
                <w:noProof/>
                <w:webHidden/>
              </w:rPr>
              <w:fldChar w:fldCharType="end"/>
            </w:r>
          </w:hyperlink>
        </w:p>
        <w:p w:rsidR="00BD4578" w:rsidRDefault="00BD4578">
          <w:pPr>
            <w:pStyle w:val="TOC1"/>
            <w:tabs>
              <w:tab w:val="right" w:leader="dot" w:pos="9350"/>
            </w:tabs>
            <w:rPr>
              <w:rFonts w:asciiTheme="minorHAnsi" w:eastAsiaTheme="minorEastAsia" w:hAnsiTheme="minorHAnsi"/>
              <w:noProof/>
              <w:sz w:val="22"/>
              <w:lang w:val="en-US" w:eastAsia="zh-TW"/>
            </w:rPr>
          </w:pPr>
          <w:hyperlink w:anchor="_Toc532804918" w:history="1">
            <w:r w:rsidRPr="00C30488">
              <w:rPr>
                <w:rStyle w:val="Hyperlink"/>
                <w:rFonts w:cs="Times New Roman"/>
                <w:noProof/>
              </w:rPr>
              <w:t>Conclusion:</w:t>
            </w:r>
            <w:r>
              <w:rPr>
                <w:noProof/>
                <w:webHidden/>
              </w:rPr>
              <w:tab/>
            </w:r>
            <w:r>
              <w:rPr>
                <w:noProof/>
                <w:webHidden/>
              </w:rPr>
              <w:fldChar w:fldCharType="begin"/>
            </w:r>
            <w:r>
              <w:rPr>
                <w:noProof/>
                <w:webHidden/>
              </w:rPr>
              <w:instrText xml:space="preserve"> PAGEREF _Toc532804918 \h </w:instrText>
            </w:r>
            <w:r>
              <w:rPr>
                <w:noProof/>
                <w:webHidden/>
              </w:rPr>
            </w:r>
            <w:r>
              <w:rPr>
                <w:noProof/>
                <w:webHidden/>
              </w:rPr>
              <w:fldChar w:fldCharType="separate"/>
            </w:r>
            <w:r>
              <w:rPr>
                <w:noProof/>
                <w:webHidden/>
              </w:rPr>
              <w:t>14</w:t>
            </w:r>
            <w:r>
              <w:rPr>
                <w:noProof/>
                <w:webHidden/>
              </w:rPr>
              <w:fldChar w:fldCharType="end"/>
            </w:r>
          </w:hyperlink>
        </w:p>
        <w:p w:rsidR="00BD4578" w:rsidRDefault="00BD4578">
          <w:pPr>
            <w:pStyle w:val="TOC1"/>
            <w:tabs>
              <w:tab w:val="right" w:leader="dot" w:pos="9350"/>
            </w:tabs>
            <w:rPr>
              <w:rFonts w:asciiTheme="minorHAnsi" w:eastAsiaTheme="minorEastAsia" w:hAnsiTheme="minorHAnsi"/>
              <w:noProof/>
              <w:sz w:val="22"/>
              <w:lang w:val="en-US" w:eastAsia="zh-TW"/>
            </w:rPr>
          </w:pPr>
          <w:hyperlink w:anchor="_Toc532804919" w:history="1">
            <w:r w:rsidRPr="00C30488">
              <w:rPr>
                <w:rStyle w:val="Hyperlink"/>
                <w:rFonts w:cs="Times New Roman"/>
                <w:noProof/>
              </w:rPr>
              <w:t>References:</w:t>
            </w:r>
            <w:r>
              <w:rPr>
                <w:noProof/>
                <w:webHidden/>
              </w:rPr>
              <w:tab/>
            </w:r>
            <w:r>
              <w:rPr>
                <w:noProof/>
                <w:webHidden/>
              </w:rPr>
              <w:fldChar w:fldCharType="begin"/>
            </w:r>
            <w:r>
              <w:rPr>
                <w:noProof/>
                <w:webHidden/>
              </w:rPr>
              <w:instrText xml:space="preserve"> PAGEREF _Toc532804919 \h </w:instrText>
            </w:r>
            <w:r>
              <w:rPr>
                <w:noProof/>
                <w:webHidden/>
              </w:rPr>
            </w:r>
            <w:r>
              <w:rPr>
                <w:noProof/>
                <w:webHidden/>
              </w:rPr>
              <w:fldChar w:fldCharType="separate"/>
            </w:r>
            <w:r>
              <w:rPr>
                <w:noProof/>
                <w:webHidden/>
              </w:rPr>
              <w:t>16</w:t>
            </w:r>
            <w:r>
              <w:rPr>
                <w:noProof/>
                <w:webHidden/>
              </w:rPr>
              <w:fldChar w:fldCharType="end"/>
            </w:r>
          </w:hyperlink>
        </w:p>
        <w:p w:rsidR="00A219D8" w:rsidRDefault="00A219D8">
          <w:r>
            <w:rPr>
              <w:b/>
              <w:bCs/>
              <w:noProof/>
            </w:rPr>
            <w:fldChar w:fldCharType="end"/>
          </w:r>
        </w:p>
      </w:sdtContent>
    </w:sdt>
    <w:p w:rsidR="00A219D8" w:rsidRDefault="00A219D8">
      <w:pPr>
        <w:spacing w:before="0" w:after="160" w:line="259" w:lineRule="auto"/>
        <w:ind w:firstLine="0"/>
        <w:rPr>
          <w:rFonts w:eastAsiaTheme="majorEastAsia" w:cs="Times New Roman"/>
          <w:b/>
          <w:i/>
          <w:szCs w:val="24"/>
        </w:rPr>
      </w:pPr>
      <w:r>
        <w:rPr>
          <w:rFonts w:cs="Times New Roman"/>
          <w:szCs w:val="24"/>
        </w:rPr>
        <w:br w:type="page"/>
      </w:r>
    </w:p>
    <w:p w:rsidR="00BD4578" w:rsidRPr="003010FB" w:rsidRDefault="00BD4578" w:rsidP="00BD4578">
      <w:pPr>
        <w:pStyle w:val="Heading1"/>
        <w:rPr>
          <w:rFonts w:cs="Times New Roman"/>
          <w:szCs w:val="24"/>
        </w:rPr>
      </w:pPr>
      <w:bookmarkStart w:id="0" w:name="_Toc532804893"/>
      <w:r w:rsidRPr="003010FB">
        <w:rPr>
          <w:rFonts w:cs="Times New Roman"/>
          <w:szCs w:val="24"/>
        </w:rPr>
        <w:lastRenderedPageBreak/>
        <w:t>Introduction:</w:t>
      </w:r>
      <w:bookmarkEnd w:id="0"/>
    </w:p>
    <w:p w:rsidR="00BD4578" w:rsidRPr="003010FB" w:rsidRDefault="00BD4578" w:rsidP="00BD4578">
      <w:pPr>
        <w:rPr>
          <w:rFonts w:cs="Times New Roman"/>
          <w:szCs w:val="24"/>
        </w:rPr>
      </w:pPr>
      <w:r w:rsidRPr="003010FB">
        <w:rPr>
          <w:rFonts w:cs="Times New Roman"/>
          <w:szCs w:val="24"/>
        </w:rPr>
        <w:t xml:space="preserve">Royal Mail Group is one of the oldest companies in the world. Its existence can be traced back to 1516. Henry VII Knight Brian </w:t>
      </w:r>
      <w:proofErr w:type="spellStart"/>
      <w:r w:rsidRPr="003010FB">
        <w:rPr>
          <w:rFonts w:cs="Times New Roman"/>
          <w:szCs w:val="24"/>
        </w:rPr>
        <w:t>Tuke</w:t>
      </w:r>
      <w:proofErr w:type="spellEnd"/>
      <w:r w:rsidRPr="003010FB">
        <w:rPr>
          <w:rFonts w:cs="Times New Roman"/>
          <w:szCs w:val="24"/>
        </w:rPr>
        <w:t xml:space="preserve"> was the first master of the </w:t>
      </w:r>
      <w:r w:rsidRPr="003010FB">
        <w:rPr>
          <w:rFonts w:cs="Times New Roman"/>
          <w:noProof/>
          <w:szCs w:val="24"/>
        </w:rPr>
        <w:t>post</w:t>
      </w:r>
      <w:r w:rsidRPr="003010FB">
        <w:rPr>
          <w:rFonts w:cs="Times New Roman"/>
          <w:szCs w:val="24"/>
        </w:rPr>
        <w:t xml:space="preserve">. He established the first formal postal network by establishing post towns. However, for the next 119 </w:t>
      </w:r>
      <w:r w:rsidRPr="003010FB">
        <w:rPr>
          <w:rFonts w:cs="Times New Roman"/>
          <w:noProof/>
          <w:szCs w:val="24"/>
        </w:rPr>
        <w:t>years,</w:t>
      </w:r>
      <w:r w:rsidRPr="003010FB">
        <w:rPr>
          <w:rFonts w:cs="Times New Roman"/>
          <w:szCs w:val="24"/>
        </w:rPr>
        <w:t xml:space="preserve"> the service was only available to the king and court (</w:t>
      </w:r>
      <w:r w:rsidRPr="004F7B63">
        <w:rPr>
          <w:rFonts w:cs="Times New Roman"/>
          <w:szCs w:val="24"/>
        </w:rPr>
        <w:t>Royal Mail Group, 2018</w:t>
      </w:r>
      <w:r w:rsidRPr="003010FB">
        <w:rPr>
          <w:rFonts w:cs="Times New Roman"/>
          <w:szCs w:val="24"/>
        </w:rPr>
        <w:t>).</w:t>
      </w:r>
    </w:p>
    <w:p w:rsidR="00BD4578" w:rsidRPr="003010FB" w:rsidRDefault="00BD4578" w:rsidP="00BD4578">
      <w:pPr>
        <w:rPr>
          <w:rFonts w:cs="Times New Roman"/>
          <w:szCs w:val="24"/>
        </w:rPr>
      </w:pPr>
      <w:r w:rsidRPr="003010FB">
        <w:rPr>
          <w:rFonts w:cs="Times New Roman"/>
          <w:szCs w:val="24"/>
        </w:rPr>
        <w:t xml:space="preserve">Royal Mail Group has two main businesses, one is the general logistic systems and the other is their UK operations. It is now a global </w:t>
      </w:r>
      <w:r w:rsidRPr="003010FB">
        <w:rPr>
          <w:rFonts w:cs="Times New Roman"/>
          <w:noProof/>
          <w:szCs w:val="24"/>
        </w:rPr>
        <w:t>organisation</w:t>
      </w:r>
      <w:r w:rsidRPr="003010FB">
        <w:rPr>
          <w:rFonts w:cs="Times New Roman"/>
          <w:szCs w:val="24"/>
        </w:rPr>
        <w:t xml:space="preserve"> with operations in 44 countries. They have employed over 160000 people worldwide and their global revenue exceeds £10 billion per annum.</w:t>
      </w:r>
    </w:p>
    <w:p w:rsidR="00BD4578" w:rsidRPr="003010FB" w:rsidRDefault="00BD4578" w:rsidP="00BD4578">
      <w:pPr>
        <w:pStyle w:val="Heading1"/>
        <w:rPr>
          <w:rFonts w:cs="Times New Roman"/>
          <w:szCs w:val="24"/>
        </w:rPr>
      </w:pPr>
      <w:bookmarkStart w:id="1" w:name="_Toc532804894"/>
      <w:r w:rsidRPr="003010FB">
        <w:rPr>
          <w:rFonts w:cs="Times New Roman"/>
          <w:szCs w:val="24"/>
        </w:rPr>
        <w:t>Ratios:</w:t>
      </w:r>
      <w:bookmarkEnd w:id="1"/>
    </w:p>
    <w:p w:rsidR="00BD4578" w:rsidRPr="003010FB" w:rsidRDefault="00BD4578" w:rsidP="00BD4578">
      <w:pPr>
        <w:pStyle w:val="Heading2"/>
        <w:rPr>
          <w:rFonts w:cs="Times New Roman"/>
          <w:szCs w:val="24"/>
        </w:rPr>
      </w:pPr>
      <w:bookmarkStart w:id="2" w:name="_Toc532804895"/>
      <w:r w:rsidRPr="003010FB">
        <w:rPr>
          <w:rFonts w:cs="Times New Roman"/>
          <w:szCs w:val="24"/>
        </w:rPr>
        <w:t>Profitability Ratios:</w:t>
      </w:r>
      <w:bookmarkEnd w:id="2"/>
    </w:p>
    <w:p w:rsidR="00BD4578" w:rsidRPr="003010FB" w:rsidRDefault="00BD4578" w:rsidP="00BD4578">
      <w:pPr>
        <w:rPr>
          <w:rFonts w:cs="Times New Roman"/>
          <w:szCs w:val="24"/>
        </w:rPr>
      </w:pPr>
      <w:r w:rsidRPr="003010FB">
        <w:rPr>
          <w:rFonts w:cs="Times New Roman"/>
          <w:szCs w:val="24"/>
        </w:rPr>
        <w:t>These ratios measure the profitability of the firm. Some the most relevant ratios are calculated below,</w:t>
      </w:r>
    </w:p>
    <w:tbl>
      <w:tblPr>
        <w:tblW w:w="5000" w:type="pct"/>
        <w:tblLook w:val="04A0" w:firstRow="1" w:lastRow="0" w:firstColumn="1" w:lastColumn="0" w:noHBand="0" w:noVBand="1"/>
      </w:tblPr>
      <w:tblGrid>
        <w:gridCol w:w="4054"/>
        <w:gridCol w:w="2643"/>
        <w:gridCol w:w="2643"/>
      </w:tblGrid>
      <w:tr w:rsidR="00BD4578" w:rsidRPr="00A546F4" w:rsidTr="00A9582C">
        <w:trPr>
          <w:trHeight w:val="60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b/>
                <w:bCs/>
                <w:color w:val="000000"/>
                <w:szCs w:val="24"/>
                <w:lang w:eastAsia="en-GB"/>
              </w:rPr>
            </w:pPr>
            <w:r w:rsidRPr="00A546F4">
              <w:rPr>
                <w:rFonts w:eastAsia="Times New Roman" w:cs="Times New Roman"/>
                <w:b/>
                <w:bCs/>
                <w:color w:val="000000"/>
                <w:szCs w:val="24"/>
                <w:lang w:eastAsia="en-GB"/>
              </w:rPr>
              <w:t>Ratios</w:t>
            </w:r>
          </w:p>
        </w:tc>
      </w:tr>
      <w:tr w:rsidR="00BD4578" w:rsidRPr="00A546F4" w:rsidTr="00A9582C">
        <w:trPr>
          <w:trHeight w:val="600"/>
        </w:trPr>
        <w:tc>
          <w:tcPr>
            <w:tcW w:w="2170"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rPr>
                <w:rFonts w:eastAsia="Times New Roman" w:cs="Times New Roman"/>
                <w:b/>
                <w:bCs/>
                <w:color w:val="000000"/>
                <w:szCs w:val="24"/>
                <w:lang w:eastAsia="en-GB"/>
              </w:rPr>
            </w:pPr>
            <w:r w:rsidRPr="00A546F4">
              <w:rPr>
                <w:rFonts w:eastAsia="Times New Roman" w:cs="Times New Roman"/>
                <w:b/>
                <w:bCs/>
                <w:color w:val="000000"/>
                <w:szCs w:val="24"/>
                <w:lang w:eastAsia="en-GB"/>
              </w:rPr>
              <w:t>Profitability Ratios:</w:t>
            </w:r>
          </w:p>
        </w:tc>
        <w:tc>
          <w:tcPr>
            <w:tcW w:w="141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b/>
                <w:bCs/>
                <w:color w:val="000000"/>
                <w:szCs w:val="24"/>
                <w:lang w:eastAsia="en-GB"/>
              </w:rPr>
            </w:pPr>
            <w:r w:rsidRPr="00A546F4">
              <w:rPr>
                <w:rFonts w:eastAsia="Times New Roman" w:cs="Times New Roman"/>
                <w:b/>
                <w:bCs/>
                <w:color w:val="000000"/>
                <w:szCs w:val="24"/>
                <w:lang w:eastAsia="en-GB"/>
              </w:rPr>
              <w:t>2017</w:t>
            </w:r>
          </w:p>
        </w:tc>
        <w:tc>
          <w:tcPr>
            <w:tcW w:w="141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b/>
                <w:bCs/>
                <w:color w:val="000000"/>
                <w:szCs w:val="24"/>
                <w:lang w:eastAsia="en-GB"/>
              </w:rPr>
            </w:pPr>
            <w:r w:rsidRPr="00A546F4">
              <w:rPr>
                <w:rFonts w:eastAsia="Times New Roman" w:cs="Times New Roman"/>
                <w:b/>
                <w:bCs/>
                <w:color w:val="000000"/>
                <w:szCs w:val="24"/>
                <w:lang w:eastAsia="en-GB"/>
              </w:rPr>
              <w:t>2018</w:t>
            </w:r>
          </w:p>
        </w:tc>
      </w:tr>
      <w:tr w:rsidR="00BD4578" w:rsidRPr="00A546F4" w:rsidTr="00A9582C">
        <w:trPr>
          <w:trHeight w:val="600"/>
        </w:trPr>
        <w:tc>
          <w:tcPr>
            <w:tcW w:w="217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ROE</w:t>
            </w:r>
          </w:p>
        </w:tc>
        <w:tc>
          <w:tcPr>
            <w:tcW w:w="1415" w:type="pct"/>
            <w:tcBorders>
              <w:top w:val="nil"/>
              <w:left w:val="nil"/>
              <w:bottom w:val="nil"/>
              <w:right w:val="nil"/>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5.52%</w:t>
            </w:r>
          </w:p>
        </w:tc>
        <w:tc>
          <w:tcPr>
            <w:tcW w:w="1415"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5.88%</w:t>
            </w:r>
          </w:p>
        </w:tc>
      </w:tr>
      <w:tr w:rsidR="00BD4578" w:rsidRPr="00A546F4" w:rsidTr="00A9582C">
        <w:trPr>
          <w:trHeight w:val="600"/>
        </w:trPr>
        <w:tc>
          <w:tcPr>
            <w:tcW w:w="217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EPS</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0.2758</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0.2583</w:t>
            </w:r>
          </w:p>
        </w:tc>
      </w:tr>
      <w:tr w:rsidR="00BD4578" w:rsidRPr="00A546F4" w:rsidTr="00A9582C">
        <w:trPr>
          <w:trHeight w:val="600"/>
        </w:trPr>
        <w:tc>
          <w:tcPr>
            <w:tcW w:w="217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DPS</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19.13</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20.65</w:t>
            </w:r>
          </w:p>
        </w:tc>
      </w:tr>
      <w:tr w:rsidR="00BD4578" w:rsidRPr="00A546F4" w:rsidTr="00A9582C">
        <w:trPr>
          <w:trHeight w:val="600"/>
        </w:trPr>
        <w:tc>
          <w:tcPr>
            <w:tcW w:w="217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P/E</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19.33612128</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15.67554479</w:t>
            </w:r>
          </w:p>
        </w:tc>
      </w:tr>
      <w:tr w:rsidR="00BD4578" w:rsidRPr="00A546F4" w:rsidTr="00A9582C">
        <w:trPr>
          <w:trHeight w:val="600"/>
        </w:trPr>
        <w:tc>
          <w:tcPr>
            <w:tcW w:w="217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ROC</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4.38%</w:t>
            </w:r>
          </w:p>
        </w:tc>
        <w:tc>
          <w:tcPr>
            <w:tcW w:w="141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1.49%</w:t>
            </w:r>
          </w:p>
        </w:tc>
      </w:tr>
      <w:tr w:rsidR="00BD4578" w:rsidRPr="00A546F4" w:rsidTr="00A9582C">
        <w:trPr>
          <w:trHeight w:val="600"/>
        </w:trPr>
        <w:tc>
          <w:tcPr>
            <w:tcW w:w="2170"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ROA</w:t>
            </w:r>
          </w:p>
        </w:tc>
        <w:tc>
          <w:tcPr>
            <w:tcW w:w="141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3.28%</w:t>
            </w:r>
          </w:p>
        </w:tc>
        <w:tc>
          <w:tcPr>
            <w:tcW w:w="141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3.56%</w:t>
            </w:r>
          </w:p>
        </w:tc>
      </w:tr>
    </w:tbl>
    <w:p w:rsidR="00BD4578" w:rsidRPr="003010FB" w:rsidRDefault="00BD4578" w:rsidP="00BD4578">
      <w:pPr>
        <w:pStyle w:val="Heading3"/>
      </w:pPr>
      <w:bookmarkStart w:id="3" w:name="_Toc532804896"/>
      <w:r w:rsidRPr="003010FB">
        <w:lastRenderedPageBreak/>
        <w:t>Return on Equity (ROE)</w:t>
      </w:r>
      <w:bookmarkEnd w:id="3"/>
    </w:p>
    <w:p w:rsidR="00BD4578" w:rsidRPr="003010FB" w:rsidRDefault="00BD4578" w:rsidP="00BD4578">
      <w:pPr>
        <w:rPr>
          <w:rFonts w:cs="Times New Roman"/>
          <w:szCs w:val="24"/>
        </w:rPr>
      </w:pPr>
      <w:r w:rsidRPr="003010FB">
        <w:rPr>
          <w:rFonts w:cs="Times New Roman"/>
          <w:szCs w:val="24"/>
        </w:rPr>
        <w:t xml:space="preserve">This is a measure of how well the funds of the owners are being </w:t>
      </w:r>
      <w:r w:rsidRPr="003010FB">
        <w:rPr>
          <w:rFonts w:cs="Times New Roman"/>
          <w:noProof/>
          <w:szCs w:val="24"/>
        </w:rPr>
        <w:t>utilised</w:t>
      </w:r>
      <w:r w:rsidRPr="003010FB">
        <w:rPr>
          <w:rFonts w:cs="Times New Roman"/>
          <w:szCs w:val="24"/>
        </w:rPr>
        <w:t>. It is one the most common measure of profitability</w:t>
      </w:r>
      <w:r>
        <w:rPr>
          <w:rFonts w:cs="Times New Roman"/>
          <w:szCs w:val="24"/>
        </w:rPr>
        <w:t xml:space="preserve"> (</w:t>
      </w:r>
      <w:proofErr w:type="spellStart"/>
      <w:r>
        <w:rPr>
          <w:rFonts w:cs="Times New Roman"/>
          <w:szCs w:val="24"/>
        </w:rPr>
        <w:t>Nissim</w:t>
      </w:r>
      <w:proofErr w:type="spellEnd"/>
      <w:r>
        <w:rPr>
          <w:rFonts w:cs="Times New Roman"/>
          <w:szCs w:val="24"/>
        </w:rPr>
        <w:t xml:space="preserve"> &amp;</w:t>
      </w:r>
      <w:r w:rsidRPr="003010FB">
        <w:rPr>
          <w:rFonts w:cs="Times New Roman"/>
          <w:szCs w:val="24"/>
        </w:rPr>
        <w:t xml:space="preserve"> Penman</w:t>
      </w:r>
      <w:r>
        <w:rPr>
          <w:rFonts w:cs="Times New Roman"/>
          <w:szCs w:val="24"/>
        </w:rPr>
        <w:t>,</w:t>
      </w:r>
      <w:r w:rsidRPr="003010FB">
        <w:rPr>
          <w:rFonts w:cs="Times New Roman"/>
          <w:szCs w:val="24"/>
        </w:rPr>
        <w:t xml:space="preserve"> 2001). The higher the ratio will be the better would be performance. The ratio is calculated by dividing </w:t>
      </w:r>
      <w:r w:rsidRPr="003010FB">
        <w:rPr>
          <w:rFonts w:cs="Times New Roman"/>
          <w:noProof/>
          <w:szCs w:val="24"/>
        </w:rPr>
        <w:t>after-tax</w:t>
      </w:r>
      <w:r w:rsidRPr="003010FB">
        <w:rPr>
          <w:rFonts w:cs="Times New Roman"/>
          <w:szCs w:val="24"/>
        </w:rPr>
        <w:t xml:space="preserve"> profit with net worth. </w:t>
      </w:r>
    </w:p>
    <w:p w:rsidR="00BD4578" w:rsidRPr="003010FB" w:rsidRDefault="00BD4578" w:rsidP="00BD4578">
      <w:pPr>
        <w:rPr>
          <w:rFonts w:cs="Times New Roman"/>
          <w:szCs w:val="24"/>
        </w:rPr>
      </w:pPr>
      <w:r w:rsidRPr="003010FB">
        <w:rPr>
          <w:rFonts w:cs="Times New Roman"/>
          <w:szCs w:val="24"/>
        </w:rPr>
        <w:t xml:space="preserve">The return on equity for FY 2017 was 5.52% and this ratio improved in 2018 and was 5.88%. This was an increase of </w:t>
      </w:r>
      <w:r>
        <w:rPr>
          <w:rFonts w:cs="Times New Roman"/>
          <w:szCs w:val="24"/>
        </w:rPr>
        <w:t>0</w:t>
      </w:r>
      <w:r w:rsidRPr="003010FB">
        <w:rPr>
          <w:rFonts w:cs="Times New Roman"/>
          <w:szCs w:val="24"/>
        </w:rPr>
        <w:t>.36%. The increase was because of a proportional decrease in equity and a decrease in after-tax profit.</w:t>
      </w:r>
    </w:p>
    <w:p w:rsidR="00BD4578" w:rsidRPr="003010FB" w:rsidRDefault="00BD4578" w:rsidP="00BD4578">
      <w:pPr>
        <w:pStyle w:val="Heading3"/>
        <w:rPr>
          <w:rFonts w:cs="Times New Roman"/>
        </w:rPr>
      </w:pPr>
      <w:bookmarkStart w:id="4" w:name="_Toc532804897"/>
      <w:r w:rsidRPr="003010FB">
        <w:rPr>
          <w:rFonts w:cs="Times New Roman"/>
        </w:rPr>
        <w:t>Earnings per Share (EPS)</w:t>
      </w:r>
      <w:bookmarkEnd w:id="4"/>
    </w:p>
    <w:p w:rsidR="00BD4578" w:rsidRDefault="00BD4578" w:rsidP="00BD4578">
      <w:pPr>
        <w:rPr>
          <w:rFonts w:cs="Times New Roman"/>
          <w:szCs w:val="24"/>
          <w:highlight w:val="yellow"/>
        </w:rPr>
      </w:pPr>
      <w:r w:rsidRPr="003010FB">
        <w:rPr>
          <w:rFonts w:cs="Times New Roman"/>
          <w:szCs w:val="24"/>
        </w:rPr>
        <w:t xml:space="preserve">This ratio is a measure of profitability for an ordinary shareholder. The higher the ratio will be the better would be </w:t>
      </w:r>
      <w:r w:rsidRPr="002E347D">
        <w:rPr>
          <w:rFonts w:cs="Times New Roman"/>
          <w:szCs w:val="24"/>
        </w:rPr>
        <w:t xml:space="preserve">performance. This ratio is calculated by dividing net income with a </w:t>
      </w:r>
      <w:r w:rsidRPr="002E347D">
        <w:rPr>
          <w:rFonts w:cs="Times New Roman"/>
          <w:noProof/>
          <w:szCs w:val="24"/>
        </w:rPr>
        <w:t>number</w:t>
      </w:r>
      <w:r w:rsidRPr="002E347D">
        <w:rPr>
          <w:rFonts w:cs="Times New Roman"/>
          <w:szCs w:val="24"/>
        </w:rPr>
        <w:t xml:space="preserve"> of shares outstanding (</w:t>
      </w:r>
      <w:proofErr w:type="spellStart"/>
      <w:r w:rsidRPr="002E347D">
        <w:rPr>
          <w:rFonts w:cs="Times New Roman"/>
          <w:szCs w:val="24"/>
        </w:rPr>
        <w:t>Purnamasari</w:t>
      </w:r>
      <w:proofErr w:type="spellEnd"/>
      <w:r w:rsidRPr="002E347D">
        <w:rPr>
          <w:rFonts w:cs="Times New Roman"/>
          <w:szCs w:val="24"/>
        </w:rPr>
        <w:t xml:space="preserve">, 2015, p85). </w:t>
      </w:r>
    </w:p>
    <w:p w:rsidR="00BD4578" w:rsidRPr="003010FB" w:rsidRDefault="00BD4578" w:rsidP="00BD4578">
      <w:pPr>
        <w:rPr>
          <w:rFonts w:cs="Times New Roman"/>
          <w:szCs w:val="24"/>
        </w:rPr>
      </w:pPr>
      <w:r w:rsidRPr="003010FB">
        <w:rPr>
          <w:rFonts w:cs="Times New Roman"/>
          <w:szCs w:val="24"/>
        </w:rPr>
        <w:t xml:space="preserve">In FY 2017, the EPS was </w:t>
      </w:r>
      <w:r>
        <w:rPr>
          <w:rFonts w:cs="Times New Roman"/>
          <w:szCs w:val="24"/>
        </w:rPr>
        <w:t>0</w:t>
      </w:r>
      <w:r w:rsidRPr="003010FB">
        <w:rPr>
          <w:rFonts w:cs="Times New Roman"/>
          <w:szCs w:val="24"/>
        </w:rPr>
        <w:t xml:space="preserve">.275. This measure of profitability for the common shareholder decreased to </w:t>
      </w:r>
      <w:r>
        <w:rPr>
          <w:rFonts w:cs="Times New Roman"/>
          <w:szCs w:val="24"/>
        </w:rPr>
        <w:t>0</w:t>
      </w:r>
      <w:r w:rsidRPr="003010FB">
        <w:rPr>
          <w:rFonts w:cs="Times New Roman"/>
          <w:szCs w:val="24"/>
        </w:rPr>
        <w:t xml:space="preserve">.258 in FY 2018. This is a decrease of </w:t>
      </w:r>
      <w:r>
        <w:rPr>
          <w:rFonts w:cs="Times New Roman"/>
          <w:szCs w:val="24"/>
        </w:rPr>
        <w:t>0</w:t>
      </w:r>
      <w:r w:rsidRPr="003010FB">
        <w:rPr>
          <w:rFonts w:cs="Times New Roman"/>
          <w:szCs w:val="24"/>
        </w:rPr>
        <w:t>.17. This was because of a decrease in profit.</w:t>
      </w:r>
    </w:p>
    <w:p w:rsidR="00BD4578" w:rsidRPr="003010FB" w:rsidRDefault="00BD4578" w:rsidP="00BD4578">
      <w:pPr>
        <w:pStyle w:val="Heading3"/>
        <w:rPr>
          <w:rFonts w:cs="Times New Roman"/>
        </w:rPr>
      </w:pPr>
      <w:bookmarkStart w:id="5" w:name="_Toc532804898"/>
      <w:r w:rsidRPr="003010FB">
        <w:rPr>
          <w:rFonts w:cs="Times New Roman"/>
        </w:rPr>
        <w:t>Dividend per Share (DPS)</w:t>
      </w:r>
      <w:bookmarkEnd w:id="5"/>
    </w:p>
    <w:p w:rsidR="00BD4578" w:rsidRPr="002E347D" w:rsidRDefault="00BD4578" w:rsidP="00BD4578">
      <w:pPr>
        <w:rPr>
          <w:rFonts w:cs="Times New Roman"/>
          <w:szCs w:val="24"/>
        </w:rPr>
      </w:pPr>
      <w:r w:rsidRPr="003010FB">
        <w:rPr>
          <w:rFonts w:cs="Times New Roman"/>
          <w:szCs w:val="24"/>
        </w:rPr>
        <w:t>This ratio simply measures how much dividend the company is distributing to its shareholders. A higher ratio would indicate that the company has excess cash. This ratio is calculated by dividing the total dividends with the number of common stock outstanding</w:t>
      </w:r>
      <w:r>
        <w:rPr>
          <w:rFonts w:cs="Times New Roman"/>
          <w:szCs w:val="24"/>
        </w:rPr>
        <w:t xml:space="preserve"> </w:t>
      </w:r>
      <w:r w:rsidRPr="002E347D">
        <w:rPr>
          <w:rFonts w:cs="Times New Roman"/>
          <w:szCs w:val="24"/>
        </w:rPr>
        <w:t>(</w:t>
      </w:r>
      <w:proofErr w:type="spellStart"/>
      <w:r w:rsidRPr="002E347D">
        <w:rPr>
          <w:rFonts w:cs="Times New Roman"/>
          <w:szCs w:val="24"/>
        </w:rPr>
        <w:t>Goldmann</w:t>
      </w:r>
      <w:proofErr w:type="spellEnd"/>
      <w:r w:rsidRPr="002E347D">
        <w:rPr>
          <w:rFonts w:cs="Times New Roman"/>
          <w:szCs w:val="24"/>
        </w:rPr>
        <w:t xml:space="preserve">, 2017, p.108). </w:t>
      </w:r>
    </w:p>
    <w:p w:rsidR="00BD4578" w:rsidRPr="003010FB" w:rsidRDefault="00BD4578" w:rsidP="00BD4578">
      <w:pPr>
        <w:rPr>
          <w:rFonts w:cs="Times New Roman"/>
          <w:szCs w:val="24"/>
        </w:rPr>
      </w:pPr>
      <w:r w:rsidRPr="003010FB">
        <w:rPr>
          <w:rFonts w:cs="Times New Roman"/>
          <w:szCs w:val="24"/>
        </w:rPr>
        <w:t>In FY 2017 Royal Mail Group distributed 19.13p to its shareholders. This amount increased to 20.65p in FY 2018. This indicates that the company had a surplus cash in 2018.</w:t>
      </w:r>
    </w:p>
    <w:p w:rsidR="00BD4578" w:rsidRPr="003010FB" w:rsidRDefault="00BD4578" w:rsidP="00BD4578">
      <w:pPr>
        <w:pStyle w:val="Heading3"/>
        <w:rPr>
          <w:rFonts w:cs="Times New Roman"/>
        </w:rPr>
      </w:pPr>
      <w:bookmarkStart w:id="6" w:name="_Toc532804899"/>
      <w:r w:rsidRPr="003010FB">
        <w:rPr>
          <w:rFonts w:cs="Times New Roman"/>
        </w:rPr>
        <w:lastRenderedPageBreak/>
        <w:t xml:space="preserve">Price to </w:t>
      </w:r>
      <w:r w:rsidRPr="003010FB">
        <w:rPr>
          <w:rFonts w:cs="Times New Roman"/>
          <w:noProof/>
        </w:rPr>
        <w:t>Earning</w:t>
      </w:r>
      <w:r w:rsidRPr="003010FB">
        <w:rPr>
          <w:rFonts w:cs="Times New Roman"/>
        </w:rPr>
        <w:t xml:space="preserve"> (P/E)</w:t>
      </w:r>
      <w:bookmarkEnd w:id="6"/>
    </w:p>
    <w:p w:rsidR="00BD4578" w:rsidRPr="003010FB" w:rsidRDefault="00BD4578" w:rsidP="00BD4578">
      <w:pPr>
        <w:rPr>
          <w:rFonts w:cs="Times New Roman"/>
          <w:szCs w:val="24"/>
        </w:rPr>
      </w:pPr>
      <w:r w:rsidRPr="003010FB">
        <w:rPr>
          <w:rFonts w:cs="Times New Roman"/>
          <w:szCs w:val="24"/>
        </w:rPr>
        <w:t xml:space="preserve">The investor </w:t>
      </w:r>
      <w:r w:rsidRPr="003010FB">
        <w:rPr>
          <w:rFonts w:cs="Times New Roman"/>
          <w:noProof/>
          <w:szCs w:val="24"/>
        </w:rPr>
        <w:t>uses</w:t>
      </w:r>
      <w:r w:rsidRPr="003010FB">
        <w:rPr>
          <w:rFonts w:cs="Times New Roman"/>
          <w:szCs w:val="24"/>
        </w:rPr>
        <w:t xml:space="preserve"> this ratio to check the undervalued and overvalued share price of the company. This ratio is also an indication of expected earnings. This ratio is calculated by dividing the </w:t>
      </w:r>
      <w:r w:rsidRPr="003010FB">
        <w:rPr>
          <w:rFonts w:cs="Times New Roman"/>
          <w:noProof/>
          <w:szCs w:val="24"/>
        </w:rPr>
        <w:t>market</w:t>
      </w:r>
      <w:r w:rsidRPr="003010FB">
        <w:rPr>
          <w:rFonts w:cs="Times New Roman"/>
          <w:szCs w:val="24"/>
        </w:rPr>
        <w:t xml:space="preserve"> price of shares with earning per share (EPS)</w:t>
      </w:r>
      <w:r>
        <w:rPr>
          <w:rFonts w:cs="Times New Roman"/>
          <w:szCs w:val="24"/>
        </w:rPr>
        <w:t xml:space="preserve"> </w:t>
      </w:r>
      <w:r w:rsidRPr="002E347D">
        <w:rPr>
          <w:rFonts w:cs="Times New Roman"/>
          <w:szCs w:val="24"/>
        </w:rPr>
        <w:t>(</w:t>
      </w:r>
      <w:proofErr w:type="spellStart"/>
      <w:r w:rsidRPr="002E347D">
        <w:rPr>
          <w:rFonts w:cs="Times New Roman"/>
          <w:szCs w:val="24"/>
        </w:rPr>
        <w:t>Goldmann</w:t>
      </w:r>
      <w:proofErr w:type="spellEnd"/>
      <w:r w:rsidRPr="002E347D">
        <w:rPr>
          <w:rFonts w:cs="Times New Roman"/>
          <w:szCs w:val="24"/>
        </w:rPr>
        <w:t>, 2017, p.108)</w:t>
      </w:r>
      <w:r w:rsidRPr="003010FB">
        <w:rPr>
          <w:rFonts w:cs="Times New Roman"/>
          <w:szCs w:val="24"/>
        </w:rPr>
        <w:t>.</w:t>
      </w:r>
    </w:p>
    <w:p w:rsidR="00BD4578" w:rsidRPr="003010FB" w:rsidRDefault="00BD4578" w:rsidP="00BD4578">
      <w:pPr>
        <w:rPr>
          <w:rFonts w:cs="Times New Roman"/>
          <w:szCs w:val="24"/>
        </w:rPr>
      </w:pPr>
      <w:r w:rsidRPr="003010FB">
        <w:rPr>
          <w:rFonts w:cs="Times New Roman"/>
          <w:szCs w:val="24"/>
        </w:rPr>
        <w:t>The P/E ratio for FY 2017 was 19.33 and this ratio decreased to 15.67 by 2018. This was because of the decline in Royal Mail’s market price.</w:t>
      </w:r>
    </w:p>
    <w:p w:rsidR="00BD4578" w:rsidRPr="003010FB" w:rsidRDefault="00BD4578" w:rsidP="00BD4578">
      <w:pPr>
        <w:pStyle w:val="Heading3"/>
        <w:rPr>
          <w:rFonts w:cs="Times New Roman"/>
        </w:rPr>
      </w:pPr>
      <w:bookmarkStart w:id="7" w:name="_Toc532804900"/>
      <w:r w:rsidRPr="003010FB">
        <w:rPr>
          <w:rFonts w:cs="Times New Roman"/>
        </w:rPr>
        <w:t>Return on Capital (ROC)</w:t>
      </w:r>
      <w:bookmarkEnd w:id="7"/>
    </w:p>
    <w:p w:rsidR="00BD4578" w:rsidRPr="003010FB" w:rsidRDefault="00BD4578" w:rsidP="00BD4578">
      <w:pPr>
        <w:rPr>
          <w:rFonts w:cs="Times New Roman"/>
          <w:szCs w:val="24"/>
        </w:rPr>
      </w:pPr>
      <w:r w:rsidRPr="003010FB">
        <w:rPr>
          <w:rFonts w:cs="Times New Roman"/>
          <w:szCs w:val="24"/>
        </w:rPr>
        <w:t xml:space="preserve">This indicates how well the company is using its invested capital to earn a </w:t>
      </w:r>
      <w:r w:rsidRPr="003010FB">
        <w:rPr>
          <w:rFonts w:cs="Times New Roman"/>
          <w:noProof/>
          <w:szCs w:val="24"/>
        </w:rPr>
        <w:t>profit</w:t>
      </w:r>
      <w:r w:rsidRPr="003010FB">
        <w:rPr>
          <w:rFonts w:cs="Times New Roman"/>
          <w:szCs w:val="24"/>
        </w:rPr>
        <w:t>. Higher the ratio better the performance. This ratio is calculated by dividing net operating profit with capital employed. Capital employed is the difference between total assets and current liabilities</w:t>
      </w:r>
      <w:r>
        <w:rPr>
          <w:rFonts w:cs="Times New Roman"/>
          <w:szCs w:val="24"/>
        </w:rPr>
        <w:t xml:space="preserve"> </w:t>
      </w:r>
      <w:r w:rsidRPr="002E347D">
        <w:rPr>
          <w:rFonts w:cs="Times New Roman"/>
          <w:szCs w:val="24"/>
        </w:rPr>
        <w:t>(</w:t>
      </w:r>
      <w:proofErr w:type="spellStart"/>
      <w:r w:rsidRPr="002E347D">
        <w:rPr>
          <w:rFonts w:cs="Times New Roman"/>
          <w:szCs w:val="24"/>
        </w:rPr>
        <w:t>Goldmann</w:t>
      </w:r>
      <w:proofErr w:type="spellEnd"/>
      <w:r w:rsidRPr="002E347D">
        <w:rPr>
          <w:rFonts w:cs="Times New Roman"/>
          <w:szCs w:val="24"/>
        </w:rPr>
        <w:t>, 2017</w:t>
      </w:r>
      <w:r>
        <w:rPr>
          <w:rFonts w:cs="Times New Roman"/>
          <w:szCs w:val="24"/>
        </w:rPr>
        <w:t>, p.111</w:t>
      </w:r>
      <w:r w:rsidRPr="002E347D">
        <w:rPr>
          <w:rFonts w:cs="Times New Roman"/>
          <w:szCs w:val="24"/>
        </w:rPr>
        <w:t>)</w:t>
      </w:r>
      <w:r w:rsidRPr="003010FB">
        <w:rPr>
          <w:rFonts w:cs="Times New Roman"/>
          <w:szCs w:val="24"/>
        </w:rPr>
        <w:t>.</w:t>
      </w:r>
    </w:p>
    <w:p w:rsidR="00BD4578" w:rsidRPr="003010FB" w:rsidRDefault="00BD4578" w:rsidP="00BD4578">
      <w:pPr>
        <w:rPr>
          <w:rFonts w:cs="Times New Roman"/>
          <w:szCs w:val="24"/>
        </w:rPr>
      </w:pPr>
      <w:r w:rsidRPr="003010FB">
        <w:rPr>
          <w:rFonts w:cs="Times New Roman"/>
          <w:szCs w:val="24"/>
        </w:rPr>
        <w:t>This ratio was 4.38% in FY 2017. There was a dramatic decrease in the ratio in FY 2018 and it decreased to 1.49%.  The increase was because of a proportional decrease in equity and a decrease in net operating profit.</w:t>
      </w:r>
    </w:p>
    <w:p w:rsidR="00BD4578" w:rsidRPr="003010FB" w:rsidRDefault="00BD4578" w:rsidP="00BD4578">
      <w:pPr>
        <w:pStyle w:val="Heading3"/>
        <w:rPr>
          <w:rFonts w:cs="Times New Roman"/>
        </w:rPr>
      </w:pPr>
      <w:bookmarkStart w:id="8" w:name="_Toc532804901"/>
      <w:r w:rsidRPr="003010FB">
        <w:rPr>
          <w:rFonts w:cs="Times New Roman"/>
        </w:rPr>
        <w:t>Return on Assets (ROA)</w:t>
      </w:r>
      <w:bookmarkEnd w:id="8"/>
    </w:p>
    <w:p w:rsidR="00BD4578" w:rsidRPr="0096297A" w:rsidRDefault="00BD4578" w:rsidP="00BD4578">
      <w:pPr>
        <w:rPr>
          <w:rFonts w:cs="Times New Roman"/>
          <w:szCs w:val="24"/>
        </w:rPr>
      </w:pPr>
      <w:r w:rsidRPr="003010FB">
        <w:rPr>
          <w:rFonts w:cs="Times New Roman"/>
          <w:szCs w:val="24"/>
        </w:rPr>
        <w:t xml:space="preserve">This ratio indicates how well the company is using its assets to generate profits. The higher the ratio would be the better the </w:t>
      </w:r>
      <w:r w:rsidRPr="0096297A">
        <w:rPr>
          <w:rFonts w:cs="Times New Roman"/>
          <w:szCs w:val="24"/>
        </w:rPr>
        <w:t>performance (</w:t>
      </w:r>
      <w:proofErr w:type="spellStart"/>
      <w:r w:rsidRPr="0096297A">
        <w:rPr>
          <w:rFonts w:cs="Times New Roman"/>
          <w:szCs w:val="24"/>
        </w:rPr>
        <w:t>Kucukaltan</w:t>
      </w:r>
      <w:proofErr w:type="spellEnd"/>
      <w:r w:rsidRPr="0096297A">
        <w:rPr>
          <w:rFonts w:cs="Times New Roman"/>
          <w:szCs w:val="24"/>
        </w:rPr>
        <w:t xml:space="preserve">, </w:t>
      </w:r>
      <w:proofErr w:type="spellStart"/>
      <w:r w:rsidRPr="0096297A">
        <w:rPr>
          <w:rFonts w:cs="Times New Roman"/>
          <w:szCs w:val="24"/>
        </w:rPr>
        <w:t>Irani</w:t>
      </w:r>
      <w:proofErr w:type="spellEnd"/>
      <w:r w:rsidRPr="0096297A">
        <w:rPr>
          <w:rFonts w:cs="Times New Roman"/>
          <w:szCs w:val="24"/>
        </w:rPr>
        <w:t xml:space="preserve">, &amp; </w:t>
      </w:r>
      <w:proofErr w:type="spellStart"/>
      <w:r w:rsidRPr="0096297A">
        <w:rPr>
          <w:rFonts w:cs="Times New Roman"/>
          <w:szCs w:val="24"/>
        </w:rPr>
        <w:t>Aktas</w:t>
      </w:r>
      <w:proofErr w:type="spellEnd"/>
      <w:r w:rsidRPr="0096297A">
        <w:rPr>
          <w:rFonts w:cs="Times New Roman"/>
          <w:szCs w:val="24"/>
        </w:rPr>
        <w:t>, 2016, p.350).</w:t>
      </w:r>
    </w:p>
    <w:p w:rsidR="00BD4578" w:rsidRPr="003010FB" w:rsidRDefault="00BD4578" w:rsidP="00BD4578">
      <w:pPr>
        <w:rPr>
          <w:rFonts w:cs="Times New Roman"/>
          <w:szCs w:val="24"/>
        </w:rPr>
      </w:pPr>
      <w:r w:rsidRPr="003010FB">
        <w:rPr>
          <w:rFonts w:cs="Times New Roman"/>
          <w:szCs w:val="24"/>
        </w:rPr>
        <w:t>This ratio is calculated by dividing net profit with the total assets.</w:t>
      </w:r>
    </w:p>
    <w:p w:rsidR="00BD4578" w:rsidRPr="003010FB" w:rsidRDefault="00BD4578" w:rsidP="00BD4578">
      <w:pPr>
        <w:rPr>
          <w:rFonts w:cs="Times New Roman"/>
          <w:szCs w:val="24"/>
        </w:rPr>
      </w:pPr>
      <w:r w:rsidRPr="003010FB">
        <w:rPr>
          <w:rFonts w:cs="Times New Roman"/>
          <w:szCs w:val="24"/>
        </w:rPr>
        <w:t xml:space="preserve">In FY 2017, the ratio was 3.28% and the </w:t>
      </w:r>
      <w:r w:rsidRPr="003010FB">
        <w:rPr>
          <w:rFonts w:cs="Times New Roman"/>
          <w:noProof/>
          <w:szCs w:val="24"/>
        </w:rPr>
        <w:t>ratio</w:t>
      </w:r>
      <w:r w:rsidRPr="003010FB">
        <w:rPr>
          <w:rFonts w:cs="Times New Roman"/>
          <w:szCs w:val="24"/>
        </w:rPr>
        <w:t xml:space="preserve"> increased to 3.56% in 2018. This was an increase of </w:t>
      </w:r>
      <w:r>
        <w:rPr>
          <w:rFonts w:cs="Times New Roman"/>
          <w:szCs w:val="24"/>
        </w:rPr>
        <w:t>0</w:t>
      </w:r>
      <w:r w:rsidRPr="003010FB">
        <w:rPr>
          <w:rFonts w:cs="Times New Roman"/>
          <w:szCs w:val="24"/>
        </w:rPr>
        <w:t>.28%. This was because of a proportionally decrease in assets and net profit.</w:t>
      </w:r>
    </w:p>
    <w:p w:rsidR="00BD4578" w:rsidRPr="003010FB" w:rsidRDefault="00BD4578" w:rsidP="00BD4578">
      <w:pPr>
        <w:pStyle w:val="Heading2"/>
        <w:rPr>
          <w:rFonts w:cs="Times New Roman"/>
          <w:szCs w:val="24"/>
        </w:rPr>
      </w:pPr>
      <w:bookmarkStart w:id="9" w:name="_Toc532804902"/>
      <w:r w:rsidRPr="003010FB">
        <w:rPr>
          <w:rFonts w:cs="Times New Roman"/>
          <w:szCs w:val="24"/>
        </w:rPr>
        <w:lastRenderedPageBreak/>
        <w:t>Liquidity Ratios:</w:t>
      </w:r>
      <w:bookmarkEnd w:id="9"/>
    </w:p>
    <w:p w:rsidR="00BD4578" w:rsidRPr="003010FB" w:rsidRDefault="00BD4578" w:rsidP="00BD4578">
      <w:pPr>
        <w:rPr>
          <w:rFonts w:cs="Times New Roman"/>
          <w:szCs w:val="24"/>
        </w:rPr>
      </w:pPr>
      <w:r w:rsidRPr="003010FB">
        <w:rPr>
          <w:rFonts w:cs="Times New Roman"/>
          <w:szCs w:val="24"/>
        </w:rPr>
        <w:t>These ratios tell us how quickly the firm can convert its asset into cash to pay off its debt</w:t>
      </w:r>
      <w:r>
        <w:rPr>
          <w:rFonts w:cs="Times New Roman"/>
          <w:szCs w:val="24"/>
        </w:rPr>
        <w:t xml:space="preserve"> (Penman &amp;</w:t>
      </w:r>
      <w:r w:rsidRPr="003010FB">
        <w:rPr>
          <w:rFonts w:cs="Times New Roman"/>
          <w:szCs w:val="24"/>
        </w:rPr>
        <w:t xml:space="preserve"> Penman</w:t>
      </w:r>
      <w:r>
        <w:rPr>
          <w:rFonts w:cs="Times New Roman"/>
          <w:szCs w:val="24"/>
        </w:rPr>
        <w:t>,</w:t>
      </w:r>
      <w:r w:rsidRPr="003010FB">
        <w:rPr>
          <w:rFonts w:cs="Times New Roman"/>
          <w:szCs w:val="24"/>
        </w:rPr>
        <w:t xml:space="preserve"> 2007). Some of the relevant ratios are given and calculated below, </w:t>
      </w:r>
    </w:p>
    <w:tbl>
      <w:tblPr>
        <w:tblW w:w="5000" w:type="pct"/>
        <w:tblLook w:val="04A0" w:firstRow="1" w:lastRow="0" w:firstColumn="1" w:lastColumn="0" w:noHBand="0" w:noVBand="1"/>
      </w:tblPr>
      <w:tblGrid>
        <w:gridCol w:w="4388"/>
        <w:gridCol w:w="2475"/>
        <w:gridCol w:w="2477"/>
      </w:tblGrid>
      <w:tr w:rsidR="00BD4578" w:rsidRPr="00A546F4" w:rsidTr="00A9582C">
        <w:trPr>
          <w:trHeight w:val="60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b/>
                <w:bCs/>
                <w:color w:val="000000"/>
                <w:szCs w:val="24"/>
                <w:lang w:eastAsia="en-GB"/>
              </w:rPr>
            </w:pPr>
            <w:r w:rsidRPr="00A546F4">
              <w:rPr>
                <w:rFonts w:eastAsia="Times New Roman" w:cs="Times New Roman"/>
                <w:b/>
                <w:bCs/>
                <w:color w:val="000000"/>
                <w:szCs w:val="24"/>
                <w:lang w:eastAsia="en-GB"/>
              </w:rPr>
              <w:t>Ratios</w:t>
            </w:r>
          </w:p>
        </w:tc>
      </w:tr>
      <w:tr w:rsidR="00BD4578" w:rsidRPr="00A546F4" w:rsidTr="00A9582C">
        <w:trPr>
          <w:trHeight w:val="600"/>
        </w:trPr>
        <w:tc>
          <w:tcPr>
            <w:tcW w:w="2349"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rPr>
                <w:rFonts w:eastAsia="Times New Roman" w:cs="Times New Roman"/>
                <w:b/>
                <w:bCs/>
                <w:color w:val="000000"/>
                <w:szCs w:val="24"/>
                <w:lang w:eastAsia="en-GB"/>
              </w:rPr>
            </w:pPr>
            <w:r w:rsidRPr="00A546F4">
              <w:rPr>
                <w:rFonts w:eastAsia="Times New Roman" w:cs="Times New Roman"/>
                <w:b/>
                <w:bCs/>
                <w:color w:val="000000"/>
                <w:szCs w:val="24"/>
                <w:lang w:eastAsia="en-GB"/>
              </w:rPr>
              <w:t>Liquidity Ratios</w:t>
            </w:r>
          </w:p>
        </w:tc>
        <w:tc>
          <w:tcPr>
            <w:tcW w:w="1325" w:type="pct"/>
            <w:tcBorders>
              <w:top w:val="nil"/>
              <w:left w:val="nil"/>
              <w:bottom w:val="single" w:sz="8" w:space="0" w:color="auto"/>
              <w:right w:val="single" w:sz="8" w:space="0" w:color="auto"/>
            </w:tcBorders>
            <w:shd w:val="clear" w:color="auto" w:fill="auto"/>
            <w:noWrap/>
            <w:vAlign w:val="bottom"/>
            <w:hideMark/>
          </w:tcPr>
          <w:p w:rsidR="00BD4578" w:rsidRPr="004F7B63" w:rsidRDefault="00BD4578" w:rsidP="00A9582C">
            <w:pPr>
              <w:spacing w:before="0" w:after="0"/>
              <w:ind w:firstLine="0"/>
              <w:jc w:val="right"/>
              <w:rPr>
                <w:rFonts w:eastAsia="Times New Roman" w:cs="Times New Roman"/>
                <w:b/>
                <w:color w:val="000000"/>
                <w:szCs w:val="24"/>
                <w:lang w:eastAsia="en-GB"/>
              </w:rPr>
            </w:pPr>
            <w:r w:rsidRPr="00A546F4">
              <w:rPr>
                <w:rFonts w:eastAsia="Times New Roman" w:cs="Times New Roman"/>
                <w:color w:val="000000"/>
                <w:szCs w:val="24"/>
                <w:lang w:eastAsia="en-GB"/>
              </w:rPr>
              <w:t> </w:t>
            </w:r>
            <w:r w:rsidRPr="004F7B63">
              <w:rPr>
                <w:rFonts w:eastAsia="Times New Roman" w:cs="Times New Roman"/>
                <w:b/>
                <w:color w:val="000000"/>
                <w:szCs w:val="24"/>
                <w:lang w:eastAsia="en-GB"/>
              </w:rPr>
              <w:t>2017</w:t>
            </w:r>
          </w:p>
        </w:tc>
        <w:tc>
          <w:tcPr>
            <w:tcW w:w="1325" w:type="pct"/>
            <w:tcBorders>
              <w:top w:val="nil"/>
              <w:left w:val="nil"/>
              <w:bottom w:val="single" w:sz="8" w:space="0" w:color="auto"/>
              <w:right w:val="single" w:sz="8" w:space="0" w:color="auto"/>
            </w:tcBorders>
            <w:shd w:val="clear" w:color="auto" w:fill="auto"/>
            <w:noWrap/>
            <w:vAlign w:val="bottom"/>
            <w:hideMark/>
          </w:tcPr>
          <w:p w:rsidR="00BD4578" w:rsidRPr="004F7B63" w:rsidRDefault="00BD4578" w:rsidP="00A9582C">
            <w:pPr>
              <w:spacing w:before="0" w:after="0"/>
              <w:ind w:firstLine="0"/>
              <w:jc w:val="right"/>
              <w:rPr>
                <w:rFonts w:eastAsia="Times New Roman" w:cs="Times New Roman"/>
                <w:b/>
                <w:color w:val="000000"/>
                <w:szCs w:val="24"/>
                <w:lang w:eastAsia="en-GB"/>
              </w:rPr>
            </w:pPr>
            <w:r w:rsidRPr="004F7B63">
              <w:rPr>
                <w:rFonts w:eastAsia="Times New Roman" w:cs="Times New Roman"/>
                <w:b/>
                <w:color w:val="000000"/>
                <w:szCs w:val="24"/>
                <w:lang w:eastAsia="en-GB"/>
              </w:rPr>
              <w:t> 2018</w:t>
            </w:r>
          </w:p>
        </w:tc>
      </w:tr>
      <w:tr w:rsidR="00BD4578" w:rsidRPr="00A546F4" w:rsidTr="00A9582C">
        <w:trPr>
          <w:trHeight w:val="600"/>
        </w:trPr>
        <w:tc>
          <w:tcPr>
            <w:tcW w:w="2349"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Current Ratio</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0.721230159</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0.865994236</w:t>
            </w:r>
          </w:p>
        </w:tc>
      </w:tr>
      <w:tr w:rsidR="00BD4578" w:rsidRPr="00A546F4" w:rsidTr="00A9582C">
        <w:trPr>
          <w:trHeight w:val="600"/>
        </w:trPr>
        <w:tc>
          <w:tcPr>
            <w:tcW w:w="2349"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Acid Test</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0.709821429</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0.853986551</w:t>
            </w:r>
          </w:p>
        </w:tc>
      </w:tr>
      <w:tr w:rsidR="00BD4578" w:rsidRPr="00A546F4" w:rsidTr="00A9582C">
        <w:trPr>
          <w:trHeight w:val="600"/>
        </w:trPr>
        <w:tc>
          <w:tcPr>
            <w:tcW w:w="2349"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Absolute Liquidity Ratio</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0.148313492</w:t>
            </w:r>
          </w:p>
        </w:tc>
        <w:tc>
          <w:tcPr>
            <w:tcW w:w="1325"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0.288184438</w:t>
            </w:r>
          </w:p>
        </w:tc>
      </w:tr>
      <w:tr w:rsidR="00BD4578" w:rsidRPr="00A546F4" w:rsidTr="00A9582C">
        <w:trPr>
          <w:trHeight w:val="600"/>
        </w:trPr>
        <w:tc>
          <w:tcPr>
            <w:tcW w:w="2349"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 xml:space="preserve">Basic </w:t>
            </w:r>
            <w:r w:rsidRPr="003010FB">
              <w:rPr>
                <w:rFonts w:eastAsia="Times New Roman" w:cs="Times New Roman"/>
                <w:color w:val="000000"/>
                <w:szCs w:val="24"/>
                <w:lang w:eastAsia="en-GB"/>
              </w:rPr>
              <w:t>Defence</w:t>
            </w:r>
            <w:r w:rsidRPr="00A546F4">
              <w:rPr>
                <w:rFonts w:eastAsia="Times New Roman" w:cs="Times New Roman"/>
                <w:color w:val="000000"/>
                <w:szCs w:val="24"/>
                <w:lang w:eastAsia="en-GB"/>
              </w:rPr>
              <w:t xml:space="preserve"> Ratios</w:t>
            </w:r>
          </w:p>
        </w:tc>
        <w:tc>
          <w:tcPr>
            <w:tcW w:w="132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0.061578604</w:t>
            </w:r>
          </w:p>
        </w:tc>
        <w:tc>
          <w:tcPr>
            <w:tcW w:w="1325"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0.095365783</w:t>
            </w:r>
          </w:p>
        </w:tc>
      </w:tr>
    </w:tbl>
    <w:p w:rsidR="00BD4578" w:rsidRPr="003010FB" w:rsidRDefault="00BD4578" w:rsidP="00BD4578">
      <w:pPr>
        <w:rPr>
          <w:rFonts w:cs="Times New Roman"/>
          <w:szCs w:val="24"/>
        </w:rPr>
      </w:pPr>
    </w:p>
    <w:p w:rsidR="00BD4578" w:rsidRPr="003010FB" w:rsidRDefault="00BD4578" w:rsidP="00BD4578">
      <w:pPr>
        <w:pStyle w:val="Heading3"/>
        <w:rPr>
          <w:rFonts w:cs="Times New Roman"/>
        </w:rPr>
      </w:pPr>
      <w:bookmarkStart w:id="10" w:name="_Toc532804903"/>
      <w:r w:rsidRPr="003010FB">
        <w:rPr>
          <w:rFonts w:cs="Times New Roman"/>
        </w:rPr>
        <w:t>Current Ratio</w:t>
      </w:r>
      <w:bookmarkEnd w:id="10"/>
    </w:p>
    <w:p w:rsidR="00BD4578" w:rsidRPr="003010FB" w:rsidRDefault="00BD4578" w:rsidP="00BD4578">
      <w:pPr>
        <w:rPr>
          <w:rFonts w:cs="Times New Roman"/>
          <w:szCs w:val="24"/>
        </w:rPr>
      </w:pPr>
      <w:r w:rsidRPr="003010FB">
        <w:rPr>
          <w:rFonts w:cs="Times New Roman"/>
          <w:szCs w:val="24"/>
        </w:rPr>
        <w:t>This ratio measures the financial strength of the company. It would give a measure of how much the company has borrowed compared to its asset, or simply its ability to payback short-term liabilities. This ratio is calculated by dividing current assets with current liabilities</w:t>
      </w:r>
      <w:r>
        <w:rPr>
          <w:rFonts w:cs="Times New Roman"/>
          <w:szCs w:val="24"/>
        </w:rPr>
        <w:t xml:space="preserve"> </w:t>
      </w:r>
      <w:r w:rsidRPr="0096297A">
        <w:rPr>
          <w:rFonts w:cs="Times New Roman"/>
          <w:szCs w:val="24"/>
        </w:rPr>
        <w:t>(</w:t>
      </w:r>
      <w:proofErr w:type="spellStart"/>
      <w:r w:rsidRPr="0096297A">
        <w:rPr>
          <w:rFonts w:cs="Times New Roman"/>
          <w:szCs w:val="24"/>
        </w:rPr>
        <w:t>Kucukaltan</w:t>
      </w:r>
      <w:proofErr w:type="spellEnd"/>
      <w:r w:rsidRPr="0096297A">
        <w:rPr>
          <w:rFonts w:cs="Times New Roman"/>
          <w:szCs w:val="24"/>
        </w:rPr>
        <w:t xml:space="preserve">, </w:t>
      </w:r>
      <w:proofErr w:type="spellStart"/>
      <w:r w:rsidRPr="0096297A">
        <w:rPr>
          <w:rFonts w:cs="Times New Roman"/>
          <w:szCs w:val="24"/>
        </w:rPr>
        <w:t>Irani</w:t>
      </w:r>
      <w:proofErr w:type="spellEnd"/>
      <w:r w:rsidRPr="0096297A">
        <w:rPr>
          <w:rFonts w:cs="Times New Roman"/>
          <w:szCs w:val="24"/>
        </w:rPr>
        <w:t xml:space="preserve">, &amp; </w:t>
      </w:r>
      <w:proofErr w:type="spellStart"/>
      <w:r w:rsidRPr="0096297A">
        <w:rPr>
          <w:rFonts w:cs="Times New Roman"/>
          <w:szCs w:val="24"/>
        </w:rPr>
        <w:t>Aktas</w:t>
      </w:r>
      <w:proofErr w:type="spellEnd"/>
      <w:r w:rsidRPr="0096297A">
        <w:rPr>
          <w:rFonts w:cs="Times New Roman"/>
          <w:szCs w:val="24"/>
        </w:rPr>
        <w:t>, 2016</w:t>
      </w:r>
      <w:r>
        <w:rPr>
          <w:rFonts w:cs="Times New Roman"/>
          <w:szCs w:val="24"/>
        </w:rPr>
        <w:t>, p.338</w:t>
      </w:r>
      <w:r w:rsidRPr="0096297A">
        <w:rPr>
          <w:rFonts w:cs="Times New Roman"/>
          <w:szCs w:val="24"/>
        </w:rPr>
        <w:t>).</w:t>
      </w:r>
      <w:r w:rsidRPr="003010FB">
        <w:rPr>
          <w:rFonts w:cs="Times New Roman"/>
          <w:szCs w:val="24"/>
        </w:rPr>
        <w:t xml:space="preserve"> </w:t>
      </w:r>
    </w:p>
    <w:p w:rsidR="00BD4578" w:rsidRPr="003010FB" w:rsidRDefault="00BD4578" w:rsidP="00BD4578">
      <w:pPr>
        <w:rPr>
          <w:rFonts w:cs="Times New Roman"/>
          <w:szCs w:val="24"/>
        </w:rPr>
      </w:pPr>
      <w:r w:rsidRPr="003010FB">
        <w:rPr>
          <w:rFonts w:cs="Times New Roman"/>
          <w:szCs w:val="24"/>
        </w:rPr>
        <w:t xml:space="preserve">This ratio was </w:t>
      </w:r>
      <w:r>
        <w:rPr>
          <w:rFonts w:cs="Times New Roman"/>
          <w:szCs w:val="24"/>
        </w:rPr>
        <w:t>0</w:t>
      </w:r>
      <w:r w:rsidRPr="003010FB">
        <w:rPr>
          <w:rFonts w:cs="Times New Roman"/>
          <w:szCs w:val="24"/>
        </w:rPr>
        <w:t xml:space="preserve">.72 in FY 2017 and increased to </w:t>
      </w:r>
      <w:r>
        <w:rPr>
          <w:rFonts w:cs="Times New Roman"/>
          <w:szCs w:val="24"/>
        </w:rPr>
        <w:t>0</w:t>
      </w:r>
      <w:r w:rsidRPr="003010FB">
        <w:rPr>
          <w:rFonts w:cs="Times New Roman"/>
          <w:szCs w:val="24"/>
        </w:rPr>
        <w:t>.86 in FY 2018. This was because of an increase in current assets. Although this is a good indication, this ratio should at least be one (1) in case the firm has to pay back its current liabilities.</w:t>
      </w:r>
    </w:p>
    <w:p w:rsidR="00BD4578" w:rsidRPr="003010FB" w:rsidRDefault="00BD4578" w:rsidP="00BD4578">
      <w:pPr>
        <w:pStyle w:val="Heading3"/>
        <w:rPr>
          <w:rFonts w:cs="Times New Roman"/>
        </w:rPr>
      </w:pPr>
      <w:bookmarkStart w:id="11" w:name="_Toc532804904"/>
      <w:r w:rsidRPr="003010FB">
        <w:rPr>
          <w:rFonts w:cs="Times New Roman"/>
        </w:rPr>
        <w:t>Acid Test</w:t>
      </w:r>
      <w:bookmarkEnd w:id="11"/>
    </w:p>
    <w:p w:rsidR="00BD4578" w:rsidRPr="003010FB" w:rsidRDefault="00BD4578" w:rsidP="00BD4578">
      <w:pPr>
        <w:rPr>
          <w:rFonts w:cs="Times New Roman"/>
          <w:szCs w:val="24"/>
        </w:rPr>
      </w:pPr>
      <w:r w:rsidRPr="003010FB">
        <w:rPr>
          <w:rFonts w:cs="Times New Roman"/>
          <w:szCs w:val="24"/>
        </w:rPr>
        <w:t xml:space="preserve">This is a more accurate ratio than the </w:t>
      </w:r>
      <w:r w:rsidRPr="003010FB">
        <w:rPr>
          <w:rFonts w:cs="Times New Roman"/>
          <w:noProof/>
          <w:szCs w:val="24"/>
        </w:rPr>
        <w:t>current</w:t>
      </w:r>
      <w:r w:rsidRPr="003010FB">
        <w:rPr>
          <w:rFonts w:cs="Times New Roman"/>
          <w:szCs w:val="24"/>
        </w:rPr>
        <w:t xml:space="preserve"> ratio. This is because it removes all the non-cash accounts from current assets. This means the asset, which </w:t>
      </w:r>
      <w:r w:rsidRPr="003010FB">
        <w:rPr>
          <w:rFonts w:cs="Times New Roman"/>
          <w:noProof/>
          <w:szCs w:val="24"/>
        </w:rPr>
        <w:t>takes</w:t>
      </w:r>
      <w:r w:rsidRPr="003010FB">
        <w:rPr>
          <w:rFonts w:cs="Times New Roman"/>
          <w:szCs w:val="24"/>
        </w:rPr>
        <w:t xml:space="preserve"> relatively more time to </w:t>
      </w:r>
      <w:r w:rsidRPr="003010FB">
        <w:rPr>
          <w:rFonts w:cs="Times New Roman"/>
          <w:szCs w:val="24"/>
        </w:rPr>
        <w:lastRenderedPageBreak/>
        <w:t xml:space="preserve">convert to cash, are not included in the ratio. This ratio is calculated by dividing quick assets with current liabilities. The quick assets are calculated by subtracting prepaid expenses and inventory from current assets. Acid test ratio is also known as the </w:t>
      </w:r>
      <w:r w:rsidRPr="003010FB">
        <w:rPr>
          <w:rFonts w:cs="Times New Roman"/>
          <w:noProof/>
          <w:szCs w:val="24"/>
        </w:rPr>
        <w:t>quick</w:t>
      </w:r>
      <w:r w:rsidRPr="003010FB">
        <w:rPr>
          <w:rFonts w:cs="Times New Roman"/>
          <w:szCs w:val="24"/>
        </w:rPr>
        <w:t xml:space="preserve"> ratio</w:t>
      </w:r>
      <w:r>
        <w:rPr>
          <w:rFonts w:cs="Times New Roman"/>
          <w:szCs w:val="24"/>
        </w:rPr>
        <w:t xml:space="preserve"> </w:t>
      </w:r>
      <w:r w:rsidRPr="0096297A">
        <w:rPr>
          <w:rFonts w:cs="Times New Roman"/>
          <w:szCs w:val="24"/>
        </w:rPr>
        <w:t>(</w:t>
      </w:r>
      <w:proofErr w:type="spellStart"/>
      <w:r w:rsidRPr="0096297A">
        <w:rPr>
          <w:rFonts w:cs="Times New Roman"/>
          <w:szCs w:val="24"/>
        </w:rPr>
        <w:t>Kucukaltan</w:t>
      </w:r>
      <w:proofErr w:type="spellEnd"/>
      <w:r w:rsidRPr="0096297A">
        <w:rPr>
          <w:rFonts w:cs="Times New Roman"/>
          <w:szCs w:val="24"/>
        </w:rPr>
        <w:t xml:space="preserve">, </w:t>
      </w:r>
      <w:proofErr w:type="spellStart"/>
      <w:r w:rsidRPr="0096297A">
        <w:rPr>
          <w:rFonts w:cs="Times New Roman"/>
          <w:szCs w:val="24"/>
        </w:rPr>
        <w:t>Irani</w:t>
      </w:r>
      <w:proofErr w:type="spellEnd"/>
      <w:r w:rsidRPr="0096297A">
        <w:rPr>
          <w:rFonts w:cs="Times New Roman"/>
          <w:szCs w:val="24"/>
        </w:rPr>
        <w:t xml:space="preserve">, &amp; </w:t>
      </w:r>
      <w:proofErr w:type="spellStart"/>
      <w:r w:rsidRPr="0096297A">
        <w:rPr>
          <w:rFonts w:cs="Times New Roman"/>
          <w:szCs w:val="24"/>
        </w:rPr>
        <w:t>Aktas</w:t>
      </w:r>
      <w:proofErr w:type="spellEnd"/>
      <w:r w:rsidRPr="0096297A">
        <w:rPr>
          <w:rFonts w:cs="Times New Roman"/>
          <w:szCs w:val="24"/>
        </w:rPr>
        <w:t>, 2016</w:t>
      </w:r>
      <w:r>
        <w:rPr>
          <w:rFonts w:cs="Times New Roman"/>
          <w:szCs w:val="24"/>
        </w:rPr>
        <w:t>, p.354</w:t>
      </w:r>
      <w:r w:rsidRPr="0096297A">
        <w:rPr>
          <w:rFonts w:cs="Times New Roman"/>
          <w:szCs w:val="24"/>
        </w:rPr>
        <w:t>)</w:t>
      </w:r>
      <w:r w:rsidRPr="003010FB">
        <w:rPr>
          <w:rFonts w:cs="Times New Roman"/>
          <w:szCs w:val="24"/>
        </w:rPr>
        <w:t>.</w:t>
      </w:r>
    </w:p>
    <w:p w:rsidR="00BD4578" w:rsidRPr="003010FB" w:rsidRDefault="00BD4578" w:rsidP="00BD4578">
      <w:pPr>
        <w:rPr>
          <w:rFonts w:cs="Times New Roman"/>
          <w:szCs w:val="24"/>
        </w:rPr>
      </w:pPr>
      <w:r>
        <w:rPr>
          <w:rFonts w:cs="Times New Roman"/>
          <w:szCs w:val="24"/>
        </w:rPr>
        <w:t>The A</w:t>
      </w:r>
      <w:r w:rsidRPr="003010FB">
        <w:rPr>
          <w:rFonts w:cs="Times New Roman"/>
          <w:szCs w:val="24"/>
        </w:rPr>
        <w:t xml:space="preserve">cid test ratio was </w:t>
      </w:r>
      <w:r>
        <w:rPr>
          <w:rFonts w:cs="Times New Roman"/>
          <w:szCs w:val="24"/>
        </w:rPr>
        <w:t>0</w:t>
      </w:r>
      <w:r w:rsidRPr="003010FB">
        <w:rPr>
          <w:rFonts w:cs="Times New Roman"/>
          <w:szCs w:val="24"/>
        </w:rPr>
        <w:t xml:space="preserve">.709 in FY 2017, which increased to </w:t>
      </w:r>
      <w:r>
        <w:rPr>
          <w:rFonts w:cs="Times New Roman"/>
          <w:szCs w:val="24"/>
        </w:rPr>
        <w:t>0</w:t>
      </w:r>
      <w:r w:rsidRPr="003010FB">
        <w:rPr>
          <w:rFonts w:cs="Times New Roman"/>
          <w:szCs w:val="24"/>
        </w:rPr>
        <w:t>.854 in FY 2018. This was a positive indication. A ratio of 1:1 is usually preferred. This was because of an increase in current assets.</w:t>
      </w:r>
    </w:p>
    <w:p w:rsidR="00BD4578" w:rsidRPr="003010FB" w:rsidRDefault="00BD4578" w:rsidP="00BD4578">
      <w:pPr>
        <w:pStyle w:val="Heading3"/>
        <w:rPr>
          <w:rFonts w:cs="Times New Roman"/>
        </w:rPr>
      </w:pPr>
      <w:bookmarkStart w:id="12" w:name="_Toc532804905"/>
      <w:r w:rsidRPr="003010FB">
        <w:rPr>
          <w:rFonts w:cs="Times New Roman"/>
        </w:rPr>
        <w:t>Absolute Liquidity Ratio</w:t>
      </w:r>
      <w:bookmarkEnd w:id="12"/>
    </w:p>
    <w:p w:rsidR="00BD4578" w:rsidRPr="00A166D5" w:rsidRDefault="00BD4578" w:rsidP="00BD4578">
      <w:pPr>
        <w:rPr>
          <w:rFonts w:cs="Times New Roman"/>
          <w:szCs w:val="24"/>
        </w:rPr>
      </w:pPr>
      <w:r w:rsidRPr="003010FB">
        <w:rPr>
          <w:rFonts w:cs="Times New Roman"/>
          <w:szCs w:val="24"/>
        </w:rPr>
        <w:t xml:space="preserve">This ratio is helpful for calculating the ability of the company to pay off its short-term debt. To achieve its </w:t>
      </w:r>
      <w:proofErr w:type="gramStart"/>
      <w:r w:rsidRPr="003010FB">
        <w:rPr>
          <w:rFonts w:cs="Times New Roman"/>
          <w:szCs w:val="24"/>
        </w:rPr>
        <w:t>target</w:t>
      </w:r>
      <w:proofErr w:type="gramEnd"/>
      <w:r w:rsidRPr="003010FB">
        <w:rPr>
          <w:rFonts w:cs="Times New Roman"/>
          <w:szCs w:val="24"/>
        </w:rPr>
        <w:t xml:space="preserve"> it only takes into account cash and marketable securities, these are the extreme liquid accounts that the company has on its sheets. </w:t>
      </w:r>
      <w:r w:rsidRPr="00A166D5">
        <w:rPr>
          <w:rFonts w:cs="Times New Roman"/>
          <w:szCs w:val="24"/>
        </w:rPr>
        <w:t>This ratio is calculated by dividing the sum of cash and marketable securities with current liabilities (</w:t>
      </w:r>
      <w:proofErr w:type="spellStart"/>
      <w:r w:rsidRPr="00A166D5">
        <w:rPr>
          <w:rFonts w:cs="Times New Roman"/>
          <w:szCs w:val="24"/>
        </w:rPr>
        <w:t>Dujak</w:t>
      </w:r>
      <w:proofErr w:type="spellEnd"/>
      <w:r w:rsidRPr="00A166D5">
        <w:rPr>
          <w:rFonts w:cs="Times New Roman"/>
          <w:szCs w:val="24"/>
        </w:rPr>
        <w:t xml:space="preserve">, </w:t>
      </w:r>
      <w:proofErr w:type="spellStart"/>
      <w:r w:rsidRPr="00A166D5">
        <w:rPr>
          <w:rFonts w:cs="Times New Roman"/>
          <w:szCs w:val="24"/>
        </w:rPr>
        <w:t>Jeger</w:t>
      </w:r>
      <w:proofErr w:type="spellEnd"/>
      <w:r w:rsidRPr="00A166D5">
        <w:rPr>
          <w:rFonts w:cs="Times New Roman"/>
          <w:szCs w:val="24"/>
        </w:rPr>
        <w:t>, &amp;</w:t>
      </w:r>
      <w:proofErr w:type="spellStart"/>
      <w:r w:rsidRPr="00A166D5">
        <w:rPr>
          <w:rFonts w:cs="Times New Roman"/>
          <w:szCs w:val="24"/>
        </w:rPr>
        <w:t>Bilandžić</w:t>
      </w:r>
      <w:proofErr w:type="spellEnd"/>
      <w:r w:rsidRPr="00A166D5">
        <w:rPr>
          <w:rFonts w:cs="Times New Roman"/>
          <w:szCs w:val="24"/>
        </w:rPr>
        <w:t xml:space="preserve">, 2016, p.296). </w:t>
      </w:r>
    </w:p>
    <w:p w:rsidR="00BD4578" w:rsidRPr="003010FB" w:rsidRDefault="00BD4578" w:rsidP="00BD4578">
      <w:r w:rsidRPr="003010FB">
        <w:t xml:space="preserve">The absolute liquidity ratio was </w:t>
      </w:r>
      <w:r>
        <w:t>0</w:t>
      </w:r>
      <w:r w:rsidRPr="003010FB">
        <w:t xml:space="preserve">.148 in FY 2017, which increased to </w:t>
      </w:r>
      <w:r>
        <w:t>0</w:t>
      </w:r>
      <w:r w:rsidRPr="003010FB">
        <w:t>.288 in FY 2018. This was a positive indication. The company has to make efforts to improve this ratio to avoid any uncertain situations. This was because of an increase in current assets.</w:t>
      </w:r>
    </w:p>
    <w:p w:rsidR="00BD4578" w:rsidRPr="003010FB" w:rsidRDefault="00BD4578" w:rsidP="00BD4578">
      <w:pPr>
        <w:pStyle w:val="Heading3"/>
        <w:rPr>
          <w:rFonts w:cs="Times New Roman"/>
        </w:rPr>
      </w:pPr>
      <w:bookmarkStart w:id="13" w:name="_Toc532804906"/>
      <w:r w:rsidRPr="003010FB">
        <w:rPr>
          <w:rFonts w:cs="Times New Roman"/>
        </w:rPr>
        <w:t>Basic Defence Ratio</w:t>
      </w:r>
      <w:bookmarkEnd w:id="13"/>
    </w:p>
    <w:p w:rsidR="00BD4578" w:rsidRPr="003010FB" w:rsidRDefault="00BD4578" w:rsidP="00BD4578">
      <w:pPr>
        <w:rPr>
          <w:rFonts w:cs="Times New Roman"/>
          <w:szCs w:val="24"/>
        </w:rPr>
      </w:pPr>
      <w:r w:rsidRPr="003010FB">
        <w:rPr>
          <w:rFonts w:cs="Times New Roman"/>
          <w:szCs w:val="24"/>
        </w:rPr>
        <w:t>This ratio calculates the number of days the operations of the company would sustain if it does not rely on the income from any external sources. A higher number of days indicates that the company is liquid and will not be facing difficulties in times of cash flow distress. This ratio is calculated by dividing the sum of cash, receivables and marketable securities with the sum of operating expenses, tax expense and interest expense</w:t>
      </w:r>
      <w:r>
        <w:rPr>
          <w:rFonts w:cs="Times New Roman"/>
          <w:szCs w:val="24"/>
        </w:rPr>
        <w:t xml:space="preserve"> </w:t>
      </w:r>
      <w:r w:rsidRPr="00A166D5">
        <w:rPr>
          <w:rFonts w:cs="Times New Roman"/>
          <w:szCs w:val="24"/>
        </w:rPr>
        <w:t>(</w:t>
      </w:r>
      <w:proofErr w:type="spellStart"/>
      <w:r w:rsidRPr="00A166D5">
        <w:rPr>
          <w:rFonts w:cs="Times New Roman"/>
          <w:szCs w:val="24"/>
        </w:rPr>
        <w:t>Dujak</w:t>
      </w:r>
      <w:proofErr w:type="spellEnd"/>
      <w:r w:rsidRPr="00A166D5">
        <w:rPr>
          <w:rFonts w:cs="Times New Roman"/>
          <w:szCs w:val="24"/>
        </w:rPr>
        <w:t xml:space="preserve">, </w:t>
      </w:r>
      <w:proofErr w:type="spellStart"/>
      <w:r w:rsidRPr="00A166D5">
        <w:rPr>
          <w:rFonts w:cs="Times New Roman"/>
          <w:szCs w:val="24"/>
        </w:rPr>
        <w:t>Jeger</w:t>
      </w:r>
      <w:proofErr w:type="spellEnd"/>
      <w:r w:rsidRPr="00A166D5">
        <w:rPr>
          <w:rFonts w:cs="Times New Roman"/>
          <w:szCs w:val="24"/>
        </w:rPr>
        <w:t>, &amp;</w:t>
      </w:r>
      <w:proofErr w:type="spellStart"/>
      <w:r w:rsidRPr="00A166D5">
        <w:rPr>
          <w:rFonts w:cs="Times New Roman"/>
          <w:szCs w:val="24"/>
        </w:rPr>
        <w:t>Bilandžić</w:t>
      </w:r>
      <w:proofErr w:type="spellEnd"/>
      <w:r w:rsidRPr="00A166D5">
        <w:rPr>
          <w:rFonts w:cs="Times New Roman"/>
          <w:szCs w:val="24"/>
        </w:rPr>
        <w:t>, 2016, p.296)</w:t>
      </w:r>
      <w:r w:rsidRPr="003010FB">
        <w:rPr>
          <w:rFonts w:cs="Times New Roman"/>
          <w:szCs w:val="24"/>
        </w:rPr>
        <w:t>.</w:t>
      </w:r>
    </w:p>
    <w:p w:rsidR="00BD4578" w:rsidRPr="003010FB" w:rsidRDefault="00BD4578" w:rsidP="00BD4578">
      <w:pPr>
        <w:rPr>
          <w:rFonts w:cs="Times New Roman"/>
          <w:szCs w:val="24"/>
        </w:rPr>
      </w:pPr>
      <w:r w:rsidRPr="003010FB">
        <w:rPr>
          <w:rFonts w:cs="Times New Roman"/>
          <w:szCs w:val="24"/>
        </w:rPr>
        <w:lastRenderedPageBreak/>
        <w:t xml:space="preserve">The basic defence ratio was </w:t>
      </w:r>
      <w:r>
        <w:rPr>
          <w:rFonts w:cs="Times New Roman"/>
          <w:szCs w:val="24"/>
        </w:rPr>
        <w:t>0</w:t>
      </w:r>
      <w:r w:rsidRPr="003010FB">
        <w:rPr>
          <w:rFonts w:cs="Times New Roman"/>
          <w:szCs w:val="24"/>
        </w:rPr>
        <w:t xml:space="preserve">.0615 in FY 2017, which increased to </w:t>
      </w:r>
      <w:r>
        <w:rPr>
          <w:rFonts w:cs="Times New Roman"/>
          <w:szCs w:val="24"/>
        </w:rPr>
        <w:t>0</w:t>
      </w:r>
      <w:r w:rsidRPr="003010FB">
        <w:rPr>
          <w:rFonts w:cs="Times New Roman"/>
          <w:szCs w:val="24"/>
        </w:rPr>
        <w:t xml:space="preserve">.0935 in 2018. This was because of an increase in current assets. These ratios indicate that the company would not sustain even one day without relying on income from other sources. A negative ratio would mean that the company would not sustain even one day without relying on income from other sources. </w:t>
      </w:r>
    </w:p>
    <w:p w:rsidR="00BD4578" w:rsidRPr="003010FB" w:rsidRDefault="00BD4578" w:rsidP="00BD4578">
      <w:pPr>
        <w:pStyle w:val="Heading2"/>
        <w:rPr>
          <w:rFonts w:cs="Times New Roman"/>
          <w:szCs w:val="24"/>
        </w:rPr>
      </w:pPr>
      <w:bookmarkStart w:id="14" w:name="_Toc532804907"/>
      <w:r w:rsidRPr="003010FB">
        <w:rPr>
          <w:rFonts w:cs="Times New Roman"/>
          <w:szCs w:val="24"/>
        </w:rPr>
        <w:t>Gearing Ratios:</w:t>
      </w:r>
      <w:bookmarkEnd w:id="14"/>
    </w:p>
    <w:p w:rsidR="00BD4578" w:rsidRPr="003010FB" w:rsidRDefault="00BD4578" w:rsidP="00BD4578">
      <w:pPr>
        <w:rPr>
          <w:rFonts w:cs="Times New Roman"/>
          <w:szCs w:val="24"/>
        </w:rPr>
      </w:pPr>
      <w:r w:rsidRPr="003010FB">
        <w:rPr>
          <w:rFonts w:cs="Times New Roman"/>
          <w:szCs w:val="24"/>
        </w:rPr>
        <w:t>The financial leverage of the company is calculated by gearing ratios. The firm must strive to keep a balance capital structure, debt and equity, to maintain these ratios (Watson, Shrives and Marston 2002). Some of the relevant gearing ratios are calculated below,</w:t>
      </w:r>
    </w:p>
    <w:tbl>
      <w:tblPr>
        <w:tblW w:w="5000" w:type="pct"/>
        <w:tblLook w:val="04A0" w:firstRow="1" w:lastRow="0" w:firstColumn="1" w:lastColumn="0" w:noHBand="0" w:noVBand="1"/>
      </w:tblPr>
      <w:tblGrid>
        <w:gridCol w:w="4149"/>
        <w:gridCol w:w="2486"/>
        <w:gridCol w:w="2705"/>
      </w:tblGrid>
      <w:tr w:rsidR="00BD4578" w:rsidRPr="00A546F4" w:rsidTr="00A9582C">
        <w:trPr>
          <w:trHeight w:val="60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b/>
                <w:bCs/>
                <w:color w:val="000000"/>
                <w:szCs w:val="24"/>
                <w:lang w:eastAsia="en-GB"/>
              </w:rPr>
            </w:pPr>
            <w:r w:rsidRPr="00A546F4">
              <w:rPr>
                <w:rFonts w:eastAsia="Times New Roman" w:cs="Times New Roman"/>
                <w:b/>
                <w:bCs/>
                <w:color w:val="000000"/>
                <w:szCs w:val="24"/>
                <w:lang w:eastAsia="en-GB"/>
              </w:rPr>
              <w:t>Ratios</w:t>
            </w:r>
          </w:p>
        </w:tc>
      </w:tr>
      <w:tr w:rsidR="00BD4578" w:rsidRPr="00A546F4" w:rsidTr="00A9582C">
        <w:trPr>
          <w:trHeight w:val="600"/>
        </w:trPr>
        <w:tc>
          <w:tcPr>
            <w:tcW w:w="2221"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rPr>
                <w:rFonts w:eastAsia="Times New Roman" w:cs="Times New Roman"/>
                <w:b/>
                <w:bCs/>
                <w:color w:val="000000"/>
                <w:szCs w:val="24"/>
                <w:lang w:eastAsia="en-GB"/>
              </w:rPr>
            </w:pPr>
            <w:r w:rsidRPr="00A546F4">
              <w:rPr>
                <w:rFonts w:eastAsia="Times New Roman" w:cs="Times New Roman"/>
                <w:b/>
                <w:bCs/>
                <w:color w:val="000000"/>
                <w:szCs w:val="24"/>
                <w:lang w:eastAsia="en-GB"/>
              </w:rPr>
              <w:t>Gearing Ratios</w:t>
            </w:r>
          </w:p>
        </w:tc>
        <w:tc>
          <w:tcPr>
            <w:tcW w:w="1331" w:type="pct"/>
            <w:tcBorders>
              <w:top w:val="nil"/>
              <w:left w:val="nil"/>
              <w:bottom w:val="single" w:sz="8" w:space="0" w:color="auto"/>
              <w:right w:val="single" w:sz="8" w:space="0" w:color="auto"/>
            </w:tcBorders>
            <w:shd w:val="clear" w:color="auto" w:fill="auto"/>
            <w:noWrap/>
            <w:vAlign w:val="bottom"/>
            <w:hideMark/>
          </w:tcPr>
          <w:p w:rsidR="00BD4578" w:rsidRPr="004F7B63" w:rsidRDefault="00BD4578" w:rsidP="00A9582C">
            <w:pPr>
              <w:spacing w:before="0" w:after="0"/>
              <w:ind w:firstLine="0"/>
              <w:jc w:val="right"/>
              <w:rPr>
                <w:rFonts w:eastAsia="Times New Roman" w:cs="Times New Roman"/>
                <w:b/>
                <w:color w:val="000000"/>
                <w:szCs w:val="24"/>
                <w:lang w:eastAsia="en-GB"/>
              </w:rPr>
            </w:pPr>
            <w:r w:rsidRPr="00A546F4">
              <w:rPr>
                <w:rFonts w:eastAsia="Times New Roman" w:cs="Times New Roman"/>
                <w:color w:val="000000"/>
                <w:szCs w:val="24"/>
                <w:lang w:eastAsia="en-GB"/>
              </w:rPr>
              <w:t> </w:t>
            </w:r>
            <w:r>
              <w:rPr>
                <w:rFonts w:eastAsia="Times New Roman" w:cs="Times New Roman"/>
                <w:b/>
                <w:color w:val="000000"/>
                <w:szCs w:val="24"/>
                <w:lang w:eastAsia="en-GB"/>
              </w:rPr>
              <w:t>2017</w:t>
            </w:r>
          </w:p>
        </w:tc>
        <w:tc>
          <w:tcPr>
            <w:tcW w:w="1448"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Pr>
                <w:rFonts w:eastAsia="Times New Roman" w:cs="Times New Roman"/>
                <w:b/>
                <w:color w:val="000000"/>
                <w:szCs w:val="24"/>
                <w:lang w:eastAsia="en-GB"/>
              </w:rPr>
              <w:t>2018</w:t>
            </w:r>
            <w:r w:rsidRPr="00A546F4">
              <w:rPr>
                <w:rFonts w:eastAsia="Times New Roman" w:cs="Times New Roman"/>
                <w:color w:val="000000"/>
                <w:szCs w:val="24"/>
                <w:lang w:eastAsia="en-GB"/>
              </w:rPr>
              <w:t> </w:t>
            </w:r>
          </w:p>
        </w:tc>
      </w:tr>
      <w:tr w:rsidR="00BD4578" w:rsidRPr="00A546F4" w:rsidTr="00A9582C">
        <w:trPr>
          <w:trHeight w:val="600"/>
        </w:trPr>
        <w:tc>
          <w:tcPr>
            <w:tcW w:w="2221"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Debt to Equity Ratio</w:t>
            </w:r>
          </w:p>
        </w:tc>
        <w:tc>
          <w:tcPr>
            <w:tcW w:w="1331"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0.66780068</w:t>
            </w:r>
          </w:p>
        </w:tc>
        <w:tc>
          <w:tcPr>
            <w:tcW w:w="1448"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0.635933273</w:t>
            </w:r>
          </w:p>
        </w:tc>
      </w:tr>
      <w:tr w:rsidR="00BD4578" w:rsidRPr="00A546F4" w:rsidTr="00A9582C">
        <w:trPr>
          <w:trHeight w:val="600"/>
        </w:trPr>
        <w:tc>
          <w:tcPr>
            <w:tcW w:w="2221"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Debt to Capital Ratio</w:t>
            </w:r>
          </w:p>
        </w:tc>
        <w:tc>
          <w:tcPr>
            <w:tcW w:w="1331"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0.11620092</w:t>
            </w:r>
          </w:p>
        </w:tc>
        <w:tc>
          <w:tcPr>
            <w:tcW w:w="1448"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0.120190401</w:t>
            </w:r>
          </w:p>
        </w:tc>
      </w:tr>
    </w:tbl>
    <w:p w:rsidR="00BD4578" w:rsidRPr="003010FB" w:rsidRDefault="00BD4578" w:rsidP="00BD4578">
      <w:pPr>
        <w:rPr>
          <w:rFonts w:cs="Times New Roman"/>
          <w:szCs w:val="24"/>
        </w:rPr>
      </w:pPr>
    </w:p>
    <w:p w:rsidR="00BD4578" w:rsidRPr="003010FB" w:rsidRDefault="00BD4578" w:rsidP="00BD4578">
      <w:pPr>
        <w:pStyle w:val="Heading3"/>
        <w:rPr>
          <w:rFonts w:cs="Times New Roman"/>
        </w:rPr>
      </w:pPr>
      <w:bookmarkStart w:id="15" w:name="_Toc532804908"/>
      <w:r w:rsidRPr="003010FB">
        <w:rPr>
          <w:rFonts w:cs="Times New Roman"/>
        </w:rPr>
        <w:t>Debt to Equity Ratio</w:t>
      </w:r>
      <w:bookmarkEnd w:id="15"/>
    </w:p>
    <w:p w:rsidR="00BD4578" w:rsidRPr="00FD09BE" w:rsidRDefault="00BD4578" w:rsidP="00BD4578">
      <w:pPr>
        <w:rPr>
          <w:rFonts w:cs="Times New Roman"/>
          <w:szCs w:val="24"/>
        </w:rPr>
      </w:pPr>
      <w:r w:rsidRPr="003010FB">
        <w:rPr>
          <w:rFonts w:cs="Times New Roman"/>
          <w:szCs w:val="24"/>
        </w:rPr>
        <w:t xml:space="preserve">This ratio measures the financial leverage of the company. This ratio is calculated by dividing the interest bearing short-term and long-term liabilities with the </w:t>
      </w:r>
      <w:r w:rsidRPr="003010FB">
        <w:rPr>
          <w:rFonts w:cs="Times New Roman"/>
          <w:noProof/>
          <w:szCs w:val="24"/>
        </w:rPr>
        <w:t>shareholder's</w:t>
      </w:r>
      <w:r w:rsidRPr="003010FB">
        <w:rPr>
          <w:rFonts w:cs="Times New Roman"/>
          <w:szCs w:val="24"/>
        </w:rPr>
        <w:t xml:space="preserve"> equity. Since the </w:t>
      </w:r>
      <w:r w:rsidRPr="003010FB">
        <w:rPr>
          <w:rFonts w:cs="Times New Roman"/>
          <w:noProof/>
          <w:szCs w:val="24"/>
        </w:rPr>
        <w:t>interest</w:t>
      </w:r>
      <w:r w:rsidRPr="003010FB">
        <w:rPr>
          <w:rFonts w:cs="Times New Roman"/>
          <w:szCs w:val="24"/>
        </w:rPr>
        <w:t xml:space="preserve"> tax shield is an essence of interest, bearing debt it increases the returns on equity but at the same time increases the financial risk of the company and the chances of </w:t>
      </w:r>
      <w:r w:rsidRPr="00FD09BE">
        <w:rPr>
          <w:rFonts w:cs="Times New Roman"/>
          <w:szCs w:val="24"/>
        </w:rPr>
        <w:t xml:space="preserve">insolvency (Campbell, </w:t>
      </w:r>
      <w:proofErr w:type="spellStart"/>
      <w:r w:rsidRPr="00FD09BE">
        <w:rPr>
          <w:rFonts w:cs="Times New Roman"/>
          <w:szCs w:val="24"/>
        </w:rPr>
        <w:t>Galpin</w:t>
      </w:r>
      <w:proofErr w:type="spellEnd"/>
      <w:r w:rsidRPr="00FD09BE">
        <w:rPr>
          <w:rFonts w:cs="Times New Roman"/>
          <w:szCs w:val="24"/>
        </w:rPr>
        <w:t>, &amp; Johnson, 2016, p.338).</w:t>
      </w:r>
    </w:p>
    <w:p w:rsidR="00BD4578" w:rsidRPr="003010FB" w:rsidRDefault="00BD4578" w:rsidP="00BD4578">
      <w:pPr>
        <w:rPr>
          <w:rFonts w:cs="Times New Roman"/>
          <w:szCs w:val="24"/>
        </w:rPr>
      </w:pPr>
      <w:r w:rsidRPr="003010FB">
        <w:rPr>
          <w:rFonts w:cs="Times New Roman"/>
          <w:szCs w:val="24"/>
        </w:rPr>
        <w:lastRenderedPageBreak/>
        <w:t xml:space="preserve">The debt to equity ratio for FY 2017 was </w:t>
      </w:r>
      <w:r>
        <w:rPr>
          <w:rFonts w:cs="Times New Roman"/>
          <w:szCs w:val="24"/>
        </w:rPr>
        <w:t>0</w:t>
      </w:r>
      <w:r w:rsidRPr="003010FB">
        <w:rPr>
          <w:rFonts w:cs="Times New Roman"/>
          <w:szCs w:val="24"/>
        </w:rPr>
        <w:t xml:space="preserve">.667, which decreased to </w:t>
      </w:r>
      <w:r>
        <w:rPr>
          <w:rFonts w:cs="Times New Roman"/>
          <w:szCs w:val="24"/>
        </w:rPr>
        <w:t>0</w:t>
      </w:r>
      <w:r w:rsidRPr="003010FB">
        <w:rPr>
          <w:rFonts w:cs="Times New Roman"/>
          <w:szCs w:val="24"/>
        </w:rPr>
        <w:t>.635 by FY 2018. This was because of a proportional decrease in long-term interest bearing borrowings as well as an increase in equity (Annual Report 2017-2018).</w:t>
      </w:r>
    </w:p>
    <w:p w:rsidR="00BD4578" w:rsidRPr="003010FB" w:rsidRDefault="00BD4578" w:rsidP="00BD4578">
      <w:pPr>
        <w:pStyle w:val="Heading3"/>
        <w:rPr>
          <w:rFonts w:cs="Times New Roman"/>
        </w:rPr>
      </w:pPr>
      <w:bookmarkStart w:id="16" w:name="_Toc532804909"/>
      <w:r w:rsidRPr="003010FB">
        <w:rPr>
          <w:rFonts w:cs="Times New Roman"/>
        </w:rPr>
        <w:t>Debt to Capital Ratio</w:t>
      </w:r>
      <w:bookmarkEnd w:id="16"/>
    </w:p>
    <w:p w:rsidR="00BD4578" w:rsidRPr="003010FB" w:rsidRDefault="00BD4578" w:rsidP="00BD4578">
      <w:pPr>
        <w:rPr>
          <w:rFonts w:cs="Times New Roman"/>
          <w:szCs w:val="24"/>
        </w:rPr>
      </w:pPr>
      <w:r w:rsidRPr="003010FB">
        <w:rPr>
          <w:rFonts w:cs="Times New Roman"/>
          <w:szCs w:val="24"/>
        </w:rPr>
        <w:t>Another metric for calculating the financial leverage of the company is the debt to capital ratio. This ratio is calculated by dividing the long-term and short-term interest bearing liabilities with the sum of long-term and short-term interest bearing liabilities and stockholders’ equity</w:t>
      </w:r>
      <w:r>
        <w:rPr>
          <w:rFonts w:cs="Times New Roman"/>
          <w:szCs w:val="24"/>
        </w:rPr>
        <w:t xml:space="preserve"> </w:t>
      </w:r>
      <w:r w:rsidRPr="00FD09BE">
        <w:rPr>
          <w:rFonts w:cs="Times New Roman"/>
          <w:szCs w:val="24"/>
        </w:rPr>
        <w:t xml:space="preserve">(Campbell, </w:t>
      </w:r>
      <w:proofErr w:type="spellStart"/>
      <w:r w:rsidRPr="00FD09BE">
        <w:rPr>
          <w:rFonts w:cs="Times New Roman"/>
          <w:szCs w:val="24"/>
        </w:rPr>
        <w:t>Galpin</w:t>
      </w:r>
      <w:proofErr w:type="spellEnd"/>
      <w:r w:rsidRPr="00FD09BE">
        <w:rPr>
          <w:rFonts w:cs="Times New Roman"/>
          <w:szCs w:val="24"/>
        </w:rPr>
        <w:t>, &amp; Johnson, 2016, p.338)</w:t>
      </w:r>
      <w:r w:rsidRPr="003010FB">
        <w:rPr>
          <w:rFonts w:cs="Times New Roman"/>
          <w:szCs w:val="24"/>
        </w:rPr>
        <w:t>.</w:t>
      </w:r>
    </w:p>
    <w:p w:rsidR="00BD4578" w:rsidRPr="003010FB" w:rsidRDefault="00BD4578" w:rsidP="00BD4578">
      <w:pPr>
        <w:rPr>
          <w:rFonts w:cs="Times New Roman"/>
          <w:szCs w:val="24"/>
        </w:rPr>
      </w:pPr>
      <w:r w:rsidRPr="003010FB">
        <w:rPr>
          <w:rFonts w:cs="Times New Roman"/>
          <w:szCs w:val="24"/>
        </w:rPr>
        <w:t xml:space="preserve">The debt to capital ratio for FY 2017 was </w:t>
      </w:r>
      <w:r>
        <w:rPr>
          <w:rFonts w:cs="Times New Roman"/>
          <w:szCs w:val="24"/>
        </w:rPr>
        <w:t>0</w:t>
      </w:r>
      <w:r w:rsidRPr="003010FB">
        <w:rPr>
          <w:rFonts w:cs="Times New Roman"/>
          <w:szCs w:val="24"/>
        </w:rPr>
        <w:t xml:space="preserve">.116, which decreased to </w:t>
      </w:r>
      <w:r>
        <w:rPr>
          <w:rFonts w:cs="Times New Roman"/>
          <w:szCs w:val="24"/>
        </w:rPr>
        <w:t>0</w:t>
      </w:r>
      <w:r w:rsidRPr="003010FB">
        <w:rPr>
          <w:rFonts w:cs="Times New Roman"/>
          <w:szCs w:val="24"/>
        </w:rPr>
        <w:t>.12 by FY 2018. This was because of a proportional decrease in long-term interest bearing borrowings as well as an increase in equity.</w:t>
      </w:r>
    </w:p>
    <w:p w:rsidR="00BD4578" w:rsidRPr="003010FB" w:rsidRDefault="00BD4578" w:rsidP="00BD4578">
      <w:pPr>
        <w:pStyle w:val="Heading2"/>
        <w:rPr>
          <w:rFonts w:cs="Times New Roman"/>
          <w:szCs w:val="24"/>
        </w:rPr>
      </w:pPr>
      <w:bookmarkStart w:id="17" w:name="_Toc532804910"/>
      <w:r w:rsidRPr="003010FB">
        <w:rPr>
          <w:rFonts w:cs="Times New Roman"/>
          <w:szCs w:val="24"/>
        </w:rPr>
        <w:t>Efficiency Ratios:</w:t>
      </w:r>
      <w:bookmarkEnd w:id="17"/>
    </w:p>
    <w:p w:rsidR="00BD4578" w:rsidRPr="003010FB" w:rsidRDefault="00BD4578" w:rsidP="00BD4578">
      <w:pPr>
        <w:rPr>
          <w:rFonts w:cs="Times New Roman"/>
          <w:szCs w:val="24"/>
        </w:rPr>
      </w:pPr>
      <w:r w:rsidRPr="003010FB">
        <w:rPr>
          <w:rFonts w:cs="Times New Roman"/>
          <w:szCs w:val="24"/>
        </w:rPr>
        <w:t xml:space="preserve">The efficiency ratios </w:t>
      </w:r>
      <w:proofErr w:type="gramStart"/>
      <w:r w:rsidRPr="003010FB">
        <w:rPr>
          <w:rFonts w:cs="Times New Roman"/>
          <w:szCs w:val="24"/>
        </w:rPr>
        <w:t>measures</w:t>
      </w:r>
      <w:proofErr w:type="gramEnd"/>
      <w:r w:rsidRPr="003010FB">
        <w:rPr>
          <w:rFonts w:cs="Times New Roman"/>
          <w:szCs w:val="24"/>
        </w:rPr>
        <w:t xml:space="preserve"> how well the company utilises its assets to generate revenues and maximize profit. These ratios are useful for </w:t>
      </w:r>
      <w:r w:rsidRPr="003010FB">
        <w:rPr>
          <w:rFonts w:cs="Times New Roman"/>
          <w:noProof/>
          <w:szCs w:val="24"/>
        </w:rPr>
        <w:t>investors</w:t>
      </w:r>
      <w:r w:rsidRPr="003010FB">
        <w:rPr>
          <w:rFonts w:cs="Times New Roman"/>
          <w:szCs w:val="24"/>
        </w:rPr>
        <w:t xml:space="preserve"> as well when they need to make investment decisions (</w:t>
      </w:r>
      <w:proofErr w:type="spellStart"/>
      <w:r w:rsidRPr="003010FB">
        <w:rPr>
          <w:rFonts w:cs="Times New Roman"/>
          <w:szCs w:val="24"/>
        </w:rPr>
        <w:t>Halkos</w:t>
      </w:r>
      <w:proofErr w:type="spellEnd"/>
      <w:r w:rsidRPr="003010FB">
        <w:rPr>
          <w:rFonts w:cs="Times New Roman"/>
          <w:szCs w:val="24"/>
        </w:rPr>
        <w:t xml:space="preserve"> and </w:t>
      </w:r>
      <w:proofErr w:type="spellStart"/>
      <w:r w:rsidRPr="003010FB">
        <w:rPr>
          <w:rFonts w:cs="Times New Roman"/>
          <w:szCs w:val="24"/>
        </w:rPr>
        <w:t>Salamouris</w:t>
      </w:r>
      <w:proofErr w:type="spellEnd"/>
      <w:r w:rsidRPr="003010FB">
        <w:rPr>
          <w:rFonts w:cs="Times New Roman"/>
          <w:szCs w:val="24"/>
        </w:rPr>
        <w:t xml:space="preserve"> 2004). The management also uses these ratios to set the </w:t>
      </w:r>
      <w:r w:rsidRPr="003010FB">
        <w:rPr>
          <w:rFonts w:cs="Times New Roman"/>
          <w:noProof/>
          <w:szCs w:val="24"/>
        </w:rPr>
        <w:t>benchmark</w:t>
      </w:r>
      <w:r w:rsidRPr="003010FB">
        <w:rPr>
          <w:rFonts w:cs="Times New Roman"/>
          <w:szCs w:val="24"/>
        </w:rPr>
        <w:t xml:space="preserve"> for the company to improve efficiency and ultimately maximise profits. Moreover, if the efficiency ratios are showing a good performance then the profitability ratios will also be increasing. Some of the relevant ratios are calculated below,</w:t>
      </w:r>
    </w:p>
    <w:tbl>
      <w:tblPr>
        <w:tblW w:w="5000" w:type="pct"/>
        <w:tblLook w:val="04A0" w:firstRow="1" w:lastRow="0" w:firstColumn="1" w:lastColumn="0" w:noHBand="0" w:noVBand="1"/>
      </w:tblPr>
      <w:tblGrid>
        <w:gridCol w:w="4192"/>
        <w:gridCol w:w="2574"/>
        <w:gridCol w:w="2574"/>
      </w:tblGrid>
      <w:tr w:rsidR="00BD4578" w:rsidRPr="00A546F4" w:rsidTr="00A9582C">
        <w:trPr>
          <w:trHeight w:val="60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b/>
                <w:bCs/>
                <w:color w:val="000000"/>
                <w:szCs w:val="24"/>
                <w:lang w:eastAsia="en-GB"/>
              </w:rPr>
            </w:pPr>
            <w:r w:rsidRPr="00A546F4">
              <w:rPr>
                <w:rFonts w:eastAsia="Times New Roman" w:cs="Times New Roman"/>
                <w:b/>
                <w:bCs/>
                <w:color w:val="000000"/>
                <w:szCs w:val="24"/>
                <w:lang w:eastAsia="en-GB"/>
              </w:rPr>
              <w:t>Ratios</w:t>
            </w:r>
          </w:p>
        </w:tc>
      </w:tr>
      <w:tr w:rsidR="00BD4578" w:rsidRPr="00A546F4" w:rsidTr="00A9582C">
        <w:trPr>
          <w:trHeight w:val="600"/>
        </w:trPr>
        <w:tc>
          <w:tcPr>
            <w:tcW w:w="2244"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rPr>
                <w:rFonts w:eastAsia="Times New Roman" w:cs="Times New Roman"/>
                <w:b/>
                <w:bCs/>
                <w:color w:val="000000"/>
                <w:szCs w:val="24"/>
                <w:lang w:eastAsia="en-GB"/>
              </w:rPr>
            </w:pPr>
            <w:r w:rsidRPr="00A546F4">
              <w:rPr>
                <w:rFonts w:eastAsia="Times New Roman" w:cs="Times New Roman"/>
                <w:b/>
                <w:bCs/>
                <w:color w:val="000000"/>
                <w:szCs w:val="24"/>
                <w:lang w:eastAsia="en-GB"/>
              </w:rPr>
              <w:t>Efficiency Ratios</w:t>
            </w:r>
          </w:p>
        </w:tc>
        <w:tc>
          <w:tcPr>
            <w:tcW w:w="1378" w:type="pct"/>
            <w:tcBorders>
              <w:top w:val="nil"/>
              <w:left w:val="nil"/>
              <w:bottom w:val="single" w:sz="8" w:space="0" w:color="auto"/>
              <w:right w:val="single" w:sz="8" w:space="0" w:color="auto"/>
            </w:tcBorders>
            <w:shd w:val="clear" w:color="auto" w:fill="auto"/>
            <w:noWrap/>
            <w:vAlign w:val="bottom"/>
            <w:hideMark/>
          </w:tcPr>
          <w:p w:rsidR="00BD4578" w:rsidRPr="004F7B63" w:rsidRDefault="00BD4578" w:rsidP="00A9582C">
            <w:pPr>
              <w:spacing w:before="0" w:after="0"/>
              <w:ind w:firstLine="0"/>
              <w:jc w:val="right"/>
              <w:rPr>
                <w:rFonts w:eastAsia="Times New Roman" w:cs="Times New Roman"/>
                <w:b/>
                <w:color w:val="000000"/>
                <w:szCs w:val="24"/>
                <w:lang w:eastAsia="en-GB"/>
              </w:rPr>
            </w:pPr>
            <w:r w:rsidRPr="00A546F4">
              <w:rPr>
                <w:rFonts w:eastAsia="Times New Roman" w:cs="Times New Roman"/>
                <w:color w:val="000000"/>
                <w:szCs w:val="24"/>
                <w:lang w:eastAsia="en-GB"/>
              </w:rPr>
              <w:t> </w:t>
            </w:r>
            <w:r>
              <w:rPr>
                <w:rFonts w:eastAsia="Times New Roman" w:cs="Times New Roman"/>
                <w:b/>
                <w:color w:val="000000"/>
                <w:szCs w:val="24"/>
                <w:lang w:eastAsia="en-GB"/>
              </w:rPr>
              <w:t>2017</w:t>
            </w:r>
          </w:p>
        </w:tc>
        <w:tc>
          <w:tcPr>
            <w:tcW w:w="1378"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Pr>
                <w:rFonts w:eastAsia="Times New Roman" w:cs="Times New Roman"/>
                <w:b/>
                <w:color w:val="000000"/>
                <w:szCs w:val="24"/>
                <w:lang w:eastAsia="en-GB"/>
              </w:rPr>
              <w:t>2018</w:t>
            </w:r>
            <w:r w:rsidRPr="00A546F4">
              <w:rPr>
                <w:rFonts w:eastAsia="Times New Roman" w:cs="Times New Roman"/>
                <w:color w:val="000000"/>
                <w:szCs w:val="24"/>
                <w:lang w:eastAsia="en-GB"/>
              </w:rPr>
              <w:t> </w:t>
            </w:r>
          </w:p>
        </w:tc>
      </w:tr>
      <w:tr w:rsidR="00BD4578" w:rsidRPr="00A546F4" w:rsidTr="00A9582C">
        <w:trPr>
          <w:trHeight w:val="600"/>
        </w:trPr>
        <w:tc>
          <w:tcPr>
            <w:tcW w:w="2244" w:type="pct"/>
            <w:tcBorders>
              <w:top w:val="nil"/>
              <w:left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Working Capital Ratio</w:t>
            </w:r>
          </w:p>
        </w:tc>
        <w:tc>
          <w:tcPr>
            <w:tcW w:w="1378" w:type="pct"/>
            <w:tcBorders>
              <w:top w:val="nil"/>
              <w:left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0.721230159</w:t>
            </w:r>
          </w:p>
        </w:tc>
        <w:tc>
          <w:tcPr>
            <w:tcW w:w="1378" w:type="pct"/>
            <w:tcBorders>
              <w:top w:val="nil"/>
              <w:left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0.865994236</w:t>
            </w:r>
          </w:p>
        </w:tc>
      </w:tr>
      <w:tr w:rsidR="00BD4578" w:rsidRPr="00A546F4" w:rsidTr="00A9582C">
        <w:trPr>
          <w:trHeight w:val="600"/>
        </w:trPr>
        <w:tc>
          <w:tcPr>
            <w:tcW w:w="2244" w:type="pct"/>
            <w:tcBorders>
              <w:top w:val="nil"/>
              <w:left w:val="single" w:sz="8" w:space="0" w:color="auto"/>
              <w:bottom w:val="single" w:sz="4"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lastRenderedPageBreak/>
              <w:t>Asset Turnover Ratio</w:t>
            </w:r>
          </w:p>
        </w:tc>
        <w:tc>
          <w:tcPr>
            <w:tcW w:w="1378" w:type="pct"/>
            <w:tcBorders>
              <w:top w:val="nil"/>
              <w:left w:val="nil"/>
              <w:bottom w:val="single" w:sz="4"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1.254056828</w:t>
            </w:r>
          </w:p>
        </w:tc>
        <w:tc>
          <w:tcPr>
            <w:tcW w:w="1378" w:type="pct"/>
            <w:tcBorders>
              <w:top w:val="nil"/>
              <w:left w:val="nil"/>
              <w:bottom w:val="single" w:sz="4"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1.304855365</w:t>
            </w:r>
          </w:p>
        </w:tc>
      </w:tr>
    </w:tbl>
    <w:p w:rsidR="00BD4578" w:rsidRPr="003010FB" w:rsidRDefault="00BD4578" w:rsidP="00BD4578">
      <w:pPr>
        <w:ind w:firstLine="0"/>
        <w:rPr>
          <w:rFonts w:cs="Times New Roman"/>
          <w:szCs w:val="24"/>
        </w:rPr>
      </w:pPr>
    </w:p>
    <w:p w:rsidR="00BD4578" w:rsidRPr="003010FB" w:rsidRDefault="00BD4578" w:rsidP="00BD4578">
      <w:pPr>
        <w:pStyle w:val="Heading3"/>
        <w:rPr>
          <w:rFonts w:cs="Times New Roman"/>
        </w:rPr>
      </w:pPr>
      <w:bookmarkStart w:id="18" w:name="_Toc532804911"/>
      <w:r w:rsidRPr="003010FB">
        <w:rPr>
          <w:rFonts w:cs="Times New Roman"/>
        </w:rPr>
        <w:t>Working Capital Ratio</w:t>
      </w:r>
      <w:bookmarkEnd w:id="18"/>
    </w:p>
    <w:p w:rsidR="00BD4578" w:rsidRPr="003010FB" w:rsidRDefault="00BD4578" w:rsidP="00BD4578">
      <w:pPr>
        <w:rPr>
          <w:rFonts w:cs="Times New Roman"/>
          <w:szCs w:val="24"/>
        </w:rPr>
      </w:pPr>
      <w:r w:rsidRPr="003010FB">
        <w:rPr>
          <w:rFonts w:cs="Times New Roman"/>
          <w:szCs w:val="24"/>
        </w:rPr>
        <w:t xml:space="preserve">This ratio measures the efficiency of the firm to pay off its short-term liabilities. The ratio is calculated by dividing current liabilities with current assets. </w:t>
      </w:r>
    </w:p>
    <w:p w:rsidR="00BD4578" w:rsidRPr="003010FB" w:rsidRDefault="00BD4578" w:rsidP="00BD4578">
      <w:pPr>
        <w:rPr>
          <w:rFonts w:cs="Times New Roman"/>
          <w:szCs w:val="24"/>
        </w:rPr>
      </w:pPr>
      <w:r w:rsidRPr="003010FB">
        <w:rPr>
          <w:rFonts w:cs="Times New Roman"/>
          <w:szCs w:val="24"/>
        </w:rPr>
        <w:t xml:space="preserve">This ratio was </w:t>
      </w:r>
      <w:r>
        <w:rPr>
          <w:rFonts w:cs="Times New Roman"/>
          <w:szCs w:val="24"/>
        </w:rPr>
        <w:t>0</w:t>
      </w:r>
      <w:r w:rsidRPr="003010FB">
        <w:rPr>
          <w:rFonts w:cs="Times New Roman"/>
          <w:szCs w:val="24"/>
        </w:rPr>
        <w:t xml:space="preserve">.72 in FY 2017 and increased to </w:t>
      </w:r>
      <w:r>
        <w:rPr>
          <w:rFonts w:cs="Times New Roman"/>
          <w:szCs w:val="24"/>
        </w:rPr>
        <w:t>0</w:t>
      </w:r>
      <w:r w:rsidRPr="003010FB">
        <w:rPr>
          <w:rFonts w:cs="Times New Roman"/>
          <w:szCs w:val="24"/>
        </w:rPr>
        <w:t>.86 in FY 2018. This was because of an increase in current assets. Although this is a good indication, this ratio should at least be one or more so that the firm is able to pay its short-term liabilities such as interest payments.</w:t>
      </w:r>
    </w:p>
    <w:p w:rsidR="00BD4578" w:rsidRPr="003010FB" w:rsidRDefault="00BD4578" w:rsidP="00BD4578">
      <w:pPr>
        <w:pStyle w:val="Heading3"/>
        <w:rPr>
          <w:rFonts w:cs="Times New Roman"/>
        </w:rPr>
      </w:pPr>
      <w:bookmarkStart w:id="19" w:name="_Toc532804912"/>
      <w:r w:rsidRPr="003010FB">
        <w:rPr>
          <w:rFonts w:cs="Times New Roman"/>
        </w:rPr>
        <w:t>Asset Turnover Ratio</w:t>
      </w:r>
      <w:bookmarkEnd w:id="19"/>
    </w:p>
    <w:p w:rsidR="00BD4578" w:rsidRPr="003010FB" w:rsidRDefault="00BD4578" w:rsidP="00BD4578">
      <w:pPr>
        <w:rPr>
          <w:rFonts w:cs="Times New Roman"/>
          <w:szCs w:val="24"/>
        </w:rPr>
      </w:pPr>
      <w:r w:rsidRPr="003010FB">
        <w:rPr>
          <w:rFonts w:cs="Times New Roman"/>
          <w:szCs w:val="24"/>
        </w:rPr>
        <w:t>This ratio also measures the efficiency of the company. The asset turnover ratio is an indication of how well the company is using its assets to generate profits. The more efficient the operations will be the higher the ratio. This ratio is calculated by dividing net sales with average assets</w:t>
      </w:r>
      <w:r>
        <w:rPr>
          <w:rFonts w:cs="Times New Roman"/>
          <w:szCs w:val="24"/>
        </w:rPr>
        <w:t xml:space="preserve"> (</w:t>
      </w:r>
      <w:proofErr w:type="spellStart"/>
      <w:r w:rsidRPr="003010FB">
        <w:rPr>
          <w:rFonts w:cs="Times New Roman"/>
          <w:szCs w:val="24"/>
        </w:rPr>
        <w:t>Halkos</w:t>
      </w:r>
      <w:proofErr w:type="spellEnd"/>
      <w:r w:rsidRPr="003010FB">
        <w:rPr>
          <w:rFonts w:cs="Times New Roman"/>
          <w:szCs w:val="24"/>
        </w:rPr>
        <w:t xml:space="preserve"> and </w:t>
      </w:r>
      <w:proofErr w:type="spellStart"/>
      <w:r w:rsidRPr="003010FB">
        <w:rPr>
          <w:rFonts w:cs="Times New Roman"/>
          <w:szCs w:val="24"/>
        </w:rPr>
        <w:t>Salamouris</w:t>
      </w:r>
      <w:proofErr w:type="spellEnd"/>
      <w:r w:rsidRPr="003010FB">
        <w:rPr>
          <w:rFonts w:cs="Times New Roman"/>
          <w:szCs w:val="24"/>
        </w:rPr>
        <w:t xml:space="preserve"> 2004). The average assets </w:t>
      </w:r>
      <w:proofErr w:type="gramStart"/>
      <w:r w:rsidRPr="003010FB">
        <w:rPr>
          <w:rFonts w:cs="Times New Roman"/>
          <w:szCs w:val="24"/>
        </w:rPr>
        <w:t>is</w:t>
      </w:r>
      <w:proofErr w:type="gramEnd"/>
      <w:r w:rsidRPr="003010FB">
        <w:rPr>
          <w:rFonts w:cs="Times New Roman"/>
          <w:szCs w:val="24"/>
        </w:rPr>
        <w:t xml:space="preserve"> simply a two-year average, or an average of the beginning and ending asset balances.</w:t>
      </w:r>
    </w:p>
    <w:p w:rsidR="00BD4578" w:rsidRPr="003010FB" w:rsidRDefault="00BD4578" w:rsidP="00BD4578">
      <w:pPr>
        <w:rPr>
          <w:rFonts w:cs="Times New Roman"/>
          <w:szCs w:val="24"/>
        </w:rPr>
      </w:pPr>
      <w:r w:rsidRPr="003010FB">
        <w:rPr>
          <w:rFonts w:cs="Times New Roman"/>
          <w:szCs w:val="24"/>
        </w:rPr>
        <w:t xml:space="preserve">The asset turnover ratio for FY 2017 was 1.25 and this increased to 1.30 by FY 2018. This was because of an increase in current assets. This is a positive indication since the pound earned for each asset has increased. This would help the company to raise funds more easily since it can prove that its efficiency is increasing. </w:t>
      </w:r>
    </w:p>
    <w:p w:rsidR="00BD4578" w:rsidRPr="003010FB" w:rsidRDefault="00BD4578" w:rsidP="00BD4578">
      <w:pPr>
        <w:pStyle w:val="Heading2"/>
        <w:rPr>
          <w:rFonts w:cs="Times New Roman"/>
          <w:szCs w:val="24"/>
        </w:rPr>
      </w:pPr>
      <w:bookmarkStart w:id="20" w:name="_Toc532804913"/>
      <w:r w:rsidRPr="003010FB">
        <w:rPr>
          <w:rFonts w:cs="Times New Roman"/>
          <w:szCs w:val="24"/>
        </w:rPr>
        <w:t>Investors Ratios:</w:t>
      </w:r>
      <w:bookmarkEnd w:id="20"/>
    </w:p>
    <w:p w:rsidR="00BD4578" w:rsidRPr="003010FB" w:rsidRDefault="00BD4578" w:rsidP="00BD4578">
      <w:pPr>
        <w:rPr>
          <w:rFonts w:cs="Times New Roman"/>
          <w:szCs w:val="24"/>
        </w:rPr>
      </w:pPr>
      <w:r w:rsidRPr="003010FB">
        <w:rPr>
          <w:rFonts w:cs="Times New Roman"/>
          <w:szCs w:val="24"/>
        </w:rPr>
        <w:t xml:space="preserve">Investors take a risk when they invest in the company. Investor ratios help them make decisions, whether the risk is worth taking or not. Investor ratios give technical insights on the </w:t>
      </w:r>
      <w:r w:rsidRPr="003010FB">
        <w:rPr>
          <w:rFonts w:cs="Times New Roman"/>
          <w:szCs w:val="24"/>
        </w:rPr>
        <w:lastRenderedPageBreak/>
        <w:t>earnings of the company (</w:t>
      </w:r>
      <w:proofErr w:type="spellStart"/>
      <w:r w:rsidRPr="003010FB">
        <w:rPr>
          <w:rFonts w:cs="Times New Roman"/>
          <w:szCs w:val="24"/>
        </w:rPr>
        <w:t>Martani</w:t>
      </w:r>
      <w:proofErr w:type="spellEnd"/>
      <w:r w:rsidRPr="003010FB">
        <w:rPr>
          <w:rFonts w:cs="Times New Roman"/>
          <w:szCs w:val="24"/>
        </w:rPr>
        <w:t xml:space="preserve">, </w:t>
      </w:r>
      <w:proofErr w:type="spellStart"/>
      <w:r w:rsidRPr="003010FB">
        <w:rPr>
          <w:rFonts w:cs="Times New Roman"/>
          <w:szCs w:val="24"/>
        </w:rPr>
        <w:t>Khairurizka</w:t>
      </w:r>
      <w:proofErr w:type="spellEnd"/>
      <w:r w:rsidRPr="003010FB">
        <w:rPr>
          <w:rFonts w:cs="Times New Roman"/>
          <w:szCs w:val="24"/>
        </w:rPr>
        <w:t xml:space="preserve"> and </w:t>
      </w:r>
      <w:proofErr w:type="spellStart"/>
      <w:r w:rsidRPr="003010FB">
        <w:rPr>
          <w:rFonts w:cs="Times New Roman"/>
          <w:szCs w:val="24"/>
        </w:rPr>
        <w:t>Khairurizka</w:t>
      </w:r>
      <w:proofErr w:type="spellEnd"/>
      <w:r w:rsidRPr="003010FB">
        <w:rPr>
          <w:rFonts w:cs="Times New Roman"/>
          <w:szCs w:val="24"/>
        </w:rPr>
        <w:t xml:space="preserve"> 2009). Some of the relevant investor ratios are calculated below,</w:t>
      </w:r>
    </w:p>
    <w:p w:rsidR="00BD4578" w:rsidRPr="003010FB" w:rsidRDefault="00BD4578" w:rsidP="00BD4578">
      <w:pPr>
        <w:ind w:firstLine="0"/>
        <w:rPr>
          <w:rFonts w:cs="Times New Roman"/>
          <w:szCs w:val="24"/>
        </w:rPr>
      </w:pPr>
    </w:p>
    <w:tbl>
      <w:tblPr>
        <w:tblW w:w="5000" w:type="pct"/>
        <w:tblLook w:val="04A0" w:firstRow="1" w:lastRow="0" w:firstColumn="1" w:lastColumn="0" w:noHBand="0" w:noVBand="1"/>
      </w:tblPr>
      <w:tblGrid>
        <w:gridCol w:w="4372"/>
        <w:gridCol w:w="2484"/>
        <w:gridCol w:w="2484"/>
      </w:tblGrid>
      <w:tr w:rsidR="00BD4578" w:rsidRPr="00A546F4" w:rsidTr="00A9582C">
        <w:trPr>
          <w:trHeight w:val="600"/>
        </w:trPr>
        <w:tc>
          <w:tcPr>
            <w:tcW w:w="5000" w:type="pct"/>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b/>
                <w:bCs/>
                <w:color w:val="000000"/>
                <w:szCs w:val="24"/>
                <w:lang w:eastAsia="en-GB"/>
              </w:rPr>
            </w:pPr>
            <w:r w:rsidRPr="00A546F4">
              <w:rPr>
                <w:rFonts w:eastAsia="Times New Roman" w:cs="Times New Roman"/>
                <w:b/>
                <w:bCs/>
                <w:color w:val="000000"/>
                <w:szCs w:val="24"/>
                <w:lang w:eastAsia="en-GB"/>
              </w:rPr>
              <w:t>Ratios</w:t>
            </w:r>
          </w:p>
        </w:tc>
      </w:tr>
      <w:tr w:rsidR="00BD4578" w:rsidRPr="00A546F4" w:rsidTr="00A9582C">
        <w:trPr>
          <w:trHeight w:val="600"/>
        </w:trPr>
        <w:tc>
          <w:tcPr>
            <w:tcW w:w="2340" w:type="pct"/>
            <w:tcBorders>
              <w:top w:val="single" w:sz="8" w:space="0" w:color="auto"/>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rPr>
                <w:rFonts w:eastAsia="Times New Roman" w:cs="Times New Roman"/>
                <w:b/>
                <w:bCs/>
                <w:color w:val="000000"/>
                <w:szCs w:val="24"/>
                <w:lang w:eastAsia="en-GB"/>
              </w:rPr>
            </w:pPr>
            <w:r w:rsidRPr="00A546F4">
              <w:rPr>
                <w:rFonts w:eastAsia="Times New Roman" w:cs="Times New Roman"/>
                <w:b/>
                <w:bCs/>
                <w:color w:val="000000"/>
                <w:szCs w:val="24"/>
                <w:lang w:eastAsia="en-GB"/>
              </w:rPr>
              <w:t>Investor Ratios</w:t>
            </w:r>
          </w:p>
        </w:tc>
        <w:tc>
          <w:tcPr>
            <w:tcW w:w="1330" w:type="pct"/>
            <w:tcBorders>
              <w:top w:val="single" w:sz="8" w:space="0" w:color="auto"/>
              <w:left w:val="nil"/>
              <w:bottom w:val="single" w:sz="8" w:space="0" w:color="auto"/>
              <w:right w:val="single" w:sz="8" w:space="0" w:color="auto"/>
            </w:tcBorders>
            <w:shd w:val="clear" w:color="auto" w:fill="auto"/>
            <w:noWrap/>
            <w:vAlign w:val="bottom"/>
            <w:hideMark/>
          </w:tcPr>
          <w:p w:rsidR="00BD4578" w:rsidRPr="004F7B63" w:rsidRDefault="00BD4578" w:rsidP="00A9582C">
            <w:pPr>
              <w:spacing w:before="0" w:after="0"/>
              <w:ind w:firstLine="0"/>
              <w:jc w:val="right"/>
              <w:rPr>
                <w:rFonts w:eastAsia="Times New Roman" w:cs="Times New Roman"/>
                <w:b/>
                <w:color w:val="000000"/>
                <w:szCs w:val="24"/>
                <w:lang w:eastAsia="en-GB"/>
              </w:rPr>
            </w:pPr>
            <w:r w:rsidRPr="00A546F4">
              <w:rPr>
                <w:rFonts w:eastAsia="Times New Roman" w:cs="Times New Roman"/>
                <w:color w:val="000000"/>
                <w:szCs w:val="24"/>
                <w:lang w:eastAsia="en-GB"/>
              </w:rPr>
              <w:t> </w:t>
            </w:r>
            <w:r>
              <w:rPr>
                <w:rFonts w:eastAsia="Times New Roman" w:cs="Times New Roman"/>
                <w:b/>
                <w:color w:val="000000"/>
                <w:szCs w:val="24"/>
                <w:lang w:eastAsia="en-GB"/>
              </w:rPr>
              <w:t>2017</w:t>
            </w:r>
          </w:p>
        </w:tc>
        <w:tc>
          <w:tcPr>
            <w:tcW w:w="1330" w:type="pct"/>
            <w:tcBorders>
              <w:top w:val="single" w:sz="8" w:space="0" w:color="auto"/>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Pr>
                <w:rFonts w:eastAsia="Times New Roman" w:cs="Times New Roman"/>
                <w:b/>
                <w:color w:val="000000"/>
                <w:szCs w:val="24"/>
                <w:lang w:eastAsia="en-GB"/>
              </w:rPr>
              <w:t>2018</w:t>
            </w:r>
            <w:r w:rsidRPr="00A546F4">
              <w:rPr>
                <w:rFonts w:eastAsia="Times New Roman" w:cs="Times New Roman"/>
                <w:color w:val="000000"/>
                <w:szCs w:val="24"/>
                <w:lang w:eastAsia="en-GB"/>
              </w:rPr>
              <w:t> </w:t>
            </w:r>
          </w:p>
        </w:tc>
      </w:tr>
      <w:tr w:rsidR="00BD4578" w:rsidRPr="00A546F4" w:rsidTr="00A9582C">
        <w:trPr>
          <w:trHeight w:val="600"/>
        </w:trPr>
        <w:tc>
          <w:tcPr>
            <w:tcW w:w="2340" w:type="pct"/>
            <w:tcBorders>
              <w:top w:val="nil"/>
              <w:left w:val="single" w:sz="8" w:space="0" w:color="auto"/>
              <w:bottom w:val="nil"/>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3010FB">
              <w:rPr>
                <w:rFonts w:eastAsia="Times New Roman" w:cs="Times New Roman"/>
                <w:color w:val="000000"/>
                <w:szCs w:val="24"/>
                <w:lang w:eastAsia="en-GB"/>
              </w:rPr>
              <w:t>DuPont</w:t>
            </w:r>
            <w:r w:rsidRPr="00A546F4">
              <w:rPr>
                <w:rFonts w:eastAsia="Times New Roman" w:cs="Times New Roman"/>
                <w:color w:val="000000"/>
                <w:szCs w:val="24"/>
                <w:lang w:eastAsia="en-GB"/>
              </w:rPr>
              <w:t xml:space="preserve"> Analysis</w:t>
            </w:r>
          </w:p>
        </w:tc>
        <w:tc>
          <w:tcPr>
            <w:tcW w:w="1330"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5.84%</w:t>
            </w:r>
          </w:p>
        </w:tc>
        <w:tc>
          <w:tcPr>
            <w:tcW w:w="1330" w:type="pct"/>
            <w:tcBorders>
              <w:top w:val="nil"/>
              <w:left w:val="nil"/>
              <w:bottom w:val="nil"/>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5.41%</w:t>
            </w:r>
          </w:p>
        </w:tc>
      </w:tr>
      <w:tr w:rsidR="00BD4578" w:rsidRPr="00A546F4" w:rsidTr="00A9582C">
        <w:trPr>
          <w:trHeight w:val="600"/>
        </w:trPr>
        <w:tc>
          <w:tcPr>
            <w:tcW w:w="2340" w:type="pct"/>
            <w:tcBorders>
              <w:top w:val="nil"/>
              <w:left w:val="single" w:sz="8" w:space="0" w:color="auto"/>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center"/>
              <w:rPr>
                <w:rFonts w:eastAsia="Times New Roman" w:cs="Times New Roman"/>
                <w:color w:val="000000"/>
                <w:szCs w:val="24"/>
                <w:lang w:eastAsia="en-GB"/>
              </w:rPr>
            </w:pPr>
            <w:r w:rsidRPr="00A546F4">
              <w:rPr>
                <w:rFonts w:eastAsia="Times New Roman" w:cs="Times New Roman"/>
                <w:color w:val="000000"/>
                <w:szCs w:val="24"/>
                <w:lang w:eastAsia="en-GB"/>
              </w:rPr>
              <w:t xml:space="preserve">Quality of </w:t>
            </w:r>
            <w:r w:rsidRPr="003010FB">
              <w:rPr>
                <w:rFonts w:eastAsia="Times New Roman" w:cs="Times New Roman"/>
                <w:color w:val="000000"/>
                <w:szCs w:val="24"/>
                <w:lang w:eastAsia="en-GB"/>
              </w:rPr>
              <w:t>Earnings</w:t>
            </w:r>
            <w:r w:rsidRPr="00A546F4">
              <w:rPr>
                <w:rFonts w:eastAsia="Times New Roman" w:cs="Times New Roman"/>
                <w:color w:val="000000"/>
                <w:szCs w:val="24"/>
                <w:lang w:eastAsia="en-GB"/>
              </w:rPr>
              <w:t xml:space="preserve"> Ratio</w:t>
            </w:r>
          </w:p>
        </w:tc>
        <w:tc>
          <w:tcPr>
            <w:tcW w:w="1330"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2.981684982</w:t>
            </w:r>
          </w:p>
        </w:tc>
        <w:tc>
          <w:tcPr>
            <w:tcW w:w="1330" w:type="pct"/>
            <w:tcBorders>
              <w:top w:val="nil"/>
              <w:left w:val="nil"/>
              <w:bottom w:val="single" w:sz="8" w:space="0" w:color="auto"/>
              <w:right w:val="single" w:sz="8" w:space="0" w:color="auto"/>
            </w:tcBorders>
            <w:shd w:val="clear" w:color="auto" w:fill="auto"/>
            <w:noWrap/>
            <w:vAlign w:val="bottom"/>
            <w:hideMark/>
          </w:tcPr>
          <w:p w:rsidR="00BD4578" w:rsidRPr="00A546F4" w:rsidRDefault="00BD4578" w:rsidP="00A9582C">
            <w:pPr>
              <w:spacing w:before="0" w:after="0"/>
              <w:ind w:firstLine="0"/>
              <w:jc w:val="right"/>
              <w:rPr>
                <w:rFonts w:eastAsia="Times New Roman" w:cs="Times New Roman"/>
                <w:color w:val="000000"/>
                <w:szCs w:val="24"/>
                <w:lang w:eastAsia="en-GB"/>
              </w:rPr>
            </w:pPr>
            <w:r w:rsidRPr="00A546F4">
              <w:rPr>
                <w:rFonts w:eastAsia="Times New Roman" w:cs="Times New Roman"/>
                <w:color w:val="000000"/>
                <w:szCs w:val="24"/>
                <w:lang w:eastAsia="en-GB"/>
              </w:rPr>
              <w:t>3.779069767</w:t>
            </w:r>
          </w:p>
        </w:tc>
      </w:tr>
    </w:tbl>
    <w:p w:rsidR="00BD4578" w:rsidRPr="003010FB" w:rsidRDefault="00BD4578" w:rsidP="00BD4578">
      <w:pPr>
        <w:rPr>
          <w:rFonts w:cs="Times New Roman"/>
          <w:szCs w:val="24"/>
        </w:rPr>
      </w:pPr>
    </w:p>
    <w:p w:rsidR="00BD4578" w:rsidRPr="003010FB" w:rsidRDefault="00BD4578" w:rsidP="00BD4578">
      <w:pPr>
        <w:pStyle w:val="Heading3"/>
        <w:rPr>
          <w:rFonts w:cs="Times New Roman"/>
        </w:rPr>
      </w:pPr>
      <w:bookmarkStart w:id="21" w:name="_Toc532804914"/>
      <w:r w:rsidRPr="003010FB">
        <w:rPr>
          <w:rFonts w:cs="Times New Roman"/>
        </w:rPr>
        <w:t>Quality of Earnings Ratio</w:t>
      </w:r>
      <w:bookmarkEnd w:id="21"/>
    </w:p>
    <w:p w:rsidR="00BD4578" w:rsidRPr="003010FB" w:rsidRDefault="00BD4578" w:rsidP="00BD4578">
      <w:pPr>
        <w:rPr>
          <w:rFonts w:cs="Times New Roman"/>
          <w:szCs w:val="24"/>
        </w:rPr>
      </w:pPr>
      <w:r w:rsidRPr="003010FB">
        <w:rPr>
          <w:rFonts w:cs="Times New Roman"/>
          <w:szCs w:val="24"/>
        </w:rPr>
        <w:t xml:space="preserve">Quality of earnings ratio measures the consistency and quality of earnings of the company. If the income of the company is consistent, does not involve non-recurring income and is bas based on relevant accounting policies then the quality of earnings ratio would show a good performance. This ratio is calculated by dividing net cash flow from operating activities by net income. </w:t>
      </w:r>
    </w:p>
    <w:p w:rsidR="00BD4578" w:rsidRPr="003010FB" w:rsidRDefault="00BD4578" w:rsidP="00BD4578">
      <w:pPr>
        <w:rPr>
          <w:rFonts w:cs="Times New Roman"/>
          <w:szCs w:val="24"/>
        </w:rPr>
      </w:pPr>
      <w:r w:rsidRPr="003010FB">
        <w:rPr>
          <w:rFonts w:cs="Times New Roman"/>
          <w:szCs w:val="24"/>
        </w:rPr>
        <w:t xml:space="preserve">The quality of earnings ratio for FY 2017 was 2.98 and this increased to 3.77 by FY 2018. This increase can be attributed to a decrease in net income (Annual Report 2016-2017). A ratio that is greater than </w:t>
      </w:r>
      <w:r>
        <w:rPr>
          <w:rFonts w:cs="Times New Roman"/>
          <w:szCs w:val="24"/>
        </w:rPr>
        <w:t>0</w:t>
      </w:r>
      <w:r w:rsidRPr="003010FB">
        <w:rPr>
          <w:rFonts w:cs="Times New Roman"/>
          <w:szCs w:val="24"/>
        </w:rPr>
        <w:t>1 indicates that the net income is lower than the cash flows from operations. This means that the company is following conservative accounting policies.</w:t>
      </w:r>
    </w:p>
    <w:p w:rsidR="00BD4578" w:rsidRPr="003010FB" w:rsidRDefault="00BD4578" w:rsidP="00BD4578">
      <w:pPr>
        <w:pStyle w:val="Heading3"/>
        <w:rPr>
          <w:rFonts w:cs="Times New Roman"/>
        </w:rPr>
      </w:pPr>
      <w:bookmarkStart w:id="22" w:name="_Toc532804915"/>
      <w:r w:rsidRPr="003010FB">
        <w:rPr>
          <w:rFonts w:cs="Times New Roman"/>
        </w:rPr>
        <w:t>Du Pont Analysis</w:t>
      </w:r>
      <w:bookmarkEnd w:id="22"/>
    </w:p>
    <w:p w:rsidR="00BD4578" w:rsidRPr="003010FB" w:rsidRDefault="00BD4578" w:rsidP="00BD4578">
      <w:pPr>
        <w:rPr>
          <w:rFonts w:cs="Times New Roman"/>
          <w:szCs w:val="24"/>
        </w:rPr>
      </w:pPr>
      <w:r w:rsidRPr="003010FB">
        <w:rPr>
          <w:rFonts w:cs="Times New Roman"/>
          <w:szCs w:val="24"/>
        </w:rPr>
        <w:t xml:space="preserve">The DuPont analysis breaks down the return on assets in different components. It depicts that return on asset is dependent upon the profit margin ratio and asset turnover ratio. This is a </w:t>
      </w:r>
      <w:r w:rsidRPr="003010FB">
        <w:rPr>
          <w:rFonts w:cs="Times New Roman"/>
          <w:szCs w:val="24"/>
        </w:rPr>
        <w:lastRenderedPageBreak/>
        <w:t xml:space="preserve">more conservative way of calculating the return on assets. It is calculated by multiplying the asset turnover ratio with the profit </w:t>
      </w:r>
      <w:r w:rsidRPr="00FD09BE">
        <w:rPr>
          <w:rFonts w:cs="Times New Roman"/>
          <w:szCs w:val="24"/>
        </w:rPr>
        <w:t>margin (</w:t>
      </w:r>
      <w:proofErr w:type="spellStart"/>
      <w:r w:rsidRPr="00FD09BE">
        <w:rPr>
          <w:rFonts w:cs="Times New Roman"/>
          <w:szCs w:val="24"/>
        </w:rPr>
        <w:t>Tandon</w:t>
      </w:r>
      <w:proofErr w:type="spellEnd"/>
      <w:r w:rsidRPr="00FD09BE">
        <w:rPr>
          <w:rFonts w:cs="Times New Roman"/>
          <w:szCs w:val="24"/>
        </w:rPr>
        <w:t xml:space="preserve">, </w:t>
      </w:r>
      <w:proofErr w:type="spellStart"/>
      <w:r w:rsidRPr="00FD09BE">
        <w:rPr>
          <w:rFonts w:cs="Times New Roman"/>
          <w:szCs w:val="24"/>
        </w:rPr>
        <w:t>Dhankhar</w:t>
      </w:r>
      <w:proofErr w:type="spellEnd"/>
      <w:r w:rsidRPr="00FD09BE">
        <w:rPr>
          <w:rFonts w:cs="Times New Roman"/>
          <w:szCs w:val="24"/>
        </w:rPr>
        <w:t>, &amp;</w:t>
      </w:r>
      <w:proofErr w:type="spellStart"/>
      <w:r w:rsidRPr="00FD09BE">
        <w:rPr>
          <w:rFonts w:cs="Times New Roman"/>
          <w:szCs w:val="24"/>
        </w:rPr>
        <w:t>Goel</w:t>
      </w:r>
      <w:proofErr w:type="spellEnd"/>
      <w:r w:rsidRPr="00FD09BE">
        <w:rPr>
          <w:rFonts w:cs="Times New Roman"/>
          <w:szCs w:val="24"/>
        </w:rPr>
        <w:t>, 2015</w:t>
      </w:r>
      <w:proofErr w:type="gramStart"/>
      <w:r w:rsidRPr="00FD09BE">
        <w:rPr>
          <w:rFonts w:cs="Times New Roman"/>
          <w:szCs w:val="24"/>
        </w:rPr>
        <w:t>).The</w:t>
      </w:r>
      <w:proofErr w:type="gramEnd"/>
      <w:r w:rsidRPr="003010FB">
        <w:rPr>
          <w:rFonts w:cs="Times New Roman"/>
          <w:szCs w:val="24"/>
        </w:rPr>
        <w:t xml:space="preserve"> return on asset, according to DuPont analysis, was 5.84% in FY 2017, which decreased to 5.41% in 2018. This was because of a decrease in the equity of the firm.</w:t>
      </w:r>
    </w:p>
    <w:p w:rsidR="00BD4578" w:rsidRPr="003010FB" w:rsidRDefault="00BD4578" w:rsidP="00BD4578">
      <w:pPr>
        <w:pStyle w:val="Heading1"/>
        <w:rPr>
          <w:rFonts w:cs="Times New Roman"/>
          <w:szCs w:val="24"/>
        </w:rPr>
      </w:pPr>
      <w:bookmarkStart w:id="23" w:name="_Toc532804916"/>
      <w:r w:rsidRPr="003010FB">
        <w:rPr>
          <w:rFonts w:cs="Times New Roman"/>
          <w:szCs w:val="24"/>
        </w:rPr>
        <w:t>Limitations of Ratio Analysis:</w:t>
      </w:r>
      <w:bookmarkEnd w:id="23"/>
    </w:p>
    <w:p w:rsidR="00BD4578" w:rsidRPr="003010FB" w:rsidRDefault="00BD4578" w:rsidP="00BD4578">
      <w:pPr>
        <w:rPr>
          <w:rFonts w:cs="Times New Roman"/>
          <w:szCs w:val="24"/>
        </w:rPr>
      </w:pPr>
      <w:r w:rsidRPr="003010FB">
        <w:rPr>
          <w:rFonts w:cs="Times New Roman"/>
          <w:szCs w:val="24"/>
        </w:rPr>
        <w:t xml:space="preserve">Ratio analysis is useful for calculating the financial details of any company. These ratios are useful to investors, who are willing to invest, and the management, to compare and make timely adjustments (White, </w:t>
      </w:r>
      <w:proofErr w:type="spellStart"/>
      <w:r w:rsidRPr="003010FB">
        <w:rPr>
          <w:rFonts w:cs="Times New Roman"/>
          <w:szCs w:val="24"/>
        </w:rPr>
        <w:t>Sondh</w:t>
      </w:r>
      <w:proofErr w:type="spellEnd"/>
      <w:r w:rsidRPr="003010FB">
        <w:rPr>
          <w:rFonts w:cs="Times New Roman"/>
          <w:szCs w:val="24"/>
        </w:rPr>
        <w:t xml:space="preserve"> </w:t>
      </w:r>
      <w:r>
        <w:rPr>
          <w:rFonts w:cs="Times New Roman"/>
          <w:szCs w:val="24"/>
        </w:rPr>
        <w:t>&amp;</w:t>
      </w:r>
      <w:r w:rsidRPr="003010FB">
        <w:rPr>
          <w:rFonts w:cs="Times New Roman"/>
          <w:szCs w:val="24"/>
        </w:rPr>
        <w:t xml:space="preserve"> Fried</w:t>
      </w:r>
      <w:r>
        <w:rPr>
          <w:rFonts w:cs="Times New Roman"/>
          <w:szCs w:val="24"/>
        </w:rPr>
        <w:t>,</w:t>
      </w:r>
      <w:r w:rsidRPr="003010FB">
        <w:rPr>
          <w:rFonts w:cs="Times New Roman"/>
          <w:szCs w:val="24"/>
        </w:rPr>
        <w:t xml:space="preserve"> 2005). However, there are some drawbacks of ratio analysis; the most common problem is that ratio analysis is not useful if we have stand-alone values. There must be a benchmark set for comparison that can be either with the industry, another company or with the </w:t>
      </w:r>
      <w:proofErr w:type="gramStart"/>
      <w:r w:rsidRPr="003010FB">
        <w:rPr>
          <w:rFonts w:cs="Times New Roman"/>
          <w:szCs w:val="24"/>
        </w:rPr>
        <w:t>company’s</w:t>
      </w:r>
      <w:proofErr w:type="gramEnd"/>
      <w:r w:rsidRPr="003010FB">
        <w:rPr>
          <w:rFonts w:cs="Times New Roman"/>
          <w:szCs w:val="24"/>
        </w:rPr>
        <w:t xml:space="preserve"> own past performance. </w:t>
      </w:r>
    </w:p>
    <w:p w:rsidR="00BD4578" w:rsidRPr="003010FB" w:rsidRDefault="00BD4578" w:rsidP="00BD4578">
      <w:pPr>
        <w:rPr>
          <w:rFonts w:cs="Times New Roman"/>
          <w:szCs w:val="24"/>
        </w:rPr>
      </w:pPr>
      <w:r w:rsidRPr="003010FB">
        <w:rPr>
          <w:rFonts w:cs="Times New Roman"/>
          <w:szCs w:val="24"/>
        </w:rPr>
        <w:t>Some other factors that can distort a company’s analysis include inflation, the accounting procedures that are in place, seasonal factors and others (</w:t>
      </w:r>
      <w:proofErr w:type="spellStart"/>
      <w:r w:rsidRPr="003010FB">
        <w:rPr>
          <w:rFonts w:cs="Times New Roman"/>
          <w:szCs w:val="24"/>
        </w:rPr>
        <w:t>Lesakova</w:t>
      </w:r>
      <w:proofErr w:type="spellEnd"/>
      <w:r>
        <w:rPr>
          <w:rFonts w:cs="Times New Roman"/>
          <w:szCs w:val="24"/>
        </w:rPr>
        <w:t>,</w:t>
      </w:r>
      <w:r w:rsidRPr="003010FB">
        <w:rPr>
          <w:rFonts w:cs="Times New Roman"/>
          <w:szCs w:val="24"/>
        </w:rPr>
        <w:t xml:space="preserve"> 2007). In addition, no generalisation can be made about the ratios, that whether a set benchmark is good or not. To avoid this companies normally adjust their benchmark with time.</w:t>
      </w:r>
    </w:p>
    <w:p w:rsidR="00BD4578" w:rsidRPr="003010FB" w:rsidRDefault="00BD4578" w:rsidP="00BD4578">
      <w:pPr>
        <w:rPr>
          <w:rFonts w:cs="Times New Roman"/>
          <w:szCs w:val="24"/>
        </w:rPr>
      </w:pPr>
      <w:r w:rsidRPr="003010FB">
        <w:rPr>
          <w:rFonts w:cs="Times New Roman"/>
          <w:szCs w:val="24"/>
        </w:rPr>
        <w:t xml:space="preserve">Inflation affect ratios since the reporting is done periodically. So after adjusting inflation a more reliable ratio analysis can be calculated. Seasonal effects also distort the analysis because during the season everything is on peak and the ratios also look good, but the analyst should be aware of the fact that this was because of a particular season and once that is over everything would go back to be normal. The overall economic conditions should also be considered since the business operations differ at different business cycle points. </w:t>
      </w:r>
    </w:p>
    <w:p w:rsidR="00BD4578" w:rsidRPr="003010FB" w:rsidRDefault="00BD4578" w:rsidP="00BD4578">
      <w:pPr>
        <w:pStyle w:val="Heading1"/>
        <w:rPr>
          <w:rFonts w:cs="Times New Roman"/>
          <w:szCs w:val="24"/>
        </w:rPr>
      </w:pPr>
      <w:bookmarkStart w:id="24" w:name="_Toc532804917"/>
      <w:r w:rsidRPr="003010FB">
        <w:rPr>
          <w:rFonts w:cs="Times New Roman"/>
          <w:szCs w:val="24"/>
        </w:rPr>
        <w:lastRenderedPageBreak/>
        <w:t>Recommendations:</w:t>
      </w:r>
      <w:bookmarkEnd w:id="24"/>
      <w:r w:rsidRPr="003010FB">
        <w:rPr>
          <w:rFonts w:cs="Times New Roman"/>
          <w:szCs w:val="24"/>
        </w:rPr>
        <w:t xml:space="preserve"> </w:t>
      </w:r>
    </w:p>
    <w:p w:rsidR="00BD4578" w:rsidRPr="003010FB" w:rsidRDefault="00BD4578" w:rsidP="00BD4578">
      <w:pPr>
        <w:rPr>
          <w:rFonts w:cs="Times New Roman"/>
          <w:szCs w:val="24"/>
        </w:rPr>
      </w:pPr>
      <w:r w:rsidRPr="003010FB">
        <w:rPr>
          <w:rFonts w:cs="Times New Roman"/>
          <w:szCs w:val="24"/>
        </w:rPr>
        <w:t>As far as the ratios are concerned, the profitability of the company seems to be doing well. They have witnessed an increase in the profitability ratios and the efficiency ratios support this argument. However, their stand-alone net income has witnessed a decrease. They need to work on improving their net income, since most of the positive ratios are either because of a decrease in equity or assets.</w:t>
      </w:r>
    </w:p>
    <w:p w:rsidR="00BD4578" w:rsidRPr="003010FB" w:rsidRDefault="00BD4578" w:rsidP="00BD4578">
      <w:pPr>
        <w:rPr>
          <w:rFonts w:cs="Times New Roman"/>
          <w:szCs w:val="24"/>
        </w:rPr>
      </w:pPr>
      <w:r w:rsidRPr="003010FB">
        <w:rPr>
          <w:rFonts w:cs="Times New Roman"/>
          <w:szCs w:val="24"/>
        </w:rPr>
        <w:t>As far as the financial leverage of the firm is concerned, they need to work on acquiring more assets or retiring debt. This is because their ratios are below the benchmark of one, which would mean that they are able to pay back their liabilities. This situation would also make the financing difficult and expensive</w:t>
      </w:r>
      <w:r>
        <w:rPr>
          <w:rFonts w:cs="Times New Roman"/>
          <w:szCs w:val="24"/>
        </w:rPr>
        <w:t xml:space="preserve"> (</w:t>
      </w:r>
      <w:proofErr w:type="spellStart"/>
      <w:r w:rsidRPr="00FD09BE">
        <w:rPr>
          <w:rFonts w:cs="Times New Roman"/>
          <w:szCs w:val="24"/>
        </w:rPr>
        <w:t>Tandon</w:t>
      </w:r>
      <w:proofErr w:type="spellEnd"/>
      <w:r w:rsidRPr="00FD09BE">
        <w:rPr>
          <w:rFonts w:cs="Times New Roman"/>
          <w:szCs w:val="24"/>
        </w:rPr>
        <w:t xml:space="preserve">, </w:t>
      </w:r>
      <w:proofErr w:type="spellStart"/>
      <w:r w:rsidRPr="00FD09BE">
        <w:rPr>
          <w:rFonts w:cs="Times New Roman"/>
          <w:szCs w:val="24"/>
        </w:rPr>
        <w:t>Dhankhar</w:t>
      </w:r>
      <w:proofErr w:type="spellEnd"/>
      <w:r w:rsidRPr="00FD09BE">
        <w:rPr>
          <w:rFonts w:cs="Times New Roman"/>
          <w:szCs w:val="24"/>
        </w:rPr>
        <w:t>, &amp;</w:t>
      </w:r>
      <w:proofErr w:type="spellStart"/>
      <w:r w:rsidRPr="00FD09BE">
        <w:rPr>
          <w:rFonts w:cs="Times New Roman"/>
          <w:szCs w:val="24"/>
        </w:rPr>
        <w:t>Goel</w:t>
      </w:r>
      <w:proofErr w:type="spellEnd"/>
      <w:r w:rsidRPr="00FD09BE">
        <w:rPr>
          <w:rFonts w:cs="Times New Roman"/>
          <w:szCs w:val="24"/>
        </w:rPr>
        <w:t>, 2015)</w:t>
      </w:r>
      <w:r w:rsidRPr="003010FB">
        <w:rPr>
          <w:rFonts w:cs="Times New Roman"/>
          <w:szCs w:val="24"/>
        </w:rPr>
        <w:t xml:space="preserve">. </w:t>
      </w:r>
    </w:p>
    <w:p w:rsidR="00BD4578" w:rsidRPr="003010FB" w:rsidRDefault="00BD4578" w:rsidP="00BD4578">
      <w:pPr>
        <w:rPr>
          <w:rFonts w:cs="Times New Roman"/>
          <w:szCs w:val="24"/>
        </w:rPr>
      </w:pPr>
      <w:r w:rsidRPr="003010FB">
        <w:rPr>
          <w:rFonts w:cs="Times New Roman"/>
          <w:szCs w:val="24"/>
        </w:rPr>
        <w:t>Their EPS also decreased and their P/E ratio decreased, so they need to make sure that their position in the stock market is stable, since they also sent a signal by increasing the dividends. The investors would be expecting an increase in income if not; their share price might also decrease.</w:t>
      </w:r>
    </w:p>
    <w:p w:rsidR="00BD4578" w:rsidRPr="003010FB" w:rsidRDefault="00BD4578" w:rsidP="00BD4578">
      <w:pPr>
        <w:pStyle w:val="Heading1"/>
        <w:rPr>
          <w:rFonts w:cs="Times New Roman"/>
          <w:szCs w:val="24"/>
        </w:rPr>
      </w:pPr>
      <w:bookmarkStart w:id="25" w:name="_Toc532804918"/>
      <w:r w:rsidRPr="003010FB">
        <w:rPr>
          <w:rFonts w:cs="Times New Roman"/>
          <w:szCs w:val="24"/>
        </w:rPr>
        <w:t>Conclusion:</w:t>
      </w:r>
      <w:bookmarkEnd w:id="25"/>
    </w:p>
    <w:p w:rsidR="00BD4578" w:rsidRDefault="00BD4578" w:rsidP="00BD4578">
      <w:pPr>
        <w:rPr>
          <w:rFonts w:cs="Times New Roman"/>
          <w:szCs w:val="24"/>
        </w:rPr>
      </w:pPr>
      <w:r w:rsidRPr="003010FB">
        <w:rPr>
          <w:rFonts w:cs="Times New Roman"/>
          <w:szCs w:val="24"/>
        </w:rPr>
        <w:t xml:space="preserve">In conclusion, the most appropriate thing to mention would be that most of the good performance depicted in the ratios is because of a decrease in assets or equity or even both. If we observe the income statement, the stand-alone net income value has decreased from the previous year and the EPS has also decreased even though the equity decreased, this shows that the decrease in net income in relation to equity was proportionally greater. This is not a good sign and may pose future threats to the company. Royal Mail group has shown an increase in efficiency, which is a good signal. They should stay focused on improving this, and try to </w:t>
      </w:r>
      <w:r w:rsidRPr="003010FB">
        <w:rPr>
          <w:rFonts w:cs="Times New Roman"/>
          <w:szCs w:val="24"/>
        </w:rPr>
        <w:lastRenderedPageBreak/>
        <w:t>stabilise their net income. Moreover, they should also focus on increasing their marketable securities so that their leverage could be balanced. This would also help the company to get quality and reasonable financing.</w:t>
      </w:r>
    </w:p>
    <w:p w:rsidR="00BD4578" w:rsidRDefault="00BD4578">
      <w:pPr>
        <w:spacing w:before="0" w:after="160" w:line="259" w:lineRule="auto"/>
        <w:ind w:firstLine="0"/>
        <w:rPr>
          <w:rFonts w:eastAsiaTheme="majorEastAsia" w:cs="Times New Roman"/>
          <w:b/>
          <w:i/>
          <w:szCs w:val="24"/>
        </w:rPr>
      </w:pPr>
      <w:r>
        <w:rPr>
          <w:rFonts w:cs="Times New Roman"/>
          <w:szCs w:val="24"/>
        </w:rPr>
        <w:br w:type="page"/>
      </w:r>
    </w:p>
    <w:p w:rsidR="00A30262" w:rsidRPr="003010FB" w:rsidRDefault="00A30262" w:rsidP="003010FB">
      <w:pPr>
        <w:pStyle w:val="Heading1"/>
        <w:rPr>
          <w:rFonts w:cs="Times New Roman"/>
          <w:szCs w:val="24"/>
        </w:rPr>
      </w:pPr>
      <w:bookmarkStart w:id="26" w:name="_Toc532804919"/>
      <w:r w:rsidRPr="003010FB">
        <w:rPr>
          <w:rFonts w:cs="Times New Roman"/>
          <w:szCs w:val="24"/>
        </w:rPr>
        <w:lastRenderedPageBreak/>
        <w:t>References:</w:t>
      </w:r>
      <w:bookmarkEnd w:id="26"/>
    </w:p>
    <w:p w:rsidR="007A710D" w:rsidRPr="003010FB" w:rsidRDefault="007A710D" w:rsidP="007A710D">
      <w:pPr>
        <w:ind w:left="720" w:hanging="720"/>
        <w:rPr>
          <w:rFonts w:cs="Times New Roman"/>
          <w:szCs w:val="24"/>
        </w:rPr>
      </w:pPr>
      <w:proofErr w:type="spellStart"/>
      <w:r w:rsidRPr="003010FB">
        <w:rPr>
          <w:rFonts w:cs="Times New Roman"/>
          <w:szCs w:val="24"/>
        </w:rPr>
        <w:t>Halkos</w:t>
      </w:r>
      <w:proofErr w:type="spellEnd"/>
      <w:r w:rsidRPr="003010FB">
        <w:rPr>
          <w:rFonts w:cs="Times New Roman"/>
          <w:szCs w:val="24"/>
        </w:rPr>
        <w:t xml:space="preserve">, G.E. and </w:t>
      </w:r>
      <w:proofErr w:type="spellStart"/>
      <w:r w:rsidRPr="003010FB">
        <w:rPr>
          <w:rFonts w:cs="Times New Roman"/>
          <w:szCs w:val="24"/>
        </w:rPr>
        <w:t>Salamouris</w:t>
      </w:r>
      <w:proofErr w:type="spellEnd"/>
      <w:r w:rsidRPr="003010FB">
        <w:rPr>
          <w:rFonts w:cs="Times New Roman"/>
          <w:szCs w:val="24"/>
        </w:rPr>
        <w:t>, D.S., 2004. Efficiency measurement of the Greek commercial banks with the use of financial ratios: a data envelopment analysis approach. </w:t>
      </w:r>
      <w:r w:rsidRPr="003010FB">
        <w:rPr>
          <w:rFonts w:cs="Times New Roman"/>
          <w:iCs/>
          <w:szCs w:val="24"/>
        </w:rPr>
        <w:t>Management accounting research</w:t>
      </w:r>
      <w:r w:rsidRPr="003010FB">
        <w:rPr>
          <w:rFonts w:cs="Times New Roman"/>
          <w:szCs w:val="24"/>
        </w:rPr>
        <w:t>, </w:t>
      </w:r>
      <w:r w:rsidRPr="003010FB">
        <w:rPr>
          <w:rFonts w:cs="Times New Roman"/>
          <w:iCs/>
          <w:szCs w:val="24"/>
        </w:rPr>
        <w:t>15</w:t>
      </w:r>
      <w:r w:rsidRPr="003010FB">
        <w:rPr>
          <w:rFonts w:cs="Times New Roman"/>
          <w:szCs w:val="24"/>
        </w:rPr>
        <w:t>(2), pp.201-224.</w:t>
      </w:r>
    </w:p>
    <w:p w:rsidR="007A710D" w:rsidRPr="003010FB" w:rsidRDefault="007A710D" w:rsidP="007A710D">
      <w:pPr>
        <w:ind w:left="720" w:hanging="720"/>
        <w:rPr>
          <w:rFonts w:cs="Times New Roman"/>
          <w:szCs w:val="24"/>
        </w:rPr>
      </w:pPr>
      <w:proofErr w:type="spellStart"/>
      <w:r w:rsidRPr="003010FB">
        <w:rPr>
          <w:rFonts w:cs="Times New Roman"/>
          <w:szCs w:val="24"/>
        </w:rPr>
        <w:t>Lesakova</w:t>
      </w:r>
      <w:proofErr w:type="spellEnd"/>
      <w:r w:rsidRPr="003010FB">
        <w:rPr>
          <w:rFonts w:cs="Times New Roman"/>
          <w:szCs w:val="24"/>
        </w:rPr>
        <w:t>, L., 2007, June. Uses and limitations of profitability ratio analysis in managerial practice. In </w:t>
      </w:r>
      <w:r w:rsidRPr="003010FB">
        <w:rPr>
          <w:rFonts w:cs="Times New Roman"/>
          <w:iCs/>
          <w:szCs w:val="24"/>
        </w:rPr>
        <w:t xml:space="preserve">International Conference on Management, Enterprise and </w:t>
      </w:r>
      <w:proofErr w:type="gramStart"/>
      <w:r w:rsidRPr="003010FB">
        <w:rPr>
          <w:rFonts w:cs="Times New Roman"/>
          <w:iCs/>
          <w:szCs w:val="24"/>
        </w:rPr>
        <w:t>Benchmarking</w:t>
      </w:r>
      <w:r w:rsidRPr="003010FB">
        <w:rPr>
          <w:rFonts w:cs="Times New Roman"/>
          <w:szCs w:val="24"/>
        </w:rPr>
        <w:t>(</w:t>
      </w:r>
      <w:proofErr w:type="gramEnd"/>
      <w:r w:rsidRPr="003010FB">
        <w:rPr>
          <w:rFonts w:cs="Times New Roman"/>
          <w:szCs w:val="24"/>
        </w:rPr>
        <w:t>pp. 1-2).</w:t>
      </w:r>
    </w:p>
    <w:p w:rsidR="007A710D" w:rsidRPr="003010FB" w:rsidRDefault="007A710D" w:rsidP="007A710D">
      <w:pPr>
        <w:ind w:left="720" w:hanging="720"/>
        <w:rPr>
          <w:rFonts w:cs="Times New Roman"/>
          <w:szCs w:val="24"/>
        </w:rPr>
      </w:pPr>
      <w:proofErr w:type="spellStart"/>
      <w:r w:rsidRPr="003010FB">
        <w:rPr>
          <w:rFonts w:cs="Times New Roman"/>
          <w:szCs w:val="24"/>
        </w:rPr>
        <w:t>Martani</w:t>
      </w:r>
      <w:proofErr w:type="spellEnd"/>
      <w:r w:rsidRPr="003010FB">
        <w:rPr>
          <w:rFonts w:cs="Times New Roman"/>
          <w:szCs w:val="24"/>
        </w:rPr>
        <w:t xml:space="preserve">, D., </w:t>
      </w:r>
      <w:proofErr w:type="spellStart"/>
      <w:r w:rsidRPr="003010FB">
        <w:rPr>
          <w:rFonts w:cs="Times New Roman"/>
          <w:szCs w:val="24"/>
        </w:rPr>
        <w:t>Khairurizka</w:t>
      </w:r>
      <w:proofErr w:type="spellEnd"/>
      <w:r w:rsidRPr="003010FB">
        <w:rPr>
          <w:rFonts w:cs="Times New Roman"/>
          <w:szCs w:val="24"/>
        </w:rPr>
        <w:t xml:space="preserve">, R. and </w:t>
      </w:r>
      <w:proofErr w:type="spellStart"/>
      <w:r w:rsidRPr="003010FB">
        <w:rPr>
          <w:rFonts w:cs="Times New Roman"/>
          <w:szCs w:val="24"/>
        </w:rPr>
        <w:t>Khairurizka</w:t>
      </w:r>
      <w:proofErr w:type="spellEnd"/>
      <w:r w:rsidRPr="003010FB">
        <w:rPr>
          <w:rFonts w:cs="Times New Roman"/>
          <w:szCs w:val="24"/>
        </w:rPr>
        <w:t>, R., 2009. The effect of financial ratios, firm size, and cash flow from operating activities in the interim report to the stock return. </w:t>
      </w:r>
      <w:r w:rsidRPr="003010FB">
        <w:rPr>
          <w:rFonts w:cs="Times New Roman"/>
          <w:iCs/>
          <w:szCs w:val="24"/>
        </w:rPr>
        <w:t>Chinese Business Review</w:t>
      </w:r>
      <w:r w:rsidRPr="003010FB">
        <w:rPr>
          <w:rFonts w:cs="Times New Roman"/>
          <w:szCs w:val="24"/>
        </w:rPr>
        <w:t>, </w:t>
      </w:r>
      <w:r w:rsidRPr="003010FB">
        <w:rPr>
          <w:rFonts w:cs="Times New Roman"/>
          <w:iCs/>
          <w:szCs w:val="24"/>
        </w:rPr>
        <w:t>8</w:t>
      </w:r>
      <w:r w:rsidRPr="003010FB">
        <w:rPr>
          <w:rFonts w:cs="Times New Roman"/>
          <w:szCs w:val="24"/>
        </w:rPr>
        <w:t>(6), pp.44-55.</w:t>
      </w:r>
    </w:p>
    <w:p w:rsidR="007A710D" w:rsidRPr="003010FB" w:rsidRDefault="007A710D" w:rsidP="007A710D">
      <w:pPr>
        <w:ind w:left="720" w:hanging="720"/>
        <w:rPr>
          <w:rFonts w:cs="Times New Roman"/>
          <w:szCs w:val="24"/>
        </w:rPr>
      </w:pPr>
      <w:proofErr w:type="spellStart"/>
      <w:r w:rsidRPr="003010FB">
        <w:rPr>
          <w:rFonts w:cs="Times New Roman"/>
          <w:szCs w:val="24"/>
        </w:rPr>
        <w:t>Nissim</w:t>
      </w:r>
      <w:proofErr w:type="spellEnd"/>
      <w:r w:rsidRPr="003010FB">
        <w:rPr>
          <w:rFonts w:cs="Times New Roman"/>
          <w:szCs w:val="24"/>
        </w:rPr>
        <w:t>, D. and Penman, S.H., 2001. Ratio analysis and equity valuation: From research to practice. </w:t>
      </w:r>
      <w:r w:rsidRPr="003010FB">
        <w:rPr>
          <w:rFonts w:cs="Times New Roman"/>
          <w:iCs/>
          <w:szCs w:val="24"/>
        </w:rPr>
        <w:t>Review of accounting studies</w:t>
      </w:r>
      <w:r w:rsidRPr="003010FB">
        <w:rPr>
          <w:rFonts w:cs="Times New Roman"/>
          <w:szCs w:val="24"/>
        </w:rPr>
        <w:t>, </w:t>
      </w:r>
      <w:r w:rsidRPr="003010FB">
        <w:rPr>
          <w:rFonts w:cs="Times New Roman"/>
          <w:iCs/>
          <w:szCs w:val="24"/>
        </w:rPr>
        <w:t>6</w:t>
      </w:r>
      <w:r w:rsidRPr="003010FB">
        <w:rPr>
          <w:rFonts w:cs="Times New Roman"/>
          <w:szCs w:val="24"/>
        </w:rPr>
        <w:t>(1), pp.109-154.</w:t>
      </w:r>
    </w:p>
    <w:p w:rsidR="007A710D" w:rsidRPr="003010FB" w:rsidRDefault="007A710D" w:rsidP="007A710D">
      <w:pPr>
        <w:ind w:left="720" w:hanging="720"/>
        <w:rPr>
          <w:rFonts w:cs="Times New Roman"/>
          <w:szCs w:val="24"/>
        </w:rPr>
      </w:pPr>
      <w:r w:rsidRPr="003010FB">
        <w:rPr>
          <w:rFonts w:cs="Times New Roman"/>
          <w:szCs w:val="24"/>
        </w:rPr>
        <w:t>Penman, S.H. and Penman, S.H., 2007. </w:t>
      </w:r>
      <w:r w:rsidRPr="003010FB">
        <w:rPr>
          <w:rFonts w:cs="Times New Roman"/>
          <w:iCs/>
          <w:szCs w:val="24"/>
        </w:rPr>
        <w:t>Financial statement analysis and security valuation</w:t>
      </w:r>
      <w:r w:rsidRPr="003010FB">
        <w:rPr>
          <w:rFonts w:cs="Times New Roman"/>
          <w:szCs w:val="24"/>
        </w:rPr>
        <w:t> (p. 476). New York: McGraw-Hill.</w:t>
      </w:r>
    </w:p>
    <w:p w:rsidR="007A710D" w:rsidRPr="003010FB" w:rsidRDefault="007A710D" w:rsidP="007A710D">
      <w:pPr>
        <w:ind w:left="720" w:hanging="720"/>
        <w:rPr>
          <w:rFonts w:cs="Times New Roman"/>
          <w:szCs w:val="24"/>
        </w:rPr>
      </w:pPr>
      <w:r w:rsidRPr="003010FB">
        <w:rPr>
          <w:rFonts w:cs="Times New Roman"/>
          <w:szCs w:val="24"/>
        </w:rPr>
        <w:t>Royal Mail Group. 2017. Annual Report 2016-2017. [Online]. Retrieved from https://www.royalmailgroup.com/media/10168/annual-report-and-accounts-2016-17_0.pdf, retrieved on 30</w:t>
      </w:r>
      <w:r w:rsidRPr="003010FB">
        <w:rPr>
          <w:rFonts w:cs="Times New Roman"/>
          <w:szCs w:val="24"/>
          <w:vertAlign w:val="superscript"/>
        </w:rPr>
        <w:t>th</w:t>
      </w:r>
      <w:r w:rsidRPr="003010FB">
        <w:rPr>
          <w:rFonts w:cs="Times New Roman"/>
          <w:szCs w:val="24"/>
        </w:rPr>
        <w:t xml:space="preserve"> November 2018</w:t>
      </w:r>
    </w:p>
    <w:p w:rsidR="007A710D" w:rsidRDefault="007A710D" w:rsidP="007A710D">
      <w:pPr>
        <w:ind w:left="720" w:hanging="720"/>
        <w:rPr>
          <w:rFonts w:cs="Times New Roman"/>
          <w:szCs w:val="24"/>
        </w:rPr>
      </w:pPr>
      <w:r w:rsidRPr="003010FB">
        <w:rPr>
          <w:rFonts w:cs="Times New Roman"/>
          <w:szCs w:val="24"/>
        </w:rPr>
        <w:t>Royal Mail Group. 2018. Annual Report 2017-2018. [Online]. Retrieved from https://www.royalmailgroup.com/media/10169/royal-mail-group-annual-report-and-accounts-2017-18.pdf, retrieved on 30</w:t>
      </w:r>
      <w:r w:rsidRPr="003010FB">
        <w:rPr>
          <w:rFonts w:cs="Times New Roman"/>
          <w:szCs w:val="24"/>
          <w:vertAlign w:val="superscript"/>
        </w:rPr>
        <w:t>th</w:t>
      </w:r>
      <w:r w:rsidRPr="003010FB">
        <w:rPr>
          <w:rFonts w:cs="Times New Roman"/>
          <w:szCs w:val="24"/>
        </w:rPr>
        <w:t xml:space="preserve"> November 2018</w:t>
      </w:r>
    </w:p>
    <w:p w:rsidR="007A710D" w:rsidRPr="003010FB" w:rsidRDefault="007A710D" w:rsidP="007A710D">
      <w:pPr>
        <w:ind w:firstLine="0"/>
        <w:rPr>
          <w:rFonts w:cs="Times New Roman"/>
          <w:szCs w:val="24"/>
        </w:rPr>
      </w:pPr>
      <w:r w:rsidRPr="00FD09BE">
        <w:rPr>
          <w:rFonts w:cs="Times New Roman"/>
          <w:szCs w:val="24"/>
        </w:rPr>
        <w:t xml:space="preserve">Campbell, T.C., </w:t>
      </w:r>
      <w:proofErr w:type="spellStart"/>
      <w:r w:rsidRPr="00FD09BE">
        <w:rPr>
          <w:rFonts w:cs="Times New Roman"/>
          <w:szCs w:val="24"/>
        </w:rPr>
        <w:t>Galpin</w:t>
      </w:r>
      <w:proofErr w:type="spellEnd"/>
      <w:r w:rsidRPr="00FD09BE">
        <w:rPr>
          <w:rFonts w:cs="Times New Roman"/>
          <w:szCs w:val="24"/>
        </w:rPr>
        <w:t>, N. and Johnson, S.A., 2016. Optimal inside debt compensation and the value of equity and debt. Journal of Financial Economics, 119(2), pp.336-352.</w:t>
      </w:r>
      <w:r w:rsidRPr="003010FB">
        <w:rPr>
          <w:rFonts w:cs="Times New Roman"/>
          <w:szCs w:val="24"/>
        </w:rPr>
        <w:t xml:space="preserve"> </w:t>
      </w:r>
    </w:p>
    <w:p w:rsidR="007A710D" w:rsidRPr="003010FB" w:rsidRDefault="007A710D" w:rsidP="007A710D">
      <w:pPr>
        <w:ind w:left="720" w:hanging="720"/>
        <w:rPr>
          <w:rFonts w:cs="Times New Roman"/>
          <w:szCs w:val="24"/>
        </w:rPr>
      </w:pPr>
      <w:r w:rsidRPr="003010FB">
        <w:rPr>
          <w:rFonts w:cs="Times New Roman"/>
          <w:szCs w:val="24"/>
        </w:rPr>
        <w:lastRenderedPageBreak/>
        <w:t>Royal Mail Group. 2018. Company Website. [Online]. Retrieved from https://www.royalmailgroup.com/en,retrieved on 30th November 2018</w:t>
      </w:r>
    </w:p>
    <w:p w:rsidR="007A710D" w:rsidRDefault="007A710D" w:rsidP="007A710D">
      <w:pPr>
        <w:ind w:left="720" w:hanging="720"/>
        <w:rPr>
          <w:rFonts w:cs="Times New Roman"/>
          <w:szCs w:val="24"/>
        </w:rPr>
      </w:pPr>
      <w:r w:rsidRPr="003010FB">
        <w:rPr>
          <w:rFonts w:cs="Times New Roman"/>
          <w:szCs w:val="24"/>
        </w:rPr>
        <w:t>Watson, A., Shrives, P. and Marston, C., 2002. Voluntary disclosure of accounting ratios in the UK. </w:t>
      </w:r>
      <w:r w:rsidRPr="003010FB">
        <w:rPr>
          <w:rFonts w:cs="Times New Roman"/>
          <w:iCs/>
          <w:szCs w:val="24"/>
        </w:rPr>
        <w:t>The British Accounting Review</w:t>
      </w:r>
      <w:r w:rsidRPr="003010FB">
        <w:rPr>
          <w:rFonts w:cs="Times New Roman"/>
          <w:szCs w:val="24"/>
        </w:rPr>
        <w:t>, </w:t>
      </w:r>
      <w:r w:rsidRPr="003010FB">
        <w:rPr>
          <w:rFonts w:cs="Times New Roman"/>
          <w:iCs/>
          <w:szCs w:val="24"/>
        </w:rPr>
        <w:t>34</w:t>
      </w:r>
      <w:r w:rsidRPr="003010FB">
        <w:rPr>
          <w:rFonts w:cs="Times New Roman"/>
          <w:szCs w:val="24"/>
        </w:rPr>
        <w:t>(4), pp.289-313.</w:t>
      </w:r>
    </w:p>
    <w:p w:rsidR="007A710D" w:rsidRDefault="007A710D" w:rsidP="007A710D">
      <w:pPr>
        <w:ind w:left="720" w:hanging="720"/>
        <w:rPr>
          <w:rFonts w:cs="Times New Roman"/>
          <w:szCs w:val="24"/>
        </w:rPr>
      </w:pPr>
      <w:proofErr w:type="spellStart"/>
      <w:r w:rsidRPr="002E347D">
        <w:rPr>
          <w:rFonts w:cs="Times New Roman"/>
          <w:szCs w:val="24"/>
        </w:rPr>
        <w:t>Purnamasari</w:t>
      </w:r>
      <w:proofErr w:type="spellEnd"/>
      <w:r w:rsidRPr="002E347D">
        <w:rPr>
          <w:rFonts w:cs="Times New Roman"/>
          <w:szCs w:val="24"/>
        </w:rPr>
        <w:t>, D., 2015. The effect of changes in return on assets, return on equity, and economic value added to the stock price changes and its impact on earnings per share. Research journal of finance a</w:t>
      </w:r>
      <w:r>
        <w:rPr>
          <w:rFonts w:cs="Times New Roman"/>
          <w:szCs w:val="24"/>
        </w:rPr>
        <w:t>nd accounting, 6(6), pp.80-90.</w:t>
      </w:r>
    </w:p>
    <w:p w:rsidR="007A710D" w:rsidRPr="003010FB" w:rsidRDefault="007A710D" w:rsidP="007A710D">
      <w:pPr>
        <w:ind w:left="720" w:hanging="720"/>
        <w:rPr>
          <w:rFonts w:cs="Times New Roman"/>
          <w:szCs w:val="24"/>
        </w:rPr>
      </w:pPr>
      <w:proofErr w:type="spellStart"/>
      <w:r w:rsidRPr="00FD09BE">
        <w:rPr>
          <w:rFonts w:cs="Times New Roman"/>
          <w:szCs w:val="24"/>
        </w:rPr>
        <w:t>Dujak</w:t>
      </w:r>
      <w:proofErr w:type="spellEnd"/>
      <w:r w:rsidRPr="00FD09BE">
        <w:rPr>
          <w:rFonts w:cs="Times New Roman"/>
          <w:szCs w:val="24"/>
        </w:rPr>
        <w:t xml:space="preserve">, D., </w:t>
      </w:r>
      <w:proofErr w:type="spellStart"/>
      <w:r w:rsidRPr="00FD09BE">
        <w:rPr>
          <w:rFonts w:cs="Times New Roman"/>
          <w:szCs w:val="24"/>
        </w:rPr>
        <w:t>Jeger</w:t>
      </w:r>
      <w:proofErr w:type="spellEnd"/>
      <w:r w:rsidRPr="00FD09BE">
        <w:rPr>
          <w:rFonts w:cs="Times New Roman"/>
          <w:szCs w:val="24"/>
        </w:rPr>
        <w:t xml:space="preserve">, M. and </w:t>
      </w:r>
      <w:proofErr w:type="spellStart"/>
      <w:r w:rsidRPr="00FD09BE">
        <w:rPr>
          <w:rFonts w:cs="Times New Roman"/>
          <w:szCs w:val="24"/>
        </w:rPr>
        <w:t>Bilandžić</w:t>
      </w:r>
      <w:proofErr w:type="spellEnd"/>
      <w:r w:rsidRPr="00FD09BE">
        <w:rPr>
          <w:rFonts w:cs="Times New Roman"/>
          <w:szCs w:val="24"/>
        </w:rPr>
        <w:t xml:space="preserve">, A., 2016. Predicting growth potential of small and </w:t>
      </w:r>
      <w:proofErr w:type="gramStart"/>
      <w:r w:rsidRPr="00FD09BE">
        <w:rPr>
          <w:rFonts w:cs="Times New Roman"/>
          <w:szCs w:val="24"/>
        </w:rPr>
        <w:t>medium</w:t>
      </w:r>
      <w:proofErr w:type="gramEnd"/>
      <w:r w:rsidRPr="00FD09BE">
        <w:rPr>
          <w:rFonts w:cs="Times New Roman"/>
          <w:szCs w:val="24"/>
        </w:rPr>
        <w:t>-Sized Logistics Companies. SGBED wishes to recogniz</w:t>
      </w:r>
      <w:r>
        <w:rPr>
          <w:rFonts w:cs="Times New Roman"/>
          <w:szCs w:val="24"/>
        </w:rPr>
        <w:t>e the following sponsors, p.296</w:t>
      </w:r>
      <w:r w:rsidRPr="00FD09BE">
        <w:rPr>
          <w:rFonts w:cs="Times New Roman"/>
          <w:szCs w:val="24"/>
        </w:rPr>
        <w:t>.</w:t>
      </w:r>
    </w:p>
    <w:p w:rsidR="007A710D" w:rsidRDefault="007A710D" w:rsidP="007A710D">
      <w:pPr>
        <w:ind w:left="720" w:hanging="720"/>
        <w:rPr>
          <w:rFonts w:cs="Times New Roman"/>
          <w:szCs w:val="24"/>
        </w:rPr>
      </w:pPr>
      <w:r w:rsidRPr="003010FB">
        <w:rPr>
          <w:rFonts w:cs="Times New Roman"/>
          <w:szCs w:val="24"/>
        </w:rPr>
        <w:t xml:space="preserve">White, G.L., </w:t>
      </w:r>
      <w:proofErr w:type="spellStart"/>
      <w:r w:rsidRPr="003010FB">
        <w:rPr>
          <w:rFonts w:cs="Times New Roman"/>
          <w:szCs w:val="24"/>
        </w:rPr>
        <w:t>Sondh</w:t>
      </w:r>
      <w:proofErr w:type="spellEnd"/>
      <w:r w:rsidRPr="003010FB">
        <w:rPr>
          <w:rFonts w:cs="Times New Roman"/>
          <w:szCs w:val="24"/>
        </w:rPr>
        <w:t>, A.C. and Fried, D., 2005. Analysis of Financial Statement. </w:t>
      </w:r>
      <w:r w:rsidRPr="003010FB">
        <w:rPr>
          <w:rFonts w:cs="Times New Roman"/>
          <w:iCs/>
          <w:szCs w:val="24"/>
        </w:rPr>
        <w:t>Analysis</w:t>
      </w:r>
      <w:r w:rsidRPr="003010FB">
        <w:rPr>
          <w:rFonts w:cs="Times New Roman"/>
          <w:szCs w:val="24"/>
        </w:rPr>
        <w:t>.</w:t>
      </w:r>
    </w:p>
    <w:p w:rsidR="007A710D" w:rsidRDefault="007A710D" w:rsidP="007A710D">
      <w:pPr>
        <w:ind w:left="720" w:hanging="720"/>
        <w:rPr>
          <w:rFonts w:cs="Times New Roman"/>
          <w:szCs w:val="24"/>
        </w:rPr>
      </w:pPr>
      <w:r w:rsidRPr="00FD09BE">
        <w:rPr>
          <w:rFonts w:cs="Times New Roman"/>
          <w:szCs w:val="24"/>
        </w:rPr>
        <w:t>(</w:t>
      </w:r>
      <w:proofErr w:type="spellStart"/>
      <w:r w:rsidRPr="00FD09BE">
        <w:rPr>
          <w:rFonts w:cs="Times New Roman"/>
          <w:szCs w:val="24"/>
        </w:rPr>
        <w:t>Tandon</w:t>
      </w:r>
      <w:proofErr w:type="spellEnd"/>
      <w:r w:rsidRPr="00FD09BE">
        <w:rPr>
          <w:rFonts w:cs="Times New Roman"/>
          <w:szCs w:val="24"/>
        </w:rPr>
        <w:t xml:space="preserve">, S., </w:t>
      </w:r>
      <w:proofErr w:type="spellStart"/>
      <w:r w:rsidRPr="00FD09BE">
        <w:rPr>
          <w:rFonts w:cs="Times New Roman"/>
          <w:szCs w:val="24"/>
        </w:rPr>
        <w:t>Dhankhar</w:t>
      </w:r>
      <w:proofErr w:type="spellEnd"/>
      <w:r w:rsidRPr="00FD09BE">
        <w:rPr>
          <w:rFonts w:cs="Times New Roman"/>
          <w:szCs w:val="24"/>
        </w:rPr>
        <w:t xml:space="preserve">, S. and </w:t>
      </w:r>
      <w:proofErr w:type="spellStart"/>
      <w:r w:rsidRPr="00FD09BE">
        <w:rPr>
          <w:rFonts w:cs="Times New Roman"/>
          <w:szCs w:val="24"/>
        </w:rPr>
        <w:t>Goel</w:t>
      </w:r>
      <w:proofErr w:type="spellEnd"/>
      <w:r w:rsidRPr="00FD09BE">
        <w:rPr>
          <w:rFonts w:cs="Times New Roman"/>
          <w:szCs w:val="24"/>
        </w:rPr>
        <w:t xml:space="preserve">, D., 2015. Pre and Post-Recession Operating Performance of Indian Manufacturing Firms: A Sectoral Approach using application of 5-point Du Pont Analysis on BSE Sectoral Indices. International Journal of Economics, Business and </w:t>
      </w:r>
      <w:bookmarkStart w:id="27" w:name="_GoBack"/>
      <w:bookmarkEnd w:id="27"/>
      <w:r w:rsidRPr="00FD09BE">
        <w:rPr>
          <w:rFonts w:cs="Times New Roman"/>
          <w:szCs w:val="24"/>
        </w:rPr>
        <w:t>Finance, 3(3).</w:t>
      </w:r>
    </w:p>
    <w:p w:rsidR="007A710D" w:rsidRDefault="007A710D" w:rsidP="007A710D">
      <w:pPr>
        <w:ind w:firstLine="0"/>
        <w:rPr>
          <w:rFonts w:cs="Times New Roman"/>
          <w:szCs w:val="24"/>
        </w:rPr>
      </w:pPr>
      <w:proofErr w:type="spellStart"/>
      <w:r w:rsidRPr="007C4744">
        <w:rPr>
          <w:rFonts w:cs="Times New Roman"/>
          <w:szCs w:val="24"/>
        </w:rPr>
        <w:t>Goldmann</w:t>
      </w:r>
      <w:proofErr w:type="spellEnd"/>
      <w:r w:rsidRPr="007C4744">
        <w:rPr>
          <w:rFonts w:cs="Times New Roman"/>
          <w:szCs w:val="24"/>
        </w:rPr>
        <w:t>, K., 2017. Financial liquidity and profitability management in practice of polish business. In Financial Environment and Business Development (pp. 103-112). Springer, Cham.</w:t>
      </w:r>
    </w:p>
    <w:p w:rsidR="007A710D" w:rsidRPr="003010FB" w:rsidRDefault="007A710D" w:rsidP="007A710D">
      <w:pPr>
        <w:ind w:left="720" w:hanging="720"/>
        <w:rPr>
          <w:rFonts w:cs="Times New Roman"/>
          <w:szCs w:val="24"/>
        </w:rPr>
      </w:pPr>
      <w:proofErr w:type="spellStart"/>
      <w:r w:rsidRPr="00B97FDA">
        <w:rPr>
          <w:rFonts w:cs="Times New Roman"/>
          <w:szCs w:val="24"/>
        </w:rPr>
        <w:t>Kucukaltan</w:t>
      </w:r>
      <w:proofErr w:type="spellEnd"/>
      <w:r w:rsidRPr="00B97FDA">
        <w:rPr>
          <w:rFonts w:cs="Times New Roman"/>
          <w:szCs w:val="24"/>
        </w:rPr>
        <w:t xml:space="preserve">, B., </w:t>
      </w:r>
      <w:proofErr w:type="spellStart"/>
      <w:r w:rsidRPr="00B97FDA">
        <w:rPr>
          <w:rFonts w:cs="Times New Roman"/>
          <w:szCs w:val="24"/>
        </w:rPr>
        <w:t>Irani</w:t>
      </w:r>
      <w:proofErr w:type="spellEnd"/>
      <w:r w:rsidRPr="00B97FDA">
        <w:rPr>
          <w:rFonts w:cs="Times New Roman"/>
          <w:szCs w:val="24"/>
        </w:rPr>
        <w:t xml:space="preserve">, Z. and </w:t>
      </w:r>
      <w:proofErr w:type="spellStart"/>
      <w:r w:rsidRPr="00B97FDA">
        <w:rPr>
          <w:rFonts w:cs="Times New Roman"/>
          <w:szCs w:val="24"/>
        </w:rPr>
        <w:t>Aktas</w:t>
      </w:r>
      <w:proofErr w:type="spellEnd"/>
      <w:r w:rsidRPr="00B97FDA">
        <w:rPr>
          <w:rFonts w:cs="Times New Roman"/>
          <w:szCs w:val="24"/>
        </w:rPr>
        <w:t xml:space="preserve">, E., 2016. A decision support model for identification and prioritization of key performance indicators in the logistics industry. Computers in Human </w:t>
      </w:r>
      <w:proofErr w:type="spellStart"/>
      <w:r w:rsidRPr="00B97FDA">
        <w:rPr>
          <w:rFonts w:cs="Times New Roman"/>
          <w:szCs w:val="24"/>
        </w:rPr>
        <w:t>Behavior</w:t>
      </w:r>
      <w:proofErr w:type="spellEnd"/>
      <w:r w:rsidRPr="00B97FDA">
        <w:rPr>
          <w:rFonts w:cs="Times New Roman"/>
          <w:szCs w:val="24"/>
        </w:rPr>
        <w:t>, 65, pp.346-358.</w:t>
      </w:r>
    </w:p>
    <w:p w:rsidR="003010FB" w:rsidRPr="003010FB" w:rsidRDefault="003010FB" w:rsidP="007A710D">
      <w:pPr>
        <w:ind w:left="720" w:hanging="720"/>
        <w:rPr>
          <w:rFonts w:cs="Times New Roman"/>
          <w:szCs w:val="24"/>
        </w:rPr>
      </w:pPr>
    </w:p>
    <w:sectPr w:rsidR="003010FB" w:rsidRPr="003010FB" w:rsidSect="00D42AB2">
      <w:footerReference w:type="default" r:id="rId7"/>
      <w:foot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19FC" w:rsidRDefault="000819FC" w:rsidP="00D42AB2">
      <w:pPr>
        <w:spacing w:before="0" w:after="0" w:line="240" w:lineRule="auto"/>
      </w:pPr>
      <w:r>
        <w:separator/>
      </w:r>
    </w:p>
  </w:endnote>
  <w:endnote w:type="continuationSeparator" w:id="0">
    <w:p w:rsidR="000819FC" w:rsidRDefault="000819FC" w:rsidP="00D42A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3493588"/>
      <w:docPartObj>
        <w:docPartGallery w:val="Page Numbers (Bottom of Page)"/>
        <w:docPartUnique/>
      </w:docPartObj>
    </w:sdtPr>
    <w:sdtEndPr>
      <w:rPr>
        <w:color w:val="7F7F7F" w:themeColor="background1" w:themeShade="7F"/>
        <w:spacing w:val="60"/>
      </w:rPr>
    </w:sdtEndPr>
    <w:sdtContent>
      <w:p w:rsidR="00303AA0" w:rsidRDefault="00303AA0">
        <w:pPr>
          <w:pStyle w:val="Footer"/>
          <w:pBdr>
            <w:top w:val="single" w:sz="4" w:space="1" w:color="D9D9D9" w:themeColor="background1" w:themeShade="D9"/>
          </w:pBdr>
          <w:jc w:val="right"/>
        </w:pPr>
        <w:r>
          <w:fldChar w:fldCharType="begin"/>
        </w:r>
        <w:r>
          <w:instrText xml:space="preserve"> PAGE   \* MERGEFORMAT </w:instrText>
        </w:r>
        <w:r>
          <w:fldChar w:fldCharType="separate"/>
        </w:r>
        <w:r w:rsidR="007A710D">
          <w:rPr>
            <w:noProof/>
          </w:rPr>
          <w:t>16</w:t>
        </w:r>
        <w:r>
          <w:rPr>
            <w:noProof/>
          </w:rPr>
          <w:fldChar w:fldCharType="end"/>
        </w:r>
        <w:r>
          <w:t xml:space="preserve"> | </w:t>
        </w:r>
        <w:r>
          <w:rPr>
            <w:color w:val="7F7F7F" w:themeColor="background1" w:themeShade="7F"/>
            <w:spacing w:val="60"/>
          </w:rPr>
          <w:t>Page</w:t>
        </w:r>
      </w:p>
    </w:sdtContent>
  </w:sdt>
  <w:p w:rsidR="00303AA0" w:rsidRDefault="00303AA0">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9D8" w:rsidRPr="00A219D8" w:rsidRDefault="00A219D8" w:rsidP="00A219D8">
    <w:pPr>
      <w:pStyle w:val="Footer"/>
      <w:ind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19FC" w:rsidRDefault="000819FC" w:rsidP="00D42AB2">
      <w:pPr>
        <w:spacing w:before="0" w:after="0" w:line="240" w:lineRule="auto"/>
      </w:pPr>
      <w:r>
        <w:separator/>
      </w:r>
    </w:p>
  </w:footnote>
  <w:footnote w:type="continuationSeparator" w:id="0">
    <w:p w:rsidR="000819FC" w:rsidRDefault="000819FC" w:rsidP="00D42AB2">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A0NDIyMTYxMjaxNLNQ0lEKTi0uzszPAykwqgUA4++rQiwAAAA="/>
  </w:docVars>
  <w:rsids>
    <w:rsidRoot w:val="00DF46A1"/>
    <w:rsid w:val="000819FC"/>
    <w:rsid w:val="00082C29"/>
    <w:rsid w:val="00085EF3"/>
    <w:rsid w:val="0009071B"/>
    <w:rsid w:val="00131772"/>
    <w:rsid w:val="00186902"/>
    <w:rsid w:val="0019490D"/>
    <w:rsid w:val="001E0A6B"/>
    <w:rsid w:val="00221C65"/>
    <w:rsid w:val="002344DB"/>
    <w:rsid w:val="003010FB"/>
    <w:rsid w:val="00303AA0"/>
    <w:rsid w:val="00345C16"/>
    <w:rsid w:val="004147D6"/>
    <w:rsid w:val="00476A8E"/>
    <w:rsid w:val="004F7B63"/>
    <w:rsid w:val="00532693"/>
    <w:rsid w:val="00570862"/>
    <w:rsid w:val="00582348"/>
    <w:rsid w:val="00587576"/>
    <w:rsid w:val="00623EB7"/>
    <w:rsid w:val="006D3B8B"/>
    <w:rsid w:val="00773D49"/>
    <w:rsid w:val="007A710D"/>
    <w:rsid w:val="007B0CC1"/>
    <w:rsid w:val="009459E3"/>
    <w:rsid w:val="00A219D8"/>
    <w:rsid w:val="00A30262"/>
    <w:rsid w:val="00A345FC"/>
    <w:rsid w:val="00A546F4"/>
    <w:rsid w:val="00B34841"/>
    <w:rsid w:val="00BB0F17"/>
    <w:rsid w:val="00BD4578"/>
    <w:rsid w:val="00C07CDE"/>
    <w:rsid w:val="00CB55D8"/>
    <w:rsid w:val="00CC3E13"/>
    <w:rsid w:val="00D42AB2"/>
    <w:rsid w:val="00D85AB9"/>
    <w:rsid w:val="00DF46A1"/>
    <w:rsid w:val="00EB38A2"/>
    <w:rsid w:val="00EE74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1E7F6C-4470-4C27-A0F9-C5C53FF2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38A2"/>
    <w:pPr>
      <w:spacing w:before="120" w:after="120" w:line="480" w:lineRule="auto"/>
      <w:ind w:firstLine="720"/>
    </w:pPr>
    <w:rPr>
      <w:rFonts w:ascii="Times New Roman" w:hAnsi="Times New Roman"/>
      <w:sz w:val="24"/>
      <w:lang w:val="en-GB"/>
    </w:rPr>
  </w:style>
  <w:style w:type="paragraph" w:styleId="Heading1">
    <w:name w:val="heading 1"/>
    <w:basedOn w:val="Normal"/>
    <w:next w:val="Normal"/>
    <w:link w:val="Heading1Char"/>
    <w:autoRedefine/>
    <w:uiPriority w:val="9"/>
    <w:qFormat/>
    <w:rsid w:val="00DF46A1"/>
    <w:pPr>
      <w:keepNext/>
      <w:keepLines/>
      <w:ind w:firstLine="0"/>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DF46A1"/>
    <w:pPr>
      <w:keepNext/>
      <w:keepLines/>
      <w:ind w:firstLine="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B34841"/>
    <w:pPr>
      <w:keepNext/>
      <w:keepLines/>
      <w:ind w:firstLine="0"/>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46A1"/>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DF46A1"/>
    <w:rPr>
      <w:rFonts w:ascii="Times New Roman" w:eastAsiaTheme="majorEastAsia" w:hAnsi="Times New Roman" w:cstheme="majorBidi"/>
      <w:i/>
      <w:sz w:val="24"/>
      <w:szCs w:val="26"/>
      <w:lang w:val="en-GB"/>
    </w:rPr>
  </w:style>
  <w:style w:type="character" w:styleId="Strong">
    <w:name w:val="Strong"/>
    <w:basedOn w:val="DefaultParagraphFont"/>
    <w:uiPriority w:val="22"/>
    <w:qFormat/>
    <w:rsid w:val="00DF46A1"/>
    <w:rPr>
      <w:b/>
      <w:bCs/>
    </w:rPr>
  </w:style>
  <w:style w:type="character" w:customStyle="1" w:styleId="Heading3Char">
    <w:name w:val="Heading 3 Char"/>
    <w:basedOn w:val="DefaultParagraphFont"/>
    <w:link w:val="Heading3"/>
    <w:uiPriority w:val="9"/>
    <w:rsid w:val="00B34841"/>
    <w:rPr>
      <w:rFonts w:ascii="Times New Roman" w:eastAsiaTheme="majorEastAsia" w:hAnsi="Times New Roman" w:cstheme="majorBidi"/>
      <w:sz w:val="24"/>
      <w:szCs w:val="24"/>
      <w:lang w:val="en-GB"/>
    </w:rPr>
  </w:style>
  <w:style w:type="character" w:styleId="Hyperlink">
    <w:name w:val="Hyperlink"/>
    <w:basedOn w:val="DefaultParagraphFont"/>
    <w:uiPriority w:val="99"/>
    <w:unhideWhenUsed/>
    <w:rsid w:val="00D85AB9"/>
    <w:rPr>
      <w:color w:val="0563C1" w:themeColor="hyperlink"/>
      <w:u w:val="single"/>
    </w:rPr>
  </w:style>
  <w:style w:type="paragraph" w:styleId="Header">
    <w:name w:val="header"/>
    <w:basedOn w:val="Normal"/>
    <w:link w:val="HeaderChar"/>
    <w:uiPriority w:val="99"/>
    <w:unhideWhenUsed/>
    <w:rsid w:val="00D42AB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D42AB2"/>
    <w:rPr>
      <w:rFonts w:ascii="Times New Roman" w:hAnsi="Times New Roman"/>
      <w:sz w:val="24"/>
      <w:lang w:val="en-GB"/>
    </w:rPr>
  </w:style>
  <w:style w:type="paragraph" w:styleId="Footer">
    <w:name w:val="footer"/>
    <w:basedOn w:val="Normal"/>
    <w:link w:val="FooterChar"/>
    <w:uiPriority w:val="99"/>
    <w:unhideWhenUsed/>
    <w:rsid w:val="00D42AB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D42AB2"/>
    <w:rPr>
      <w:rFonts w:ascii="Times New Roman" w:hAnsi="Times New Roman"/>
      <w:sz w:val="24"/>
      <w:lang w:val="en-GB"/>
    </w:rPr>
  </w:style>
  <w:style w:type="paragraph" w:styleId="ListParagraph">
    <w:name w:val="List Paragraph"/>
    <w:basedOn w:val="Normal"/>
    <w:uiPriority w:val="34"/>
    <w:qFormat/>
    <w:rsid w:val="004F7B63"/>
    <w:pPr>
      <w:ind w:left="720"/>
      <w:contextualSpacing/>
    </w:pPr>
  </w:style>
  <w:style w:type="paragraph" w:styleId="TOCHeading">
    <w:name w:val="TOC Heading"/>
    <w:basedOn w:val="Heading1"/>
    <w:next w:val="Normal"/>
    <w:uiPriority w:val="39"/>
    <w:unhideWhenUsed/>
    <w:qFormat/>
    <w:rsid w:val="00A219D8"/>
    <w:pPr>
      <w:spacing w:before="240" w:after="0" w:line="259" w:lineRule="auto"/>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A219D8"/>
    <w:pPr>
      <w:spacing w:after="100"/>
    </w:pPr>
  </w:style>
  <w:style w:type="paragraph" w:styleId="TOC2">
    <w:name w:val="toc 2"/>
    <w:basedOn w:val="Normal"/>
    <w:next w:val="Normal"/>
    <w:autoRedefine/>
    <w:uiPriority w:val="39"/>
    <w:unhideWhenUsed/>
    <w:rsid w:val="00A219D8"/>
    <w:pPr>
      <w:spacing w:after="100"/>
      <w:ind w:left="240"/>
    </w:pPr>
  </w:style>
  <w:style w:type="paragraph" w:styleId="TOC3">
    <w:name w:val="toc 3"/>
    <w:basedOn w:val="Normal"/>
    <w:next w:val="Normal"/>
    <w:autoRedefine/>
    <w:uiPriority w:val="39"/>
    <w:unhideWhenUsed/>
    <w:rsid w:val="00A219D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932132">
      <w:bodyDiv w:val="1"/>
      <w:marLeft w:val="0"/>
      <w:marRight w:val="0"/>
      <w:marTop w:val="0"/>
      <w:marBottom w:val="0"/>
      <w:divBdr>
        <w:top w:val="none" w:sz="0" w:space="0" w:color="auto"/>
        <w:left w:val="none" w:sz="0" w:space="0" w:color="auto"/>
        <w:bottom w:val="none" w:sz="0" w:space="0" w:color="auto"/>
        <w:right w:val="none" w:sz="0" w:space="0" w:color="auto"/>
      </w:divBdr>
    </w:div>
    <w:div w:id="903756706">
      <w:bodyDiv w:val="1"/>
      <w:marLeft w:val="0"/>
      <w:marRight w:val="0"/>
      <w:marTop w:val="0"/>
      <w:marBottom w:val="0"/>
      <w:divBdr>
        <w:top w:val="none" w:sz="0" w:space="0" w:color="auto"/>
        <w:left w:val="none" w:sz="0" w:space="0" w:color="auto"/>
        <w:bottom w:val="none" w:sz="0" w:space="0" w:color="auto"/>
        <w:right w:val="none" w:sz="0" w:space="0" w:color="auto"/>
      </w:divBdr>
    </w:div>
    <w:div w:id="1135223923">
      <w:bodyDiv w:val="1"/>
      <w:marLeft w:val="0"/>
      <w:marRight w:val="0"/>
      <w:marTop w:val="0"/>
      <w:marBottom w:val="0"/>
      <w:divBdr>
        <w:top w:val="none" w:sz="0" w:space="0" w:color="auto"/>
        <w:left w:val="none" w:sz="0" w:space="0" w:color="auto"/>
        <w:bottom w:val="none" w:sz="0" w:space="0" w:color="auto"/>
        <w:right w:val="none" w:sz="0" w:space="0" w:color="auto"/>
      </w:divBdr>
    </w:div>
    <w:div w:id="1140998992">
      <w:bodyDiv w:val="1"/>
      <w:marLeft w:val="0"/>
      <w:marRight w:val="0"/>
      <w:marTop w:val="0"/>
      <w:marBottom w:val="0"/>
      <w:divBdr>
        <w:top w:val="none" w:sz="0" w:space="0" w:color="auto"/>
        <w:left w:val="none" w:sz="0" w:space="0" w:color="auto"/>
        <w:bottom w:val="none" w:sz="0" w:space="0" w:color="auto"/>
        <w:right w:val="none" w:sz="0" w:space="0" w:color="auto"/>
      </w:divBdr>
    </w:div>
    <w:div w:id="1390880048">
      <w:bodyDiv w:val="1"/>
      <w:marLeft w:val="0"/>
      <w:marRight w:val="0"/>
      <w:marTop w:val="0"/>
      <w:marBottom w:val="0"/>
      <w:divBdr>
        <w:top w:val="none" w:sz="0" w:space="0" w:color="auto"/>
        <w:left w:val="none" w:sz="0" w:space="0" w:color="auto"/>
        <w:bottom w:val="none" w:sz="0" w:space="0" w:color="auto"/>
        <w:right w:val="none" w:sz="0" w:space="0" w:color="auto"/>
      </w:divBdr>
    </w:div>
    <w:div w:id="1508326224">
      <w:bodyDiv w:val="1"/>
      <w:marLeft w:val="0"/>
      <w:marRight w:val="0"/>
      <w:marTop w:val="0"/>
      <w:marBottom w:val="0"/>
      <w:divBdr>
        <w:top w:val="none" w:sz="0" w:space="0" w:color="auto"/>
        <w:left w:val="none" w:sz="0" w:space="0" w:color="auto"/>
        <w:bottom w:val="none" w:sz="0" w:space="0" w:color="auto"/>
        <w:right w:val="none" w:sz="0" w:space="0" w:color="auto"/>
      </w:divBdr>
    </w:div>
    <w:div w:id="168979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44FC5-55CE-48C6-8B24-43CC7625D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17</Pages>
  <Words>3183</Words>
  <Characters>18145</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SIU O</dc:creator>
  <cp:keywords/>
  <dc:description/>
  <cp:lastModifiedBy>Oscar</cp:lastModifiedBy>
  <cp:revision>24</cp:revision>
  <dcterms:created xsi:type="dcterms:W3CDTF">2018-11-30T13:13:00Z</dcterms:created>
  <dcterms:modified xsi:type="dcterms:W3CDTF">2018-12-17T10:13:00Z</dcterms:modified>
</cp:coreProperties>
</file>