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1C3F59" w14:textId="165A4F0D" w:rsidR="00A71AEC" w:rsidRDefault="00A71AEC">
      <w:r>
        <w:rPr>
          <w:noProof/>
        </w:rPr>
        <w:drawing>
          <wp:inline distT="0" distB="0" distL="0" distR="0" wp14:anchorId="02A75DEC" wp14:editId="69CAE419">
            <wp:extent cx="3346450" cy="1339215"/>
            <wp:effectExtent l="0" t="0" r="635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124987" name="Picture 1" descr="UWTSD logo | Discover Dylan Thomas"/>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6450" cy="1339215"/>
                    </a:xfrm>
                    <a:prstGeom prst="rect">
                      <a:avLst/>
                    </a:prstGeom>
                    <a:noFill/>
                    <a:ln>
                      <a:noFill/>
                    </a:ln>
                  </pic:spPr>
                </pic:pic>
              </a:graphicData>
            </a:graphic>
          </wp:inline>
        </w:drawing>
      </w:r>
    </w:p>
    <w:p w14:paraId="35E31D86" w14:textId="77777777" w:rsidR="00A71AEC" w:rsidRDefault="00A71AEC"/>
    <w:p w14:paraId="76B60B8A" w14:textId="77777777" w:rsidR="00A71AEC" w:rsidRDefault="00A71AEC"/>
    <w:p w14:paraId="44B65F52" w14:textId="77777777" w:rsidR="00A71AEC" w:rsidRDefault="00A71AEC"/>
    <w:p w14:paraId="4BCBC466" w14:textId="77777777" w:rsidR="00A71AEC" w:rsidRPr="00A71AEC" w:rsidRDefault="00A71AEC" w:rsidP="00A71AEC">
      <w:pPr>
        <w:rPr>
          <w:b/>
          <w:bCs/>
        </w:rPr>
      </w:pPr>
    </w:p>
    <w:p w14:paraId="633A6820" w14:textId="40E02B95" w:rsidR="00A71AEC" w:rsidRPr="00A71AEC" w:rsidRDefault="00A71AEC" w:rsidP="00A71AEC">
      <w:pPr>
        <w:rPr>
          <w:b/>
          <w:bCs/>
        </w:rPr>
      </w:pPr>
      <w:r>
        <w:rPr>
          <w:b/>
          <w:bCs/>
        </w:rPr>
        <w:t xml:space="preserve">                  </w:t>
      </w:r>
      <w:r w:rsidRPr="00A71AEC">
        <w:rPr>
          <w:b/>
          <w:bCs/>
        </w:rPr>
        <w:t>BMHP6029-Psychopathological Classifications and Provisions</w:t>
      </w:r>
    </w:p>
    <w:p w14:paraId="52B9831E" w14:textId="77777777" w:rsidR="00A71AEC" w:rsidRPr="00A71AEC" w:rsidRDefault="00A71AEC" w:rsidP="00A71AEC">
      <w:pPr>
        <w:rPr>
          <w:b/>
          <w:bCs/>
        </w:rPr>
      </w:pPr>
    </w:p>
    <w:p w14:paraId="31E7FA87" w14:textId="77777777" w:rsidR="00A71AEC" w:rsidRPr="00A71AEC" w:rsidRDefault="00A71AEC" w:rsidP="00A71AEC">
      <w:pPr>
        <w:rPr>
          <w:b/>
          <w:bCs/>
        </w:rPr>
      </w:pPr>
    </w:p>
    <w:p w14:paraId="2B82E4B6" w14:textId="77777777" w:rsidR="00A71AEC" w:rsidRPr="00A71AEC" w:rsidRDefault="00A71AEC" w:rsidP="00A71AEC">
      <w:pPr>
        <w:rPr>
          <w:b/>
          <w:bCs/>
        </w:rPr>
      </w:pPr>
    </w:p>
    <w:p w14:paraId="578CE186" w14:textId="028E13FA" w:rsidR="00A71AEC" w:rsidRPr="00A71AEC" w:rsidRDefault="00A71AEC" w:rsidP="00A71AEC">
      <w:r w:rsidRPr="00A71AEC">
        <w:rPr>
          <w:b/>
          <w:bCs/>
        </w:rPr>
        <w:t>Component 2: Written Assignment (Report)</w:t>
      </w:r>
    </w:p>
    <w:p w14:paraId="52B4AF7D" w14:textId="0D2761D9" w:rsidR="00A71AEC" w:rsidRPr="00A71AEC" w:rsidRDefault="00A71AEC" w:rsidP="00A71AEC">
      <w:pPr>
        <w:rPr>
          <w:b/>
          <w:bCs/>
        </w:rPr>
      </w:pPr>
      <w:r w:rsidRPr="00A71AEC">
        <w:rPr>
          <w:b/>
          <w:bCs/>
        </w:rPr>
        <w:t>Student name</w:t>
      </w:r>
      <w:r>
        <w:rPr>
          <w:b/>
          <w:bCs/>
        </w:rPr>
        <w:t>: Telma Andrade</w:t>
      </w:r>
    </w:p>
    <w:p w14:paraId="3F1AE197" w14:textId="1E23958D" w:rsidR="00A71AEC" w:rsidRDefault="00A71AEC">
      <w:pPr>
        <w:rPr>
          <w:b/>
          <w:bCs/>
        </w:rPr>
      </w:pPr>
      <w:r w:rsidRPr="00A71AEC">
        <w:rPr>
          <w:b/>
          <w:bCs/>
        </w:rPr>
        <w:t>Student number</w:t>
      </w:r>
      <w:r>
        <w:rPr>
          <w:b/>
          <w:bCs/>
        </w:rPr>
        <w:t>: 2328861</w:t>
      </w:r>
    </w:p>
    <w:p w14:paraId="18952647" w14:textId="7256AF40" w:rsidR="00A71AEC" w:rsidRDefault="00A71AEC">
      <w:pPr>
        <w:rPr>
          <w:b/>
          <w:bCs/>
        </w:rPr>
      </w:pPr>
      <w:r>
        <w:rPr>
          <w:b/>
          <w:bCs/>
        </w:rPr>
        <w:t>Lectur</w:t>
      </w:r>
      <w:r w:rsidR="00E264F0">
        <w:rPr>
          <w:b/>
          <w:bCs/>
        </w:rPr>
        <w:t>er</w:t>
      </w:r>
      <w:r>
        <w:rPr>
          <w:b/>
          <w:bCs/>
        </w:rPr>
        <w:t>’s Name: Bianca Sanfilippo</w:t>
      </w:r>
    </w:p>
    <w:p w14:paraId="7819F9CC" w14:textId="77777777" w:rsidR="00A71AEC" w:rsidRDefault="00A71AEC">
      <w:pPr>
        <w:rPr>
          <w:b/>
          <w:bCs/>
        </w:rPr>
      </w:pPr>
    </w:p>
    <w:p w14:paraId="695B03DB" w14:textId="77777777" w:rsidR="00EF202F" w:rsidRDefault="002C1097" w:rsidP="002C1097">
      <w:pPr>
        <w:tabs>
          <w:tab w:val="left" w:pos="3443"/>
        </w:tabs>
        <w:rPr>
          <w:b/>
          <w:bCs/>
        </w:rPr>
      </w:pPr>
      <w:r>
        <w:rPr>
          <w:b/>
          <w:bCs/>
        </w:rPr>
        <w:tab/>
      </w:r>
    </w:p>
    <w:sdt>
      <w:sdtPr>
        <w:id w:val="-93127902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3AFCF0F" w14:textId="031F5652" w:rsidR="00EF202F" w:rsidRDefault="00EF202F">
          <w:pPr>
            <w:pStyle w:val="TOCHeading"/>
          </w:pPr>
          <w:r>
            <w:t>Table of Contents</w:t>
          </w:r>
        </w:p>
        <w:p w14:paraId="7E5E79AF" w14:textId="6DF06986" w:rsidR="00EF202F" w:rsidRDefault="00EF202F">
          <w:pPr>
            <w:pStyle w:val="TOC1"/>
            <w:tabs>
              <w:tab w:val="right" w:leader="dot" w:pos="9016"/>
            </w:tabs>
            <w:rPr>
              <w:noProof/>
            </w:rPr>
          </w:pPr>
          <w:r>
            <w:fldChar w:fldCharType="begin"/>
          </w:r>
          <w:r>
            <w:instrText xml:space="preserve"> TOC \o "1-3" \h \z \u </w:instrText>
          </w:r>
          <w:r>
            <w:fldChar w:fldCharType="separate"/>
          </w:r>
          <w:hyperlink w:anchor="_Toc237486015" w:history="1">
            <w:r w:rsidRPr="00B6145C">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_Toc237486015 \h </w:instrText>
            </w:r>
            <w:r>
              <w:rPr>
                <w:noProof/>
                <w:webHidden/>
              </w:rPr>
            </w:r>
            <w:r>
              <w:rPr>
                <w:noProof/>
                <w:webHidden/>
              </w:rPr>
              <w:fldChar w:fldCharType="separate"/>
            </w:r>
            <w:r>
              <w:rPr>
                <w:noProof/>
                <w:webHidden/>
              </w:rPr>
              <w:t>3</w:t>
            </w:r>
            <w:r>
              <w:rPr>
                <w:noProof/>
                <w:webHidden/>
              </w:rPr>
              <w:fldChar w:fldCharType="end"/>
            </w:r>
          </w:hyperlink>
        </w:p>
        <w:p w14:paraId="096F26FD" w14:textId="02CC0360" w:rsidR="00EF202F" w:rsidRDefault="00EF202F">
          <w:pPr>
            <w:pStyle w:val="TOC1"/>
            <w:tabs>
              <w:tab w:val="right" w:leader="dot" w:pos="9016"/>
            </w:tabs>
            <w:rPr>
              <w:noProof/>
            </w:rPr>
          </w:pPr>
          <w:hyperlink w:anchor="_Toc237486016" w:history="1">
            <w:r w:rsidRPr="00B6145C">
              <w:rPr>
                <w:rStyle w:val="Hyperlink"/>
                <w:rFonts w:ascii="Arial" w:hAnsi="Arial" w:cs="Arial"/>
                <w:b/>
                <w:bCs/>
                <w:noProof/>
              </w:rPr>
              <w:t>Classification and Diagnosis:</w:t>
            </w:r>
            <w:r>
              <w:rPr>
                <w:noProof/>
                <w:webHidden/>
              </w:rPr>
              <w:tab/>
            </w:r>
            <w:r>
              <w:rPr>
                <w:noProof/>
                <w:webHidden/>
              </w:rPr>
              <w:fldChar w:fldCharType="begin"/>
            </w:r>
            <w:r>
              <w:rPr>
                <w:noProof/>
                <w:webHidden/>
              </w:rPr>
              <w:instrText xml:space="preserve"> PAGEREF _Toc237486016 \h </w:instrText>
            </w:r>
            <w:r>
              <w:rPr>
                <w:noProof/>
                <w:webHidden/>
              </w:rPr>
            </w:r>
            <w:r>
              <w:rPr>
                <w:noProof/>
                <w:webHidden/>
              </w:rPr>
              <w:fldChar w:fldCharType="separate"/>
            </w:r>
            <w:r>
              <w:rPr>
                <w:noProof/>
                <w:webHidden/>
              </w:rPr>
              <w:t>3</w:t>
            </w:r>
            <w:r>
              <w:rPr>
                <w:noProof/>
                <w:webHidden/>
              </w:rPr>
              <w:fldChar w:fldCharType="end"/>
            </w:r>
          </w:hyperlink>
        </w:p>
        <w:p w14:paraId="0837677E" w14:textId="03DA670F" w:rsidR="00EF202F" w:rsidRDefault="00EF202F">
          <w:pPr>
            <w:pStyle w:val="TOC1"/>
            <w:tabs>
              <w:tab w:val="right" w:leader="dot" w:pos="9016"/>
            </w:tabs>
            <w:rPr>
              <w:noProof/>
            </w:rPr>
          </w:pPr>
          <w:hyperlink w:anchor="_Toc237486017" w:history="1">
            <w:r w:rsidRPr="00B6145C">
              <w:rPr>
                <w:rStyle w:val="Hyperlink"/>
                <w:rFonts w:ascii="Arial" w:hAnsi="Arial" w:cs="Arial"/>
                <w:b/>
                <w:bCs/>
                <w:noProof/>
              </w:rPr>
              <w:t>Treatment and Rehabilitation:</w:t>
            </w:r>
            <w:r>
              <w:rPr>
                <w:noProof/>
                <w:webHidden/>
              </w:rPr>
              <w:tab/>
            </w:r>
            <w:r>
              <w:rPr>
                <w:noProof/>
                <w:webHidden/>
              </w:rPr>
              <w:fldChar w:fldCharType="begin"/>
            </w:r>
            <w:r>
              <w:rPr>
                <w:noProof/>
                <w:webHidden/>
              </w:rPr>
              <w:instrText xml:space="preserve"> PAGEREF _Toc237486017 \h </w:instrText>
            </w:r>
            <w:r>
              <w:rPr>
                <w:noProof/>
                <w:webHidden/>
              </w:rPr>
            </w:r>
            <w:r>
              <w:rPr>
                <w:noProof/>
                <w:webHidden/>
              </w:rPr>
              <w:fldChar w:fldCharType="separate"/>
            </w:r>
            <w:r>
              <w:rPr>
                <w:noProof/>
                <w:webHidden/>
              </w:rPr>
              <w:t>3</w:t>
            </w:r>
            <w:r>
              <w:rPr>
                <w:noProof/>
                <w:webHidden/>
              </w:rPr>
              <w:fldChar w:fldCharType="end"/>
            </w:r>
          </w:hyperlink>
        </w:p>
        <w:p w14:paraId="508A0D5C" w14:textId="448624FA" w:rsidR="00EF202F" w:rsidRDefault="00EF202F">
          <w:pPr>
            <w:pStyle w:val="TOC1"/>
            <w:tabs>
              <w:tab w:val="right" w:leader="dot" w:pos="9016"/>
            </w:tabs>
            <w:rPr>
              <w:noProof/>
            </w:rPr>
          </w:pPr>
          <w:hyperlink w:anchor="_Toc237486018" w:history="1">
            <w:r w:rsidRPr="00B6145C">
              <w:rPr>
                <w:rStyle w:val="Hyperlink"/>
                <w:rFonts w:ascii="Arial" w:hAnsi="Arial" w:cs="Arial"/>
                <w:b/>
                <w:bCs/>
                <w:noProof/>
              </w:rPr>
              <w:t>Current Debates and Emerging Issues:</w:t>
            </w:r>
            <w:r>
              <w:rPr>
                <w:noProof/>
                <w:webHidden/>
              </w:rPr>
              <w:tab/>
            </w:r>
            <w:r>
              <w:rPr>
                <w:noProof/>
                <w:webHidden/>
              </w:rPr>
              <w:fldChar w:fldCharType="begin"/>
            </w:r>
            <w:r>
              <w:rPr>
                <w:noProof/>
                <w:webHidden/>
              </w:rPr>
              <w:instrText xml:space="preserve"> PAGEREF _Toc237486018 \h </w:instrText>
            </w:r>
            <w:r>
              <w:rPr>
                <w:noProof/>
                <w:webHidden/>
              </w:rPr>
            </w:r>
            <w:r>
              <w:rPr>
                <w:noProof/>
                <w:webHidden/>
              </w:rPr>
              <w:fldChar w:fldCharType="separate"/>
            </w:r>
            <w:r>
              <w:rPr>
                <w:noProof/>
                <w:webHidden/>
              </w:rPr>
              <w:t>5</w:t>
            </w:r>
            <w:r>
              <w:rPr>
                <w:noProof/>
                <w:webHidden/>
              </w:rPr>
              <w:fldChar w:fldCharType="end"/>
            </w:r>
          </w:hyperlink>
        </w:p>
        <w:p w14:paraId="5B2F724A" w14:textId="270DEF3D" w:rsidR="00EF202F" w:rsidRDefault="00EF202F">
          <w:pPr>
            <w:pStyle w:val="TOC1"/>
            <w:tabs>
              <w:tab w:val="right" w:leader="dot" w:pos="9016"/>
            </w:tabs>
            <w:rPr>
              <w:noProof/>
            </w:rPr>
          </w:pPr>
          <w:hyperlink w:anchor="_Toc237486019" w:history="1">
            <w:r w:rsidRPr="00B6145C">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_Toc237486019 \h </w:instrText>
            </w:r>
            <w:r>
              <w:rPr>
                <w:noProof/>
                <w:webHidden/>
              </w:rPr>
            </w:r>
            <w:r>
              <w:rPr>
                <w:noProof/>
                <w:webHidden/>
              </w:rPr>
              <w:fldChar w:fldCharType="separate"/>
            </w:r>
            <w:r>
              <w:rPr>
                <w:noProof/>
                <w:webHidden/>
              </w:rPr>
              <w:t>6</w:t>
            </w:r>
            <w:r>
              <w:rPr>
                <w:noProof/>
                <w:webHidden/>
              </w:rPr>
              <w:fldChar w:fldCharType="end"/>
            </w:r>
          </w:hyperlink>
        </w:p>
        <w:p w14:paraId="464061FD" w14:textId="791F0A4F" w:rsidR="00EF202F" w:rsidRDefault="00EF202F">
          <w:pPr>
            <w:pStyle w:val="TOC1"/>
            <w:tabs>
              <w:tab w:val="right" w:leader="dot" w:pos="9016"/>
            </w:tabs>
            <w:rPr>
              <w:noProof/>
            </w:rPr>
          </w:pPr>
          <w:hyperlink w:anchor="_Toc237486020" w:history="1">
            <w:r w:rsidRPr="00B6145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_Toc237486020 \h </w:instrText>
            </w:r>
            <w:r>
              <w:rPr>
                <w:noProof/>
                <w:webHidden/>
              </w:rPr>
            </w:r>
            <w:r>
              <w:rPr>
                <w:noProof/>
                <w:webHidden/>
              </w:rPr>
              <w:fldChar w:fldCharType="separate"/>
            </w:r>
            <w:r>
              <w:rPr>
                <w:noProof/>
                <w:webHidden/>
              </w:rPr>
              <w:t>7</w:t>
            </w:r>
            <w:r>
              <w:rPr>
                <w:noProof/>
                <w:webHidden/>
              </w:rPr>
              <w:fldChar w:fldCharType="end"/>
            </w:r>
          </w:hyperlink>
        </w:p>
        <w:p w14:paraId="2EFC1056" w14:textId="1AC01E6E" w:rsidR="00EF202F" w:rsidRDefault="00EF202F">
          <w:pPr>
            <w:pStyle w:val="TOC1"/>
            <w:tabs>
              <w:tab w:val="right" w:leader="dot" w:pos="9016"/>
            </w:tabs>
            <w:rPr>
              <w:noProof/>
            </w:rPr>
          </w:pPr>
          <w:hyperlink w:anchor="_Toc237486021" w:history="1">
            <w:r w:rsidRPr="00B6145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_Toc237486021 \h </w:instrText>
            </w:r>
            <w:r>
              <w:rPr>
                <w:noProof/>
                <w:webHidden/>
              </w:rPr>
            </w:r>
            <w:r>
              <w:rPr>
                <w:noProof/>
                <w:webHidden/>
              </w:rPr>
              <w:fldChar w:fldCharType="separate"/>
            </w:r>
            <w:r>
              <w:rPr>
                <w:noProof/>
                <w:webHidden/>
              </w:rPr>
              <w:t>8</w:t>
            </w:r>
            <w:r>
              <w:rPr>
                <w:noProof/>
                <w:webHidden/>
              </w:rPr>
              <w:fldChar w:fldCharType="end"/>
            </w:r>
          </w:hyperlink>
        </w:p>
        <w:p w14:paraId="6AA75EDE" w14:textId="575C185C" w:rsidR="00EF202F" w:rsidRDefault="00EF202F">
          <w:r>
            <w:rPr>
              <w:b/>
              <w:bCs/>
            </w:rPr>
            <w:fldChar w:fldCharType="end"/>
          </w:r>
        </w:p>
      </w:sdtContent>
    </w:sdt>
    <w:p w14:paraId="7185B7F1" w14:textId="77777777" w:rsidR="00A71AEC" w:rsidRDefault="00A71AEC">
      <w:pPr>
        <w:rPr>
          <w:b/>
          <w:bCs/>
        </w:rPr>
      </w:pPr>
    </w:p>
    <w:p w14:paraId="26F4520E" w14:textId="77777777" w:rsidR="00A71AEC" w:rsidRDefault="00A71AEC">
      <w:pPr>
        <w:rPr>
          <w:b/>
          <w:bCs/>
        </w:rPr>
      </w:pPr>
    </w:p>
    <w:p w14:paraId="498A1D0F" w14:textId="01CABB8D" w:rsidR="00A71AEC" w:rsidRDefault="00A71AEC">
      <w:pPr>
        <w:rPr>
          <w:b/>
          <w:bCs/>
        </w:rPr>
      </w:pPr>
    </w:p>
    <w:p w14:paraId="0326F973" w14:textId="30E155C7" w:rsidR="00A71AEC" w:rsidRDefault="00453A01" w:rsidP="00453A01">
      <w:pPr>
        <w:pStyle w:val="Heading1"/>
        <w:rPr>
          <w:rFonts w:ascii="Arial" w:hAnsi="Arial" w:cs="Arial"/>
          <w:b/>
          <w:bCs/>
          <w:color w:val="auto"/>
          <w:sz w:val="28"/>
          <w:szCs w:val="28"/>
        </w:rPr>
      </w:pPr>
      <w:bookmarkStart w:id="0" w:name="_Toc237486015"/>
      <w:r>
        <w:rPr>
          <w:rFonts w:ascii="Arial" w:hAnsi="Arial" w:cs="Arial"/>
          <w:b/>
          <w:bCs/>
          <w:color w:val="auto"/>
          <w:sz w:val="28"/>
          <w:szCs w:val="28"/>
        </w:rPr>
        <w:t>Introduction</w:t>
      </w:r>
      <w:bookmarkEnd w:id="0"/>
      <w:r>
        <w:rPr>
          <w:rFonts w:ascii="Arial" w:hAnsi="Arial" w:cs="Arial"/>
          <w:b/>
          <w:bCs/>
          <w:color w:val="auto"/>
          <w:sz w:val="28"/>
          <w:szCs w:val="28"/>
        </w:rPr>
        <w:t xml:space="preserve"> </w:t>
      </w:r>
    </w:p>
    <w:p w14:paraId="70DDF277" w14:textId="7103CD8E" w:rsidR="005A5834" w:rsidRPr="005A5834" w:rsidRDefault="005A5834" w:rsidP="005929B0">
      <w:pPr>
        <w:spacing w:line="360" w:lineRule="auto"/>
        <w:rPr>
          <w:rFonts w:ascii="Arial" w:hAnsi="Arial" w:cs="Arial"/>
          <w:sz w:val="22"/>
          <w:szCs w:val="22"/>
        </w:rPr>
      </w:pPr>
      <w:r w:rsidRPr="005A5834">
        <w:rPr>
          <w:rFonts w:ascii="Arial" w:hAnsi="Arial" w:cs="Arial"/>
          <w:sz w:val="22"/>
          <w:szCs w:val="22"/>
        </w:rPr>
        <w:t>Bulimia nervosa is a serious eating disorder characterised by recurrent episodes of binge eating followed by compensatory behaviours intended to prevent weight gain, such as self-induced vomiting, fasting or excessive exercise (World Health Organization, 2022). The condition can have significant psychological, physical and social consequences and may affect individuals regardless of gender, age or body size</w:t>
      </w:r>
      <w:r w:rsidR="00EC76BB">
        <w:rPr>
          <w:rFonts w:ascii="Arial" w:hAnsi="Arial" w:cs="Arial"/>
          <w:sz w:val="22"/>
          <w:szCs w:val="22"/>
        </w:rPr>
        <w:t xml:space="preserve"> </w:t>
      </w:r>
      <w:r w:rsidR="00EC76BB" w:rsidRPr="00EC76BB">
        <w:rPr>
          <w:rFonts w:ascii="Arial" w:hAnsi="Arial" w:cs="Arial"/>
          <w:sz w:val="22"/>
          <w:szCs w:val="22"/>
        </w:rPr>
        <w:t>(McNaught, Treasure and Pollard, 2022).</w:t>
      </w:r>
      <w:r w:rsidR="00EC76BB">
        <w:rPr>
          <w:rFonts w:ascii="Arial" w:hAnsi="Arial" w:cs="Arial"/>
          <w:sz w:val="22"/>
          <w:szCs w:val="22"/>
        </w:rPr>
        <w:t xml:space="preserve"> </w:t>
      </w:r>
      <w:r w:rsidRPr="005A5834">
        <w:rPr>
          <w:rFonts w:ascii="Arial" w:hAnsi="Arial" w:cs="Arial"/>
          <w:sz w:val="22"/>
          <w:szCs w:val="22"/>
        </w:rPr>
        <w:t>Within the UK, appropriate recognition and access to evidence-based treatment are therefore important for reducing health risks and supporting recovery (NICE, 2017).</w:t>
      </w:r>
    </w:p>
    <w:p w14:paraId="13457832" w14:textId="0F665F8A" w:rsidR="00450B45" w:rsidRPr="00450B45" w:rsidRDefault="005A5834" w:rsidP="005929B0">
      <w:pPr>
        <w:spacing w:line="360" w:lineRule="auto"/>
        <w:rPr>
          <w:rFonts w:ascii="Arial" w:hAnsi="Arial" w:cs="Arial"/>
          <w:sz w:val="22"/>
          <w:szCs w:val="22"/>
        </w:rPr>
      </w:pPr>
      <w:r w:rsidRPr="005A5834">
        <w:rPr>
          <w:rFonts w:ascii="Arial" w:hAnsi="Arial" w:cs="Arial"/>
          <w:sz w:val="22"/>
          <w:szCs w:val="22"/>
        </w:rPr>
        <w:t xml:space="preserve">This report critically examines bulimia nervosa within the framework of the International Classification of Diseases, 11th Revision (ICD-11), with </w:t>
      </w:r>
      <w:proofErr w:type="gramStart"/>
      <w:r w:rsidRPr="005A5834">
        <w:rPr>
          <w:rFonts w:ascii="Arial" w:hAnsi="Arial" w:cs="Arial"/>
          <w:sz w:val="22"/>
          <w:szCs w:val="22"/>
        </w:rPr>
        <w:t>particular consideration</w:t>
      </w:r>
      <w:proofErr w:type="gramEnd"/>
      <w:r w:rsidRPr="005A5834">
        <w:rPr>
          <w:rFonts w:ascii="Arial" w:hAnsi="Arial" w:cs="Arial"/>
          <w:sz w:val="22"/>
          <w:szCs w:val="22"/>
        </w:rPr>
        <w:t xml:space="preserve"> of UK clinical practice. It explores the classification and diagnostic process, evaluates current treatment and rehabilitation approaches, and considers their effectiveness and limitations. The report also examines contemporary debates surrounding diagnostic classification, treatment and neurodivergence, including the implications for practice and policy. Finally, recommendations are presented for improving early identification, person-centred treatment, rehabilitation and future research.</w:t>
      </w:r>
    </w:p>
    <w:p w14:paraId="468668D3" w14:textId="5989B95B" w:rsidR="00453A01" w:rsidRDefault="00453A01" w:rsidP="00453A01">
      <w:pPr>
        <w:pStyle w:val="Heading1"/>
        <w:rPr>
          <w:rFonts w:ascii="Arial" w:hAnsi="Arial" w:cs="Arial"/>
          <w:b/>
          <w:bCs/>
          <w:color w:val="auto"/>
          <w:sz w:val="28"/>
          <w:szCs w:val="28"/>
        </w:rPr>
      </w:pPr>
      <w:bookmarkStart w:id="1" w:name="_Toc237486016"/>
      <w:r w:rsidRPr="00453A01">
        <w:rPr>
          <w:rFonts w:ascii="Arial" w:hAnsi="Arial" w:cs="Arial"/>
          <w:b/>
          <w:bCs/>
          <w:color w:val="auto"/>
          <w:sz w:val="28"/>
          <w:szCs w:val="28"/>
        </w:rPr>
        <w:t>Classification and Diagnosis</w:t>
      </w:r>
      <w:bookmarkEnd w:id="1"/>
      <w:r w:rsidRPr="00453A01">
        <w:rPr>
          <w:rFonts w:ascii="Arial" w:hAnsi="Arial" w:cs="Arial"/>
          <w:b/>
          <w:bCs/>
          <w:color w:val="auto"/>
          <w:sz w:val="28"/>
          <w:szCs w:val="28"/>
        </w:rPr>
        <w:t> </w:t>
      </w:r>
    </w:p>
    <w:p w14:paraId="19E74221" w14:textId="77777777" w:rsidR="005C1DAE" w:rsidRPr="005C1DAE" w:rsidRDefault="005C1DAE" w:rsidP="005929B0">
      <w:pPr>
        <w:spacing w:line="360" w:lineRule="auto"/>
        <w:rPr>
          <w:rFonts w:ascii="Arial" w:hAnsi="Arial" w:cs="Arial"/>
          <w:sz w:val="22"/>
          <w:szCs w:val="22"/>
        </w:rPr>
      </w:pPr>
      <w:r w:rsidRPr="005C1DAE">
        <w:rPr>
          <w:rFonts w:ascii="Arial" w:hAnsi="Arial" w:cs="Arial"/>
          <w:sz w:val="22"/>
          <w:szCs w:val="22"/>
        </w:rPr>
        <w:t xml:space="preserve">Bulimia nervosa is classified in the International Classification of Diseases, 11th Revision (ICD-11), under the code 6B81, within Feeding or </w:t>
      </w:r>
      <w:proofErr w:type="gramStart"/>
      <w:r w:rsidRPr="005C1DAE">
        <w:rPr>
          <w:rFonts w:ascii="Arial" w:hAnsi="Arial" w:cs="Arial"/>
          <w:sz w:val="22"/>
          <w:szCs w:val="22"/>
        </w:rPr>
        <w:t>Eating Disorders</w:t>
      </w:r>
      <w:proofErr w:type="gramEnd"/>
      <w:r w:rsidRPr="005C1DAE">
        <w:rPr>
          <w:rFonts w:ascii="Arial" w:hAnsi="Arial" w:cs="Arial"/>
          <w:sz w:val="22"/>
          <w:szCs w:val="22"/>
        </w:rPr>
        <w:t xml:space="preserve"> in Chapter 6, Mental, Behavioural or Neurodevelopmental Disorders (World Health Organization, 2022). This classification identifies bulimia nervosa primarily as a mental and behavioural disorder, although it can also result in significant physical complications. In UK practice, ICD-11 classification is supported by National Institute for Health and Care Excellence (NICE) guidance on the recognition, assessment and treatment of eating disorders (NICE, 2017).</w:t>
      </w:r>
    </w:p>
    <w:p w14:paraId="62940465" w14:textId="77777777" w:rsidR="005C1DAE" w:rsidRPr="005C1DAE" w:rsidRDefault="005C1DAE" w:rsidP="005929B0">
      <w:pPr>
        <w:spacing w:line="360" w:lineRule="auto"/>
        <w:rPr>
          <w:rFonts w:ascii="Arial" w:hAnsi="Arial" w:cs="Arial"/>
          <w:sz w:val="22"/>
          <w:szCs w:val="22"/>
        </w:rPr>
      </w:pPr>
      <w:r w:rsidRPr="005C1DAE">
        <w:rPr>
          <w:rFonts w:ascii="Arial" w:hAnsi="Arial" w:cs="Arial"/>
          <w:sz w:val="22"/>
          <w:szCs w:val="22"/>
        </w:rPr>
        <w:t>The ICD-11 characterises bulimia nervosa by recurrent episodes of binge eating accompanied by a perceived loss of control and repeated compensatory behaviours intended to prevent weight gain. These may include self-induced vomiting, fasting, excessive exercise or misuse of laxatives and other medications. Excessive concern about body weight and shape is also a significant characteristic (World Health Organization, 2022). Therefore, diagnosis considers psychological and behavioural features rather than food intake alone.</w:t>
      </w:r>
    </w:p>
    <w:p w14:paraId="49AD2BBA" w14:textId="77777777" w:rsidR="005C1DAE" w:rsidRDefault="005C1DAE" w:rsidP="005929B0">
      <w:pPr>
        <w:spacing w:line="360" w:lineRule="auto"/>
        <w:rPr>
          <w:rFonts w:ascii="Arial" w:hAnsi="Arial" w:cs="Arial"/>
          <w:sz w:val="22"/>
          <w:szCs w:val="22"/>
        </w:rPr>
      </w:pPr>
      <w:r w:rsidRPr="005C1DAE">
        <w:rPr>
          <w:rFonts w:ascii="Arial" w:hAnsi="Arial" w:cs="Arial"/>
          <w:sz w:val="22"/>
          <w:szCs w:val="22"/>
        </w:rPr>
        <w:lastRenderedPageBreak/>
        <w:t>Importantly, individuals with bulimia nervosa are not necessarily underweight. NICE (2017) recommends that healthcare professionals should not use a single measure, such as body mass index (BMI) or duration of illness, to determine whether treatment is required. Assessment should instead consider binge eating, restrictive eating, vomiting, excessive exercise, concerns about weight and shape, physical symptoms and changes in psychosocial functioning (NICE, 2017). This broader approach may reduce the risk of delayed or missed diagnosis among people who do not fit common stereotypes of eating disorders.</w:t>
      </w:r>
    </w:p>
    <w:p w14:paraId="625EC5D3" w14:textId="6C038184" w:rsidR="00E5778F" w:rsidRPr="005C1DAE" w:rsidRDefault="00E5778F" w:rsidP="005929B0">
      <w:pPr>
        <w:spacing w:line="360" w:lineRule="auto"/>
        <w:rPr>
          <w:rFonts w:ascii="Arial" w:hAnsi="Arial" w:cs="Arial"/>
          <w:sz w:val="22"/>
          <w:szCs w:val="22"/>
        </w:rPr>
      </w:pPr>
      <w:r w:rsidRPr="00E5778F">
        <w:rPr>
          <w:rFonts w:ascii="Arial" w:hAnsi="Arial" w:cs="Arial"/>
          <w:sz w:val="22"/>
          <w:szCs w:val="22"/>
        </w:rPr>
        <w:t>However, while broader assessment may improve recognition, it also increases reliance on professional judgement, highlighting the importance of appropriate training and consistent assessment across UK services.</w:t>
      </w:r>
    </w:p>
    <w:p w14:paraId="554F225F" w14:textId="77777777" w:rsidR="005C1DAE" w:rsidRDefault="005C1DAE" w:rsidP="005929B0">
      <w:pPr>
        <w:spacing w:line="360" w:lineRule="auto"/>
        <w:rPr>
          <w:rFonts w:ascii="Arial" w:hAnsi="Arial" w:cs="Arial"/>
          <w:sz w:val="22"/>
          <w:szCs w:val="22"/>
        </w:rPr>
      </w:pPr>
      <w:r w:rsidRPr="005C1DAE">
        <w:rPr>
          <w:rFonts w:ascii="Arial" w:hAnsi="Arial" w:cs="Arial"/>
          <w:sz w:val="22"/>
          <w:szCs w:val="22"/>
        </w:rPr>
        <w:t>Within UK practice, initial identification may occur in primary care through a GP or other healthcare professional. When an eating disorder is suspected, assessment should consider both physical and mental health and associated difficulties such as depression, anxiety, self-harm, substance misuse and suicide risk (NICE, 2017). Physical assessment is also important because recurrent purging can cause dehydration, electrolyte abnormalities and cardiovascular complications. Blood tests and electrocardiogram (ECG) monitoring may therefore be considered according to individual medical risk (NICE, 2017). However, these investigations support risk assessment rather than independently diagnosing bulimia nervosa.</w:t>
      </w:r>
    </w:p>
    <w:p w14:paraId="2FD31EAB" w14:textId="404FED4B" w:rsidR="00771BDA" w:rsidRPr="00771BDA" w:rsidRDefault="005C1DAE" w:rsidP="005929B0">
      <w:pPr>
        <w:spacing w:line="360" w:lineRule="auto"/>
        <w:rPr>
          <w:rFonts w:ascii="Arial" w:hAnsi="Arial" w:cs="Arial"/>
          <w:sz w:val="22"/>
          <w:szCs w:val="22"/>
        </w:rPr>
      </w:pPr>
      <w:r w:rsidRPr="005C1DAE">
        <w:rPr>
          <w:rFonts w:ascii="Arial" w:hAnsi="Arial" w:cs="Arial"/>
          <w:sz w:val="22"/>
          <w:szCs w:val="22"/>
        </w:rPr>
        <w:t xml:space="preserve">The terminology used within classification is also important. ICD-11 uses the term “disorder”, placing bulimia nervosa within Feeding or </w:t>
      </w:r>
      <w:proofErr w:type="gramStart"/>
      <w:r w:rsidRPr="005C1DAE">
        <w:rPr>
          <w:rFonts w:ascii="Arial" w:hAnsi="Arial" w:cs="Arial"/>
          <w:sz w:val="22"/>
          <w:szCs w:val="22"/>
        </w:rPr>
        <w:t>Eating Disorders</w:t>
      </w:r>
      <w:proofErr w:type="gramEnd"/>
      <w:r w:rsidRPr="005C1DAE">
        <w:rPr>
          <w:rFonts w:ascii="Arial" w:hAnsi="Arial" w:cs="Arial"/>
          <w:sz w:val="22"/>
          <w:szCs w:val="22"/>
        </w:rPr>
        <w:t xml:space="preserve"> (World Health Organization, 2022). Similarly, NICE uses “eating disorder”, while the NHS describes bulimia as an eating disorder and serious mental health condition (NHS, 2024). Although “disorder” provides consistency in clinical diagnosis, person-centred terminology such as “condition” may be perceived as less stigmatising. Consequently, healthcare professionals should maintain accurate diagnostic terminology while communicating respectfully and avoiding language that defines individuals solely by their diagnosis.</w:t>
      </w:r>
    </w:p>
    <w:p w14:paraId="25BD8313" w14:textId="1398CD8D" w:rsidR="00453A01" w:rsidRDefault="00453A01" w:rsidP="00453A01">
      <w:pPr>
        <w:pStyle w:val="Heading1"/>
        <w:rPr>
          <w:rFonts w:ascii="Arial" w:hAnsi="Arial" w:cs="Arial"/>
          <w:b/>
          <w:bCs/>
          <w:color w:val="auto"/>
          <w:sz w:val="28"/>
          <w:szCs w:val="28"/>
        </w:rPr>
      </w:pPr>
      <w:bookmarkStart w:id="2" w:name="_Toc237486017"/>
      <w:r w:rsidRPr="00453A01">
        <w:rPr>
          <w:rFonts w:ascii="Arial" w:hAnsi="Arial" w:cs="Arial"/>
          <w:b/>
          <w:bCs/>
          <w:color w:val="auto"/>
          <w:sz w:val="28"/>
          <w:szCs w:val="28"/>
        </w:rPr>
        <w:t>Treatment and Rehabilitation</w:t>
      </w:r>
      <w:bookmarkEnd w:id="2"/>
    </w:p>
    <w:p w14:paraId="1169D9DA" w14:textId="77777777" w:rsidR="00547553" w:rsidRPr="00547553" w:rsidRDefault="00547553" w:rsidP="005929B0">
      <w:pPr>
        <w:spacing w:line="360" w:lineRule="auto"/>
        <w:rPr>
          <w:rFonts w:ascii="Arial" w:hAnsi="Arial" w:cs="Arial"/>
          <w:sz w:val="22"/>
          <w:szCs w:val="22"/>
        </w:rPr>
      </w:pPr>
      <w:r w:rsidRPr="00547553">
        <w:rPr>
          <w:rFonts w:ascii="Arial" w:hAnsi="Arial" w:cs="Arial"/>
          <w:sz w:val="22"/>
          <w:szCs w:val="22"/>
        </w:rPr>
        <w:t xml:space="preserve">Treatment for bulimia nervosa in the UK combines psychological intervention with physical health monitoring and nutritional support. NICE recommends bulimia-nervosa-focused guided self-help as an initial treatment for adults, using cognitive behavioural principles with support from a trained practitioner (NICE, 2017). This approach is less intensive and may </w:t>
      </w:r>
      <w:r w:rsidRPr="00547553">
        <w:rPr>
          <w:rFonts w:ascii="Arial" w:hAnsi="Arial" w:cs="Arial"/>
          <w:sz w:val="22"/>
          <w:szCs w:val="22"/>
        </w:rPr>
        <w:lastRenderedPageBreak/>
        <w:t>improve accessibility; however, it may be insufficient for individuals with complex psychological difficulties, significant medical risks or limited ability to engage independently.</w:t>
      </w:r>
    </w:p>
    <w:p w14:paraId="705BCE57" w14:textId="24E85D2C" w:rsidR="00547553" w:rsidRPr="00547553" w:rsidRDefault="00547553" w:rsidP="005929B0">
      <w:pPr>
        <w:spacing w:line="360" w:lineRule="auto"/>
        <w:rPr>
          <w:rFonts w:ascii="Arial" w:hAnsi="Arial" w:cs="Arial"/>
          <w:sz w:val="22"/>
          <w:szCs w:val="22"/>
        </w:rPr>
      </w:pPr>
      <w:r w:rsidRPr="00547553">
        <w:rPr>
          <w:rFonts w:ascii="Arial" w:hAnsi="Arial" w:cs="Arial"/>
          <w:sz w:val="22"/>
          <w:szCs w:val="22"/>
        </w:rPr>
        <w:t>If guided self-help is ineffective or unsuitable, NICE recommends cognitive behavioural therapy for eating disorders (CBT-ED). For adults, this usually involves up to 20 sessions over approximately 20 weeks and addresses regular eating, binge-purge behaviours and beliefs concerning body weight and shape, followed by relapse-prevention strategies (NICE, 2017). CBT-ED is valuable because it addresses both behavioural and psychological factors maintaining bulimia nervosa</w:t>
      </w:r>
      <w:r w:rsidR="001F1446">
        <w:rPr>
          <w:rFonts w:ascii="Arial" w:hAnsi="Arial" w:cs="Arial"/>
          <w:sz w:val="22"/>
          <w:szCs w:val="22"/>
        </w:rPr>
        <w:t>.</w:t>
      </w:r>
      <w:r w:rsidR="00C2146D" w:rsidRPr="00C2146D">
        <w:t xml:space="preserve"> </w:t>
      </w:r>
      <w:r w:rsidR="00C2146D" w:rsidRPr="00C2146D">
        <w:rPr>
          <w:rFonts w:ascii="Arial" w:hAnsi="Arial" w:cs="Arial"/>
          <w:sz w:val="22"/>
          <w:szCs w:val="22"/>
        </w:rPr>
        <w:t>Evidence from a network meta-analysis also suggests that individual CBT and guided cognitive behavioural self-help are among the interventions most likely to achieve remission in adults with bulimia nervosa, although limitations in the evidence base remain (Slade et al., 2018)</w:t>
      </w:r>
      <w:r w:rsidRPr="00547553">
        <w:rPr>
          <w:rFonts w:ascii="Arial" w:hAnsi="Arial" w:cs="Arial"/>
          <w:sz w:val="22"/>
          <w:szCs w:val="22"/>
        </w:rPr>
        <w:t>. Nevertheless, treatment outcomes vary, particularly where depression, anxiety, trauma or other difficulties coexist. Therefore, evidence-based treatment should remain responsive to individual needs.</w:t>
      </w:r>
    </w:p>
    <w:p w14:paraId="12FFEFF6" w14:textId="6A31BB4D" w:rsidR="00547553" w:rsidRPr="00547553" w:rsidRDefault="00547553" w:rsidP="005929B0">
      <w:pPr>
        <w:spacing w:line="360" w:lineRule="auto"/>
        <w:rPr>
          <w:rFonts w:ascii="Arial" w:hAnsi="Arial" w:cs="Arial"/>
          <w:sz w:val="22"/>
          <w:szCs w:val="22"/>
        </w:rPr>
      </w:pPr>
      <w:r w:rsidRPr="00547553">
        <w:rPr>
          <w:rFonts w:ascii="Arial" w:hAnsi="Arial" w:cs="Arial"/>
          <w:sz w:val="22"/>
          <w:szCs w:val="22"/>
        </w:rPr>
        <w:t>For children and young people, NICE recommends considering bulimia-nervosa-focused family therapy, with individual CBT-ED as an alternative when family therapy is inappropriate or ineffective (NICE, 2017). Family involvement can provide practical and emotional support, although its effectiveness may be limited where family relationships are difficult or the young person is uncomfortable involving relatives.</w:t>
      </w:r>
    </w:p>
    <w:p w14:paraId="7FA57EF7" w14:textId="77777777" w:rsidR="00547553" w:rsidRPr="00547553" w:rsidRDefault="00547553" w:rsidP="005929B0">
      <w:pPr>
        <w:spacing w:line="360" w:lineRule="auto"/>
        <w:rPr>
          <w:rFonts w:ascii="Arial" w:hAnsi="Arial" w:cs="Arial"/>
          <w:sz w:val="22"/>
          <w:szCs w:val="22"/>
        </w:rPr>
      </w:pPr>
      <w:r w:rsidRPr="00547553">
        <w:rPr>
          <w:rFonts w:ascii="Arial" w:hAnsi="Arial" w:cs="Arial"/>
          <w:sz w:val="22"/>
          <w:szCs w:val="22"/>
        </w:rPr>
        <w:t>Physical monitoring is also essential because repeated vomiting and other compensatory behaviours can cause dehydration, electrolyte disturbances and cardiovascular complications. NICE recommends appropriate medical assessment, while the Royal College of Psychiatrists’ Medical Emergencies in Eating Disorders (MEED) guidance supports the identification and management of serious physical risk (Royal College of Psychiatrists, 2022). Severe cases may require urgent medical intervention or inpatient treatment, demonstrating the importance of integrating physical and mental healthcare.</w:t>
      </w:r>
    </w:p>
    <w:p w14:paraId="52929E42" w14:textId="77777777" w:rsidR="00547553" w:rsidRPr="00547553" w:rsidRDefault="00547553" w:rsidP="005929B0">
      <w:pPr>
        <w:spacing w:line="360" w:lineRule="auto"/>
        <w:rPr>
          <w:rFonts w:ascii="Arial" w:hAnsi="Arial" w:cs="Arial"/>
          <w:sz w:val="22"/>
          <w:szCs w:val="22"/>
        </w:rPr>
      </w:pPr>
      <w:r w:rsidRPr="00547553">
        <w:rPr>
          <w:rFonts w:ascii="Arial" w:hAnsi="Arial" w:cs="Arial"/>
          <w:sz w:val="22"/>
          <w:szCs w:val="22"/>
        </w:rPr>
        <w:t>The ICD-11 classifies bulimia nervosa but does not prescribe a specific rehabilitation programme. In UK practice, rehabilitation therefore involves broader recovery measures including establishing regular eating patterns, nutritional support, psychological therapy, physical monitoring and relapse prevention (World Health Organization, 2022; NICE, 2017). Multidisciplinary care may involve psychologists, psychiatrists, nurses, therapists and dietetic professionals, depending on individual needs.</w:t>
      </w:r>
    </w:p>
    <w:p w14:paraId="4AC1DDC2" w14:textId="77777777" w:rsidR="00547553" w:rsidRDefault="00547553" w:rsidP="005929B0">
      <w:pPr>
        <w:spacing w:line="360" w:lineRule="auto"/>
        <w:rPr>
          <w:rFonts w:ascii="Arial" w:hAnsi="Arial" w:cs="Arial"/>
          <w:sz w:val="22"/>
          <w:szCs w:val="22"/>
        </w:rPr>
      </w:pPr>
      <w:r w:rsidRPr="00547553">
        <w:rPr>
          <w:rFonts w:ascii="Arial" w:hAnsi="Arial" w:cs="Arial"/>
          <w:sz w:val="22"/>
          <w:szCs w:val="22"/>
        </w:rPr>
        <w:t xml:space="preserve">Rehabilitation should also support psychological and social recovery, including improved body image, emotional wellbeing and participation in education, employment and relationships. Although reducing binge eating and purging is an important outcome, symptom </w:t>
      </w:r>
      <w:r w:rsidRPr="00547553">
        <w:rPr>
          <w:rFonts w:ascii="Arial" w:hAnsi="Arial" w:cs="Arial"/>
          <w:sz w:val="22"/>
          <w:szCs w:val="22"/>
        </w:rPr>
        <w:lastRenderedPageBreak/>
        <w:t>reduction alone does not necessarily represent complete recovery. Continuing psychological difficulties and risk of relapse may require longer-term support.</w:t>
      </w:r>
    </w:p>
    <w:p w14:paraId="77931DB3" w14:textId="7A12C864" w:rsidR="00437D48" w:rsidRPr="00547553" w:rsidRDefault="00575C48" w:rsidP="005929B0">
      <w:pPr>
        <w:spacing w:line="360" w:lineRule="auto"/>
        <w:rPr>
          <w:rFonts w:ascii="Arial" w:hAnsi="Arial" w:cs="Arial"/>
          <w:sz w:val="22"/>
          <w:szCs w:val="22"/>
        </w:rPr>
      </w:pPr>
      <w:r w:rsidRPr="00575C48">
        <w:rPr>
          <w:rFonts w:ascii="Arial" w:hAnsi="Arial" w:cs="Arial"/>
          <w:sz w:val="22"/>
          <w:szCs w:val="22"/>
        </w:rPr>
        <w:t>A further limitation is that evidence-based treatment can only be effective when individuals are able to access and remain engaged with services. Therefore, availability, continuity of care and appropriate adaptation of treatment are important considerations alongside the effectiveness of the intervention itself.</w:t>
      </w:r>
    </w:p>
    <w:p w14:paraId="390798DA" w14:textId="2A92779E" w:rsidR="00C61F68" w:rsidRDefault="00547553" w:rsidP="005929B0">
      <w:pPr>
        <w:spacing w:line="360" w:lineRule="auto"/>
        <w:rPr>
          <w:rFonts w:ascii="Arial" w:hAnsi="Arial" w:cs="Arial"/>
          <w:sz w:val="22"/>
          <w:szCs w:val="22"/>
        </w:rPr>
      </w:pPr>
      <w:r w:rsidRPr="00547553">
        <w:rPr>
          <w:rFonts w:ascii="Arial" w:hAnsi="Arial" w:cs="Arial"/>
          <w:sz w:val="22"/>
          <w:szCs w:val="22"/>
        </w:rPr>
        <w:t>Overall, UK approaches provide evidence-based interventions for bulimia nervosa, particularly guided self-help and CBT-ED. However, effectiveness depends on engagement, individual circumstances, timely access to services and continuity of care. A person-centred, multidisciplinary approach that combines psychological, physical and social rehabilitation may therefore provide more sustainable recovery than reliance on a single intervention (NICE, 2017; Royal College of Psychiatrists, 2022)</w:t>
      </w:r>
      <w:r w:rsidR="00CF1460" w:rsidRPr="00CF1460">
        <w:rPr>
          <w:rFonts w:ascii="Arial" w:hAnsi="Arial" w:cs="Arial"/>
          <w:sz w:val="22"/>
          <w:szCs w:val="22"/>
        </w:rPr>
        <w:t>.</w:t>
      </w:r>
    </w:p>
    <w:p w14:paraId="6DE7B741" w14:textId="56AAA6C5" w:rsidR="00453A01" w:rsidRDefault="00453A01" w:rsidP="00453A01">
      <w:pPr>
        <w:pStyle w:val="Heading1"/>
        <w:rPr>
          <w:rFonts w:ascii="Arial" w:hAnsi="Arial" w:cs="Arial"/>
          <w:b/>
          <w:bCs/>
          <w:color w:val="auto"/>
          <w:sz w:val="28"/>
          <w:szCs w:val="28"/>
        </w:rPr>
      </w:pPr>
      <w:bookmarkStart w:id="3" w:name="_Toc237486018"/>
      <w:r w:rsidRPr="00453A01">
        <w:rPr>
          <w:rFonts w:ascii="Arial" w:hAnsi="Arial" w:cs="Arial"/>
          <w:b/>
          <w:bCs/>
          <w:color w:val="auto"/>
          <w:sz w:val="28"/>
          <w:szCs w:val="28"/>
        </w:rPr>
        <w:t>Current Debates and Emerging Issues</w:t>
      </w:r>
      <w:bookmarkEnd w:id="3"/>
      <w:r w:rsidRPr="00453A01">
        <w:rPr>
          <w:rFonts w:ascii="Arial" w:hAnsi="Arial" w:cs="Arial"/>
          <w:b/>
          <w:bCs/>
          <w:color w:val="auto"/>
          <w:sz w:val="28"/>
          <w:szCs w:val="28"/>
        </w:rPr>
        <w:t> </w:t>
      </w:r>
    </w:p>
    <w:p w14:paraId="40C1AD26" w14:textId="5FF526CF" w:rsidR="004A0E03" w:rsidRPr="004A0E03" w:rsidRDefault="004A0E03" w:rsidP="005929B0">
      <w:pPr>
        <w:spacing w:line="360" w:lineRule="auto"/>
        <w:rPr>
          <w:rFonts w:ascii="Arial" w:hAnsi="Arial" w:cs="Arial"/>
          <w:sz w:val="22"/>
          <w:szCs w:val="22"/>
        </w:rPr>
      </w:pPr>
      <w:r w:rsidRPr="004A0E03">
        <w:rPr>
          <w:rFonts w:ascii="Arial" w:hAnsi="Arial" w:cs="Arial"/>
          <w:sz w:val="22"/>
          <w:szCs w:val="22"/>
        </w:rPr>
        <w:t xml:space="preserve">An important debate surrounding bulimia nervosa concerns whether diagnostic classifications adequately represent the diversity of eating-disorder presentations. ICD-11 classifies bulimia nervosa as a Feeding or </w:t>
      </w:r>
      <w:proofErr w:type="gramStart"/>
      <w:r w:rsidRPr="004A0E03">
        <w:rPr>
          <w:rFonts w:ascii="Arial" w:hAnsi="Arial" w:cs="Arial"/>
          <w:sz w:val="22"/>
          <w:szCs w:val="22"/>
        </w:rPr>
        <w:t>Eating Disorder</w:t>
      </w:r>
      <w:proofErr w:type="gramEnd"/>
      <w:r w:rsidRPr="004A0E03">
        <w:rPr>
          <w:rFonts w:ascii="Arial" w:hAnsi="Arial" w:cs="Arial"/>
          <w:sz w:val="22"/>
          <w:szCs w:val="22"/>
        </w:rPr>
        <w:t>, providing consistency for diagnosis and communication between professionals (World Health Organization, 2022). However, diagnostic categories can create boundaries that do not always reflect individual experiences, particularly because symptoms and severity may change over time</w:t>
      </w:r>
      <w:r w:rsidR="006C1FF3">
        <w:rPr>
          <w:rFonts w:ascii="Arial" w:hAnsi="Arial" w:cs="Arial"/>
          <w:sz w:val="22"/>
          <w:szCs w:val="22"/>
        </w:rPr>
        <w:t>.</w:t>
      </w:r>
      <w:r w:rsidR="007A2850" w:rsidRPr="007A2850">
        <w:t xml:space="preserve"> </w:t>
      </w:r>
      <w:r w:rsidR="007A2850" w:rsidRPr="007A2850">
        <w:rPr>
          <w:rFonts w:ascii="Arial" w:hAnsi="Arial" w:cs="Arial"/>
          <w:sz w:val="22"/>
          <w:szCs w:val="22"/>
        </w:rPr>
        <w:t>This concern is consistent with the transdiagnostic perspective, which proposes that different eating disorders may share important psychological mechanisms despite being classified separately (Fairburn, Cooper and Shafran, 2003)</w:t>
      </w:r>
      <w:r w:rsidRPr="004A0E03">
        <w:rPr>
          <w:rFonts w:ascii="Arial" w:hAnsi="Arial" w:cs="Arial"/>
          <w:sz w:val="22"/>
          <w:szCs w:val="22"/>
        </w:rPr>
        <w:t>. A more flexible approach that considers individual presentation alongside diagnostic criteria may therefore support more person-centred assessment.</w:t>
      </w:r>
    </w:p>
    <w:p w14:paraId="1AC94E8B" w14:textId="666C8AB7" w:rsidR="004A0E03" w:rsidRPr="004A0E03" w:rsidRDefault="006106C4" w:rsidP="005929B0">
      <w:pPr>
        <w:spacing w:line="360" w:lineRule="auto"/>
        <w:rPr>
          <w:rFonts w:ascii="Arial" w:hAnsi="Arial" w:cs="Arial"/>
          <w:sz w:val="22"/>
          <w:szCs w:val="22"/>
        </w:rPr>
      </w:pPr>
      <w:r w:rsidRPr="006106C4">
        <w:rPr>
          <w:rFonts w:ascii="Arial" w:hAnsi="Arial" w:cs="Arial"/>
          <w:sz w:val="22"/>
          <w:szCs w:val="22"/>
        </w:rPr>
        <w:t>Bulimia nervosa can affect different genders, ages and body sizes, with UK data demonstrating cases of bulimia nervosa across both sexes and different age groups (NHS Digital, 2023), while NICE advises against using BMI alone to determine access to treatment (NICE, 2017).</w:t>
      </w:r>
      <w:r>
        <w:rPr>
          <w:rFonts w:ascii="Arial" w:hAnsi="Arial" w:cs="Arial"/>
          <w:sz w:val="22"/>
          <w:szCs w:val="22"/>
        </w:rPr>
        <w:t xml:space="preserve"> </w:t>
      </w:r>
      <w:r w:rsidR="004A0E03" w:rsidRPr="004A0E03">
        <w:rPr>
          <w:rFonts w:ascii="Arial" w:hAnsi="Arial" w:cs="Arial"/>
          <w:sz w:val="22"/>
          <w:szCs w:val="22"/>
        </w:rPr>
        <w:t>This has implications for UK practice because professionals should consider behavioural and psychological symptoms rather than assuming that eating disorders are primarily associated with being underweight.</w:t>
      </w:r>
      <w:r w:rsidR="009D3A28">
        <w:rPr>
          <w:rFonts w:ascii="Arial" w:hAnsi="Arial" w:cs="Arial"/>
          <w:sz w:val="22"/>
          <w:szCs w:val="22"/>
        </w:rPr>
        <w:t xml:space="preserve"> </w:t>
      </w:r>
      <w:r w:rsidR="009D3A28" w:rsidRPr="009D3A28">
        <w:rPr>
          <w:rFonts w:ascii="Arial" w:hAnsi="Arial" w:cs="Arial"/>
          <w:sz w:val="22"/>
          <w:szCs w:val="22"/>
        </w:rPr>
        <w:t>Furthermore, research indicates that people with marginalised social characteristics may experience eating-disorder symptoms without proportionately accessing treatment, highlighting inequalities in help-seeking and service utilisation (Wilkins et al., 2025).</w:t>
      </w:r>
    </w:p>
    <w:p w14:paraId="4DB47596" w14:textId="77777777" w:rsidR="004A0E03" w:rsidRPr="004A0E03" w:rsidRDefault="004A0E03" w:rsidP="005929B0">
      <w:pPr>
        <w:spacing w:line="360" w:lineRule="auto"/>
        <w:rPr>
          <w:rFonts w:ascii="Arial" w:hAnsi="Arial" w:cs="Arial"/>
          <w:sz w:val="22"/>
          <w:szCs w:val="22"/>
        </w:rPr>
      </w:pPr>
      <w:r w:rsidRPr="004A0E03">
        <w:rPr>
          <w:rFonts w:ascii="Arial" w:hAnsi="Arial" w:cs="Arial"/>
          <w:sz w:val="22"/>
          <w:szCs w:val="22"/>
        </w:rPr>
        <w:lastRenderedPageBreak/>
        <w:t>There is also debate regarding treatment. NICE recommends guided self-help and CBT-ED for adults with bulimia nervosa, but standardised interventions may not meet every individual’s needs (NICE, 2017). Co-existing mental health conditions, social circumstances and neurodevelopmental differences may influence engagement and treatment outcomes. Evidence-based approaches therefore need sufficient flexibility to respond to individual circumstances.</w:t>
      </w:r>
    </w:p>
    <w:p w14:paraId="75CB00BF" w14:textId="5B3FF024" w:rsidR="004A0E03" w:rsidRPr="004A0E03" w:rsidRDefault="004A0E03" w:rsidP="005929B0">
      <w:pPr>
        <w:spacing w:line="360" w:lineRule="auto"/>
        <w:rPr>
          <w:rFonts w:ascii="Arial" w:hAnsi="Arial" w:cs="Arial"/>
          <w:sz w:val="22"/>
          <w:szCs w:val="22"/>
        </w:rPr>
      </w:pPr>
      <w:r w:rsidRPr="004A0E03">
        <w:rPr>
          <w:rFonts w:ascii="Arial" w:hAnsi="Arial" w:cs="Arial"/>
          <w:sz w:val="22"/>
          <w:szCs w:val="22"/>
        </w:rPr>
        <w:t>Neurodivergence is an increasingly important issue within eating-disorder research, particularly regarding autism and attention deficit hyperactivity disorder (ADHD). Bulimia nervosa is not classified as a neurodevelopmental disorder, and neurodivergence does not provide a basis for automatically reclassifying it. Nevertheless, autism and ADHD can co-occur with eating disorders and potentially influence their presentation and treatment. Research has identified an association between autism and feeding or eating disorders, with co-occurrence potentially contributing to poorer treatment outcomes (Adams et al., 2024). ADHD-related characteristics, including impulsivity and difficulties with emotional regulation, have also been associated with overeating and bulimic symptoms (</w:t>
      </w:r>
      <w:proofErr w:type="spellStart"/>
      <w:r w:rsidRPr="004A0E03">
        <w:rPr>
          <w:rFonts w:ascii="Arial" w:hAnsi="Arial" w:cs="Arial"/>
          <w:sz w:val="22"/>
          <w:szCs w:val="22"/>
        </w:rPr>
        <w:t>Kaisari</w:t>
      </w:r>
      <w:proofErr w:type="spellEnd"/>
      <w:r w:rsidRPr="004A0E03">
        <w:rPr>
          <w:rFonts w:ascii="Arial" w:hAnsi="Arial" w:cs="Arial"/>
          <w:sz w:val="22"/>
          <w:szCs w:val="22"/>
        </w:rPr>
        <w:t xml:space="preserve">, </w:t>
      </w:r>
      <w:proofErr w:type="spellStart"/>
      <w:r w:rsidRPr="004A0E03">
        <w:rPr>
          <w:rFonts w:ascii="Arial" w:hAnsi="Arial" w:cs="Arial"/>
          <w:sz w:val="22"/>
          <w:szCs w:val="22"/>
        </w:rPr>
        <w:t>Dourish</w:t>
      </w:r>
      <w:proofErr w:type="spellEnd"/>
      <w:r w:rsidRPr="004A0E03">
        <w:rPr>
          <w:rFonts w:ascii="Arial" w:hAnsi="Arial" w:cs="Arial"/>
          <w:sz w:val="22"/>
          <w:szCs w:val="22"/>
        </w:rPr>
        <w:t xml:space="preserve"> and Higgs, 2017).</w:t>
      </w:r>
    </w:p>
    <w:p w14:paraId="650E7E42" w14:textId="77777777" w:rsidR="004A0E03" w:rsidRDefault="004A0E03" w:rsidP="005929B0">
      <w:pPr>
        <w:spacing w:line="360" w:lineRule="auto"/>
        <w:rPr>
          <w:rFonts w:ascii="Arial" w:hAnsi="Arial" w:cs="Arial"/>
          <w:sz w:val="22"/>
          <w:szCs w:val="22"/>
        </w:rPr>
      </w:pPr>
      <w:r w:rsidRPr="004A0E03">
        <w:rPr>
          <w:rFonts w:ascii="Arial" w:hAnsi="Arial" w:cs="Arial"/>
          <w:sz w:val="22"/>
          <w:szCs w:val="22"/>
        </w:rPr>
        <w:t>These associations require careful interpretation because autism or ADHD does not necessarily cause bulimia nervosa. Instead of reclassifying bulimia as a neurodevelopmental condition, services may need to adapt existing treatment to neurodivergent individuals. This could include clearer communication, greater predictability, consideration of sensory needs and personalised approaches to emotional regulation.</w:t>
      </w:r>
    </w:p>
    <w:p w14:paraId="060559A3" w14:textId="3B952DE5" w:rsidR="00C61F68" w:rsidRPr="00C61F68" w:rsidRDefault="004A0E03" w:rsidP="005929B0">
      <w:pPr>
        <w:spacing w:line="360" w:lineRule="auto"/>
        <w:rPr>
          <w:rFonts w:ascii="Arial" w:hAnsi="Arial" w:cs="Arial"/>
          <w:sz w:val="22"/>
          <w:szCs w:val="22"/>
        </w:rPr>
      </w:pPr>
      <w:r w:rsidRPr="004A0E03">
        <w:rPr>
          <w:rFonts w:ascii="Arial" w:hAnsi="Arial" w:cs="Arial"/>
          <w:sz w:val="22"/>
          <w:szCs w:val="22"/>
        </w:rPr>
        <w:t xml:space="preserve">These debates have implications for UK practice and policy. Professionals require appropriate training to recognise diverse presentations and co-existing neurodevelopmental needs, while services should avoid rigid diagnostic pathways that could delay treatment. Greater coordination between eating-disorder and neurodevelopmental services may also reduce fragmented care. However, any future changes to classification should remain </w:t>
      </w:r>
      <w:proofErr w:type="gramStart"/>
      <w:r w:rsidRPr="004A0E03">
        <w:rPr>
          <w:rFonts w:ascii="Arial" w:hAnsi="Arial" w:cs="Arial"/>
          <w:sz w:val="22"/>
          <w:szCs w:val="22"/>
        </w:rPr>
        <w:t>evidence-based</w:t>
      </w:r>
      <w:proofErr w:type="gramEnd"/>
      <w:r w:rsidRPr="004A0E03">
        <w:rPr>
          <w:rFonts w:ascii="Arial" w:hAnsi="Arial" w:cs="Arial"/>
          <w:sz w:val="22"/>
          <w:szCs w:val="22"/>
        </w:rPr>
        <w:t>. Overall, maintaining the clinical value of ICD-11 while allowing person-centred assessment and adapted treatment may improve access, engagement and recovery (NICE, 2017; Adams et al., 2024)</w:t>
      </w:r>
      <w:r w:rsidR="00672FD8" w:rsidRPr="00672FD8">
        <w:rPr>
          <w:rFonts w:ascii="Arial" w:hAnsi="Arial" w:cs="Arial"/>
          <w:sz w:val="22"/>
          <w:szCs w:val="22"/>
        </w:rPr>
        <w:t>.</w:t>
      </w:r>
    </w:p>
    <w:p w14:paraId="0A75A904" w14:textId="6BCCA84F" w:rsidR="00453A01" w:rsidRDefault="00453A01" w:rsidP="00453A01">
      <w:pPr>
        <w:pStyle w:val="Heading1"/>
        <w:rPr>
          <w:rFonts w:ascii="Arial" w:hAnsi="Arial" w:cs="Arial"/>
          <w:b/>
          <w:bCs/>
          <w:color w:val="auto"/>
          <w:sz w:val="28"/>
          <w:szCs w:val="28"/>
        </w:rPr>
      </w:pPr>
      <w:bookmarkStart w:id="4" w:name="_Toc237486019"/>
      <w:r w:rsidRPr="00453A01">
        <w:rPr>
          <w:rFonts w:ascii="Arial" w:hAnsi="Arial" w:cs="Arial"/>
          <w:b/>
          <w:bCs/>
          <w:color w:val="auto"/>
          <w:sz w:val="28"/>
          <w:szCs w:val="28"/>
        </w:rPr>
        <w:t>Recommendations</w:t>
      </w:r>
      <w:bookmarkEnd w:id="4"/>
    </w:p>
    <w:p w14:paraId="5DC47E9F" w14:textId="45D3898C" w:rsidR="00AF373D" w:rsidRPr="00AF373D" w:rsidRDefault="00AF373D" w:rsidP="00977364">
      <w:pPr>
        <w:spacing w:line="360" w:lineRule="auto"/>
        <w:rPr>
          <w:rFonts w:ascii="Arial" w:hAnsi="Arial" w:cs="Arial"/>
          <w:sz w:val="22"/>
          <w:szCs w:val="22"/>
        </w:rPr>
      </w:pPr>
      <w:r w:rsidRPr="00AF373D">
        <w:rPr>
          <w:rFonts w:ascii="Arial" w:hAnsi="Arial" w:cs="Arial"/>
          <w:sz w:val="22"/>
          <w:szCs w:val="22"/>
        </w:rPr>
        <w:t xml:space="preserve">Several improvements could strengthen the diagnosis, treatment and rehabilitation of bulimia nervosa in UK practice. First, healthcare professionals should receive appropriate training to recognise eating disorders across different genders, ages and body sizes. NICE (2017) recommends that decisions about treatment should not rely solely on measures such as BMI </w:t>
      </w:r>
      <w:r w:rsidRPr="00AF373D">
        <w:rPr>
          <w:rFonts w:ascii="Arial" w:hAnsi="Arial" w:cs="Arial"/>
          <w:sz w:val="22"/>
          <w:szCs w:val="22"/>
        </w:rPr>
        <w:lastRenderedPageBreak/>
        <w:t>or duration of illness. Greater attention to psychological and behavioural symptoms could therefore support earlier identification and reduce missed or delayed diagnoses.</w:t>
      </w:r>
    </w:p>
    <w:p w14:paraId="563A728D" w14:textId="77777777" w:rsidR="00AF373D" w:rsidRPr="00AF373D" w:rsidRDefault="00AF373D" w:rsidP="00977364">
      <w:pPr>
        <w:spacing w:line="360" w:lineRule="auto"/>
        <w:rPr>
          <w:rFonts w:ascii="Arial" w:hAnsi="Arial" w:cs="Arial"/>
          <w:sz w:val="22"/>
          <w:szCs w:val="22"/>
        </w:rPr>
      </w:pPr>
      <w:r w:rsidRPr="00AF373D">
        <w:rPr>
          <w:rFonts w:ascii="Arial" w:hAnsi="Arial" w:cs="Arial"/>
          <w:sz w:val="22"/>
          <w:szCs w:val="22"/>
        </w:rPr>
        <w:t>Early intervention should also be strengthened within primary care through clearer referral pathways between GPs and specialist eating-disorder services. Timely assessment is important because bulimia nervosa can have serious physical and psychological consequences. Services should also provide person-centred treatment rather than assuming that standard interventions are equally suitable for everyone. Although guided self-help and CBT-ED are recommended treatments, individual needs and co-existing conditions should be considered when planning care (NICE, 2017).</w:t>
      </w:r>
    </w:p>
    <w:p w14:paraId="6B1E3851" w14:textId="77777777" w:rsidR="00AF373D" w:rsidRPr="00AF373D" w:rsidRDefault="00AF373D" w:rsidP="00977364">
      <w:pPr>
        <w:spacing w:line="360" w:lineRule="auto"/>
        <w:rPr>
          <w:rFonts w:ascii="Arial" w:hAnsi="Arial" w:cs="Arial"/>
          <w:sz w:val="22"/>
          <w:szCs w:val="22"/>
        </w:rPr>
      </w:pPr>
      <w:r w:rsidRPr="00AF373D">
        <w:rPr>
          <w:rFonts w:ascii="Arial" w:hAnsi="Arial" w:cs="Arial"/>
          <w:sz w:val="22"/>
          <w:szCs w:val="22"/>
        </w:rPr>
        <w:t xml:space="preserve">Rehabilitation should extend beyond reducing binge eating and compensatory behaviours. Multidisciplinary support should address physical health, nutrition, psychological wellbeing, social functioning and relapse prevention. </w:t>
      </w:r>
      <w:proofErr w:type="gramStart"/>
      <w:r w:rsidRPr="00AF373D">
        <w:rPr>
          <w:rFonts w:ascii="Arial" w:hAnsi="Arial" w:cs="Arial"/>
          <w:sz w:val="22"/>
          <w:szCs w:val="22"/>
        </w:rPr>
        <w:t>Particular consideration</w:t>
      </w:r>
      <w:proofErr w:type="gramEnd"/>
      <w:r w:rsidRPr="00AF373D">
        <w:rPr>
          <w:rFonts w:ascii="Arial" w:hAnsi="Arial" w:cs="Arial"/>
          <w:sz w:val="22"/>
          <w:szCs w:val="22"/>
        </w:rPr>
        <w:t xml:space="preserve"> should also be given to neurodivergent individuals, with reasonable adaptations to communication, sensory needs and treatment delivery where required.</w:t>
      </w:r>
    </w:p>
    <w:p w14:paraId="59844E38" w14:textId="6D56AE5C" w:rsidR="0003106C" w:rsidRPr="0003106C" w:rsidRDefault="00AF373D" w:rsidP="00977364">
      <w:pPr>
        <w:spacing w:line="360" w:lineRule="auto"/>
        <w:rPr>
          <w:rFonts w:ascii="Arial" w:hAnsi="Arial" w:cs="Arial"/>
          <w:sz w:val="22"/>
          <w:szCs w:val="22"/>
        </w:rPr>
      </w:pPr>
      <w:r w:rsidRPr="00AF373D">
        <w:rPr>
          <w:rFonts w:ascii="Arial" w:hAnsi="Arial" w:cs="Arial"/>
          <w:sz w:val="22"/>
          <w:szCs w:val="22"/>
        </w:rPr>
        <w:t>At policy level, equitable and timely access to specialist eating-disorder services should remain a priority. Greater coordination between primary care, mental health and neurodevelopmental services could improve continuity of care. Further UK research is also required to evaluate long-term outcomes, relapse prevention and adapted interventions for neurodivergent and under-represented populations. Such evidence could inform future clinical guidelines and classification developments while ensuring that changes remain evidence-based (NICE, 2017; NHS England, 2019)</w:t>
      </w:r>
      <w:r w:rsidR="00EA2415" w:rsidRPr="00EA2415">
        <w:rPr>
          <w:rFonts w:ascii="Arial" w:hAnsi="Arial" w:cs="Arial"/>
          <w:sz w:val="22"/>
          <w:szCs w:val="22"/>
        </w:rPr>
        <w:t>.</w:t>
      </w:r>
    </w:p>
    <w:p w14:paraId="714BB1DC" w14:textId="77777777" w:rsidR="00453A01" w:rsidRDefault="00453A01" w:rsidP="00453A01">
      <w:pPr>
        <w:pStyle w:val="Heading1"/>
        <w:rPr>
          <w:rFonts w:ascii="Arial" w:hAnsi="Arial" w:cs="Arial"/>
          <w:b/>
          <w:bCs/>
          <w:color w:val="auto"/>
          <w:sz w:val="28"/>
          <w:szCs w:val="28"/>
        </w:rPr>
      </w:pPr>
      <w:bookmarkStart w:id="5" w:name="_Toc237486020"/>
      <w:r w:rsidRPr="00453A01">
        <w:rPr>
          <w:rFonts w:ascii="Arial" w:hAnsi="Arial" w:cs="Arial"/>
          <w:b/>
          <w:bCs/>
          <w:color w:val="auto"/>
          <w:sz w:val="28"/>
          <w:szCs w:val="28"/>
        </w:rPr>
        <w:t>Conclusion</w:t>
      </w:r>
      <w:bookmarkEnd w:id="5"/>
    </w:p>
    <w:p w14:paraId="09F356B6" w14:textId="2C460902" w:rsidR="00875D84" w:rsidRDefault="00791FF8" w:rsidP="006C7541">
      <w:pPr>
        <w:spacing w:line="360" w:lineRule="auto"/>
        <w:rPr>
          <w:rFonts w:ascii="Arial" w:hAnsi="Arial" w:cs="Arial"/>
          <w:sz w:val="22"/>
          <w:szCs w:val="22"/>
        </w:rPr>
      </w:pPr>
      <w:r w:rsidRPr="00791FF8">
        <w:rPr>
          <w:rFonts w:ascii="Arial" w:hAnsi="Arial" w:cs="Arial"/>
          <w:sz w:val="22"/>
          <w:szCs w:val="22"/>
        </w:rPr>
        <w:t>Bulimia nervosa is a complex eating disorder involving psychological, behavioural and physical health consequences. ICD-11 provides an important framework for its classification and diagnosis, while UK guidance supports comprehensive assessment that considers symptoms and individual risk rather than relying solely on measures such as BMI (World Health Organization, 2022; NICE, 2017).</w:t>
      </w:r>
    </w:p>
    <w:p w14:paraId="7F999640" w14:textId="6BA3E775" w:rsidR="00791FF8" w:rsidRPr="00791FF8" w:rsidRDefault="00791FF8" w:rsidP="006C7541">
      <w:pPr>
        <w:spacing w:line="360" w:lineRule="auto"/>
        <w:rPr>
          <w:rFonts w:ascii="Arial" w:hAnsi="Arial" w:cs="Arial"/>
          <w:sz w:val="22"/>
          <w:szCs w:val="22"/>
        </w:rPr>
      </w:pPr>
      <w:r w:rsidRPr="00791FF8">
        <w:rPr>
          <w:rFonts w:ascii="Arial" w:hAnsi="Arial" w:cs="Arial"/>
          <w:sz w:val="22"/>
          <w:szCs w:val="22"/>
        </w:rPr>
        <w:t>Evidence-based interventions, particularly guided self-help and CBT-ED, play an important role in treatment, although their effectiveness can vary according to individual needs and circumstances. Recovery therefore requires a person-centred and multidisciplinary approach that addresses physical health, psychological wellbeing, social functioning and relapse prevention (NICE, 2017; Royal College of Psychiatrists, 2022).</w:t>
      </w:r>
    </w:p>
    <w:p w14:paraId="55D16672" w14:textId="4226190D" w:rsidR="00ED5BA0" w:rsidRPr="003C1BD2" w:rsidRDefault="00791FF8" w:rsidP="006C7541">
      <w:pPr>
        <w:spacing w:line="360" w:lineRule="auto"/>
        <w:rPr>
          <w:rFonts w:ascii="Arial" w:hAnsi="Arial" w:cs="Arial"/>
          <w:sz w:val="22"/>
          <w:szCs w:val="22"/>
        </w:rPr>
      </w:pPr>
      <w:r w:rsidRPr="00791FF8">
        <w:rPr>
          <w:rFonts w:ascii="Arial" w:hAnsi="Arial" w:cs="Arial"/>
          <w:sz w:val="22"/>
          <w:szCs w:val="22"/>
        </w:rPr>
        <w:lastRenderedPageBreak/>
        <w:t>Current debates concerning diverse presentations and neurodivergence further demonstrate the importance of flexible and inclusive services. Rather than reclassifying bulimia nervosa as a neurodevelopmental condition, UK practice should focus on adapting assessment and treatment where necessary. Overall, earlier identification, equitable access to specialist care and continued research are essential to improving long-term outcomes for people experiencing bulimia nervosa.</w:t>
      </w:r>
    </w:p>
    <w:p w14:paraId="77681BC7" w14:textId="25E338B3" w:rsidR="00453A01" w:rsidRDefault="00453A01" w:rsidP="00DB06D5">
      <w:pPr>
        <w:pStyle w:val="Heading1"/>
        <w:spacing w:line="360" w:lineRule="auto"/>
        <w:rPr>
          <w:rFonts w:ascii="Arial" w:hAnsi="Arial" w:cs="Arial"/>
          <w:b/>
          <w:bCs/>
          <w:color w:val="auto"/>
          <w:sz w:val="28"/>
          <w:szCs w:val="28"/>
        </w:rPr>
      </w:pPr>
      <w:bookmarkStart w:id="6" w:name="_Toc237486021"/>
      <w:r w:rsidRPr="00453A01">
        <w:rPr>
          <w:rFonts w:ascii="Arial" w:hAnsi="Arial" w:cs="Arial"/>
          <w:b/>
          <w:bCs/>
          <w:color w:val="auto"/>
          <w:sz w:val="28"/>
          <w:szCs w:val="28"/>
        </w:rPr>
        <w:t>References</w:t>
      </w:r>
      <w:bookmarkEnd w:id="6"/>
      <w:r w:rsidRPr="00453A01">
        <w:rPr>
          <w:rFonts w:ascii="Arial" w:hAnsi="Arial" w:cs="Arial"/>
          <w:b/>
          <w:bCs/>
          <w:color w:val="auto"/>
          <w:sz w:val="28"/>
          <w:szCs w:val="28"/>
        </w:rPr>
        <w:t xml:space="preserve"> </w:t>
      </w:r>
    </w:p>
    <w:p w14:paraId="6FEAEF9B" w14:textId="42C2B448" w:rsidR="00DB06D5" w:rsidRDefault="00DB06D5" w:rsidP="000D72CD">
      <w:pPr>
        <w:spacing w:line="360" w:lineRule="auto"/>
        <w:rPr>
          <w:rFonts w:ascii="Arial" w:hAnsi="Arial" w:cs="Arial"/>
          <w:sz w:val="22"/>
          <w:szCs w:val="22"/>
        </w:rPr>
      </w:pPr>
      <w:r w:rsidRPr="000D72CD">
        <w:rPr>
          <w:rFonts w:ascii="Arial" w:hAnsi="Arial" w:cs="Arial"/>
          <w:sz w:val="22"/>
          <w:szCs w:val="22"/>
        </w:rPr>
        <w:t xml:space="preserve">Adams, K.L., Mandy, W., </w:t>
      </w:r>
      <w:proofErr w:type="spellStart"/>
      <w:r w:rsidRPr="000D72CD">
        <w:rPr>
          <w:rFonts w:ascii="Arial" w:hAnsi="Arial" w:cs="Arial"/>
          <w:sz w:val="22"/>
          <w:szCs w:val="22"/>
        </w:rPr>
        <w:t>Catmur</w:t>
      </w:r>
      <w:proofErr w:type="spellEnd"/>
      <w:r w:rsidRPr="000D72CD">
        <w:rPr>
          <w:rFonts w:ascii="Arial" w:hAnsi="Arial" w:cs="Arial"/>
          <w:sz w:val="22"/>
          <w:szCs w:val="22"/>
        </w:rPr>
        <w:t xml:space="preserve">, C. and Bird, G. (2024) ‘Potential mechanisms underlying the association between feeding and eating disorders and autism’, </w:t>
      </w:r>
      <w:r w:rsidRPr="000D72CD">
        <w:rPr>
          <w:rFonts w:ascii="Arial" w:hAnsi="Arial" w:cs="Arial"/>
          <w:i/>
          <w:iCs/>
          <w:sz w:val="22"/>
          <w:szCs w:val="22"/>
        </w:rPr>
        <w:t xml:space="preserve">Neuroscience &amp; </w:t>
      </w:r>
      <w:proofErr w:type="spellStart"/>
      <w:r w:rsidRPr="000D72CD">
        <w:rPr>
          <w:rFonts w:ascii="Arial" w:hAnsi="Arial" w:cs="Arial"/>
          <w:i/>
          <w:iCs/>
          <w:sz w:val="22"/>
          <w:szCs w:val="22"/>
        </w:rPr>
        <w:t>Biobehavioral</w:t>
      </w:r>
      <w:proofErr w:type="spellEnd"/>
      <w:r w:rsidRPr="000D72CD">
        <w:rPr>
          <w:rFonts w:ascii="Arial" w:hAnsi="Arial" w:cs="Arial"/>
          <w:i/>
          <w:iCs/>
          <w:sz w:val="22"/>
          <w:szCs w:val="22"/>
        </w:rPr>
        <w:t xml:space="preserve"> Reviews</w:t>
      </w:r>
      <w:r w:rsidRPr="000D72CD">
        <w:rPr>
          <w:rFonts w:ascii="Arial" w:hAnsi="Arial" w:cs="Arial"/>
          <w:sz w:val="22"/>
          <w:szCs w:val="22"/>
        </w:rPr>
        <w:t xml:space="preserve">, 162, 105717. </w:t>
      </w:r>
      <w:proofErr w:type="spellStart"/>
      <w:r w:rsidRPr="000D72CD">
        <w:rPr>
          <w:rFonts w:ascii="Arial" w:hAnsi="Arial" w:cs="Arial"/>
          <w:sz w:val="22"/>
          <w:szCs w:val="22"/>
        </w:rPr>
        <w:t>doi</w:t>
      </w:r>
      <w:proofErr w:type="spellEnd"/>
      <w:r w:rsidRPr="000D72CD">
        <w:rPr>
          <w:rFonts w:ascii="Arial" w:hAnsi="Arial" w:cs="Arial"/>
          <w:sz w:val="22"/>
          <w:szCs w:val="22"/>
        </w:rPr>
        <w:t>: 10.1016/j.neubiorev.2024.105717.</w:t>
      </w:r>
    </w:p>
    <w:p w14:paraId="4D742507" w14:textId="77777777" w:rsidR="00C166AE" w:rsidRPr="000D72CD" w:rsidRDefault="00C166AE" w:rsidP="00C166AE">
      <w:pPr>
        <w:spacing w:line="360" w:lineRule="auto"/>
        <w:rPr>
          <w:rFonts w:ascii="Arial" w:hAnsi="Arial" w:cs="Arial"/>
          <w:sz w:val="22"/>
          <w:szCs w:val="22"/>
        </w:rPr>
      </w:pPr>
      <w:r w:rsidRPr="000D72CD">
        <w:rPr>
          <w:rFonts w:ascii="Arial" w:hAnsi="Arial" w:cs="Arial"/>
          <w:sz w:val="22"/>
          <w:szCs w:val="22"/>
        </w:rPr>
        <w:t xml:space="preserve">Fairburn, C.G., Cooper, Z. and Shafran, R. (2003) ‘Cognitive behaviour therapy for eating disorders: a “transdiagnostic” theory and treatment’, </w:t>
      </w:r>
      <w:r w:rsidRPr="000D72CD">
        <w:rPr>
          <w:rFonts w:ascii="Arial" w:hAnsi="Arial" w:cs="Arial"/>
          <w:i/>
          <w:iCs/>
          <w:sz w:val="22"/>
          <w:szCs w:val="22"/>
        </w:rPr>
        <w:t>Behaviour Research and Therapy</w:t>
      </w:r>
      <w:r w:rsidRPr="000D72CD">
        <w:rPr>
          <w:rFonts w:ascii="Arial" w:hAnsi="Arial" w:cs="Arial"/>
          <w:sz w:val="22"/>
          <w:szCs w:val="22"/>
        </w:rPr>
        <w:t xml:space="preserve">, 41(5), pp. 509–528. </w:t>
      </w:r>
      <w:proofErr w:type="spellStart"/>
      <w:r w:rsidRPr="000D72CD">
        <w:rPr>
          <w:rFonts w:ascii="Arial" w:hAnsi="Arial" w:cs="Arial"/>
          <w:sz w:val="22"/>
          <w:szCs w:val="22"/>
        </w:rPr>
        <w:t>doi</w:t>
      </w:r>
      <w:proofErr w:type="spellEnd"/>
      <w:r w:rsidRPr="000D72CD">
        <w:rPr>
          <w:rFonts w:ascii="Arial" w:hAnsi="Arial" w:cs="Arial"/>
          <w:sz w:val="22"/>
          <w:szCs w:val="22"/>
        </w:rPr>
        <w:t>: 10.1016/S0005-7967(02)00088-8.</w:t>
      </w:r>
    </w:p>
    <w:p w14:paraId="22F70472" w14:textId="77777777" w:rsidR="00DB06D5" w:rsidRPr="000D72CD" w:rsidRDefault="00DB06D5" w:rsidP="000D72CD">
      <w:pPr>
        <w:spacing w:line="360" w:lineRule="auto"/>
        <w:rPr>
          <w:rFonts w:ascii="Arial" w:hAnsi="Arial" w:cs="Arial"/>
          <w:sz w:val="22"/>
          <w:szCs w:val="22"/>
        </w:rPr>
      </w:pPr>
      <w:proofErr w:type="spellStart"/>
      <w:r w:rsidRPr="000D72CD">
        <w:rPr>
          <w:rFonts w:ascii="Arial" w:hAnsi="Arial" w:cs="Arial"/>
          <w:sz w:val="22"/>
          <w:szCs w:val="22"/>
        </w:rPr>
        <w:t>Kaisari</w:t>
      </w:r>
      <w:proofErr w:type="spellEnd"/>
      <w:r w:rsidRPr="000D72CD">
        <w:rPr>
          <w:rFonts w:ascii="Arial" w:hAnsi="Arial" w:cs="Arial"/>
          <w:sz w:val="22"/>
          <w:szCs w:val="22"/>
        </w:rPr>
        <w:t xml:space="preserve">, P., </w:t>
      </w:r>
      <w:proofErr w:type="spellStart"/>
      <w:r w:rsidRPr="000D72CD">
        <w:rPr>
          <w:rFonts w:ascii="Arial" w:hAnsi="Arial" w:cs="Arial"/>
          <w:sz w:val="22"/>
          <w:szCs w:val="22"/>
        </w:rPr>
        <w:t>Dourish</w:t>
      </w:r>
      <w:proofErr w:type="spellEnd"/>
      <w:r w:rsidRPr="000D72CD">
        <w:rPr>
          <w:rFonts w:ascii="Arial" w:hAnsi="Arial" w:cs="Arial"/>
          <w:sz w:val="22"/>
          <w:szCs w:val="22"/>
        </w:rPr>
        <w:t>, C.T. and Higgs, S. (2017) ‘</w:t>
      </w:r>
      <w:proofErr w:type="gramStart"/>
      <w:r w:rsidRPr="000D72CD">
        <w:rPr>
          <w:rFonts w:ascii="Arial" w:hAnsi="Arial" w:cs="Arial"/>
          <w:sz w:val="22"/>
          <w:szCs w:val="22"/>
        </w:rPr>
        <w:t>Attention Deficit Hyperactivity Disorder</w:t>
      </w:r>
      <w:proofErr w:type="gramEnd"/>
      <w:r w:rsidRPr="000D72CD">
        <w:rPr>
          <w:rFonts w:ascii="Arial" w:hAnsi="Arial" w:cs="Arial"/>
          <w:sz w:val="22"/>
          <w:szCs w:val="22"/>
        </w:rPr>
        <w:t xml:space="preserve"> (ADHD) and disordered eating behaviour: A systematic review and a framework for future research’, </w:t>
      </w:r>
      <w:r w:rsidRPr="000D72CD">
        <w:rPr>
          <w:rFonts w:ascii="Arial" w:hAnsi="Arial" w:cs="Arial"/>
          <w:i/>
          <w:iCs/>
          <w:sz w:val="22"/>
          <w:szCs w:val="22"/>
        </w:rPr>
        <w:t>Clinical Psychology Review</w:t>
      </w:r>
      <w:r w:rsidRPr="000D72CD">
        <w:rPr>
          <w:rFonts w:ascii="Arial" w:hAnsi="Arial" w:cs="Arial"/>
          <w:sz w:val="22"/>
          <w:szCs w:val="22"/>
        </w:rPr>
        <w:t xml:space="preserve">, 53, pp. 109–121. </w:t>
      </w:r>
      <w:proofErr w:type="spellStart"/>
      <w:r w:rsidRPr="000D72CD">
        <w:rPr>
          <w:rFonts w:ascii="Arial" w:hAnsi="Arial" w:cs="Arial"/>
          <w:sz w:val="22"/>
          <w:szCs w:val="22"/>
        </w:rPr>
        <w:t>doi</w:t>
      </w:r>
      <w:proofErr w:type="spellEnd"/>
      <w:r w:rsidRPr="000D72CD">
        <w:rPr>
          <w:rFonts w:ascii="Arial" w:hAnsi="Arial" w:cs="Arial"/>
          <w:sz w:val="22"/>
          <w:szCs w:val="22"/>
        </w:rPr>
        <w:t>: 10.1016/j.cpr.2017.03.002.</w:t>
      </w:r>
    </w:p>
    <w:p w14:paraId="79725C0F" w14:textId="07CBC3B5" w:rsidR="00DB06D5" w:rsidRPr="000D72CD" w:rsidRDefault="00947E0D" w:rsidP="000D72CD">
      <w:pPr>
        <w:spacing w:line="360" w:lineRule="auto"/>
        <w:rPr>
          <w:rFonts w:ascii="Arial" w:hAnsi="Arial" w:cs="Arial"/>
          <w:sz w:val="22"/>
          <w:szCs w:val="22"/>
        </w:rPr>
      </w:pPr>
      <w:r w:rsidRPr="000D72CD">
        <w:rPr>
          <w:rFonts w:ascii="Arial" w:hAnsi="Arial" w:cs="Arial"/>
          <w:sz w:val="22"/>
          <w:szCs w:val="22"/>
        </w:rPr>
        <w:t xml:space="preserve">McNaught, E., Treasure, J. and Pollard, N. (2022) </w:t>
      </w:r>
      <w:proofErr w:type="gramStart"/>
      <w:r w:rsidRPr="000D72CD">
        <w:rPr>
          <w:rFonts w:ascii="Arial" w:hAnsi="Arial" w:cs="Arial"/>
          <w:i/>
          <w:iCs/>
          <w:sz w:val="22"/>
          <w:szCs w:val="22"/>
        </w:rPr>
        <w:t>Eating Disorders</w:t>
      </w:r>
      <w:proofErr w:type="gramEnd"/>
      <w:r w:rsidRPr="000D72CD">
        <w:rPr>
          <w:rFonts w:ascii="Arial" w:hAnsi="Arial" w:cs="Arial"/>
          <w:sz w:val="22"/>
          <w:szCs w:val="22"/>
        </w:rPr>
        <w:t xml:space="preserve">. Oxford: Oxford University Press. </w:t>
      </w:r>
      <w:proofErr w:type="spellStart"/>
      <w:r w:rsidRPr="000D72CD">
        <w:rPr>
          <w:rFonts w:ascii="Arial" w:hAnsi="Arial" w:cs="Arial"/>
          <w:sz w:val="22"/>
          <w:szCs w:val="22"/>
        </w:rPr>
        <w:t>doi</w:t>
      </w:r>
      <w:proofErr w:type="spellEnd"/>
      <w:r w:rsidRPr="000D72CD">
        <w:rPr>
          <w:rFonts w:ascii="Arial" w:hAnsi="Arial" w:cs="Arial"/>
          <w:sz w:val="22"/>
          <w:szCs w:val="22"/>
        </w:rPr>
        <w:t>: 10.1093/med/9780198855583.001.0001.</w:t>
      </w:r>
    </w:p>
    <w:p w14:paraId="1C02C28F" w14:textId="71258D1F" w:rsidR="00DB06D5" w:rsidRPr="000D72CD" w:rsidRDefault="00DB06D5" w:rsidP="000D72CD">
      <w:pPr>
        <w:spacing w:line="360" w:lineRule="auto"/>
        <w:rPr>
          <w:rFonts w:ascii="Arial" w:hAnsi="Arial" w:cs="Arial"/>
          <w:sz w:val="22"/>
          <w:szCs w:val="22"/>
        </w:rPr>
      </w:pPr>
      <w:r w:rsidRPr="000D72CD">
        <w:rPr>
          <w:rFonts w:ascii="Arial" w:hAnsi="Arial" w:cs="Arial"/>
          <w:sz w:val="22"/>
          <w:szCs w:val="22"/>
        </w:rPr>
        <w:t xml:space="preserve">National Health Service (NHS) (2024) </w:t>
      </w:r>
      <w:r w:rsidRPr="000D72CD">
        <w:rPr>
          <w:rFonts w:ascii="Arial" w:hAnsi="Arial" w:cs="Arial"/>
          <w:i/>
          <w:iCs/>
          <w:sz w:val="22"/>
          <w:szCs w:val="22"/>
        </w:rPr>
        <w:t>Bulimia</w:t>
      </w:r>
      <w:r w:rsidRPr="000D72CD">
        <w:rPr>
          <w:rFonts w:ascii="Arial" w:hAnsi="Arial" w:cs="Arial"/>
          <w:sz w:val="22"/>
          <w:szCs w:val="22"/>
        </w:rPr>
        <w:t xml:space="preserve">. Available at: </w:t>
      </w:r>
      <w:hyperlink r:id="rId7" w:history="1">
        <w:r w:rsidR="00C63358" w:rsidRPr="000D72CD">
          <w:rPr>
            <w:rStyle w:val="Hyperlink"/>
            <w:rFonts w:ascii="Arial" w:hAnsi="Arial" w:cs="Arial"/>
            <w:sz w:val="22"/>
            <w:szCs w:val="22"/>
          </w:rPr>
          <w:t>https://www.nhs.uk/mental-health/conditions/bulimia/</w:t>
        </w:r>
      </w:hyperlink>
      <w:r w:rsidR="00C63358" w:rsidRPr="000D72CD">
        <w:rPr>
          <w:rFonts w:ascii="Arial" w:hAnsi="Arial" w:cs="Arial"/>
          <w:sz w:val="22"/>
          <w:szCs w:val="22"/>
        </w:rPr>
        <w:t xml:space="preserve"> </w:t>
      </w:r>
      <w:r w:rsidRPr="000D72CD">
        <w:rPr>
          <w:rFonts w:ascii="Arial" w:hAnsi="Arial" w:cs="Arial"/>
          <w:sz w:val="22"/>
          <w:szCs w:val="22"/>
        </w:rPr>
        <w:t>(Accessed: 13 August 2026).</w:t>
      </w:r>
    </w:p>
    <w:p w14:paraId="1FCB5139" w14:textId="353A603A" w:rsidR="00D94865" w:rsidRPr="000D72CD" w:rsidRDefault="00DB06D5" w:rsidP="00D94865">
      <w:pPr>
        <w:spacing w:line="360" w:lineRule="auto"/>
        <w:rPr>
          <w:rFonts w:ascii="Arial" w:hAnsi="Arial" w:cs="Arial"/>
          <w:sz w:val="22"/>
          <w:szCs w:val="22"/>
        </w:rPr>
      </w:pPr>
      <w:r w:rsidRPr="000D72CD">
        <w:rPr>
          <w:rFonts w:ascii="Arial" w:hAnsi="Arial" w:cs="Arial"/>
          <w:sz w:val="22"/>
          <w:szCs w:val="22"/>
        </w:rPr>
        <w:t xml:space="preserve">National Institute for Health and Care Excellence (NICE) (2017) </w:t>
      </w:r>
      <w:proofErr w:type="gramStart"/>
      <w:r w:rsidRPr="000D72CD">
        <w:rPr>
          <w:rFonts w:ascii="Arial" w:hAnsi="Arial" w:cs="Arial"/>
          <w:i/>
          <w:iCs/>
          <w:sz w:val="22"/>
          <w:szCs w:val="22"/>
        </w:rPr>
        <w:t>Eating disorders</w:t>
      </w:r>
      <w:proofErr w:type="gramEnd"/>
      <w:r w:rsidRPr="000D72CD">
        <w:rPr>
          <w:rFonts w:ascii="Arial" w:hAnsi="Arial" w:cs="Arial"/>
          <w:i/>
          <w:iCs/>
          <w:sz w:val="22"/>
          <w:szCs w:val="22"/>
        </w:rPr>
        <w:t>: recognition and treatment</w:t>
      </w:r>
      <w:r w:rsidRPr="000D72CD">
        <w:rPr>
          <w:rFonts w:ascii="Arial" w:hAnsi="Arial" w:cs="Arial"/>
          <w:sz w:val="22"/>
          <w:szCs w:val="22"/>
        </w:rPr>
        <w:t xml:space="preserve">. NICE guideline NG69. London: NICE. Available at: </w:t>
      </w:r>
      <w:hyperlink r:id="rId8" w:history="1">
        <w:r w:rsidR="00C63358" w:rsidRPr="000D72CD">
          <w:rPr>
            <w:rStyle w:val="Hyperlink"/>
            <w:rFonts w:ascii="Arial" w:hAnsi="Arial" w:cs="Arial"/>
            <w:sz w:val="22"/>
            <w:szCs w:val="22"/>
          </w:rPr>
          <w:t>https://www.nice.org.uk/guidance/ng69</w:t>
        </w:r>
      </w:hyperlink>
      <w:r w:rsidR="00C63358" w:rsidRPr="000D72CD">
        <w:rPr>
          <w:rFonts w:ascii="Arial" w:hAnsi="Arial" w:cs="Arial"/>
          <w:sz w:val="22"/>
          <w:szCs w:val="22"/>
        </w:rPr>
        <w:t xml:space="preserve"> </w:t>
      </w:r>
      <w:r w:rsidRPr="000D72CD">
        <w:rPr>
          <w:rFonts w:ascii="Arial" w:hAnsi="Arial" w:cs="Arial"/>
          <w:sz w:val="22"/>
          <w:szCs w:val="22"/>
        </w:rPr>
        <w:t>(Accessed: 13 August 2026).</w:t>
      </w:r>
    </w:p>
    <w:p w14:paraId="59EE74EA" w14:textId="3AAEE1E1" w:rsidR="00BF2C92" w:rsidRPr="000D72CD" w:rsidRDefault="00D94865" w:rsidP="000D72CD">
      <w:pPr>
        <w:spacing w:line="360" w:lineRule="auto"/>
        <w:rPr>
          <w:rFonts w:ascii="Arial" w:hAnsi="Arial" w:cs="Arial"/>
          <w:sz w:val="22"/>
          <w:szCs w:val="22"/>
        </w:rPr>
      </w:pPr>
      <w:r w:rsidRPr="000D72CD">
        <w:rPr>
          <w:rFonts w:ascii="Arial" w:hAnsi="Arial" w:cs="Arial"/>
          <w:sz w:val="22"/>
          <w:szCs w:val="22"/>
        </w:rPr>
        <w:t xml:space="preserve">NHS Digital (2023) Mental Health of Children and Young People in England, 2023 – wave 4 follow up. Leeds: NHS Digital. Available at: </w:t>
      </w:r>
      <w:hyperlink r:id="rId9" w:history="1">
        <w:r w:rsidRPr="001652C7">
          <w:rPr>
            <w:rStyle w:val="Hyperlink"/>
            <w:rFonts w:ascii="Arial" w:hAnsi="Arial" w:cs="Arial"/>
            <w:sz w:val="22"/>
            <w:szCs w:val="22"/>
          </w:rPr>
          <w:t>https://digital.nhs.uk/data-and-information/publications/statistical/mental-health-of-children-and-young-people-in-england/2023-wave-4-follow-up</w:t>
        </w:r>
      </w:hyperlink>
      <w:r>
        <w:rPr>
          <w:rFonts w:ascii="Arial" w:hAnsi="Arial" w:cs="Arial"/>
          <w:sz w:val="22"/>
          <w:szCs w:val="22"/>
        </w:rPr>
        <w:t xml:space="preserve"> </w:t>
      </w:r>
      <w:r w:rsidRPr="000D72CD">
        <w:rPr>
          <w:rFonts w:ascii="Arial" w:hAnsi="Arial" w:cs="Arial"/>
          <w:sz w:val="22"/>
          <w:szCs w:val="22"/>
        </w:rPr>
        <w:t>(Accessed: 13 August 2026).</w:t>
      </w:r>
    </w:p>
    <w:p w14:paraId="3133959F" w14:textId="5A43B16E" w:rsidR="00210062" w:rsidRPr="000D72CD" w:rsidRDefault="00DB06D5" w:rsidP="000D72CD">
      <w:pPr>
        <w:spacing w:line="360" w:lineRule="auto"/>
        <w:rPr>
          <w:rFonts w:ascii="Arial" w:hAnsi="Arial" w:cs="Arial"/>
          <w:sz w:val="22"/>
          <w:szCs w:val="22"/>
        </w:rPr>
      </w:pPr>
      <w:r w:rsidRPr="000D72CD">
        <w:rPr>
          <w:rFonts w:ascii="Arial" w:hAnsi="Arial" w:cs="Arial"/>
          <w:sz w:val="22"/>
          <w:szCs w:val="22"/>
        </w:rPr>
        <w:t xml:space="preserve">NHS England (2019) </w:t>
      </w:r>
      <w:r w:rsidRPr="000D72CD">
        <w:rPr>
          <w:rFonts w:ascii="Arial" w:hAnsi="Arial" w:cs="Arial"/>
          <w:i/>
          <w:iCs/>
          <w:sz w:val="22"/>
          <w:szCs w:val="22"/>
        </w:rPr>
        <w:t>Adult eating disorders: community, inpatient and intensive day patient care – guidance for commissioners and providers</w:t>
      </w:r>
      <w:r w:rsidRPr="000D72CD">
        <w:rPr>
          <w:rFonts w:ascii="Arial" w:hAnsi="Arial" w:cs="Arial"/>
          <w:sz w:val="22"/>
          <w:szCs w:val="22"/>
        </w:rPr>
        <w:t xml:space="preserve">. London: NHS England. Available at: </w:t>
      </w:r>
      <w:hyperlink r:id="rId10" w:history="1">
        <w:r w:rsidR="00210062" w:rsidRPr="000D72CD">
          <w:rPr>
            <w:rStyle w:val="Hyperlink"/>
            <w:rFonts w:ascii="Arial" w:hAnsi="Arial" w:cs="Arial"/>
            <w:sz w:val="22"/>
            <w:szCs w:val="22"/>
          </w:rPr>
          <w:t>https://www.england.nhs.uk/publication/adult-eating-disorders-community-inpatient-and-intensive-day-patient-care-guidance-for-commissioners-and-providers/</w:t>
        </w:r>
      </w:hyperlink>
      <w:r w:rsidR="00210062" w:rsidRPr="000D72CD">
        <w:rPr>
          <w:rFonts w:ascii="Arial" w:hAnsi="Arial" w:cs="Arial"/>
          <w:sz w:val="22"/>
          <w:szCs w:val="22"/>
        </w:rPr>
        <w:t xml:space="preserve"> </w:t>
      </w:r>
      <w:r w:rsidRPr="000D72CD">
        <w:rPr>
          <w:rFonts w:ascii="Arial" w:hAnsi="Arial" w:cs="Arial"/>
          <w:sz w:val="22"/>
          <w:szCs w:val="22"/>
        </w:rPr>
        <w:t>(Accessed: 13 August 2026).</w:t>
      </w:r>
    </w:p>
    <w:p w14:paraId="13A8D85A" w14:textId="2688DCFC" w:rsidR="00210062" w:rsidRDefault="00DB06D5" w:rsidP="000D72CD">
      <w:pPr>
        <w:spacing w:line="360" w:lineRule="auto"/>
        <w:rPr>
          <w:rFonts w:ascii="Arial" w:hAnsi="Arial" w:cs="Arial"/>
          <w:sz w:val="22"/>
          <w:szCs w:val="22"/>
        </w:rPr>
      </w:pPr>
      <w:r w:rsidRPr="000D72CD">
        <w:rPr>
          <w:rFonts w:ascii="Arial" w:hAnsi="Arial" w:cs="Arial"/>
          <w:sz w:val="22"/>
          <w:szCs w:val="22"/>
        </w:rPr>
        <w:lastRenderedPageBreak/>
        <w:t>Royal College of Psychiatrists (2022</w:t>
      </w:r>
      <w:r w:rsidRPr="000D72CD">
        <w:rPr>
          <w:rFonts w:ascii="Arial" w:hAnsi="Arial" w:cs="Arial"/>
          <w:i/>
          <w:iCs/>
          <w:sz w:val="22"/>
          <w:szCs w:val="22"/>
        </w:rPr>
        <w:t>) Medical emergencies in eating disorders (MEED): Guidance on recognition and management</w:t>
      </w:r>
      <w:r w:rsidRPr="000D72CD">
        <w:rPr>
          <w:rFonts w:ascii="Arial" w:hAnsi="Arial" w:cs="Arial"/>
          <w:sz w:val="22"/>
          <w:szCs w:val="22"/>
        </w:rPr>
        <w:t>. College Report CR233. London: Royal College of Psychiatrists.</w:t>
      </w:r>
    </w:p>
    <w:p w14:paraId="5B344197" w14:textId="77777777" w:rsidR="007778B8" w:rsidRDefault="007778B8" w:rsidP="007778B8">
      <w:pPr>
        <w:spacing w:line="360" w:lineRule="auto"/>
        <w:rPr>
          <w:rFonts w:ascii="Arial" w:hAnsi="Arial" w:cs="Arial"/>
          <w:sz w:val="22"/>
          <w:szCs w:val="22"/>
        </w:rPr>
      </w:pPr>
      <w:r w:rsidRPr="000D72CD">
        <w:rPr>
          <w:rFonts w:ascii="Arial" w:hAnsi="Arial" w:cs="Arial"/>
          <w:sz w:val="22"/>
          <w:szCs w:val="22"/>
        </w:rPr>
        <w:t xml:space="preserve">Slade, E., Keeney, E., </w:t>
      </w:r>
      <w:proofErr w:type="spellStart"/>
      <w:r w:rsidRPr="000D72CD">
        <w:rPr>
          <w:rFonts w:ascii="Arial" w:hAnsi="Arial" w:cs="Arial"/>
          <w:sz w:val="22"/>
          <w:szCs w:val="22"/>
        </w:rPr>
        <w:t>Mavranezouli</w:t>
      </w:r>
      <w:proofErr w:type="spellEnd"/>
      <w:r w:rsidRPr="000D72CD">
        <w:rPr>
          <w:rFonts w:ascii="Arial" w:hAnsi="Arial" w:cs="Arial"/>
          <w:sz w:val="22"/>
          <w:szCs w:val="22"/>
        </w:rPr>
        <w:t xml:space="preserve">, I., Dias, S., Fou, L., Stockton, S., Saxon, L., Waller, G., Turner, H., Serpell, L., Fairburn, C.G. and Kendall, T. (2018) ‘Treatments for bulimia nervosa: a network meta-analysis’, </w:t>
      </w:r>
      <w:r w:rsidRPr="000D72CD">
        <w:rPr>
          <w:rFonts w:ascii="Arial" w:hAnsi="Arial" w:cs="Arial"/>
          <w:i/>
          <w:iCs/>
          <w:sz w:val="22"/>
          <w:szCs w:val="22"/>
        </w:rPr>
        <w:t>Psychological Medicine</w:t>
      </w:r>
      <w:r w:rsidRPr="000D72CD">
        <w:rPr>
          <w:rFonts w:ascii="Arial" w:hAnsi="Arial" w:cs="Arial"/>
          <w:sz w:val="22"/>
          <w:szCs w:val="22"/>
        </w:rPr>
        <w:t xml:space="preserve">, 48(16), pp. 2629–2636. </w:t>
      </w:r>
      <w:proofErr w:type="spellStart"/>
      <w:r w:rsidRPr="000D72CD">
        <w:rPr>
          <w:rFonts w:ascii="Arial" w:hAnsi="Arial" w:cs="Arial"/>
          <w:sz w:val="22"/>
          <w:szCs w:val="22"/>
        </w:rPr>
        <w:t>doi</w:t>
      </w:r>
      <w:proofErr w:type="spellEnd"/>
      <w:r w:rsidRPr="000D72CD">
        <w:rPr>
          <w:rFonts w:ascii="Arial" w:hAnsi="Arial" w:cs="Arial"/>
          <w:sz w:val="22"/>
          <w:szCs w:val="22"/>
        </w:rPr>
        <w:t>: 10.1017/S0033291718001071.</w:t>
      </w:r>
    </w:p>
    <w:p w14:paraId="6257BE81" w14:textId="777A7B72" w:rsidR="007778B8" w:rsidRPr="000D72CD" w:rsidRDefault="007778B8" w:rsidP="000D72CD">
      <w:pPr>
        <w:spacing w:line="360" w:lineRule="auto"/>
        <w:rPr>
          <w:rFonts w:ascii="Arial" w:hAnsi="Arial" w:cs="Arial"/>
          <w:sz w:val="22"/>
          <w:szCs w:val="22"/>
        </w:rPr>
      </w:pPr>
      <w:r w:rsidRPr="000D72CD">
        <w:rPr>
          <w:rFonts w:ascii="Arial" w:hAnsi="Arial" w:cs="Arial"/>
          <w:sz w:val="22"/>
          <w:szCs w:val="22"/>
        </w:rPr>
        <w:t xml:space="preserve">Wilkins, J., Ahmed, M., Allen, K. and Schmidt, U. (2025) ‘Intersectionality in help-seeking for eating disorders: a systematic scoping review’, </w:t>
      </w:r>
      <w:r w:rsidRPr="000D72CD">
        <w:rPr>
          <w:rFonts w:ascii="Arial" w:hAnsi="Arial" w:cs="Arial"/>
          <w:i/>
          <w:iCs/>
          <w:sz w:val="22"/>
          <w:szCs w:val="22"/>
        </w:rPr>
        <w:t>Journal of Eating Disorders</w:t>
      </w:r>
      <w:r w:rsidRPr="000D72CD">
        <w:rPr>
          <w:rFonts w:ascii="Arial" w:hAnsi="Arial" w:cs="Arial"/>
          <w:sz w:val="22"/>
          <w:szCs w:val="22"/>
        </w:rPr>
        <w:t xml:space="preserve">, 13(1), article 26. </w:t>
      </w:r>
      <w:proofErr w:type="spellStart"/>
      <w:r w:rsidRPr="000D72CD">
        <w:rPr>
          <w:rFonts w:ascii="Arial" w:hAnsi="Arial" w:cs="Arial"/>
          <w:sz w:val="22"/>
          <w:szCs w:val="22"/>
        </w:rPr>
        <w:t>doi</w:t>
      </w:r>
      <w:proofErr w:type="spellEnd"/>
      <w:r w:rsidRPr="000D72CD">
        <w:rPr>
          <w:rFonts w:ascii="Arial" w:hAnsi="Arial" w:cs="Arial"/>
          <w:sz w:val="22"/>
          <w:szCs w:val="22"/>
        </w:rPr>
        <w:t>: 10.1186/s40337-025-01202-4.</w:t>
      </w:r>
    </w:p>
    <w:p w14:paraId="37250F9F" w14:textId="77B161BB" w:rsidR="00DB06D5" w:rsidRPr="000D72CD" w:rsidRDefault="00DB06D5" w:rsidP="000D72CD">
      <w:pPr>
        <w:spacing w:line="360" w:lineRule="auto"/>
        <w:rPr>
          <w:rFonts w:ascii="Arial" w:hAnsi="Arial" w:cs="Arial"/>
          <w:sz w:val="22"/>
          <w:szCs w:val="22"/>
        </w:rPr>
      </w:pPr>
      <w:r w:rsidRPr="000D72CD">
        <w:rPr>
          <w:rFonts w:ascii="Arial" w:hAnsi="Arial" w:cs="Arial"/>
          <w:sz w:val="22"/>
          <w:szCs w:val="22"/>
        </w:rPr>
        <w:t xml:space="preserve">World Health Organization (2022) </w:t>
      </w:r>
      <w:r w:rsidRPr="000D72CD">
        <w:rPr>
          <w:rFonts w:ascii="Arial" w:hAnsi="Arial" w:cs="Arial"/>
          <w:i/>
          <w:iCs/>
          <w:sz w:val="22"/>
          <w:szCs w:val="22"/>
        </w:rPr>
        <w:t>ICD-11 for Mortality and Morbidity Statistics: 6B81 Bulimia nervosa</w:t>
      </w:r>
      <w:r w:rsidRPr="000D72CD">
        <w:rPr>
          <w:rFonts w:ascii="Arial" w:hAnsi="Arial" w:cs="Arial"/>
          <w:sz w:val="22"/>
          <w:szCs w:val="22"/>
        </w:rPr>
        <w:t xml:space="preserve">. Geneva: World Health Organization. Available at: </w:t>
      </w:r>
      <w:hyperlink r:id="rId11" w:history="1">
        <w:r w:rsidRPr="000D72CD">
          <w:rPr>
            <w:rStyle w:val="Hyperlink"/>
            <w:rFonts w:ascii="Arial" w:hAnsi="Arial" w:cs="Arial"/>
            <w:sz w:val="22"/>
            <w:szCs w:val="22"/>
          </w:rPr>
          <w:t>https://icd.who.int/</w:t>
        </w:r>
      </w:hyperlink>
      <w:r w:rsidRPr="000D72CD">
        <w:rPr>
          <w:rFonts w:ascii="Arial" w:hAnsi="Arial" w:cs="Arial"/>
          <w:sz w:val="22"/>
          <w:szCs w:val="22"/>
        </w:rPr>
        <w:t xml:space="preserve"> (Accessed: 13 August 2026).</w:t>
      </w:r>
    </w:p>
    <w:p w14:paraId="55CF0D74" w14:textId="705CBEB4" w:rsidR="00E0713D" w:rsidRPr="000D72CD" w:rsidRDefault="00E0713D" w:rsidP="000D72CD">
      <w:pPr>
        <w:spacing w:line="360" w:lineRule="auto"/>
        <w:rPr>
          <w:rFonts w:ascii="Arial" w:hAnsi="Arial" w:cs="Arial"/>
          <w:sz w:val="22"/>
          <w:szCs w:val="22"/>
        </w:rPr>
      </w:pPr>
    </w:p>
    <w:sectPr w:rsidR="00E0713D" w:rsidRPr="000D72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90C616" w14:textId="77777777" w:rsidR="0023696F" w:rsidRDefault="0023696F" w:rsidP="006D4A54">
      <w:pPr>
        <w:spacing w:after="0" w:line="240" w:lineRule="auto"/>
      </w:pPr>
      <w:r>
        <w:separator/>
      </w:r>
    </w:p>
  </w:endnote>
  <w:endnote w:type="continuationSeparator" w:id="0">
    <w:p w14:paraId="48A6A0F2" w14:textId="77777777" w:rsidR="0023696F" w:rsidRDefault="0023696F" w:rsidP="006D4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C0798" w14:textId="77777777" w:rsidR="0023696F" w:rsidRDefault="0023696F" w:rsidP="006D4A54">
      <w:pPr>
        <w:spacing w:after="0" w:line="240" w:lineRule="auto"/>
      </w:pPr>
      <w:r>
        <w:separator/>
      </w:r>
    </w:p>
  </w:footnote>
  <w:footnote w:type="continuationSeparator" w:id="0">
    <w:p w14:paraId="63CCBC32" w14:textId="77777777" w:rsidR="0023696F" w:rsidRDefault="0023696F" w:rsidP="006D4A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AEC"/>
    <w:rsid w:val="0003106C"/>
    <w:rsid w:val="0004083B"/>
    <w:rsid w:val="000476AF"/>
    <w:rsid w:val="00085689"/>
    <w:rsid w:val="00092C9E"/>
    <w:rsid w:val="000B34A4"/>
    <w:rsid w:val="000C6DBB"/>
    <w:rsid w:val="000C73D4"/>
    <w:rsid w:val="000D1803"/>
    <w:rsid w:val="000D72CD"/>
    <w:rsid w:val="000D73DB"/>
    <w:rsid w:val="000E2B7C"/>
    <w:rsid w:val="0010788A"/>
    <w:rsid w:val="0015125D"/>
    <w:rsid w:val="00163C37"/>
    <w:rsid w:val="001776BA"/>
    <w:rsid w:val="00180A59"/>
    <w:rsid w:val="001A2BC5"/>
    <w:rsid w:val="001A3486"/>
    <w:rsid w:val="001A49EF"/>
    <w:rsid w:val="001C334C"/>
    <w:rsid w:val="001E1DEE"/>
    <w:rsid w:val="001F1446"/>
    <w:rsid w:val="001F4707"/>
    <w:rsid w:val="00205A7B"/>
    <w:rsid w:val="00210062"/>
    <w:rsid w:val="0021097F"/>
    <w:rsid w:val="00214E70"/>
    <w:rsid w:val="0023696F"/>
    <w:rsid w:val="002437AA"/>
    <w:rsid w:val="00251B23"/>
    <w:rsid w:val="00275499"/>
    <w:rsid w:val="002830D3"/>
    <w:rsid w:val="002A321E"/>
    <w:rsid w:val="002C1097"/>
    <w:rsid w:val="002D669A"/>
    <w:rsid w:val="002E41AB"/>
    <w:rsid w:val="002E5FE9"/>
    <w:rsid w:val="002E6976"/>
    <w:rsid w:val="002F464D"/>
    <w:rsid w:val="0030260F"/>
    <w:rsid w:val="00313138"/>
    <w:rsid w:val="00315BF9"/>
    <w:rsid w:val="0032332A"/>
    <w:rsid w:val="00364A5C"/>
    <w:rsid w:val="003A5B57"/>
    <w:rsid w:val="003C1BD2"/>
    <w:rsid w:val="003E1001"/>
    <w:rsid w:val="003F250D"/>
    <w:rsid w:val="003F4D23"/>
    <w:rsid w:val="00427CE8"/>
    <w:rsid w:val="00437D48"/>
    <w:rsid w:val="00442C5B"/>
    <w:rsid w:val="00450B45"/>
    <w:rsid w:val="00453A01"/>
    <w:rsid w:val="00463077"/>
    <w:rsid w:val="00472523"/>
    <w:rsid w:val="00473A84"/>
    <w:rsid w:val="0048760C"/>
    <w:rsid w:val="00492E63"/>
    <w:rsid w:val="004A0E03"/>
    <w:rsid w:val="004B2C5E"/>
    <w:rsid w:val="004C273C"/>
    <w:rsid w:val="004D0F2E"/>
    <w:rsid w:val="005057C1"/>
    <w:rsid w:val="005378FC"/>
    <w:rsid w:val="005471CA"/>
    <w:rsid w:val="00547553"/>
    <w:rsid w:val="00557B2E"/>
    <w:rsid w:val="005742CB"/>
    <w:rsid w:val="00575C48"/>
    <w:rsid w:val="00581200"/>
    <w:rsid w:val="005929B0"/>
    <w:rsid w:val="005962D3"/>
    <w:rsid w:val="005A5834"/>
    <w:rsid w:val="005C1DAE"/>
    <w:rsid w:val="005D3C6B"/>
    <w:rsid w:val="005E7FC5"/>
    <w:rsid w:val="00600FBC"/>
    <w:rsid w:val="00606033"/>
    <w:rsid w:val="006106C4"/>
    <w:rsid w:val="0061791E"/>
    <w:rsid w:val="00662E11"/>
    <w:rsid w:val="00664CF1"/>
    <w:rsid w:val="00672FD8"/>
    <w:rsid w:val="0068671A"/>
    <w:rsid w:val="006A4DB7"/>
    <w:rsid w:val="006A7BCC"/>
    <w:rsid w:val="006C1FF3"/>
    <w:rsid w:val="006C7541"/>
    <w:rsid w:val="006D4A54"/>
    <w:rsid w:val="00700CCD"/>
    <w:rsid w:val="007426DD"/>
    <w:rsid w:val="00747C32"/>
    <w:rsid w:val="0075173F"/>
    <w:rsid w:val="0076405C"/>
    <w:rsid w:val="00764A90"/>
    <w:rsid w:val="00767638"/>
    <w:rsid w:val="00771BDA"/>
    <w:rsid w:val="007778B8"/>
    <w:rsid w:val="0079023A"/>
    <w:rsid w:val="00791FF8"/>
    <w:rsid w:val="007A159A"/>
    <w:rsid w:val="007A2850"/>
    <w:rsid w:val="007A40B1"/>
    <w:rsid w:val="007D738F"/>
    <w:rsid w:val="007F0301"/>
    <w:rsid w:val="00844F76"/>
    <w:rsid w:val="00855BE2"/>
    <w:rsid w:val="00875D84"/>
    <w:rsid w:val="008942FD"/>
    <w:rsid w:val="008A7354"/>
    <w:rsid w:val="008B665B"/>
    <w:rsid w:val="008C0B07"/>
    <w:rsid w:val="008C4A25"/>
    <w:rsid w:val="008F0BEE"/>
    <w:rsid w:val="00947E0D"/>
    <w:rsid w:val="0095056E"/>
    <w:rsid w:val="00977364"/>
    <w:rsid w:val="00984FD2"/>
    <w:rsid w:val="0099051D"/>
    <w:rsid w:val="009C5319"/>
    <w:rsid w:val="009D3A28"/>
    <w:rsid w:val="009E67FC"/>
    <w:rsid w:val="009F2697"/>
    <w:rsid w:val="00A22D3C"/>
    <w:rsid w:val="00A30A35"/>
    <w:rsid w:val="00A32394"/>
    <w:rsid w:val="00A33B42"/>
    <w:rsid w:val="00A455CF"/>
    <w:rsid w:val="00A62E55"/>
    <w:rsid w:val="00A71AEC"/>
    <w:rsid w:val="00A82F3B"/>
    <w:rsid w:val="00A95020"/>
    <w:rsid w:val="00A953A6"/>
    <w:rsid w:val="00AA25D8"/>
    <w:rsid w:val="00AC23FA"/>
    <w:rsid w:val="00AD5BB0"/>
    <w:rsid w:val="00AD7662"/>
    <w:rsid w:val="00AE4947"/>
    <w:rsid w:val="00AE6B25"/>
    <w:rsid w:val="00AF373D"/>
    <w:rsid w:val="00B05AB1"/>
    <w:rsid w:val="00B31F44"/>
    <w:rsid w:val="00B42607"/>
    <w:rsid w:val="00B45FE9"/>
    <w:rsid w:val="00B524DB"/>
    <w:rsid w:val="00B5631B"/>
    <w:rsid w:val="00B9366F"/>
    <w:rsid w:val="00BB0AEF"/>
    <w:rsid w:val="00BB2843"/>
    <w:rsid w:val="00BC073F"/>
    <w:rsid w:val="00BC16E8"/>
    <w:rsid w:val="00BC7882"/>
    <w:rsid w:val="00BE04DA"/>
    <w:rsid w:val="00BE5E97"/>
    <w:rsid w:val="00BF2C92"/>
    <w:rsid w:val="00C076B8"/>
    <w:rsid w:val="00C166AE"/>
    <w:rsid w:val="00C2146D"/>
    <w:rsid w:val="00C217BA"/>
    <w:rsid w:val="00C23D91"/>
    <w:rsid w:val="00C47488"/>
    <w:rsid w:val="00C61F68"/>
    <w:rsid w:val="00C63358"/>
    <w:rsid w:val="00C766C7"/>
    <w:rsid w:val="00CC00BD"/>
    <w:rsid w:val="00CD4C67"/>
    <w:rsid w:val="00CE5592"/>
    <w:rsid w:val="00CF1460"/>
    <w:rsid w:val="00D52017"/>
    <w:rsid w:val="00D7270A"/>
    <w:rsid w:val="00D94865"/>
    <w:rsid w:val="00DA2FE9"/>
    <w:rsid w:val="00DA6C5F"/>
    <w:rsid w:val="00DA6CDE"/>
    <w:rsid w:val="00DB06D5"/>
    <w:rsid w:val="00E0713D"/>
    <w:rsid w:val="00E20D46"/>
    <w:rsid w:val="00E251C2"/>
    <w:rsid w:val="00E264F0"/>
    <w:rsid w:val="00E27D38"/>
    <w:rsid w:val="00E4040A"/>
    <w:rsid w:val="00E52D83"/>
    <w:rsid w:val="00E5778F"/>
    <w:rsid w:val="00E6369D"/>
    <w:rsid w:val="00E63B84"/>
    <w:rsid w:val="00E82F89"/>
    <w:rsid w:val="00EA2415"/>
    <w:rsid w:val="00EA4EEB"/>
    <w:rsid w:val="00EA7134"/>
    <w:rsid w:val="00EB6DDB"/>
    <w:rsid w:val="00EC0531"/>
    <w:rsid w:val="00EC76BB"/>
    <w:rsid w:val="00ED5BA0"/>
    <w:rsid w:val="00EE2EA7"/>
    <w:rsid w:val="00EE5A61"/>
    <w:rsid w:val="00EF202F"/>
    <w:rsid w:val="00F018BD"/>
    <w:rsid w:val="00F33FB0"/>
    <w:rsid w:val="00F36AD7"/>
    <w:rsid w:val="00F4298B"/>
    <w:rsid w:val="00F50FD4"/>
    <w:rsid w:val="00F52325"/>
    <w:rsid w:val="00F54BDA"/>
    <w:rsid w:val="00F553EE"/>
    <w:rsid w:val="00F61151"/>
    <w:rsid w:val="00F81545"/>
    <w:rsid w:val="00F83BF4"/>
    <w:rsid w:val="00F85019"/>
    <w:rsid w:val="00F943B2"/>
    <w:rsid w:val="00F96D20"/>
    <w:rsid w:val="00FC604F"/>
    <w:rsid w:val="00FD5B30"/>
    <w:rsid w:val="00FE182D"/>
    <w:rsid w:val="00FE2263"/>
    <w:rsid w:val="00FF7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94B36"/>
  <w15:chartTrackingRefBased/>
  <w15:docId w15:val="{18D37477-EED4-41BD-8956-2D28F03BB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1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1A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A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A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A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A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A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A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1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1A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A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A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A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A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A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AEC"/>
    <w:rPr>
      <w:rFonts w:eastAsiaTheme="majorEastAsia" w:cstheme="majorBidi"/>
      <w:color w:val="272727" w:themeColor="text1" w:themeTint="D8"/>
    </w:rPr>
  </w:style>
  <w:style w:type="paragraph" w:styleId="Title">
    <w:name w:val="Title"/>
    <w:basedOn w:val="Normal"/>
    <w:next w:val="Normal"/>
    <w:link w:val="TitleChar"/>
    <w:uiPriority w:val="10"/>
    <w:qFormat/>
    <w:rsid w:val="00A71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A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A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AEC"/>
    <w:pPr>
      <w:spacing w:before="160"/>
      <w:jc w:val="center"/>
    </w:pPr>
    <w:rPr>
      <w:i/>
      <w:iCs/>
      <w:color w:val="404040" w:themeColor="text1" w:themeTint="BF"/>
    </w:rPr>
  </w:style>
  <w:style w:type="character" w:customStyle="1" w:styleId="QuoteChar">
    <w:name w:val="Quote Char"/>
    <w:basedOn w:val="DefaultParagraphFont"/>
    <w:link w:val="Quote"/>
    <w:uiPriority w:val="29"/>
    <w:rsid w:val="00A71AEC"/>
    <w:rPr>
      <w:i/>
      <w:iCs/>
      <w:color w:val="404040" w:themeColor="text1" w:themeTint="BF"/>
    </w:rPr>
  </w:style>
  <w:style w:type="paragraph" w:styleId="ListParagraph">
    <w:name w:val="List Paragraph"/>
    <w:basedOn w:val="Normal"/>
    <w:uiPriority w:val="34"/>
    <w:qFormat/>
    <w:rsid w:val="00A71AEC"/>
    <w:pPr>
      <w:ind w:left="720"/>
      <w:contextualSpacing/>
    </w:pPr>
  </w:style>
  <w:style w:type="character" w:styleId="IntenseEmphasis">
    <w:name w:val="Intense Emphasis"/>
    <w:basedOn w:val="DefaultParagraphFont"/>
    <w:uiPriority w:val="21"/>
    <w:qFormat/>
    <w:rsid w:val="00A71AEC"/>
    <w:rPr>
      <w:i/>
      <w:iCs/>
      <w:color w:val="0F4761" w:themeColor="accent1" w:themeShade="BF"/>
    </w:rPr>
  </w:style>
  <w:style w:type="paragraph" w:styleId="IntenseQuote">
    <w:name w:val="Intense Quote"/>
    <w:basedOn w:val="Normal"/>
    <w:next w:val="Normal"/>
    <w:link w:val="IntenseQuoteChar"/>
    <w:uiPriority w:val="30"/>
    <w:qFormat/>
    <w:rsid w:val="00A71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AEC"/>
    <w:rPr>
      <w:i/>
      <w:iCs/>
      <w:color w:val="0F4761" w:themeColor="accent1" w:themeShade="BF"/>
    </w:rPr>
  </w:style>
  <w:style w:type="character" w:styleId="IntenseReference">
    <w:name w:val="Intense Reference"/>
    <w:basedOn w:val="DefaultParagraphFont"/>
    <w:uiPriority w:val="32"/>
    <w:qFormat/>
    <w:rsid w:val="00A71AEC"/>
    <w:rPr>
      <w:b/>
      <w:bCs/>
      <w:smallCaps/>
      <w:color w:val="0F4761" w:themeColor="accent1" w:themeShade="BF"/>
      <w:spacing w:val="5"/>
    </w:rPr>
  </w:style>
  <w:style w:type="paragraph" w:styleId="Header">
    <w:name w:val="header"/>
    <w:basedOn w:val="Normal"/>
    <w:link w:val="HeaderChar"/>
    <w:uiPriority w:val="99"/>
    <w:unhideWhenUsed/>
    <w:rsid w:val="006D4A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A54"/>
  </w:style>
  <w:style w:type="paragraph" w:styleId="Footer">
    <w:name w:val="footer"/>
    <w:basedOn w:val="Normal"/>
    <w:link w:val="FooterChar"/>
    <w:uiPriority w:val="99"/>
    <w:unhideWhenUsed/>
    <w:rsid w:val="006D4A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A54"/>
  </w:style>
  <w:style w:type="character" w:styleId="Hyperlink">
    <w:name w:val="Hyperlink"/>
    <w:basedOn w:val="DefaultParagraphFont"/>
    <w:uiPriority w:val="99"/>
    <w:unhideWhenUsed/>
    <w:rsid w:val="00DB06D5"/>
    <w:rPr>
      <w:color w:val="467886" w:themeColor="hyperlink"/>
      <w:u w:val="single"/>
    </w:rPr>
  </w:style>
  <w:style w:type="character" w:styleId="UnresolvedMention">
    <w:name w:val="Unresolved Mention"/>
    <w:basedOn w:val="DefaultParagraphFont"/>
    <w:uiPriority w:val="99"/>
    <w:semiHidden/>
    <w:unhideWhenUsed/>
    <w:rsid w:val="00DB06D5"/>
    <w:rPr>
      <w:color w:val="605E5C"/>
      <w:shd w:val="clear" w:color="auto" w:fill="E1DFDD"/>
    </w:rPr>
  </w:style>
  <w:style w:type="paragraph" w:styleId="TOCHeading">
    <w:name w:val="TOC Heading"/>
    <w:basedOn w:val="Heading1"/>
    <w:next w:val="Normal"/>
    <w:uiPriority w:val="39"/>
    <w:unhideWhenUsed/>
    <w:qFormat/>
    <w:rsid w:val="00EF202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F202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69"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hs.uk/mental-health/conditions/bulimia/"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icd.who.int/" TargetMode="External"/><Relationship Id="rId5" Type="http://schemas.openxmlformats.org/officeDocument/2006/relationships/endnotes" Target="endnotes.xml"/><Relationship Id="rId10" Type="http://schemas.openxmlformats.org/officeDocument/2006/relationships/hyperlink" Target="https://www.england.nhs.uk/publication/adult-eating-disorders-community-inpatient-and-intensive-day-patient-care-guidance-for-commissioners-and-providers/" TargetMode="External"/><Relationship Id="rId4" Type="http://schemas.openxmlformats.org/officeDocument/2006/relationships/footnotes" Target="footnotes.xml"/><Relationship Id="rId9" Type="http://schemas.openxmlformats.org/officeDocument/2006/relationships/hyperlink" Target="https://digital.nhs.uk/data-and-information/publications/statistical/mental-health-of-children-and-young-people-in-england/2023-wave-4-follow-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3058</Words>
  <Characters>17435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telma andrade</dc:creator>
  <cp:keywords/>
  <dc:description/>
  <cp:lastModifiedBy>telma andrade</cp:lastModifiedBy>
  <cp:revision>2</cp:revision>
  <dcterms:created xsi:type="dcterms:W3CDTF">2026-08-13T03:01:00Z</dcterms:created>
  <dcterms:modified xsi:type="dcterms:W3CDTF">2026-08-13T03:01:00Z</dcterms:modified>
</cp:coreProperties>
</file>