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D9046" w14:textId="261A6655" w:rsidR="00D73D34" w:rsidRPr="00D73D34" w:rsidRDefault="00D73D34" w:rsidP="00D73D34">
      <w:pPr>
        <w:spacing w:after="0" w:line="480" w:lineRule="auto"/>
        <w:jc w:val="center"/>
        <w:rPr>
          <w:rFonts w:ascii="Times New Roman" w:hAnsi="Times New Roman" w:cs="Times New Roman"/>
          <w:b/>
          <w:bCs/>
        </w:rPr>
      </w:pPr>
      <w:r w:rsidRPr="00D73D34">
        <w:rPr>
          <w:rFonts w:ascii="Times New Roman" w:hAnsi="Times New Roman" w:cs="Times New Roman"/>
          <w:b/>
          <w:bCs/>
        </w:rPr>
        <w:t xml:space="preserve">2. </w:t>
      </w:r>
      <w:r>
        <w:rPr>
          <w:rFonts w:ascii="Times New Roman" w:hAnsi="Times New Roman" w:cs="Times New Roman"/>
          <w:b/>
          <w:bCs/>
        </w:rPr>
        <w:t>Literature review</w:t>
      </w:r>
    </w:p>
    <w:p w14:paraId="06660563" w14:textId="1187876D" w:rsidR="00D73D34" w:rsidRPr="00D73D34" w:rsidRDefault="00D73D34" w:rsidP="00D73D34">
      <w:pPr>
        <w:spacing w:after="0" w:line="480" w:lineRule="auto"/>
        <w:rPr>
          <w:rFonts w:ascii="Times New Roman" w:hAnsi="Times New Roman" w:cs="Times New Roman"/>
          <w:i/>
          <w:iCs/>
        </w:rPr>
      </w:pPr>
      <w:r w:rsidRPr="00D73D34">
        <w:rPr>
          <w:rFonts w:ascii="Times New Roman" w:hAnsi="Times New Roman" w:cs="Times New Roman"/>
          <w:i/>
          <w:iCs/>
        </w:rPr>
        <w:t xml:space="preserve">2.1. </w:t>
      </w:r>
      <w:r>
        <w:rPr>
          <w:rFonts w:ascii="Times New Roman" w:hAnsi="Times New Roman" w:cs="Times New Roman"/>
          <w:i/>
          <w:iCs/>
        </w:rPr>
        <w:t>Introduction to relevant scholarship</w:t>
      </w:r>
    </w:p>
    <w:p w14:paraId="55BC5C50" w14:textId="0CE9BC7E" w:rsidR="00E57B61" w:rsidRDefault="00430BEC" w:rsidP="005D0415">
      <w:pPr>
        <w:pStyle w:val="isselectedend"/>
        <w:spacing w:before="0" w:beforeAutospacing="0" w:after="0" w:afterAutospacing="0" w:line="480" w:lineRule="auto"/>
        <w:ind w:firstLine="720"/>
      </w:pPr>
      <w:r w:rsidRPr="005D0415">
        <w:t xml:space="preserve">Since the 1970s, scholarship on </w:t>
      </w:r>
      <w:r w:rsidR="005D0415">
        <w:t>first-century</w:t>
      </w:r>
      <w:r w:rsidRPr="005D0415">
        <w:t xml:space="preserve"> Christ-groups has moved beyond </w:t>
      </w:r>
      <w:r w:rsidR="005D0415">
        <w:t xml:space="preserve">a </w:t>
      </w:r>
      <w:r w:rsidRPr="005D0415">
        <w:t>prima</w:t>
      </w:r>
      <w:r w:rsidR="005D0415">
        <w:t>ry focus on</w:t>
      </w:r>
      <w:r w:rsidRPr="005D0415">
        <w:t xml:space="preserve"> theological concerns to </w:t>
      </w:r>
      <w:r w:rsidR="005D0415">
        <w:t xml:space="preserve">an </w:t>
      </w:r>
      <w:r w:rsidRPr="005D0415">
        <w:t>exam</w:t>
      </w:r>
      <w:r w:rsidR="005D0415">
        <w:t>ination of</w:t>
      </w:r>
      <w:r w:rsidRPr="005D0415">
        <w:t xml:space="preserve"> the social realities reflected in Paul</w:t>
      </w:r>
      <w:r w:rsidR="005D0415">
        <w:t>’</w:t>
      </w:r>
      <w:r w:rsidRPr="005D0415">
        <w:t xml:space="preserve">s letters. </w:t>
      </w:r>
      <w:r w:rsidR="00E57B61" w:rsidRPr="005D0415">
        <w:t>A significant milestone in this development was the publication of Wayne A. Meeks</w:t>
      </w:r>
      <w:r w:rsidR="00E57B61">
        <w:t>’</w:t>
      </w:r>
      <w:r w:rsidR="00E57B61" w:rsidRPr="005D0415">
        <w:t xml:space="preserve"> </w:t>
      </w:r>
      <w:r w:rsidR="00E57B61" w:rsidRPr="005D0415">
        <w:rPr>
          <w:rStyle w:val="Emphasis"/>
        </w:rPr>
        <w:t xml:space="preserve">The </w:t>
      </w:r>
      <w:r w:rsidR="00E57B61">
        <w:rPr>
          <w:rStyle w:val="Emphasis"/>
        </w:rPr>
        <w:t>f</w:t>
      </w:r>
      <w:r w:rsidR="00E57B61" w:rsidRPr="005D0415">
        <w:rPr>
          <w:rStyle w:val="Emphasis"/>
        </w:rPr>
        <w:t xml:space="preserve">irst </w:t>
      </w:r>
      <w:r w:rsidR="00E57B61">
        <w:rPr>
          <w:rStyle w:val="Emphasis"/>
        </w:rPr>
        <w:t>u</w:t>
      </w:r>
      <w:r w:rsidR="00E57B61" w:rsidRPr="005D0415">
        <w:rPr>
          <w:rStyle w:val="Emphasis"/>
        </w:rPr>
        <w:t>rban Christians</w:t>
      </w:r>
      <w:r w:rsidR="00E57B61">
        <w:rPr>
          <w:rStyle w:val="Emphasis"/>
        </w:rPr>
        <w:t xml:space="preserve">: the social world of the Apostle Paul </w:t>
      </w:r>
      <w:r w:rsidR="00E57B61" w:rsidRPr="005D0415">
        <w:t xml:space="preserve">(1983), which demonstrated the value of situating Pauline </w:t>
      </w:r>
      <w:r w:rsidR="00E57B61">
        <w:t>Christ-groups</w:t>
      </w:r>
      <w:r w:rsidR="00E57B61" w:rsidRPr="005D0415">
        <w:t xml:space="preserve"> within their broader social </w:t>
      </w:r>
      <w:r w:rsidR="00E57B61">
        <w:t>and historical</w:t>
      </w:r>
      <w:r w:rsidR="00127F4C">
        <w:t xml:space="preserve"> context</w:t>
      </w:r>
      <w:r w:rsidR="00E57B61" w:rsidRPr="005D0415">
        <w:t>. Meeks</w:t>
      </w:r>
      <w:r w:rsidR="00E57B61">
        <w:t>’</w:t>
      </w:r>
      <w:r w:rsidR="00E57B61" w:rsidRPr="005D0415">
        <w:t xml:space="preserve"> work</w:t>
      </w:r>
      <w:r w:rsidR="00E57B61">
        <w:t>, employing an eclectic combination of historical, sociological, and anthropological approaches in the investigation of the composition, organisation, and social dynamics of early Christ-groups, is widely understood as having influenced a</w:t>
      </w:r>
      <w:r w:rsidR="00E57B61" w:rsidRPr="005D0415">
        <w:t xml:space="preserve"> subsequent generation of scholars</w:t>
      </w:r>
      <w:r w:rsidR="00E57B61">
        <w:t>.</w:t>
      </w:r>
      <w:r w:rsidR="00E57B61">
        <w:rPr>
          <w:rStyle w:val="FootnoteReference"/>
        </w:rPr>
        <w:footnoteReference w:id="1"/>
      </w:r>
      <w:r w:rsidR="00E57B61">
        <w:t xml:space="preserve"> </w:t>
      </w:r>
    </w:p>
    <w:p w14:paraId="4E65E546" w14:textId="700248D3" w:rsidR="00430BEC" w:rsidRDefault="00E57B61" w:rsidP="005D0415">
      <w:pPr>
        <w:pStyle w:val="isselectedend"/>
        <w:spacing w:before="0" w:beforeAutospacing="0" w:after="0" w:afterAutospacing="0" w:line="480" w:lineRule="auto"/>
        <w:ind w:firstLine="720"/>
      </w:pPr>
      <w:r>
        <w:t>In more recent decades, scholars</w:t>
      </w:r>
      <w:r w:rsidR="00430BEC" w:rsidRPr="005D0415">
        <w:t xml:space="preserve"> have increasingly sought to understand these </w:t>
      </w:r>
      <w:r w:rsidR="005D0415">
        <w:t xml:space="preserve">early Christ-groups </w:t>
      </w:r>
      <w:r w:rsidR="00430BEC" w:rsidRPr="005D0415">
        <w:t xml:space="preserve">as social formations within the urban environments </w:t>
      </w:r>
      <w:r w:rsidR="005D0415">
        <w:t xml:space="preserve">and culture </w:t>
      </w:r>
      <w:r w:rsidR="00430BEC" w:rsidRPr="005D0415">
        <w:t xml:space="preserve">of the </w:t>
      </w:r>
      <w:r>
        <w:t xml:space="preserve">first-century eastern </w:t>
      </w:r>
      <w:r w:rsidR="00430BEC" w:rsidRPr="005D0415">
        <w:t>Roman Empire. This shift has generated a diverse body of scholarship on communal organi</w:t>
      </w:r>
      <w:r w:rsidR="005D0415">
        <w:t>s</w:t>
      </w:r>
      <w:r w:rsidR="00430BEC" w:rsidRPr="005D0415">
        <w:t>ation, identity formation, social boundaries, patronage relationships, household structures, and the m</w:t>
      </w:r>
      <w:r w:rsidR="005D0415">
        <w:t>eans</w:t>
      </w:r>
      <w:r w:rsidR="00430BEC" w:rsidRPr="005D0415">
        <w:t xml:space="preserve"> through which Christ-groups formed, maintained cohesion, and expanded.</w:t>
      </w:r>
      <w:r w:rsidR="005D0415">
        <w:t xml:space="preserve"> </w:t>
      </w:r>
      <w:r>
        <w:t>In these endeavours</w:t>
      </w:r>
      <w:r w:rsidR="00430BEC" w:rsidRPr="005D0415">
        <w:t xml:space="preserve">, scholars have employed models derived from </w:t>
      </w:r>
      <w:r w:rsidR="008410A5" w:rsidRPr="005D0415">
        <w:t xml:space="preserve">the study of </w:t>
      </w:r>
      <w:r>
        <w:t xml:space="preserve">Greco-Roman </w:t>
      </w:r>
      <w:r w:rsidR="00430BEC" w:rsidRPr="005D0415">
        <w:t>voluntary association</w:t>
      </w:r>
      <w:r w:rsidR="008410A5" w:rsidRPr="005D0415">
        <w:t>s</w:t>
      </w:r>
      <w:r w:rsidR="00430BEC" w:rsidRPr="005D0415">
        <w:t xml:space="preserve">, </w:t>
      </w:r>
      <w:r>
        <w:t xml:space="preserve">the application of </w:t>
      </w:r>
      <w:r w:rsidR="00430BEC" w:rsidRPr="005D0415">
        <w:t xml:space="preserve">Social Identity Theory, network analysis, and other </w:t>
      </w:r>
      <w:r w:rsidR="008410A5" w:rsidRPr="005D0415">
        <w:t xml:space="preserve">socio-historical and </w:t>
      </w:r>
      <w:r w:rsidR="00430BEC" w:rsidRPr="005D0415">
        <w:t xml:space="preserve">social-scientific perspectives to </w:t>
      </w:r>
      <w:r w:rsidR="008410A5" w:rsidRPr="005D0415">
        <w:t>shed light on</w:t>
      </w:r>
      <w:r w:rsidR="00430BEC" w:rsidRPr="005D0415">
        <w:t xml:space="preserve"> </w:t>
      </w:r>
      <w:r>
        <w:t>the</w:t>
      </w:r>
      <w:r w:rsidR="00430BEC" w:rsidRPr="005D0415">
        <w:t xml:space="preserve"> </w:t>
      </w:r>
      <w:r w:rsidR="008410A5" w:rsidRPr="005D0415">
        <w:t xml:space="preserve">communal </w:t>
      </w:r>
      <w:r w:rsidR="00430BEC" w:rsidRPr="005D0415">
        <w:t>d</w:t>
      </w:r>
      <w:r>
        <w:t>ynamics</w:t>
      </w:r>
      <w:r w:rsidR="00430BEC" w:rsidRPr="005D0415">
        <w:t xml:space="preserve"> of </w:t>
      </w:r>
      <w:r w:rsidR="008410A5" w:rsidRPr="005D0415">
        <w:t>first</w:t>
      </w:r>
      <w:r w:rsidR="005D0415">
        <w:t>-</w:t>
      </w:r>
      <w:r w:rsidR="008410A5" w:rsidRPr="005D0415">
        <w:t xml:space="preserve">century Christ-groups. </w:t>
      </w:r>
      <w:r>
        <w:t>However,</w:t>
      </w:r>
      <w:r w:rsidR="00430BEC" w:rsidRPr="005D0415">
        <w:t xml:space="preserve"> little scholarship has examined </w:t>
      </w:r>
      <w:r w:rsidR="008410A5" w:rsidRPr="005D0415">
        <w:t>early</w:t>
      </w:r>
      <w:r w:rsidR="00430BEC" w:rsidRPr="005D0415">
        <w:t xml:space="preserve"> Christ-groups through the lens of </w:t>
      </w:r>
      <w:r>
        <w:t>subculture theory</w:t>
      </w:r>
      <w:r w:rsidR="005D0415">
        <w:t>, integrating</w:t>
      </w:r>
      <w:r w:rsidR="00430BEC" w:rsidRPr="005D0415">
        <w:t xml:space="preserve"> symbolic distinction, relational cohesion, liminal gathering spaces, and translocal networks of diffusion.</w:t>
      </w:r>
    </w:p>
    <w:p w14:paraId="10B503EE" w14:textId="18DA0116" w:rsidR="005D0415" w:rsidRDefault="005D0415" w:rsidP="005D0415">
      <w:pPr>
        <w:pStyle w:val="isselectedend"/>
        <w:spacing w:before="0" w:beforeAutospacing="0" w:after="0" w:afterAutospacing="0" w:line="480" w:lineRule="auto"/>
        <w:ind w:firstLine="720"/>
      </w:pPr>
      <w:r>
        <w:lastRenderedPageBreak/>
        <w:t xml:space="preserve">The following review surveys the academic works most relevant to the present study, particularly as precedents within New Testament scholarship for the heuristic application of socio-historical and social-scientific theories to the analysis of the early Christ movement. Beginning with the transition in scholarly focus associated with Meeks and subsequent work on Christ-groups as voluntary associations, it then </w:t>
      </w:r>
      <w:r w:rsidR="00127F4C">
        <w:t>considers</w:t>
      </w:r>
      <w:r>
        <w:t xml:space="preserve"> the contributions of Social Identity Theory, social-scientific approaches within New Testament studies, and recent developments in subculture theory relevant to </w:t>
      </w:r>
      <w:r w:rsidR="00127F4C">
        <w:t>this study’s analysis</w:t>
      </w:r>
      <w:r>
        <w:t xml:space="preserve">. </w:t>
      </w:r>
    </w:p>
    <w:p w14:paraId="39F4BF51" w14:textId="5C69639A" w:rsidR="00791E05" w:rsidRPr="00791E05" w:rsidRDefault="00791E05" w:rsidP="00791E05">
      <w:pPr>
        <w:pStyle w:val="NormalWeb"/>
        <w:spacing w:before="0" w:beforeAutospacing="0" w:after="0" w:afterAutospacing="0" w:line="480" w:lineRule="auto"/>
        <w:rPr>
          <w:i/>
          <w:iCs/>
        </w:rPr>
      </w:pPr>
      <w:r w:rsidRPr="00AC448B">
        <w:rPr>
          <w:i/>
          <w:iCs/>
        </w:rPr>
        <w:t>2.</w:t>
      </w:r>
      <w:r>
        <w:rPr>
          <w:i/>
          <w:iCs/>
        </w:rPr>
        <w:t>2</w:t>
      </w:r>
      <w:r w:rsidRPr="00AC448B">
        <w:rPr>
          <w:i/>
          <w:iCs/>
        </w:rPr>
        <w:t xml:space="preserve">. </w:t>
      </w:r>
      <w:r w:rsidR="006844A6">
        <w:rPr>
          <w:i/>
          <w:iCs/>
        </w:rPr>
        <w:t>Greco-Roman v</w:t>
      </w:r>
      <w:r>
        <w:rPr>
          <w:i/>
          <w:iCs/>
        </w:rPr>
        <w:t xml:space="preserve">oluntary associations </w:t>
      </w:r>
      <w:r w:rsidR="00310480">
        <w:rPr>
          <w:i/>
          <w:iCs/>
        </w:rPr>
        <w:t>and the Pauline ekklesia</w:t>
      </w:r>
    </w:p>
    <w:p w14:paraId="08ED063D" w14:textId="02A9D76A" w:rsidR="00280D18" w:rsidRDefault="00C461EA" w:rsidP="00D546E3">
      <w:pPr>
        <w:pStyle w:val="isselectedend"/>
        <w:spacing w:before="0" w:beforeAutospacing="0" w:after="0" w:afterAutospacing="0" w:line="480" w:lineRule="auto"/>
      </w:pPr>
      <w:r>
        <w:tab/>
      </w:r>
      <w:r w:rsidR="00393389">
        <w:t xml:space="preserve">In modern scholarship, </w:t>
      </w:r>
      <w:r w:rsidR="00894CA7">
        <w:t xml:space="preserve">the superordinate term </w:t>
      </w:r>
      <w:r w:rsidR="00393389">
        <w:t>‘voluntary association’ serves as an analytical category encompassing diverse, often overlapping forms of</w:t>
      </w:r>
      <w:r w:rsidR="00894CA7">
        <w:t xml:space="preserve"> </w:t>
      </w:r>
      <w:r w:rsidR="00393389">
        <w:t>collective organisation</w:t>
      </w:r>
      <w:r w:rsidR="00894CA7">
        <w:t>s</w:t>
      </w:r>
      <w:r w:rsidR="00393389">
        <w:t xml:space="preserve"> and as a comparative model for studying </w:t>
      </w:r>
      <w:r w:rsidR="00894CA7">
        <w:t xml:space="preserve">such </w:t>
      </w:r>
      <w:r w:rsidR="00393389">
        <w:t>ancient social groups.</w:t>
      </w:r>
      <w:r w:rsidR="00393389">
        <w:rPr>
          <w:rStyle w:val="FootnoteReference"/>
        </w:rPr>
        <w:footnoteReference w:id="2"/>
      </w:r>
      <w:r w:rsidR="00393389">
        <w:t xml:space="preserve"> </w:t>
      </w:r>
      <w:r w:rsidR="00D546E3">
        <w:t>In the Greco-Roman world, voluntary associations</w:t>
      </w:r>
      <w:r w:rsidR="000E34C6">
        <w:t>,</w:t>
      </w:r>
      <w:r w:rsidR="00D546E3">
        <w:t xml:space="preserve"> or </w:t>
      </w:r>
      <w:r w:rsidR="00D546E3" w:rsidRPr="00D17331">
        <w:rPr>
          <w:i/>
          <w:iCs/>
        </w:rPr>
        <w:t>collegia</w:t>
      </w:r>
      <w:r w:rsidR="000E34C6">
        <w:t xml:space="preserve">, </w:t>
      </w:r>
      <w:r w:rsidR="00D546E3">
        <w:t>were self-organi</w:t>
      </w:r>
      <w:r w:rsidR="00FF2F1B">
        <w:t>s</w:t>
      </w:r>
      <w:r w:rsidR="00D546E3">
        <w:t xml:space="preserve">ed groups whose members gathered around shared </w:t>
      </w:r>
      <w:r w:rsidR="00CD2591">
        <w:t>cultic</w:t>
      </w:r>
      <w:r w:rsidR="00D546E3">
        <w:t>, occupational, ethnic, social</w:t>
      </w:r>
      <w:r w:rsidR="00E528AB">
        <w:t>,</w:t>
      </w:r>
      <w:r w:rsidR="00D546E3">
        <w:t xml:space="preserve"> or charitable interests. </w:t>
      </w:r>
      <w:r w:rsidR="00280D18">
        <w:t>The study of Greco-Roman voluntary associations is included here because it has become a widely accepted comparative frameworks for insights into the social organisation and practices of early Christ-groups, while also providing a contextual basis for identifying features that may be considered subcultural.</w:t>
      </w:r>
    </w:p>
    <w:p w14:paraId="07034E86" w14:textId="7A513C01" w:rsidR="00D546E3" w:rsidRDefault="00D546E3" w:rsidP="00280D18">
      <w:pPr>
        <w:pStyle w:val="isselectedend"/>
        <w:spacing w:before="0" w:beforeAutospacing="0" w:after="0" w:afterAutospacing="0" w:line="480" w:lineRule="auto"/>
        <w:ind w:firstLine="720"/>
      </w:pPr>
      <w:r>
        <w:t xml:space="preserve">In </w:t>
      </w:r>
      <w:r>
        <w:rPr>
          <w:rStyle w:val="Emphasis"/>
        </w:rPr>
        <w:t xml:space="preserve">The </w:t>
      </w:r>
      <w:r w:rsidR="00E51E6E">
        <w:rPr>
          <w:rStyle w:val="Emphasis"/>
        </w:rPr>
        <w:t>f</w:t>
      </w:r>
      <w:r>
        <w:rPr>
          <w:rStyle w:val="Emphasis"/>
        </w:rPr>
        <w:t xml:space="preserve">irst </w:t>
      </w:r>
      <w:r w:rsidR="00E51E6E">
        <w:rPr>
          <w:rStyle w:val="Emphasis"/>
        </w:rPr>
        <w:t>u</w:t>
      </w:r>
      <w:r>
        <w:rPr>
          <w:rStyle w:val="Emphasis"/>
        </w:rPr>
        <w:t>rban Christians</w:t>
      </w:r>
      <w:r>
        <w:t xml:space="preserve"> (1983), Meeks considered voluntary associations as one of several comparative models potentially analogous to the social formation of the Pauline Christ-groups</w:t>
      </w:r>
      <w:r w:rsidR="00495699">
        <w:t xml:space="preserve">. </w:t>
      </w:r>
      <w:r w:rsidR="00F76C49">
        <w:t xml:space="preserve">Meeks’ chapter on </w:t>
      </w:r>
      <w:r w:rsidR="001B3F6F">
        <w:t>‘</w:t>
      </w:r>
      <w:r w:rsidR="00F76C49">
        <w:t xml:space="preserve">The formation of the </w:t>
      </w:r>
      <w:r w:rsidR="00F76C49" w:rsidRPr="00AE3C4B">
        <w:rPr>
          <w:i/>
          <w:iCs/>
        </w:rPr>
        <w:t>ekklesia</w:t>
      </w:r>
      <w:r w:rsidR="001B3F6F">
        <w:t>’</w:t>
      </w:r>
      <w:r w:rsidR="00F76C49">
        <w:t xml:space="preserve"> was influential for subsequent scholars,</w:t>
      </w:r>
      <w:r w:rsidR="00AE3C4B">
        <w:rPr>
          <w:rStyle w:val="FootnoteReference"/>
        </w:rPr>
        <w:footnoteReference w:id="3"/>
      </w:r>
      <w:r w:rsidR="00F76C49">
        <w:t xml:space="preserve"> serving as a point of both agreement and reinvestigation. </w:t>
      </w:r>
      <w:r w:rsidR="00EF46DD">
        <w:t>A</w:t>
      </w:r>
      <w:r w:rsidR="00010492">
        <w:t xml:space="preserve">lthough Meeks </w:t>
      </w:r>
      <w:r w:rsidR="00280D18">
        <w:t>determined</w:t>
      </w:r>
      <w:r w:rsidR="00010492">
        <w:t xml:space="preserve"> </w:t>
      </w:r>
      <w:r w:rsidR="00010492">
        <w:lastRenderedPageBreak/>
        <w:t xml:space="preserve">voluntary associations </w:t>
      </w:r>
      <w:r w:rsidR="00280D18">
        <w:t xml:space="preserve">as </w:t>
      </w:r>
      <w:r w:rsidR="00010492">
        <w:t xml:space="preserve">dissimilar to Paul’s </w:t>
      </w:r>
      <w:r w:rsidR="00010492">
        <w:rPr>
          <w:rStyle w:val="Emphasis"/>
        </w:rPr>
        <w:t>ekklesia</w:t>
      </w:r>
      <w:r w:rsidR="00010492">
        <w:t xml:space="preserve"> </w:t>
      </w:r>
      <w:r w:rsidR="004B58CE">
        <w:t>based on</w:t>
      </w:r>
      <w:r w:rsidR="00010492">
        <w:t xml:space="preserve"> </w:t>
      </w:r>
      <w:r w:rsidR="001A5AC5">
        <w:t>his understanding of differences</w:t>
      </w:r>
      <w:r w:rsidR="00010492">
        <w:t xml:space="preserve"> in demographic diversity, common terminology, and translocal links,</w:t>
      </w:r>
      <w:r w:rsidR="00FC29D1">
        <w:rPr>
          <w:rStyle w:val="FootnoteReference"/>
        </w:rPr>
        <w:footnoteReference w:id="4"/>
      </w:r>
      <w:r w:rsidR="00010492">
        <w:t xml:space="preserve"> later evaluation</w:t>
      </w:r>
      <w:r w:rsidR="004B58CE">
        <w:t>s</w:t>
      </w:r>
      <w:r w:rsidR="00010492">
        <w:t xml:space="preserve"> of the evidence have</w:t>
      </w:r>
      <w:r w:rsidR="0032319F">
        <w:t xml:space="preserve"> </w:t>
      </w:r>
      <w:r w:rsidR="000A13E5">
        <w:t>c</w:t>
      </w:r>
      <w:r w:rsidR="00FE2DFB">
        <w:t>e</w:t>
      </w:r>
      <w:r w:rsidR="000A13E5">
        <w:t>nt</w:t>
      </w:r>
      <w:r w:rsidR="002D2D36">
        <w:t>r</w:t>
      </w:r>
      <w:r w:rsidR="00FA6773">
        <w:t>ed</w:t>
      </w:r>
      <w:r w:rsidR="00010492">
        <w:t xml:space="preserve"> associations a</w:t>
      </w:r>
      <w:r w:rsidR="00C851BE">
        <w:t>s a</w:t>
      </w:r>
      <w:r w:rsidR="00010492">
        <w:t xml:space="preserve"> point of comparison in </w:t>
      </w:r>
      <w:r w:rsidR="008F135D">
        <w:t xml:space="preserve">contemporary </w:t>
      </w:r>
      <w:r w:rsidR="00010492">
        <w:t xml:space="preserve">scholarly efforts to understand the social structure of Pauline </w:t>
      </w:r>
      <w:r w:rsidR="00EE4521">
        <w:t xml:space="preserve">Christ-groups in their socio-historical contexts. </w:t>
      </w:r>
    </w:p>
    <w:p w14:paraId="0761840C" w14:textId="1CBAEBC0" w:rsidR="00CB50F5" w:rsidRDefault="008B34E8" w:rsidP="003D0699">
      <w:pPr>
        <w:pStyle w:val="isselectedend"/>
        <w:spacing w:before="0" w:beforeAutospacing="0" w:after="0" w:afterAutospacing="0" w:line="480" w:lineRule="auto"/>
      </w:pPr>
      <w:r>
        <w:tab/>
      </w:r>
      <w:r w:rsidR="00A91CC0">
        <w:t xml:space="preserve">Over the past several decades, scholars have extensively studied the </w:t>
      </w:r>
      <w:r w:rsidR="00280D18">
        <w:t xml:space="preserve">inscriptional and papyrological </w:t>
      </w:r>
      <w:r w:rsidR="00A91CC0">
        <w:t xml:space="preserve">evidence of a wide range of Greco-Roman voluntary associations </w:t>
      </w:r>
      <w:r w:rsidR="00472A33">
        <w:t>across the eastern Mediterranean to gain</w:t>
      </w:r>
      <w:r w:rsidR="00A91CC0">
        <w:t xml:space="preserve"> insight into the social dimensions of associative life in ancient society. </w:t>
      </w:r>
      <w:r w:rsidR="008D53DC">
        <w:t xml:space="preserve">Building on several decades of scholarship, </w:t>
      </w:r>
      <w:r w:rsidR="008D53DC">
        <w:rPr>
          <w:rStyle w:val="Emphasis"/>
        </w:rPr>
        <w:t xml:space="preserve">Voluntary </w:t>
      </w:r>
      <w:r w:rsidR="00E57CA8">
        <w:rPr>
          <w:rStyle w:val="Emphasis"/>
        </w:rPr>
        <w:t>a</w:t>
      </w:r>
      <w:r w:rsidR="008D53DC">
        <w:rPr>
          <w:rStyle w:val="Emphasis"/>
        </w:rPr>
        <w:t xml:space="preserve">ssociations in the Graeco-Roman </w:t>
      </w:r>
      <w:r w:rsidR="00E57CA8">
        <w:rPr>
          <w:rStyle w:val="Emphasis"/>
        </w:rPr>
        <w:t>w</w:t>
      </w:r>
      <w:r w:rsidR="008D53DC">
        <w:rPr>
          <w:rStyle w:val="Emphasis"/>
        </w:rPr>
        <w:t>orld</w:t>
      </w:r>
      <w:r w:rsidR="008D53DC">
        <w:t xml:space="preserve"> (1996), edited by </w:t>
      </w:r>
      <w:r w:rsidR="00E331B4">
        <w:t xml:space="preserve">John S. </w:t>
      </w:r>
      <w:r w:rsidR="008D53DC">
        <w:t xml:space="preserve">Kloppenborg and Stephen G. Wilson, marked an important milestone in the study of </w:t>
      </w:r>
      <w:r w:rsidR="00D22AAD">
        <w:t>voluntary</w:t>
      </w:r>
      <w:r w:rsidR="008D53DC">
        <w:t xml:space="preserve"> associations. A substantial body of scholarship has since emerged that is directly relevant to the study of Pauline Christ-groups.</w:t>
      </w:r>
      <w:r w:rsidR="00E331B4">
        <w:t xml:space="preserve"> </w:t>
      </w:r>
      <w:r w:rsidR="00796FAF">
        <w:t xml:space="preserve">Significant contributions include Philip A. Harland’s </w:t>
      </w:r>
      <w:r w:rsidR="00796FAF">
        <w:rPr>
          <w:rStyle w:val="Emphasis"/>
        </w:rPr>
        <w:t xml:space="preserve">Associations, </w:t>
      </w:r>
      <w:r w:rsidR="007B1A24">
        <w:rPr>
          <w:rStyle w:val="Emphasis"/>
        </w:rPr>
        <w:t>s</w:t>
      </w:r>
      <w:r w:rsidR="00796FAF">
        <w:rPr>
          <w:rStyle w:val="Emphasis"/>
        </w:rPr>
        <w:t xml:space="preserve">ynagogues, and </w:t>
      </w:r>
      <w:r w:rsidR="007B1A24">
        <w:rPr>
          <w:rStyle w:val="Emphasis"/>
        </w:rPr>
        <w:t>c</w:t>
      </w:r>
      <w:r w:rsidR="00796FAF">
        <w:rPr>
          <w:rStyle w:val="Emphasis"/>
        </w:rPr>
        <w:t xml:space="preserve">ongregations: </w:t>
      </w:r>
      <w:r w:rsidR="007B1A24">
        <w:rPr>
          <w:rStyle w:val="Emphasis"/>
        </w:rPr>
        <w:t>c</w:t>
      </w:r>
      <w:r w:rsidR="00796FAF">
        <w:rPr>
          <w:rStyle w:val="Emphasis"/>
        </w:rPr>
        <w:t>laiming a</w:t>
      </w:r>
      <w:r w:rsidR="007B1A24">
        <w:rPr>
          <w:rStyle w:val="Emphasis"/>
        </w:rPr>
        <w:t xml:space="preserve"> p</w:t>
      </w:r>
      <w:r w:rsidR="00796FAF">
        <w:rPr>
          <w:rStyle w:val="Emphasis"/>
        </w:rPr>
        <w:t xml:space="preserve">lace in </w:t>
      </w:r>
      <w:r w:rsidR="007B1A24">
        <w:rPr>
          <w:rStyle w:val="Emphasis"/>
        </w:rPr>
        <w:t>a</w:t>
      </w:r>
      <w:r w:rsidR="00796FAF">
        <w:rPr>
          <w:rStyle w:val="Emphasis"/>
        </w:rPr>
        <w:t xml:space="preserve">ncient Mediterranean </w:t>
      </w:r>
      <w:r w:rsidR="007B1A24">
        <w:rPr>
          <w:rStyle w:val="Emphasis"/>
        </w:rPr>
        <w:t>s</w:t>
      </w:r>
      <w:r w:rsidR="00796FAF">
        <w:rPr>
          <w:rStyle w:val="Emphasis"/>
        </w:rPr>
        <w:t>ociety</w:t>
      </w:r>
      <w:r w:rsidR="00796FAF">
        <w:t xml:space="preserve"> (2003) and </w:t>
      </w:r>
      <w:r w:rsidR="00796FAF">
        <w:rPr>
          <w:rStyle w:val="Emphasis"/>
        </w:rPr>
        <w:t xml:space="preserve">Dynamics of </w:t>
      </w:r>
      <w:r w:rsidR="007B1A24">
        <w:rPr>
          <w:rStyle w:val="Emphasis"/>
        </w:rPr>
        <w:t>i</w:t>
      </w:r>
      <w:r w:rsidR="00796FAF">
        <w:rPr>
          <w:rStyle w:val="Emphasis"/>
        </w:rPr>
        <w:t xml:space="preserve">dentity in the </w:t>
      </w:r>
      <w:r w:rsidR="007B1A24">
        <w:rPr>
          <w:rStyle w:val="Emphasis"/>
        </w:rPr>
        <w:t>w</w:t>
      </w:r>
      <w:r w:rsidR="00796FAF">
        <w:rPr>
          <w:rStyle w:val="Emphasis"/>
        </w:rPr>
        <w:t xml:space="preserve">orld of </w:t>
      </w:r>
      <w:r w:rsidR="007B1A24">
        <w:rPr>
          <w:rStyle w:val="Emphasis"/>
        </w:rPr>
        <w:t>e</w:t>
      </w:r>
      <w:r w:rsidR="00796FAF">
        <w:rPr>
          <w:rStyle w:val="Emphasis"/>
        </w:rPr>
        <w:t xml:space="preserve">arly Christians: </w:t>
      </w:r>
      <w:r w:rsidR="007B1A24">
        <w:rPr>
          <w:rStyle w:val="Emphasis"/>
        </w:rPr>
        <w:t>a</w:t>
      </w:r>
      <w:r w:rsidR="00796FAF">
        <w:rPr>
          <w:rStyle w:val="Emphasis"/>
        </w:rPr>
        <w:t xml:space="preserve">ssociations, Judeans, and </w:t>
      </w:r>
      <w:r w:rsidR="007B1A24">
        <w:rPr>
          <w:rStyle w:val="Emphasis"/>
        </w:rPr>
        <w:t>c</w:t>
      </w:r>
      <w:r w:rsidR="00796FAF">
        <w:rPr>
          <w:rStyle w:val="Emphasis"/>
        </w:rPr>
        <w:t xml:space="preserve">ultural </w:t>
      </w:r>
      <w:r w:rsidR="007B1A24">
        <w:rPr>
          <w:rStyle w:val="Emphasis"/>
        </w:rPr>
        <w:t>m</w:t>
      </w:r>
      <w:r w:rsidR="00796FAF">
        <w:rPr>
          <w:rStyle w:val="Emphasis"/>
        </w:rPr>
        <w:t>inorities</w:t>
      </w:r>
      <w:r w:rsidR="00796FAF">
        <w:t xml:space="preserve"> (2009), Richard Last’s </w:t>
      </w:r>
      <w:r w:rsidR="00796FAF">
        <w:rPr>
          <w:rStyle w:val="Emphasis"/>
        </w:rPr>
        <w:t xml:space="preserve">The Pauline </w:t>
      </w:r>
      <w:r w:rsidR="007B1A24">
        <w:rPr>
          <w:rStyle w:val="Emphasis"/>
        </w:rPr>
        <w:t>c</w:t>
      </w:r>
      <w:r w:rsidR="00796FAF">
        <w:rPr>
          <w:rStyle w:val="Emphasis"/>
        </w:rPr>
        <w:t xml:space="preserve">hurch and the Corinthian </w:t>
      </w:r>
      <w:r w:rsidR="007B1A24">
        <w:rPr>
          <w:rStyle w:val="Emphasis"/>
        </w:rPr>
        <w:t>e</w:t>
      </w:r>
      <w:r w:rsidR="00796FAF">
        <w:rPr>
          <w:rStyle w:val="Emphasis"/>
        </w:rPr>
        <w:t xml:space="preserve">kklesia: Greco-Roman </w:t>
      </w:r>
      <w:r w:rsidR="007B1A24">
        <w:rPr>
          <w:rStyle w:val="Emphasis"/>
        </w:rPr>
        <w:t>a</w:t>
      </w:r>
      <w:r w:rsidR="00796FAF">
        <w:rPr>
          <w:rStyle w:val="Emphasis"/>
        </w:rPr>
        <w:t xml:space="preserve">ssociations in </w:t>
      </w:r>
      <w:r w:rsidR="007B1A24">
        <w:rPr>
          <w:rStyle w:val="Emphasis"/>
        </w:rPr>
        <w:t>c</w:t>
      </w:r>
      <w:r w:rsidR="00796FAF">
        <w:rPr>
          <w:rStyle w:val="Emphasis"/>
        </w:rPr>
        <w:t xml:space="preserve">omparative </w:t>
      </w:r>
      <w:r w:rsidR="007B1A24">
        <w:rPr>
          <w:rStyle w:val="Emphasis"/>
        </w:rPr>
        <w:t>c</w:t>
      </w:r>
      <w:r w:rsidR="00796FAF">
        <w:rPr>
          <w:rStyle w:val="Emphasis"/>
        </w:rPr>
        <w:t>ontext</w:t>
      </w:r>
      <w:r w:rsidR="00796FAF">
        <w:t xml:space="preserve"> (2016), Richard S. Ascough’s </w:t>
      </w:r>
      <w:r w:rsidR="00796FAF">
        <w:rPr>
          <w:rStyle w:val="Emphasis"/>
        </w:rPr>
        <w:t xml:space="preserve">Early Christ </w:t>
      </w:r>
      <w:r w:rsidR="007B1A24">
        <w:rPr>
          <w:rStyle w:val="Emphasis"/>
        </w:rPr>
        <w:t>g</w:t>
      </w:r>
      <w:r w:rsidR="00796FAF">
        <w:rPr>
          <w:rStyle w:val="Emphasis"/>
        </w:rPr>
        <w:t xml:space="preserve">roups and Greco-Roman </w:t>
      </w:r>
      <w:r w:rsidR="007B1A24">
        <w:rPr>
          <w:rStyle w:val="Emphasis"/>
        </w:rPr>
        <w:t>a</w:t>
      </w:r>
      <w:r w:rsidR="00796FAF">
        <w:rPr>
          <w:rStyle w:val="Emphasis"/>
        </w:rPr>
        <w:t xml:space="preserve">ssociations: </w:t>
      </w:r>
      <w:r w:rsidR="007B1A24">
        <w:rPr>
          <w:rStyle w:val="Emphasis"/>
        </w:rPr>
        <w:t>o</w:t>
      </w:r>
      <w:r w:rsidR="00796FAF">
        <w:rPr>
          <w:rStyle w:val="Emphasis"/>
        </w:rPr>
        <w:t>rgani</w:t>
      </w:r>
      <w:r w:rsidR="004B58CE">
        <w:rPr>
          <w:rStyle w:val="Emphasis"/>
        </w:rPr>
        <w:t>s</w:t>
      </w:r>
      <w:r w:rsidR="00796FAF">
        <w:rPr>
          <w:rStyle w:val="Emphasis"/>
        </w:rPr>
        <w:t xml:space="preserve">ational </w:t>
      </w:r>
      <w:r w:rsidR="007B1A24">
        <w:rPr>
          <w:rStyle w:val="Emphasis"/>
        </w:rPr>
        <w:t>m</w:t>
      </w:r>
      <w:r w:rsidR="00796FAF">
        <w:rPr>
          <w:rStyle w:val="Emphasis"/>
        </w:rPr>
        <w:t xml:space="preserve">odels and </w:t>
      </w:r>
      <w:r w:rsidR="007B1A24">
        <w:rPr>
          <w:rStyle w:val="Emphasis"/>
        </w:rPr>
        <w:t>s</w:t>
      </w:r>
      <w:r w:rsidR="00796FAF">
        <w:rPr>
          <w:rStyle w:val="Emphasis"/>
        </w:rPr>
        <w:t xml:space="preserve">ocial </w:t>
      </w:r>
      <w:r w:rsidR="007B1A24">
        <w:rPr>
          <w:rStyle w:val="Emphasis"/>
        </w:rPr>
        <w:t>p</w:t>
      </w:r>
      <w:r w:rsidR="00796FAF">
        <w:rPr>
          <w:rStyle w:val="Emphasis"/>
        </w:rPr>
        <w:t>ractices</w:t>
      </w:r>
      <w:r w:rsidR="00796FAF">
        <w:t xml:space="preserve"> (2022), and Kloppenborg’s </w:t>
      </w:r>
      <w:r w:rsidR="00796FAF">
        <w:rPr>
          <w:rStyle w:val="Emphasis"/>
        </w:rPr>
        <w:t xml:space="preserve">Christ’s </w:t>
      </w:r>
      <w:r w:rsidR="007B1A24">
        <w:rPr>
          <w:rStyle w:val="Emphasis"/>
        </w:rPr>
        <w:t>a</w:t>
      </w:r>
      <w:r w:rsidR="00796FAF">
        <w:rPr>
          <w:rStyle w:val="Emphasis"/>
        </w:rPr>
        <w:t xml:space="preserve">ssociations: </w:t>
      </w:r>
      <w:r w:rsidR="007B1A24">
        <w:rPr>
          <w:rStyle w:val="Emphasis"/>
        </w:rPr>
        <w:t>c</w:t>
      </w:r>
      <w:r w:rsidR="00796FAF">
        <w:rPr>
          <w:rStyle w:val="Emphasis"/>
        </w:rPr>
        <w:t xml:space="preserve">onnecting and </w:t>
      </w:r>
      <w:r w:rsidR="007B1A24">
        <w:rPr>
          <w:rStyle w:val="Emphasis"/>
        </w:rPr>
        <w:t>b</w:t>
      </w:r>
      <w:r w:rsidR="00796FAF">
        <w:rPr>
          <w:rStyle w:val="Emphasis"/>
        </w:rPr>
        <w:t xml:space="preserve">elonging in the </w:t>
      </w:r>
      <w:r w:rsidR="007B1A24">
        <w:rPr>
          <w:rStyle w:val="Emphasis"/>
        </w:rPr>
        <w:t>a</w:t>
      </w:r>
      <w:r w:rsidR="00796FAF">
        <w:rPr>
          <w:rStyle w:val="Emphasis"/>
        </w:rPr>
        <w:t xml:space="preserve">ncient </w:t>
      </w:r>
      <w:r w:rsidR="007B1A24">
        <w:rPr>
          <w:rStyle w:val="Emphasis"/>
        </w:rPr>
        <w:t>c</w:t>
      </w:r>
      <w:r w:rsidR="00796FAF">
        <w:rPr>
          <w:rStyle w:val="Emphasis"/>
        </w:rPr>
        <w:t>ity</w:t>
      </w:r>
      <w:r w:rsidR="00796FAF">
        <w:t xml:space="preserve"> (2019).</w:t>
      </w:r>
      <w:r w:rsidR="00AF3700">
        <w:t xml:space="preserve"> </w:t>
      </w:r>
    </w:p>
    <w:p w14:paraId="23A57217" w14:textId="14CE4383" w:rsidR="00090F35" w:rsidRDefault="00090F35" w:rsidP="003D0699">
      <w:pPr>
        <w:pStyle w:val="isselectedend"/>
        <w:spacing w:before="0" w:beforeAutospacing="0" w:after="0" w:afterAutospacing="0" w:line="480" w:lineRule="auto"/>
        <w:ind w:firstLine="720"/>
      </w:pPr>
      <w:r>
        <w:t xml:space="preserve">Collectively, these scholars use evidence from Greco-Roman associations as a heuristic </w:t>
      </w:r>
      <w:r w:rsidR="00DA1EBB">
        <w:t>for comparing</w:t>
      </w:r>
      <w:r>
        <w:t xml:space="preserve"> early Christ-groups. Such comparisons are used to explore possible features and practices of the Christ-groups, while also establishing the boundaries of historical imagination through parallels with other forms of association and avoiding an overemphasis on the </w:t>
      </w:r>
      <w:r>
        <w:lastRenderedPageBreak/>
        <w:t>distinctiveness of early Christianity. This body of scholarship highlights points of comparison between various types of voluntary associations and the early Christ-groups, including organisation, membership, leadership structures, communal meals, and group identity within the urban environments of the Roman Empire.</w:t>
      </w:r>
      <w:r w:rsidR="003D0699">
        <w:t xml:space="preserve"> </w:t>
      </w:r>
      <w:r>
        <w:t>This comparative approach is both necessitated and complicated by the nature of the available evidence. The record of Greco-Roman associations is preserved primarily in inscriptions, which provide institutional and commemorative information. In contrast, the literary evidence of the Pauline epistles provides greater insight into the interpersonal, affective, and ideological dimensions of the Christ-groups. As a result, scholars continue to debate the extent to which associations provide an appropriate model for understanding Pauline Christ-groups with respect to fictive kinship, symbolic distinction, civic engagement, group profiles, meeting spaces, funding, and translocal relational networks.</w:t>
      </w:r>
    </w:p>
    <w:p w14:paraId="22D5505C" w14:textId="3ED84312" w:rsidR="009F1B89" w:rsidRDefault="000E50EC" w:rsidP="00684564">
      <w:pPr>
        <w:pStyle w:val="NormalWeb"/>
        <w:spacing w:before="0" w:beforeAutospacing="0" w:after="0" w:afterAutospacing="0" w:line="480" w:lineRule="auto"/>
        <w:ind w:firstLine="720"/>
      </w:pPr>
      <w:r>
        <w:t>For example, whereas Meeks asserted a distinctive social profile for the Pauline groups, in status inconsistency and use of fictive kinship language,</w:t>
      </w:r>
      <w:r w:rsidR="00607A94">
        <w:rPr>
          <w:rStyle w:val="FootnoteReference"/>
        </w:rPr>
        <w:footnoteReference w:id="5"/>
      </w:r>
      <w:r>
        <w:t xml:space="preserve"> Kloppenborg places the Pauline Christ-groups within the diversity of ancient associations, drawing attention to shared patterns of membership,</w:t>
      </w:r>
      <w:r w:rsidR="00E1794F">
        <w:rPr>
          <w:rStyle w:val="FootnoteReference"/>
        </w:rPr>
        <w:footnoteReference w:id="6"/>
      </w:r>
      <w:r>
        <w:t xml:space="preserve"> social capital,</w:t>
      </w:r>
      <w:r w:rsidR="009F7BD6">
        <w:rPr>
          <w:rStyle w:val="FootnoteReference"/>
        </w:rPr>
        <w:footnoteReference w:id="7"/>
      </w:r>
      <w:r>
        <w:t xml:space="preserve"> communal meals,</w:t>
      </w:r>
      <w:r w:rsidR="00614A10">
        <w:rPr>
          <w:rStyle w:val="FootnoteReference"/>
        </w:rPr>
        <w:footnoteReference w:id="8"/>
      </w:r>
      <w:r>
        <w:t xml:space="preserve"> ethical regulation,</w:t>
      </w:r>
      <w:r w:rsidR="00B77B1F">
        <w:rPr>
          <w:rStyle w:val="FootnoteReference"/>
        </w:rPr>
        <w:footnoteReference w:id="9"/>
      </w:r>
      <w:r>
        <w:t xml:space="preserve"> and possible meeting spaces beyond the household.</w:t>
      </w:r>
      <w:r w:rsidR="00761DCC">
        <w:rPr>
          <w:rStyle w:val="FootnoteReference"/>
        </w:rPr>
        <w:footnoteReference w:id="10"/>
      </w:r>
      <w:r>
        <w:t xml:space="preserve"> </w:t>
      </w:r>
      <w:r w:rsidR="00280D18">
        <w:t xml:space="preserve">For example, Kloppenborg interprets Paul's collection for the Jerusalem Christ-group as drawing upon the practices and ideology of Greek </w:t>
      </w:r>
      <w:r w:rsidR="00280D18">
        <w:rPr>
          <w:rStyle w:val="Emphasis"/>
        </w:rPr>
        <w:t>epidoseis</w:t>
      </w:r>
      <w:r w:rsidR="00280D18">
        <w:t>, whereby individuals and groups “performed membership” as part of their collective identity, while simultaneously “transgressing” its customary boundary through support for an extralocal, non-Greek group.</w:t>
      </w:r>
      <w:r w:rsidR="00280D18">
        <w:rPr>
          <w:rStyle w:val="FootnoteReference"/>
        </w:rPr>
        <w:footnoteReference w:id="11"/>
      </w:r>
      <w:r w:rsidR="00280D18">
        <w:t xml:space="preserve"> </w:t>
      </w:r>
      <w:r w:rsidR="00696EF4">
        <w:t xml:space="preserve">Harland complicates claims of Pauline distinctiveness by demonstrating that </w:t>
      </w:r>
      <w:r w:rsidR="00696EF4">
        <w:lastRenderedPageBreak/>
        <w:t xml:space="preserve">fictive kinship language, including </w:t>
      </w:r>
      <w:r w:rsidR="00C313E4" w:rsidRPr="00CD0906">
        <w:rPr>
          <w:i/>
          <w:iCs/>
        </w:rPr>
        <w:t>adelphoi</w:t>
      </w:r>
      <w:r w:rsidR="00C313E4">
        <w:t xml:space="preserve"> (‘brothers’), was us</w:t>
      </w:r>
      <w:r w:rsidR="00696EF4">
        <w:t xml:space="preserve">ed by a variety of occupational and cultic associations </w:t>
      </w:r>
      <w:r w:rsidR="0041623B">
        <w:t>throughout</w:t>
      </w:r>
      <w:r w:rsidR="00696EF4">
        <w:t xml:space="preserve"> the eastern Mediterranean.</w:t>
      </w:r>
      <w:r w:rsidR="00424B95">
        <w:rPr>
          <w:rStyle w:val="FootnoteReference"/>
        </w:rPr>
        <w:footnoteReference w:id="12"/>
      </w:r>
      <w:r w:rsidR="00696EF4">
        <w:t xml:space="preserve"> At the same time, he acknowledges the difficulty of determining the symbolic meaning conveyed by such language from the primarily inscriptional evidence of the associations, which lacks the literary context of the Pauline letters. In his study of the Corinthian </w:t>
      </w:r>
      <w:r w:rsidR="00696EF4">
        <w:rPr>
          <w:rStyle w:val="Emphasis"/>
        </w:rPr>
        <w:t>ekklesia</w:t>
      </w:r>
      <w:r w:rsidR="00696EF4">
        <w:t>, Last argues</w:t>
      </w:r>
      <w:r w:rsidR="006A6664">
        <w:rPr>
          <w:rStyle w:val="FootnoteReference"/>
        </w:rPr>
        <w:footnoteReference w:id="13"/>
      </w:r>
      <w:r w:rsidR="00696EF4">
        <w:t xml:space="preserve"> that its meeting </w:t>
      </w:r>
      <w:r w:rsidR="00696EF4" w:rsidRPr="00F77BFC">
        <w:t>practices,</w:t>
      </w:r>
      <w:r w:rsidR="00C6150E" w:rsidRPr="00F77BFC">
        <w:rPr>
          <w:rStyle w:val="FootnoteReference"/>
        </w:rPr>
        <w:t xml:space="preserve"> </w:t>
      </w:r>
      <w:r w:rsidR="00C6150E" w:rsidRPr="00F77BFC">
        <w:t>financial arrangements, and recruitment strategies may be better understood in relation to a range of associational models than solely in domestic or familial settings, as has sometimes been</w:t>
      </w:r>
      <w:r w:rsidR="00696EF4" w:rsidRPr="00F77BFC">
        <w:t xml:space="preserve"> </w:t>
      </w:r>
      <w:r w:rsidR="00A12CDB" w:rsidRPr="00F77BFC">
        <w:t>asserted in</w:t>
      </w:r>
      <w:r w:rsidR="00696EF4">
        <w:t xml:space="preserve"> </w:t>
      </w:r>
      <w:r w:rsidR="00CD0906">
        <w:t>apologetic</w:t>
      </w:r>
      <w:r w:rsidR="00081359">
        <w:t>-</w:t>
      </w:r>
      <w:r w:rsidR="00CD0906">
        <w:t>influenced</w:t>
      </w:r>
      <w:r w:rsidR="00696EF4">
        <w:t xml:space="preserve"> scholarship.</w:t>
      </w:r>
    </w:p>
    <w:p w14:paraId="44AECA37" w14:textId="416A8840" w:rsidR="00AF1C6D" w:rsidRDefault="00090F35" w:rsidP="00684564">
      <w:pPr>
        <w:pStyle w:val="NormalWeb"/>
        <w:spacing w:before="0" w:beforeAutospacing="0" w:after="0" w:afterAutospacing="0" w:line="480" w:lineRule="auto"/>
        <w:ind w:firstLine="720"/>
      </w:pPr>
      <w:r>
        <w:t xml:space="preserve">Taken together, these studies demonstrate the value Greco-Roman </w:t>
      </w:r>
      <w:r w:rsidR="00523566">
        <w:t xml:space="preserve">voluntary </w:t>
      </w:r>
      <w:r>
        <w:t xml:space="preserve">associations provide for thinking about the organisation and social practices of Pauline Christ-groups within the urban environment of the Roman Empire. </w:t>
      </w:r>
      <w:r w:rsidR="00684564">
        <w:t xml:space="preserve">However, </w:t>
      </w:r>
      <w:r w:rsidR="007E69F1">
        <w:t xml:space="preserve">we should also consider that </w:t>
      </w:r>
      <w:r w:rsidR="00684564">
        <w:t xml:space="preserve">most cultic and occupational associations operated within dominant Greco-Roman </w:t>
      </w:r>
      <w:r w:rsidR="00386867">
        <w:t>culture</w:t>
      </w:r>
      <w:r w:rsidR="00684564">
        <w:t xml:space="preserve">, rather than at the margins. </w:t>
      </w:r>
      <w:r w:rsidR="00A7104F">
        <w:t xml:space="preserve">Although the Pauline Christ-groups can be situated within the </w:t>
      </w:r>
      <w:r w:rsidR="008570EF">
        <w:t xml:space="preserve">academic category </w:t>
      </w:r>
      <w:r w:rsidR="00A7104F">
        <w:t xml:space="preserve">of ancient associations, their construction of identity, symbolic boundaries, and patterns of belonging suggest that additional analytical categories may </w:t>
      </w:r>
      <w:r w:rsidR="004327DA">
        <w:t>help explain</w:t>
      </w:r>
      <w:r w:rsidR="00A7104F">
        <w:t xml:space="preserve"> aspects of their social formation </w:t>
      </w:r>
      <w:r w:rsidR="004327DA">
        <w:t>that are not fully addressed by</w:t>
      </w:r>
      <w:r w:rsidR="00A7104F">
        <w:t xml:space="preserve"> association</w:t>
      </w:r>
      <w:r w:rsidR="00A67702">
        <w:t xml:space="preserve"> </w:t>
      </w:r>
      <w:r w:rsidR="00C313E4" w:rsidRPr="00C313E4">
        <w:rPr>
          <w:i/>
          <w:iCs/>
        </w:rPr>
        <w:t>comparanda</w:t>
      </w:r>
      <w:r w:rsidR="00A7104F">
        <w:t xml:space="preserve"> alone.</w:t>
      </w:r>
    </w:p>
    <w:p w14:paraId="7F9F9F37" w14:textId="0AABF3F7" w:rsidR="00AC448B" w:rsidRDefault="00AC448B" w:rsidP="00AF1C6D">
      <w:pPr>
        <w:pStyle w:val="NormalWeb"/>
        <w:spacing w:before="0" w:beforeAutospacing="0" w:after="0" w:afterAutospacing="0" w:line="480" w:lineRule="auto"/>
        <w:rPr>
          <w:i/>
          <w:iCs/>
        </w:rPr>
      </w:pPr>
      <w:r w:rsidRPr="00AC448B">
        <w:rPr>
          <w:i/>
          <w:iCs/>
        </w:rPr>
        <w:t xml:space="preserve">2.3. Social </w:t>
      </w:r>
      <w:r w:rsidR="00AE3C4B">
        <w:rPr>
          <w:i/>
          <w:iCs/>
        </w:rPr>
        <w:t>Id</w:t>
      </w:r>
      <w:r w:rsidRPr="00AC448B">
        <w:rPr>
          <w:i/>
          <w:iCs/>
        </w:rPr>
        <w:t xml:space="preserve">entity </w:t>
      </w:r>
      <w:r w:rsidR="00AE3C4B">
        <w:rPr>
          <w:i/>
          <w:iCs/>
        </w:rPr>
        <w:t>T</w:t>
      </w:r>
      <w:r w:rsidRPr="00AC448B">
        <w:rPr>
          <w:i/>
          <w:iCs/>
        </w:rPr>
        <w:t>heory in Pauline studies</w:t>
      </w:r>
    </w:p>
    <w:p w14:paraId="33271C42" w14:textId="5D1D773B" w:rsidR="001161DC" w:rsidRPr="004D65D9" w:rsidRDefault="001161DC" w:rsidP="004D65D9">
      <w:pPr>
        <w:spacing w:after="0" w:line="480" w:lineRule="auto"/>
        <w:ind w:firstLine="720"/>
      </w:pPr>
      <w:r w:rsidRPr="001161DC">
        <w:rPr>
          <w:rFonts w:ascii="Times New Roman" w:hAnsi="Times New Roman" w:cs="Times New Roman"/>
        </w:rPr>
        <w:t>Social Identity Theory (SIT) was developed by Henri Tajfel and John Turner in the 1970s and 1980s within the field of social psychology.</w:t>
      </w:r>
      <w:r w:rsidR="00991D3E">
        <w:rPr>
          <w:rStyle w:val="FootnoteReference"/>
          <w:rFonts w:ascii="Times New Roman" w:hAnsi="Times New Roman" w:cs="Times New Roman"/>
        </w:rPr>
        <w:footnoteReference w:id="14"/>
      </w:r>
      <w:r w:rsidRPr="001161DC">
        <w:rPr>
          <w:rFonts w:ascii="Times New Roman" w:hAnsi="Times New Roman" w:cs="Times New Roman"/>
        </w:rPr>
        <w:t xml:space="preserve"> It explores the relationship between group behaviour and individual psychology. In this context, a ‘group’ may refer to a wide range of social categories, including race, nationality, ethnicity, religion, occupation, and gender. </w:t>
      </w:r>
      <w:r w:rsidRPr="001161DC">
        <w:rPr>
          <w:rFonts w:ascii="Times New Roman" w:hAnsi="Times New Roman" w:cs="Times New Roman"/>
        </w:rPr>
        <w:lastRenderedPageBreak/>
        <w:t>According to Tajfel, social identity consists of cognitive, evaluative, and emotional components. Individuals first perceive themselves as belonging to a particular social category. They then attach value and significance to that membership, often through comparison with other groups. Membership may also be accompanied by emotional attachments and dispositions towards both ingroup and outgroup members.</w:t>
      </w:r>
      <w:r w:rsidR="004D65D9">
        <w:rPr>
          <w:rFonts w:ascii="Times New Roman" w:hAnsi="Times New Roman" w:cs="Times New Roman"/>
        </w:rPr>
        <w:t xml:space="preserve"> </w:t>
      </w:r>
      <w:r w:rsidR="004D65D9" w:rsidRPr="00AD7D2C">
        <w:rPr>
          <w:rFonts w:ascii="Times New Roman" w:hAnsi="Times New Roman" w:cs="Times New Roman"/>
        </w:rPr>
        <w:t>Turner later expanded the theory through the development of Self-Categorisation Theory, which argues that social identity is not merely one aspect of an individual's self-concept but also the mechanism through which collective behaviour becomes possible. By categorising themselves and others into social groups, individuals come to perceive themselves less as unique persons and more as members of a shared social category.</w:t>
      </w:r>
      <w:r w:rsidR="005B49E3">
        <w:rPr>
          <w:rStyle w:val="FootnoteReference"/>
          <w:rFonts w:ascii="Times New Roman" w:hAnsi="Times New Roman" w:cs="Times New Roman"/>
        </w:rPr>
        <w:footnoteReference w:id="15"/>
      </w:r>
    </w:p>
    <w:p w14:paraId="0B707C36" w14:textId="69C04526" w:rsidR="00AE3C4B" w:rsidRDefault="00AE3C4B" w:rsidP="00AE3C4B">
      <w:pPr>
        <w:spacing w:after="0" w:line="480" w:lineRule="auto"/>
        <w:ind w:firstLine="720"/>
        <w:rPr>
          <w:rFonts w:ascii="Times New Roman" w:hAnsi="Times New Roman" w:cs="Times New Roman"/>
        </w:rPr>
      </w:pPr>
      <w:r w:rsidRPr="00AE3C4B">
        <w:rPr>
          <w:rFonts w:ascii="Times New Roman" w:hAnsi="Times New Roman" w:cs="Times New Roman"/>
        </w:rPr>
        <w:t xml:space="preserve">Some social historians, including </w:t>
      </w:r>
      <w:r>
        <w:rPr>
          <w:rFonts w:ascii="Times New Roman" w:hAnsi="Times New Roman" w:cs="Times New Roman"/>
        </w:rPr>
        <w:t>those who study the social world of the New Testament</w:t>
      </w:r>
      <w:r w:rsidRPr="00AE3C4B">
        <w:rPr>
          <w:rFonts w:ascii="Times New Roman" w:hAnsi="Times New Roman" w:cs="Times New Roman"/>
        </w:rPr>
        <w:t xml:space="preserve">, have found Social Identity Theory to be </w:t>
      </w:r>
      <w:r>
        <w:rPr>
          <w:rFonts w:ascii="Times New Roman" w:hAnsi="Times New Roman" w:cs="Times New Roman"/>
        </w:rPr>
        <w:t xml:space="preserve">a </w:t>
      </w:r>
      <w:r w:rsidRPr="00AE3C4B">
        <w:rPr>
          <w:rFonts w:ascii="Times New Roman" w:hAnsi="Times New Roman" w:cs="Times New Roman"/>
        </w:rPr>
        <w:t xml:space="preserve">useful framework for the interpretation of historical evidence. </w:t>
      </w:r>
      <w:r w:rsidR="00F77212">
        <w:rPr>
          <w:rFonts w:ascii="Times New Roman" w:hAnsi="Times New Roman" w:cs="Times New Roman"/>
        </w:rPr>
        <w:t>However, its a</w:t>
      </w:r>
      <w:r w:rsidRPr="00AE3C4B">
        <w:rPr>
          <w:rFonts w:ascii="Times New Roman" w:hAnsi="Times New Roman" w:cs="Times New Roman"/>
        </w:rPr>
        <w:t xml:space="preserve">pplication </w:t>
      </w:r>
      <w:r w:rsidR="00F147A2">
        <w:rPr>
          <w:rFonts w:ascii="Times New Roman" w:hAnsi="Times New Roman" w:cs="Times New Roman"/>
        </w:rPr>
        <w:t>presents</w:t>
      </w:r>
      <w:r w:rsidRPr="00AE3C4B">
        <w:rPr>
          <w:rFonts w:ascii="Times New Roman" w:hAnsi="Times New Roman" w:cs="Times New Roman"/>
        </w:rPr>
        <w:t xml:space="preserve"> challenges</w:t>
      </w:r>
      <w:r w:rsidR="00F147A2">
        <w:rPr>
          <w:rFonts w:ascii="Times New Roman" w:hAnsi="Times New Roman" w:cs="Times New Roman"/>
        </w:rPr>
        <w:t>, including</w:t>
      </w:r>
      <w:r w:rsidRPr="00AE3C4B">
        <w:rPr>
          <w:rFonts w:ascii="Times New Roman" w:hAnsi="Times New Roman" w:cs="Times New Roman"/>
        </w:rPr>
        <w:t xml:space="preserve"> the use of concepts developed in one historical context to interpret another, differences in the construction of individual and group identity across cultures and time periods, and the limited nature of the available evidence.</w:t>
      </w:r>
      <w:r w:rsidR="00267140">
        <w:rPr>
          <w:rStyle w:val="FootnoteReference"/>
          <w:rFonts w:ascii="Times New Roman" w:hAnsi="Times New Roman" w:cs="Times New Roman"/>
        </w:rPr>
        <w:footnoteReference w:id="16"/>
      </w:r>
      <w:r w:rsidRPr="00AE3C4B">
        <w:rPr>
          <w:rFonts w:ascii="Times New Roman" w:hAnsi="Times New Roman" w:cs="Times New Roman"/>
        </w:rPr>
        <w:t xml:space="preserve"> Nevertheless, when applied with an awareness of these limitations, Social Identity Theory has emerged in recent decades as a valuable heuristic tool for understanding group dynamics in ancient sources</w:t>
      </w:r>
      <w:r w:rsidR="00D95355">
        <w:rPr>
          <w:rFonts w:ascii="Times New Roman" w:hAnsi="Times New Roman" w:cs="Times New Roman"/>
        </w:rPr>
        <w:t xml:space="preserve"> and </w:t>
      </w:r>
      <w:r w:rsidRPr="00AE3C4B">
        <w:rPr>
          <w:rFonts w:ascii="Times New Roman" w:hAnsi="Times New Roman" w:cs="Times New Roman"/>
        </w:rPr>
        <w:t>providing a vocabulary for analysing aspects of social psychology and group behaviour.</w:t>
      </w:r>
    </w:p>
    <w:p w14:paraId="435017E9" w14:textId="7997AAAA" w:rsidR="005E0969" w:rsidRDefault="007F6686" w:rsidP="00B6756E">
      <w:pPr>
        <w:pStyle w:val="isselectedend"/>
        <w:spacing w:before="0" w:beforeAutospacing="0" w:after="0" w:afterAutospacing="0" w:line="480" w:lineRule="auto"/>
        <w:ind w:firstLine="720"/>
      </w:pPr>
      <w:r>
        <w:t xml:space="preserve">In </w:t>
      </w:r>
      <w:r>
        <w:rPr>
          <w:rStyle w:val="Emphasis"/>
        </w:rPr>
        <w:t xml:space="preserve">The </w:t>
      </w:r>
      <w:r w:rsidR="004867FD">
        <w:rPr>
          <w:rStyle w:val="Emphasis"/>
        </w:rPr>
        <w:t>f</w:t>
      </w:r>
      <w:r>
        <w:rPr>
          <w:rStyle w:val="Emphasis"/>
        </w:rPr>
        <w:t xml:space="preserve">irst </w:t>
      </w:r>
      <w:r w:rsidR="004867FD">
        <w:rPr>
          <w:rStyle w:val="Emphasis"/>
        </w:rPr>
        <w:t>urban C</w:t>
      </w:r>
      <w:r>
        <w:rPr>
          <w:rStyle w:val="Emphasis"/>
        </w:rPr>
        <w:t>hristians</w:t>
      </w:r>
      <w:r w:rsidR="004867FD">
        <w:rPr>
          <w:rStyle w:val="Emphasis"/>
        </w:rPr>
        <w:t xml:space="preserve"> </w:t>
      </w:r>
      <w:r w:rsidR="004867FD">
        <w:rPr>
          <w:rStyle w:val="Emphasis"/>
          <w:i w:val="0"/>
          <w:iCs w:val="0"/>
        </w:rPr>
        <w:t>(1983)</w:t>
      </w:r>
      <w:r w:rsidRPr="004867FD">
        <w:t>,</w:t>
      </w:r>
      <w:r>
        <w:t xml:space="preserve"> Meeks advocated the study of the social world of the first-century Christ-groups, including attention to questions of group formation and boundary maintenance.</w:t>
      </w:r>
      <w:r w:rsidR="00066407">
        <w:rPr>
          <w:rStyle w:val="FootnoteReference"/>
        </w:rPr>
        <w:footnoteReference w:id="17"/>
      </w:r>
      <w:r>
        <w:t xml:space="preserve"> Although his approach was primarily socio-historical, his </w:t>
      </w:r>
      <w:r w:rsidR="00016826">
        <w:t>“</w:t>
      </w:r>
      <w:r>
        <w:t>eclectic</w:t>
      </w:r>
      <w:r w:rsidR="002B702F">
        <w:t xml:space="preserve">” application </w:t>
      </w:r>
      <w:r w:rsidR="002B702F">
        <w:lastRenderedPageBreak/>
        <w:t xml:space="preserve">of </w:t>
      </w:r>
      <w:r w:rsidR="00016826">
        <w:t xml:space="preserve">social </w:t>
      </w:r>
      <w:r w:rsidR="00ED2079">
        <w:t>science</w:t>
      </w:r>
      <w:r>
        <w:t xml:space="preserve"> </w:t>
      </w:r>
      <w:r w:rsidR="00ED2079">
        <w:t xml:space="preserve">and </w:t>
      </w:r>
      <w:r>
        <w:t>sociological theory employed concepts and language associated with SIT.</w:t>
      </w:r>
      <w:r w:rsidR="003070E3">
        <w:rPr>
          <w:rStyle w:val="FootnoteReference"/>
        </w:rPr>
        <w:footnoteReference w:id="18"/>
      </w:r>
      <w:r>
        <w:t xml:space="preserve"> Since the publication of Meeks’ work, studies explicitly employing SIT have gained </w:t>
      </w:r>
      <w:r w:rsidR="00CF5852">
        <w:t xml:space="preserve">momentum </w:t>
      </w:r>
      <w:r>
        <w:t>within New Testament scholarship.</w:t>
      </w:r>
      <w:r w:rsidR="005E0969">
        <w:t xml:space="preserve"> Recent examples relevant to the present study include the </w:t>
      </w:r>
      <w:r w:rsidR="005E0969">
        <w:rPr>
          <w:rStyle w:val="Emphasis"/>
        </w:rPr>
        <w:t>T&amp;T Clark Social Identity Commentary on the New Testament</w:t>
      </w:r>
      <w:r w:rsidR="005E0969">
        <w:t>, edited by J. Brian Tucker and Aaron Kuecker (2020), which contains a chapter on Philemon by Ryan Heinsch. Heinsch interprets Paul as an entrepreneur of identity who seeks to reprioritise and transform the existing social identities of Philemon and Onesimus on the basis of their shared superordinate identity in Christ.</w:t>
      </w:r>
      <w:r w:rsidR="00633694">
        <w:rPr>
          <w:rStyle w:val="FootnoteReference"/>
        </w:rPr>
        <w:footnoteReference w:id="19"/>
      </w:r>
      <w:r w:rsidR="005E0969">
        <w:t xml:space="preserve"> Another example is Emma Louise Parker's </w:t>
      </w:r>
      <w:r w:rsidR="005E0969">
        <w:rPr>
          <w:rStyle w:val="Emphasis"/>
        </w:rPr>
        <w:t>The Importance of Outsiders to Pauline Communities: Opinion, Reputation, and Mission</w:t>
      </w:r>
      <w:r w:rsidR="005E0969">
        <w:t xml:space="preserve"> (2024), which employs SIT to argue that outsiders played a vital role in the formation and maintenance of Pauline Christ-groups, shaping their ethics, self-understanding, and mission.</w:t>
      </w:r>
    </w:p>
    <w:p w14:paraId="54CB1D8F" w14:textId="4601FA21" w:rsidR="002C11AB" w:rsidRPr="00D8670C" w:rsidRDefault="00D8670C" w:rsidP="00B6756E">
      <w:pPr>
        <w:pStyle w:val="isselectedend"/>
        <w:spacing w:before="0" w:beforeAutospacing="0" w:after="0" w:afterAutospacing="0" w:line="480" w:lineRule="auto"/>
        <w:ind w:firstLine="720"/>
        <w:rPr>
          <w:color w:val="EE0000"/>
        </w:rPr>
      </w:pPr>
      <w:r w:rsidRPr="00D8670C">
        <w:rPr>
          <w:color w:val="EE0000"/>
        </w:rPr>
        <w:t>ABOVE SECTION NEEDS MORE WORK</w:t>
      </w:r>
    </w:p>
    <w:p w14:paraId="49C08D58" w14:textId="7116328B" w:rsidR="005F4E1B" w:rsidRPr="00C35848" w:rsidRDefault="002C11AB" w:rsidP="00C35848">
      <w:pPr>
        <w:pStyle w:val="isselectedend"/>
        <w:spacing w:before="0" w:beforeAutospacing="0" w:after="0" w:afterAutospacing="0" w:line="480" w:lineRule="auto"/>
        <w:ind w:firstLine="720"/>
      </w:pPr>
      <w:r>
        <w:t>Social Identity Theory offers important insights into how groups construct, maintain, and negotiate collective identities, but it is not primarily concerned with the cultural location of a group within society. For this reason, SIT is complementary to approaches such as subculture theory, which focus more directly on how groups position themselves within</w:t>
      </w:r>
      <w:r w:rsidR="00AB3B82">
        <w:t xml:space="preserve"> the broader </w:t>
      </w:r>
      <w:r>
        <w:t>social structures. Together, these approaches provide a useful framework for examining the internal dynamics of Pauline Christ-groups and their relationship to the wider Greco-Roman world.</w:t>
      </w:r>
    </w:p>
    <w:sectPr w:rsidR="005F4E1B" w:rsidRPr="00C35848" w:rsidSect="00B8056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1625C" w14:textId="77777777" w:rsidR="001F6C51" w:rsidRDefault="001F6C51" w:rsidP="005D0415">
      <w:pPr>
        <w:spacing w:after="0" w:line="240" w:lineRule="auto"/>
      </w:pPr>
      <w:r>
        <w:separator/>
      </w:r>
    </w:p>
  </w:endnote>
  <w:endnote w:type="continuationSeparator" w:id="0">
    <w:p w14:paraId="0C7E6890" w14:textId="77777777" w:rsidR="001F6C51" w:rsidRDefault="001F6C51" w:rsidP="005D0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15C12" w14:textId="77777777" w:rsidR="001F6C51" w:rsidRDefault="001F6C51" w:rsidP="005D0415">
      <w:pPr>
        <w:spacing w:after="0" w:line="240" w:lineRule="auto"/>
      </w:pPr>
      <w:r>
        <w:separator/>
      </w:r>
    </w:p>
  </w:footnote>
  <w:footnote w:type="continuationSeparator" w:id="0">
    <w:p w14:paraId="3C0B6FCF" w14:textId="77777777" w:rsidR="001F6C51" w:rsidRDefault="001F6C51" w:rsidP="005D0415">
      <w:pPr>
        <w:spacing w:after="0" w:line="240" w:lineRule="auto"/>
      </w:pPr>
      <w:r>
        <w:continuationSeparator/>
      </w:r>
    </w:p>
  </w:footnote>
  <w:footnote w:id="1">
    <w:p w14:paraId="1530F25F" w14:textId="190E5C9D" w:rsidR="00E57B61" w:rsidRPr="00A76D3B" w:rsidRDefault="00E57B61" w:rsidP="00E57B61">
      <w:pPr>
        <w:pStyle w:val="FootnoteText"/>
        <w:rPr>
          <w:rFonts w:ascii="Times New Roman" w:hAnsi="Times New Roman" w:cs="Times New Roman"/>
          <w:lang w:val="en-US"/>
        </w:rPr>
      </w:pPr>
      <w:r w:rsidRPr="00A76D3B">
        <w:rPr>
          <w:rStyle w:val="FootnoteReference"/>
          <w:rFonts w:ascii="Times New Roman" w:hAnsi="Times New Roman" w:cs="Times New Roman"/>
        </w:rPr>
        <w:footnoteRef/>
      </w:r>
      <w:r w:rsidRPr="00A76D3B">
        <w:rPr>
          <w:rFonts w:ascii="Times New Roman" w:hAnsi="Times New Roman" w:cs="Times New Roman"/>
        </w:rPr>
        <w:t xml:space="preserve"> </w:t>
      </w:r>
      <w:r w:rsidR="00955647">
        <w:rPr>
          <w:rFonts w:ascii="Times New Roman" w:hAnsi="Times New Roman" w:cs="Times New Roman"/>
        </w:rPr>
        <w:t xml:space="preserve">Ascough, 1998, p. 2; </w:t>
      </w:r>
      <w:r w:rsidR="0020046E">
        <w:rPr>
          <w:rFonts w:ascii="Times New Roman" w:hAnsi="Times New Roman" w:cs="Times New Roman"/>
        </w:rPr>
        <w:t xml:space="preserve">Kloppenborg, ix, 2019; </w:t>
      </w:r>
      <w:r w:rsidR="004F5C8A">
        <w:rPr>
          <w:rFonts w:ascii="Times New Roman" w:hAnsi="Times New Roman" w:cs="Times New Roman"/>
        </w:rPr>
        <w:t xml:space="preserve">Last, 2016, p. xi; </w:t>
      </w:r>
      <w:r w:rsidRPr="00A76D3B">
        <w:rPr>
          <w:rFonts w:ascii="Times New Roman" w:hAnsi="Times New Roman" w:cs="Times New Roman"/>
          <w:lang w:val="en-US"/>
        </w:rPr>
        <w:t xml:space="preserve">Still and Horrell, 2009, </w:t>
      </w:r>
      <w:r w:rsidR="00AE0A95">
        <w:rPr>
          <w:rFonts w:ascii="Times New Roman" w:hAnsi="Times New Roman" w:cs="Times New Roman"/>
          <w:lang w:val="en-US"/>
        </w:rPr>
        <w:t xml:space="preserve">p. 1 </w:t>
      </w:r>
    </w:p>
  </w:footnote>
  <w:footnote w:id="2">
    <w:p w14:paraId="71B40D41" w14:textId="6F87FDAE" w:rsidR="00393389" w:rsidRPr="00AE3C4B" w:rsidRDefault="00393389" w:rsidP="00393389">
      <w:pPr>
        <w:pStyle w:val="FootnoteText"/>
        <w:ind w:left="144" w:hanging="144"/>
        <w:rPr>
          <w:rFonts w:ascii="Times New Roman" w:hAnsi="Times New Roman" w:cs="Times New Roman"/>
          <w:lang w:val="en-US"/>
        </w:rPr>
      </w:pPr>
      <w:r w:rsidRPr="00AE3C4B">
        <w:rPr>
          <w:rStyle w:val="FootnoteReference"/>
          <w:rFonts w:ascii="Times New Roman" w:hAnsi="Times New Roman" w:cs="Times New Roman"/>
        </w:rPr>
        <w:footnoteRef/>
      </w:r>
      <w:r w:rsidRPr="00AE3C4B">
        <w:rPr>
          <w:rFonts w:ascii="Times New Roman" w:hAnsi="Times New Roman" w:cs="Times New Roman"/>
        </w:rPr>
        <w:t xml:space="preserve"> A variety of ancient terms can be encompassed within the modern academic category of voluntary associations, including the Greek terms </w:t>
      </w:r>
      <w:r w:rsidRPr="00AE3C4B">
        <w:rPr>
          <w:rStyle w:val="Emphasis"/>
          <w:rFonts w:ascii="Times New Roman" w:hAnsi="Times New Roman" w:cs="Times New Roman"/>
        </w:rPr>
        <w:t>koinon</w:t>
      </w:r>
      <w:r w:rsidRPr="00AE3C4B">
        <w:rPr>
          <w:rFonts w:ascii="Times New Roman" w:hAnsi="Times New Roman" w:cs="Times New Roman"/>
        </w:rPr>
        <w:t xml:space="preserve">, </w:t>
      </w:r>
      <w:r w:rsidRPr="00AE3C4B">
        <w:rPr>
          <w:rStyle w:val="Emphasis"/>
          <w:rFonts w:ascii="Times New Roman" w:hAnsi="Times New Roman" w:cs="Times New Roman"/>
        </w:rPr>
        <w:t>synodos</w:t>
      </w:r>
      <w:r w:rsidRPr="00AE3C4B">
        <w:rPr>
          <w:rFonts w:ascii="Times New Roman" w:hAnsi="Times New Roman" w:cs="Times New Roman"/>
        </w:rPr>
        <w:t xml:space="preserve">, </w:t>
      </w:r>
      <w:r w:rsidRPr="00AE3C4B">
        <w:rPr>
          <w:rStyle w:val="Emphasis"/>
          <w:rFonts w:ascii="Times New Roman" w:hAnsi="Times New Roman" w:cs="Times New Roman"/>
        </w:rPr>
        <w:t>thiasos</w:t>
      </w:r>
      <w:r w:rsidRPr="00AE3C4B">
        <w:rPr>
          <w:rFonts w:ascii="Times New Roman" w:hAnsi="Times New Roman" w:cs="Times New Roman"/>
        </w:rPr>
        <w:t xml:space="preserve">, </w:t>
      </w:r>
      <w:r w:rsidRPr="00AE3C4B">
        <w:rPr>
          <w:rStyle w:val="Emphasis"/>
          <w:rFonts w:ascii="Times New Roman" w:hAnsi="Times New Roman" w:cs="Times New Roman"/>
        </w:rPr>
        <w:t>synagōgē</w:t>
      </w:r>
      <w:r w:rsidRPr="00AE3C4B">
        <w:rPr>
          <w:rFonts w:ascii="Times New Roman" w:hAnsi="Times New Roman" w:cs="Times New Roman"/>
        </w:rPr>
        <w:t xml:space="preserve">, </w:t>
      </w:r>
      <w:r w:rsidRPr="00AE3C4B">
        <w:rPr>
          <w:rStyle w:val="Emphasis"/>
          <w:rFonts w:ascii="Times New Roman" w:hAnsi="Times New Roman" w:cs="Times New Roman"/>
        </w:rPr>
        <w:t>politeuma</w:t>
      </w:r>
      <w:r w:rsidRPr="00AE3C4B">
        <w:rPr>
          <w:rFonts w:ascii="Times New Roman" w:hAnsi="Times New Roman" w:cs="Times New Roman"/>
        </w:rPr>
        <w:t xml:space="preserve">, and </w:t>
      </w:r>
      <w:r w:rsidRPr="00AE3C4B">
        <w:rPr>
          <w:rStyle w:val="Emphasis"/>
          <w:rFonts w:ascii="Times New Roman" w:hAnsi="Times New Roman" w:cs="Times New Roman"/>
        </w:rPr>
        <w:t>synergasia</w:t>
      </w:r>
      <w:r w:rsidRPr="00AE3C4B">
        <w:rPr>
          <w:rFonts w:ascii="Times New Roman" w:hAnsi="Times New Roman" w:cs="Times New Roman"/>
        </w:rPr>
        <w:t xml:space="preserve">, and the Latin terms </w:t>
      </w:r>
      <w:r w:rsidRPr="00AE3C4B">
        <w:rPr>
          <w:rStyle w:val="Emphasis"/>
          <w:rFonts w:ascii="Times New Roman" w:hAnsi="Times New Roman" w:cs="Times New Roman"/>
        </w:rPr>
        <w:t>collegium</w:t>
      </w:r>
      <w:r w:rsidRPr="00AE3C4B">
        <w:rPr>
          <w:rFonts w:ascii="Times New Roman" w:hAnsi="Times New Roman" w:cs="Times New Roman"/>
        </w:rPr>
        <w:t xml:space="preserve"> and </w:t>
      </w:r>
      <w:r w:rsidRPr="00AE3C4B">
        <w:rPr>
          <w:rStyle w:val="Emphasis"/>
          <w:rFonts w:ascii="Times New Roman" w:hAnsi="Times New Roman" w:cs="Times New Roman"/>
        </w:rPr>
        <w:t>corpus</w:t>
      </w:r>
      <w:r w:rsidRPr="00AE3C4B">
        <w:rPr>
          <w:rFonts w:ascii="Times New Roman" w:hAnsi="Times New Roman" w:cs="Times New Roman"/>
        </w:rPr>
        <w:t xml:space="preserve">. Some scholars prefer </w:t>
      </w:r>
      <w:r w:rsidR="006D7D69" w:rsidRPr="00AE3C4B">
        <w:rPr>
          <w:rFonts w:ascii="Times New Roman" w:hAnsi="Times New Roman" w:cs="Times New Roman"/>
        </w:rPr>
        <w:t>simply ‘</w:t>
      </w:r>
      <w:r w:rsidR="009F07E5" w:rsidRPr="00AE3C4B">
        <w:rPr>
          <w:rFonts w:ascii="Times New Roman" w:hAnsi="Times New Roman" w:cs="Times New Roman"/>
        </w:rPr>
        <w:t>associations</w:t>
      </w:r>
      <w:r w:rsidR="0014383A" w:rsidRPr="00AE3C4B">
        <w:rPr>
          <w:rFonts w:ascii="Times New Roman" w:hAnsi="Times New Roman" w:cs="Times New Roman"/>
        </w:rPr>
        <w:t xml:space="preserve">’, </w:t>
      </w:r>
      <w:r w:rsidR="009F07E5" w:rsidRPr="00AE3C4B">
        <w:rPr>
          <w:rFonts w:ascii="Times New Roman" w:hAnsi="Times New Roman" w:cs="Times New Roman"/>
        </w:rPr>
        <w:t xml:space="preserve">or </w:t>
      </w:r>
      <w:r w:rsidRPr="00AE3C4B">
        <w:rPr>
          <w:rFonts w:ascii="Times New Roman" w:hAnsi="Times New Roman" w:cs="Times New Roman"/>
        </w:rPr>
        <w:t>‘unofficial associations’ as proposed by Last and Harland</w:t>
      </w:r>
      <w:r w:rsidR="009F07E5" w:rsidRPr="00AE3C4B">
        <w:rPr>
          <w:rFonts w:ascii="Times New Roman" w:hAnsi="Times New Roman" w:cs="Times New Roman"/>
        </w:rPr>
        <w:t>.</w:t>
      </w:r>
      <w:r w:rsidRPr="00AE3C4B">
        <w:rPr>
          <w:rFonts w:ascii="Times New Roman" w:hAnsi="Times New Roman" w:cs="Times New Roman"/>
        </w:rPr>
        <w:t xml:space="preserve"> (</w:t>
      </w:r>
      <w:r w:rsidR="002772AD" w:rsidRPr="00AE3C4B">
        <w:rPr>
          <w:rFonts w:ascii="Times New Roman" w:hAnsi="Times New Roman" w:cs="Times New Roman"/>
        </w:rPr>
        <w:t xml:space="preserve">Kloppenborg, 2019, p. </w:t>
      </w:r>
      <w:r w:rsidR="00977F8B" w:rsidRPr="00AE3C4B">
        <w:rPr>
          <w:rFonts w:ascii="Times New Roman" w:hAnsi="Times New Roman" w:cs="Times New Roman"/>
        </w:rPr>
        <w:t>18-</w:t>
      </w:r>
      <w:r w:rsidR="002772AD" w:rsidRPr="00AE3C4B">
        <w:rPr>
          <w:rFonts w:ascii="Times New Roman" w:hAnsi="Times New Roman" w:cs="Times New Roman"/>
        </w:rPr>
        <w:t xml:space="preserve">19; </w:t>
      </w:r>
      <w:r w:rsidR="006929EE" w:rsidRPr="00AE3C4B">
        <w:rPr>
          <w:rFonts w:ascii="Times New Roman" w:hAnsi="Times New Roman" w:cs="Times New Roman"/>
        </w:rPr>
        <w:t>Kloppenborg</w:t>
      </w:r>
      <w:r w:rsidR="000F0903" w:rsidRPr="00AE3C4B">
        <w:rPr>
          <w:rFonts w:ascii="Times New Roman" w:hAnsi="Times New Roman" w:cs="Times New Roman"/>
        </w:rPr>
        <w:t xml:space="preserve"> and Wilso</w:t>
      </w:r>
      <w:r w:rsidR="002772AD" w:rsidRPr="00AE3C4B">
        <w:rPr>
          <w:rFonts w:ascii="Times New Roman" w:hAnsi="Times New Roman" w:cs="Times New Roman"/>
        </w:rPr>
        <w:t>n</w:t>
      </w:r>
      <w:r w:rsidR="006929EE" w:rsidRPr="00AE3C4B">
        <w:rPr>
          <w:rFonts w:ascii="Times New Roman" w:hAnsi="Times New Roman" w:cs="Times New Roman"/>
        </w:rPr>
        <w:t xml:space="preserve">, 1996; 17; </w:t>
      </w:r>
      <w:r w:rsidRPr="00AE3C4B">
        <w:rPr>
          <w:rFonts w:ascii="Times New Roman" w:hAnsi="Times New Roman" w:cs="Times New Roman"/>
        </w:rPr>
        <w:t>Last and Harland, 2020, 9–10).</w:t>
      </w:r>
    </w:p>
  </w:footnote>
  <w:footnote w:id="3">
    <w:p w14:paraId="1977E275" w14:textId="3CDC6878" w:rsidR="00AE3C4B" w:rsidRPr="00AE3C4B" w:rsidRDefault="00AE3C4B">
      <w:pPr>
        <w:pStyle w:val="FootnoteText"/>
        <w:rPr>
          <w:lang w:val="en-US"/>
        </w:rPr>
      </w:pPr>
      <w:r w:rsidRPr="00AE3C4B">
        <w:rPr>
          <w:rStyle w:val="FootnoteReference"/>
          <w:rFonts w:ascii="Times New Roman" w:hAnsi="Times New Roman" w:cs="Times New Roman"/>
        </w:rPr>
        <w:footnoteRef/>
      </w:r>
      <w:r w:rsidRPr="00AE3C4B">
        <w:rPr>
          <w:rFonts w:ascii="Times New Roman" w:hAnsi="Times New Roman" w:cs="Times New Roman"/>
        </w:rPr>
        <w:t xml:space="preserve"> </w:t>
      </w:r>
      <w:r w:rsidRPr="00AE3C4B">
        <w:rPr>
          <w:rFonts w:ascii="Times New Roman" w:hAnsi="Times New Roman" w:cs="Times New Roman"/>
          <w:color w:val="EE0000"/>
          <w:lang w:val="en-US"/>
        </w:rPr>
        <w:t>Meeks, 1983, pp. 74-110**</w:t>
      </w:r>
    </w:p>
  </w:footnote>
  <w:footnote w:id="4">
    <w:p w14:paraId="09D0B7FE" w14:textId="4867A3FA" w:rsidR="00FC29D1" w:rsidRPr="00FC29D1" w:rsidRDefault="00FC29D1">
      <w:pPr>
        <w:pStyle w:val="FootnoteText"/>
        <w:rPr>
          <w:lang w:val="en-US"/>
        </w:rPr>
      </w:pPr>
      <w:r w:rsidRPr="00A76D3B">
        <w:rPr>
          <w:rStyle w:val="FootnoteReference"/>
          <w:rFonts w:ascii="Times New Roman" w:hAnsi="Times New Roman" w:cs="Times New Roman"/>
        </w:rPr>
        <w:footnoteRef/>
      </w:r>
      <w:r w:rsidRPr="00A76D3B">
        <w:rPr>
          <w:rFonts w:ascii="Times New Roman" w:hAnsi="Times New Roman" w:cs="Times New Roman"/>
        </w:rPr>
        <w:t xml:space="preserve"> </w:t>
      </w:r>
      <w:r w:rsidRPr="00A76D3B">
        <w:rPr>
          <w:rFonts w:ascii="Times New Roman" w:hAnsi="Times New Roman" w:cs="Times New Roman"/>
          <w:lang w:val="en-US"/>
        </w:rPr>
        <w:t xml:space="preserve">Meeks, 1983, </w:t>
      </w:r>
      <w:r w:rsidRPr="00A76D3B">
        <w:rPr>
          <w:rFonts w:ascii="Times New Roman" w:hAnsi="Times New Roman" w:cs="Times New Roman"/>
          <w:color w:val="EE0000"/>
          <w:lang w:val="en-US"/>
        </w:rPr>
        <w:t>pp. 78-80**</w:t>
      </w:r>
    </w:p>
  </w:footnote>
  <w:footnote w:id="5">
    <w:p w14:paraId="55BE4D6E" w14:textId="362CFEB7" w:rsidR="00607A94" w:rsidRPr="00152A94" w:rsidRDefault="00607A94">
      <w:pPr>
        <w:pStyle w:val="FootnoteText"/>
        <w:rPr>
          <w:rFonts w:ascii="Times New Roman" w:hAnsi="Times New Roman" w:cs="Times New Roman"/>
          <w:lang w:val="en-US"/>
        </w:rPr>
      </w:pPr>
      <w:r w:rsidRPr="00152A94">
        <w:rPr>
          <w:rStyle w:val="FootnoteReference"/>
          <w:rFonts w:ascii="Times New Roman" w:hAnsi="Times New Roman" w:cs="Times New Roman"/>
        </w:rPr>
        <w:footnoteRef/>
      </w:r>
      <w:r w:rsidRPr="00152A94">
        <w:rPr>
          <w:rFonts w:ascii="Times New Roman" w:hAnsi="Times New Roman" w:cs="Times New Roman"/>
        </w:rPr>
        <w:t xml:space="preserve"> </w:t>
      </w:r>
      <w:r w:rsidRPr="00152A94">
        <w:rPr>
          <w:rFonts w:ascii="Times New Roman" w:hAnsi="Times New Roman" w:cs="Times New Roman"/>
          <w:lang w:val="en-US"/>
        </w:rPr>
        <w:t xml:space="preserve">Meeks, </w:t>
      </w:r>
      <w:r w:rsidR="009646D9" w:rsidRPr="00152A94">
        <w:rPr>
          <w:rFonts w:ascii="Times New Roman" w:hAnsi="Times New Roman" w:cs="Times New Roman"/>
          <w:lang w:val="en-US"/>
        </w:rPr>
        <w:t xml:space="preserve">1983, pp. 73, </w:t>
      </w:r>
      <w:r w:rsidR="00B80899" w:rsidRPr="00152A94">
        <w:rPr>
          <w:rFonts w:ascii="Times New Roman" w:hAnsi="Times New Roman" w:cs="Times New Roman"/>
          <w:lang w:val="en-US"/>
        </w:rPr>
        <w:t>87-88</w:t>
      </w:r>
    </w:p>
  </w:footnote>
  <w:footnote w:id="6">
    <w:p w14:paraId="5549AA0E" w14:textId="26910973" w:rsidR="00E1794F" w:rsidRPr="00152A94" w:rsidRDefault="00E1794F">
      <w:pPr>
        <w:pStyle w:val="FootnoteText"/>
        <w:rPr>
          <w:rFonts w:ascii="Times New Roman" w:hAnsi="Times New Roman" w:cs="Times New Roman"/>
          <w:lang w:val="en-US"/>
        </w:rPr>
      </w:pPr>
      <w:r w:rsidRPr="00152A94">
        <w:rPr>
          <w:rStyle w:val="FootnoteReference"/>
          <w:rFonts w:ascii="Times New Roman" w:hAnsi="Times New Roman" w:cs="Times New Roman"/>
        </w:rPr>
        <w:footnoteRef/>
      </w:r>
      <w:r w:rsidRPr="00152A94">
        <w:rPr>
          <w:rFonts w:ascii="Times New Roman" w:hAnsi="Times New Roman" w:cs="Times New Roman"/>
        </w:rPr>
        <w:t xml:space="preserve"> </w:t>
      </w:r>
      <w:r w:rsidRPr="00152A94">
        <w:rPr>
          <w:rFonts w:ascii="Times New Roman" w:hAnsi="Times New Roman" w:cs="Times New Roman"/>
          <w:lang w:val="en-US"/>
        </w:rPr>
        <w:t>Kloppenborg, 20</w:t>
      </w:r>
      <w:r w:rsidR="006722A7" w:rsidRPr="00152A94">
        <w:rPr>
          <w:rFonts w:ascii="Times New Roman" w:hAnsi="Times New Roman" w:cs="Times New Roman"/>
          <w:lang w:val="en-US"/>
        </w:rPr>
        <w:t>19, pp. 14</w:t>
      </w:r>
      <w:r w:rsidR="00334CC0" w:rsidRPr="00152A94">
        <w:rPr>
          <w:rFonts w:ascii="Times New Roman" w:hAnsi="Times New Roman" w:cs="Times New Roman"/>
          <w:lang w:val="en-US"/>
        </w:rPr>
        <w:t>2-</w:t>
      </w:r>
      <w:r w:rsidR="00833DA3" w:rsidRPr="00152A94">
        <w:rPr>
          <w:rFonts w:ascii="Times New Roman" w:hAnsi="Times New Roman" w:cs="Times New Roman"/>
          <w:lang w:val="en-US"/>
        </w:rPr>
        <w:t>46</w:t>
      </w:r>
    </w:p>
  </w:footnote>
  <w:footnote w:id="7">
    <w:p w14:paraId="240B203F" w14:textId="109A8DE4" w:rsidR="00DD5860" w:rsidRPr="00152A94" w:rsidRDefault="009F7BD6">
      <w:pPr>
        <w:pStyle w:val="FootnoteText"/>
        <w:rPr>
          <w:rFonts w:ascii="Times New Roman" w:hAnsi="Times New Roman" w:cs="Times New Roman"/>
          <w:lang w:val="en-US"/>
        </w:rPr>
      </w:pPr>
      <w:r w:rsidRPr="00152A94">
        <w:rPr>
          <w:rStyle w:val="FootnoteReference"/>
          <w:rFonts w:ascii="Times New Roman" w:hAnsi="Times New Roman" w:cs="Times New Roman"/>
        </w:rPr>
        <w:footnoteRef/>
      </w:r>
      <w:r w:rsidRPr="00152A94">
        <w:rPr>
          <w:rFonts w:ascii="Times New Roman" w:hAnsi="Times New Roman" w:cs="Times New Roman"/>
        </w:rPr>
        <w:t xml:space="preserve"> </w:t>
      </w:r>
      <w:r w:rsidRPr="00152A94">
        <w:rPr>
          <w:rFonts w:ascii="Times New Roman" w:hAnsi="Times New Roman" w:cs="Times New Roman"/>
          <w:lang w:val="en-US"/>
        </w:rPr>
        <w:t xml:space="preserve">Kloppenborg, 2019, pp, </w:t>
      </w:r>
      <w:r w:rsidR="00DD5860" w:rsidRPr="00152A94">
        <w:rPr>
          <w:rFonts w:ascii="Times New Roman" w:hAnsi="Times New Roman" w:cs="Times New Roman"/>
          <w:lang w:val="en-US"/>
        </w:rPr>
        <w:t>91, 95, 208</w:t>
      </w:r>
    </w:p>
  </w:footnote>
  <w:footnote w:id="8">
    <w:p w14:paraId="067BFA63" w14:textId="344B7AA7" w:rsidR="00614A10" w:rsidRPr="00152A94" w:rsidRDefault="00614A10">
      <w:pPr>
        <w:pStyle w:val="FootnoteText"/>
        <w:rPr>
          <w:rFonts w:ascii="Times New Roman" w:hAnsi="Times New Roman" w:cs="Times New Roman"/>
          <w:lang w:val="en-US"/>
        </w:rPr>
      </w:pPr>
      <w:r w:rsidRPr="00152A94">
        <w:rPr>
          <w:rStyle w:val="FootnoteReference"/>
          <w:rFonts w:ascii="Times New Roman" w:hAnsi="Times New Roman" w:cs="Times New Roman"/>
        </w:rPr>
        <w:footnoteRef/>
      </w:r>
      <w:r w:rsidRPr="00152A94">
        <w:rPr>
          <w:rFonts w:ascii="Times New Roman" w:hAnsi="Times New Roman" w:cs="Times New Roman"/>
        </w:rPr>
        <w:t xml:space="preserve"> </w:t>
      </w:r>
      <w:r w:rsidRPr="00152A94">
        <w:rPr>
          <w:rFonts w:ascii="Times New Roman" w:hAnsi="Times New Roman" w:cs="Times New Roman"/>
          <w:lang w:val="en-US"/>
        </w:rPr>
        <w:t>Kloppenborg, 2019, pp. 146-49</w:t>
      </w:r>
    </w:p>
  </w:footnote>
  <w:footnote w:id="9">
    <w:p w14:paraId="775305BF" w14:textId="282BD307" w:rsidR="00B77B1F" w:rsidRPr="00152A94" w:rsidRDefault="00B77B1F">
      <w:pPr>
        <w:pStyle w:val="FootnoteText"/>
        <w:rPr>
          <w:rFonts w:ascii="Times New Roman" w:hAnsi="Times New Roman" w:cs="Times New Roman"/>
          <w:lang w:val="en-US"/>
        </w:rPr>
      </w:pPr>
      <w:r w:rsidRPr="00152A94">
        <w:rPr>
          <w:rStyle w:val="FootnoteReference"/>
          <w:rFonts w:ascii="Times New Roman" w:hAnsi="Times New Roman" w:cs="Times New Roman"/>
        </w:rPr>
        <w:footnoteRef/>
      </w:r>
      <w:r w:rsidRPr="00152A94">
        <w:rPr>
          <w:rFonts w:ascii="Times New Roman" w:hAnsi="Times New Roman" w:cs="Times New Roman"/>
        </w:rPr>
        <w:t xml:space="preserve"> </w:t>
      </w:r>
      <w:r w:rsidRPr="00152A94">
        <w:rPr>
          <w:rFonts w:ascii="Times New Roman" w:hAnsi="Times New Roman" w:cs="Times New Roman"/>
          <w:lang w:val="en-US"/>
        </w:rPr>
        <w:t>Kloppenborg, 2019, pp. 153-54</w:t>
      </w:r>
    </w:p>
  </w:footnote>
  <w:footnote w:id="10">
    <w:p w14:paraId="688CDD6D" w14:textId="650B820B" w:rsidR="00761DCC" w:rsidRPr="00152A94" w:rsidRDefault="00761DCC">
      <w:pPr>
        <w:pStyle w:val="FootnoteText"/>
        <w:rPr>
          <w:rFonts w:ascii="Times New Roman" w:hAnsi="Times New Roman" w:cs="Times New Roman"/>
          <w:lang w:val="en-US"/>
        </w:rPr>
      </w:pPr>
      <w:r w:rsidRPr="00152A94">
        <w:rPr>
          <w:rStyle w:val="FootnoteReference"/>
          <w:rFonts w:ascii="Times New Roman" w:hAnsi="Times New Roman" w:cs="Times New Roman"/>
        </w:rPr>
        <w:footnoteRef/>
      </w:r>
      <w:r w:rsidRPr="00152A94">
        <w:rPr>
          <w:rFonts w:ascii="Times New Roman" w:hAnsi="Times New Roman" w:cs="Times New Roman"/>
        </w:rPr>
        <w:t xml:space="preserve"> </w:t>
      </w:r>
      <w:r w:rsidRPr="00152A94">
        <w:rPr>
          <w:rFonts w:ascii="Times New Roman" w:hAnsi="Times New Roman" w:cs="Times New Roman"/>
          <w:lang w:val="en-US"/>
        </w:rPr>
        <w:t>Kloppenborg, 2019, pp. 104-05, 123</w:t>
      </w:r>
    </w:p>
  </w:footnote>
  <w:footnote w:id="11">
    <w:p w14:paraId="06A6407D" w14:textId="353B5881" w:rsidR="00280D18" w:rsidRPr="00280D18" w:rsidRDefault="00280D18">
      <w:pPr>
        <w:pStyle w:val="FootnoteText"/>
        <w:rPr>
          <w:lang w:val="en-US"/>
        </w:rPr>
      </w:pPr>
      <w:r>
        <w:rPr>
          <w:rStyle w:val="FootnoteReference"/>
        </w:rPr>
        <w:footnoteRef/>
      </w:r>
      <w:r>
        <w:t xml:space="preserve"> </w:t>
      </w:r>
      <w:r w:rsidRPr="00280D18">
        <w:rPr>
          <w:rFonts w:ascii="Times New Roman" w:hAnsi="Times New Roman" w:cs="Times New Roman"/>
          <w:lang w:val="en-US"/>
        </w:rPr>
        <w:t>Kloppenborg, 2019, pp. 263-64</w:t>
      </w:r>
    </w:p>
  </w:footnote>
  <w:footnote w:id="12">
    <w:p w14:paraId="09CFDBEE" w14:textId="62742629" w:rsidR="00424B95" w:rsidRPr="00D90D9D" w:rsidRDefault="00424B95">
      <w:pPr>
        <w:pStyle w:val="FootnoteText"/>
        <w:rPr>
          <w:rFonts w:ascii="Times New Roman" w:hAnsi="Times New Roman" w:cs="Times New Roman"/>
          <w:lang w:val="en-US"/>
        </w:rPr>
      </w:pPr>
      <w:r w:rsidRPr="00D90D9D">
        <w:rPr>
          <w:rStyle w:val="FootnoteReference"/>
          <w:rFonts w:ascii="Times New Roman" w:hAnsi="Times New Roman" w:cs="Times New Roman"/>
        </w:rPr>
        <w:footnoteRef/>
      </w:r>
      <w:r w:rsidRPr="00D90D9D">
        <w:rPr>
          <w:rFonts w:ascii="Times New Roman" w:hAnsi="Times New Roman" w:cs="Times New Roman"/>
        </w:rPr>
        <w:t xml:space="preserve"> </w:t>
      </w:r>
      <w:r w:rsidRPr="00D90D9D">
        <w:rPr>
          <w:rFonts w:ascii="Times New Roman" w:hAnsi="Times New Roman" w:cs="Times New Roman"/>
          <w:lang w:val="en-US"/>
        </w:rPr>
        <w:t>Harland, 2009, pp. 63</w:t>
      </w:r>
      <w:r w:rsidR="008773E2" w:rsidRPr="00D90D9D">
        <w:rPr>
          <w:rFonts w:ascii="Times New Roman" w:hAnsi="Times New Roman" w:cs="Times New Roman"/>
          <w:lang w:val="en-US"/>
        </w:rPr>
        <w:t>-66, 80</w:t>
      </w:r>
    </w:p>
  </w:footnote>
  <w:footnote w:id="13">
    <w:p w14:paraId="040A2984" w14:textId="6ECA39B7" w:rsidR="006A6664" w:rsidRPr="00D90D9D" w:rsidRDefault="006A6664">
      <w:pPr>
        <w:pStyle w:val="FootnoteText"/>
        <w:rPr>
          <w:rFonts w:ascii="Times New Roman" w:hAnsi="Times New Roman" w:cs="Times New Roman"/>
          <w:lang w:val="en-US"/>
        </w:rPr>
      </w:pPr>
      <w:r w:rsidRPr="00D90D9D">
        <w:rPr>
          <w:rStyle w:val="FootnoteReference"/>
          <w:rFonts w:ascii="Times New Roman" w:hAnsi="Times New Roman" w:cs="Times New Roman"/>
        </w:rPr>
        <w:footnoteRef/>
      </w:r>
      <w:r w:rsidRPr="00D90D9D">
        <w:rPr>
          <w:rFonts w:ascii="Times New Roman" w:hAnsi="Times New Roman" w:cs="Times New Roman"/>
        </w:rPr>
        <w:t xml:space="preserve"> </w:t>
      </w:r>
      <w:r w:rsidRPr="00D90D9D">
        <w:rPr>
          <w:rFonts w:ascii="Times New Roman" w:hAnsi="Times New Roman" w:cs="Times New Roman"/>
          <w:lang w:val="en-US"/>
        </w:rPr>
        <w:t xml:space="preserve">Last, 2016, </w:t>
      </w:r>
      <w:r w:rsidRPr="00D90D9D">
        <w:rPr>
          <w:rFonts w:ascii="Times New Roman" w:hAnsi="Times New Roman" w:cs="Times New Roman"/>
          <w:color w:val="EE0000"/>
          <w:lang w:val="en-US"/>
        </w:rPr>
        <w:t>NEED PAGE REF’S **</w:t>
      </w:r>
    </w:p>
  </w:footnote>
  <w:footnote w:id="14">
    <w:p w14:paraId="666F959D" w14:textId="14C8C2F0" w:rsidR="00991D3E" w:rsidRPr="00991D3E" w:rsidRDefault="00991D3E">
      <w:pPr>
        <w:pStyle w:val="FootnoteText"/>
        <w:rPr>
          <w:lang w:val="en-US"/>
        </w:rPr>
      </w:pPr>
      <w:r w:rsidRPr="00D90D9D">
        <w:rPr>
          <w:rStyle w:val="FootnoteReference"/>
          <w:rFonts w:ascii="Times New Roman" w:hAnsi="Times New Roman" w:cs="Times New Roman"/>
        </w:rPr>
        <w:footnoteRef/>
      </w:r>
      <w:r w:rsidRPr="00D90D9D">
        <w:rPr>
          <w:rFonts w:ascii="Times New Roman" w:hAnsi="Times New Roman" w:cs="Times New Roman"/>
        </w:rPr>
        <w:t xml:space="preserve"> </w:t>
      </w:r>
      <w:r w:rsidR="00D90D9D" w:rsidRPr="00D90D9D">
        <w:rPr>
          <w:rFonts w:ascii="Times New Roman" w:hAnsi="Times New Roman" w:cs="Times New Roman"/>
          <w:color w:val="EE0000"/>
        </w:rPr>
        <w:t>PARAGRAPH NEEDS REFERENCES **</w:t>
      </w:r>
    </w:p>
  </w:footnote>
  <w:footnote w:id="15">
    <w:p w14:paraId="4E73FCE8" w14:textId="0F773097" w:rsidR="005B49E3" w:rsidRPr="006957F8" w:rsidRDefault="005B49E3">
      <w:pPr>
        <w:pStyle w:val="FootnoteText"/>
        <w:rPr>
          <w:rFonts w:ascii="Times New Roman" w:hAnsi="Times New Roman" w:cs="Times New Roman"/>
          <w:lang w:val="en-US"/>
        </w:rPr>
      </w:pPr>
      <w:r w:rsidRPr="006957F8">
        <w:rPr>
          <w:rStyle w:val="FootnoteReference"/>
          <w:rFonts w:ascii="Times New Roman" w:hAnsi="Times New Roman" w:cs="Times New Roman"/>
        </w:rPr>
        <w:footnoteRef/>
      </w:r>
      <w:r w:rsidRPr="006957F8">
        <w:rPr>
          <w:rFonts w:ascii="Times New Roman" w:hAnsi="Times New Roman" w:cs="Times New Roman"/>
        </w:rPr>
        <w:t xml:space="preserve"> </w:t>
      </w:r>
      <w:r w:rsidR="00AB4CA9" w:rsidRPr="006957F8">
        <w:rPr>
          <w:rFonts w:ascii="Times New Roman" w:hAnsi="Times New Roman" w:cs="Times New Roman"/>
          <w:color w:val="EE0000"/>
          <w:lang w:val="en-US"/>
        </w:rPr>
        <w:t>Esler, 22-23, “An Outline of Social Identity Theory” in T&amp;T Clark Handbook of Social Identity in the NT</w:t>
      </w:r>
      <w:r w:rsidR="006957F8" w:rsidRPr="006957F8">
        <w:rPr>
          <w:rFonts w:ascii="Times New Roman" w:hAnsi="Times New Roman" w:cs="Times New Roman"/>
          <w:color w:val="EE0000"/>
          <w:lang w:val="en-US"/>
        </w:rPr>
        <w:t xml:space="preserve"> **</w:t>
      </w:r>
    </w:p>
  </w:footnote>
  <w:footnote w:id="16">
    <w:p w14:paraId="0A2C500E" w14:textId="111D1785" w:rsidR="00267140" w:rsidRPr="006957F8" w:rsidRDefault="00267140">
      <w:pPr>
        <w:pStyle w:val="FootnoteText"/>
        <w:rPr>
          <w:rFonts w:ascii="Times New Roman" w:hAnsi="Times New Roman" w:cs="Times New Roman"/>
          <w:lang w:val="en-US"/>
        </w:rPr>
      </w:pPr>
      <w:r w:rsidRPr="006957F8">
        <w:rPr>
          <w:rStyle w:val="FootnoteReference"/>
          <w:rFonts w:ascii="Times New Roman" w:hAnsi="Times New Roman" w:cs="Times New Roman"/>
        </w:rPr>
        <w:footnoteRef/>
      </w:r>
      <w:r w:rsidRPr="006957F8">
        <w:rPr>
          <w:rFonts w:ascii="Times New Roman" w:hAnsi="Times New Roman" w:cs="Times New Roman"/>
        </w:rPr>
        <w:t xml:space="preserve"> </w:t>
      </w:r>
      <w:r w:rsidR="00FB1396" w:rsidRPr="006957F8">
        <w:rPr>
          <w:rFonts w:ascii="Times New Roman" w:hAnsi="Times New Roman" w:cs="Times New Roman"/>
          <w:color w:val="EE0000"/>
          <w:lang w:val="en-US"/>
        </w:rPr>
        <w:t>Clarke and Tucker, 4</w:t>
      </w:r>
      <w:r w:rsidR="00591502" w:rsidRPr="006957F8">
        <w:rPr>
          <w:rFonts w:ascii="Times New Roman" w:hAnsi="Times New Roman" w:cs="Times New Roman"/>
          <w:color w:val="EE0000"/>
          <w:lang w:val="en-US"/>
        </w:rPr>
        <w:t>3</w:t>
      </w:r>
      <w:r w:rsidR="00FB1396" w:rsidRPr="006957F8">
        <w:rPr>
          <w:rFonts w:ascii="Times New Roman" w:hAnsi="Times New Roman" w:cs="Times New Roman"/>
          <w:color w:val="EE0000"/>
          <w:lang w:val="en-US"/>
        </w:rPr>
        <w:t>-4</w:t>
      </w:r>
      <w:r w:rsidR="00F22D56" w:rsidRPr="006957F8">
        <w:rPr>
          <w:rFonts w:ascii="Times New Roman" w:hAnsi="Times New Roman" w:cs="Times New Roman"/>
          <w:color w:val="EE0000"/>
          <w:lang w:val="en-US"/>
        </w:rPr>
        <w:t>5</w:t>
      </w:r>
      <w:r w:rsidR="00FB1396" w:rsidRPr="006957F8">
        <w:rPr>
          <w:rFonts w:ascii="Times New Roman" w:hAnsi="Times New Roman" w:cs="Times New Roman"/>
          <w:color w:val="EE0000"/>
          <w:lang w:val="en-US"/>
        </w:rPr>
        <w:t>, “</w:t>
      </w:r>
      <w:r w:rsidR="00FA486E" w:rsidRPr="006957F8">
        <w:rPr>
          <w:rFonts w:ascii="Times New Roman" w:hAnsi="Times New Roman" w:cs="Times New Roman"/>
          <w:color w:val="EE0000"/>
          <w:lang w:val="en-US"/>
        </w:rPr>
        <w:t>Social History and Social Theory in the Study of Social Identity” in T&amp;T Clark Handbook of Social Identity in the NT</w:t>
      </w:r>
      <w:r w:rsidR="00066407" w:rsidRPr="006957F8">
        <w:rPr>
          <w:rFonts w:ascii="Times New Roman" w:hAnsi="Times New Roman" w:cs="Times New Roman"/>
          <w:color w:val="EE0000"/>
          <w:lang w:val="en-US"/>
        </w:rPr>
        <w:t xml:space="preserve"> </w:t>
      </w:r>
      <w:r w:rsidR="006957F8" w:rsidRPr="006957F8">
        <w:rPr>
          <w:rFonts w:ascii="Times New Roman" w:hAnsi="Times New Roman" w:cs="Times New Roman"/>
          <w:color w:val="EE0000"/>
          <w:lang w:val="en-US"/>
        </w:rPr>
        <w:t>**</w:t>
      </w:r>
    </w:p>
  </w:footnote>
  <w:footnote w:id="17">
    <w:p w14:paraId="466B8021" w14:textId="39D41D82" w:rsidR="00066407" w:rsidRPr="006957F8" w:rsidRDefault="00066407">
      <w:pPr>
        <w:pStyle w:val="FootnoteText"/>
        <w:rPr>
          <w:rFonts w:ascii="Times New Roman" w:hAnsi="Times New Roman" w:cs="Times New Roman"/>
          <w:lang w:val="en-US"/>
        </w:rPr>
      </w:pPr>
      <w:r w:rsidRPr="006957F8">
        <w:rPr>
          <w:rStyle w:val="FootnoteReference"/>
          <w:rFonts w:ascii="Times New Roman" w:hAnsi="Times New Roman" w:cs="Times New Roman"/>
        </w:rPr>
        <w:footnoteRef/>
      </w:r>
      <w:r w:rsidRPr="006957F8">
        <w:rPr>
          <w:rFonts w:ascii="Times New Roman" w:hAnsi="Times New Roman" w:cs="Times New Roman"/>
        </w:rPr>
        <w:t xml:space="preserve"> </w:t>
      </w:r>
      <w:r w:rsidRPr="006957F8">
        <w:rPr>
          <w:rFonts w:ascii="Times New Roman" w:hAnsi="Times New Roman" w:cs="Times New Roman"/>
          <w:color w:val="EE0000"/>
          <w:lang w:val="en-US"/>
        </w:rPr>
        <w:t>Meeks, 1983, 104-07 **</w:t>
      </w:r>
    </w:p>
  </w:footnote>
  <w:footnote w:id="18">
    <w:p w14:paraId="6A98D6FB" w14:textId="7115F950" w:rsidR="003070E3" w:rsidRPr="003070E3" w:rsidRDefault="003070E3">
      <w:pPr>
        <w:pStyle w:val="FootnoteText"/>
        <w:rPr>
          <w:lang w:val="en-US"/>
        </w:rPr>
      </w:pPr>
      <w:r>
        <w:rPr>
          <w:rStyle w:val="FootnoteReference"/>
        </w:rPr>
        <w:footnoteRef/>
      </w:r>
      <w:r>
        <w:t xml:space="preserve"> </w:t>
      </w:r>
      <w:r w:rsidRPr="00BF1892">
        <w:rPr>
          <w:rFonts w:ascii="Times New Roman" w:hAnsi="Times New Roman" w:cs="Times New Roman"/>
          <w:color w:val="EE0000"/>
          <w:lang w:val="en-US"/>
        </w:rPr>
        <w:t>Meeks, 1983, 6</w:t>
      </w:r>
      <w:r w:rsidR="00BF1892" w:rsidRPr="00BF1892">
        <w:rPr>
          <w:rFonts w:ascii="Times New Roman" w:hAnsi="Times New Roman" w:cs="Times New Roman"/>
          <w:color w:val="EE0000"/>
          <w:lang w:val="en-US"/>
        </w:rPr>
        <w:t>**</w:t>
      </w:r>
      <w:r w:rsidRPr="00BF1892">
        <w:rPr>
          <w:rFonts w:ascii="Times New Roman" w:hAnsi="Times New Roman" w:cs="Times New Roman"/>
          <w:lang w:val="en-US"/>
        </w:rPr>
        <w:t xml:space="preserve">; </w:t>
      </w:r>
      <w:r w:rsidR="0074437A" w:rsidRPr="00BF1892">
        <w:rPr>
          <w:rFonts w:ascii="Times New Roman" w:hAnsi="Times New Roman" w:cs="Times New Roman"/>
          <w:lang w:val="en-US"/>
        </w:rPr>
        <w:t>Parker, 2024, 11</w:t>
      </w:r>
    </w:p>
  </w:footnote>
  <w:footnote w:id="19">
    <w:p w14:paraId="014EA53A" w14:textId="33876370" w:rsidR="00633694" w:rsidRPr="00633694" w:rsidRDefault="00633694">
      <w:pPr>
        <w:pStyle w:val="FootnoteText"/>
        <w:rPr>
          <w:lang w:val="en-US"/>
        </w:rPr>
      </w:pPr>
      <w:r>
        <w:rPr>
          <w:rStyle w:val="FootnoteReference"/>
        </w:rPr>
        <w:footnoteRef/>
      </w:r>
      <w:r>
        <w:t xml:space="preserve"> </w:t>
      </w:r>
      <w:r w:rsidRPr="00633694">
        <w:rPr>
          <w:rFonts w:ascii="Times New Roman" w:hAnsi="Times New Roman" w:cs="Times New Roman"/>
          <w:color w:val="EE0000"/>
          <w:lang w:val="en-US"/>
        </w:rPr>
        <w:t>Tucker &amp; Kuecker, 2020, 477-85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1885045"/>
      <w:docPartObj>
        <w:docPartGallery w:val="Page Numbers (Top of Page)"/>
        <w:docPartUnique/>
      </w:docPartObj>
    </w:sdtPr>
    <w:sdtEndPr>
      <w:rPr>
        <w:noProof/>
      </w:rPr>
    </w:sdtEndPr>
    <w:sdtContent>
      <w:p w14:paraId="4FE1520F" w14:textId="442AE865" w:rsidR="001532FC" w:rsidRDefault="001532FC">
        <w:pPr>
          <w:pStyle w:val="Header"/>
          <w:jc w:val="right"/>
        </w:pPr>
        <w:r w:rsidRPr="001532FC">
          <w:rPr>
            <w:b/>
            <w:bCs/>
            <w:color w:val="EE0000"/>
          </w:rPr>
          <w:t xml:space="preserve">DRAFT </w:t>
        </w:r>
        <w:r>
          <w:t xml:space="preserve">  </w:t>
        </w:r>
        <w:r>
          <w:fldChar w:fldCharType="begin"/>
        </w:r>
        <w:r>
          <w:instrText xml:space="preserve"> PAGE   \* MERGEFORMAT </w:instrText>
        </w:r>
        <w:r>
          <w:fldChar w:fldCharType="separate"/>
        </w:r>
        <w:r>
          <w:rPr>
            <w:noProof/>
          </w:rPr>
          <w:t>2</w:t>
        </w:r>
        <w:r>
          <w:rPr>
            <w:noProof/>
          </w:rPr>
          <w:fldChar w:fldCharType="end"/>
        </w:r>
      </w:p>
    </w:sdtContent>
  </w:sdt>
  <w:p w14:paraId="10BCF18E" w14:textId="712C69BC" w:rsidR="00D73D34" w:rsidRPr="00D73D34" w:rsidRDefault="00D73D34">
    <w:pPr>
      <w:pStyle w:val="Header"/>
      <w:rPr>
        <w:b/>
        <w:bCs/>
        <w:color w:val="EE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EwNrAwMTc2NLcwMjZV0lEKTi0uzszPAykwNK4FAGd/UyUtAAAA"/>
  </w:docVars>
  <w:rsids>
    <w:rsidRoot w:val="0039362F"/>
    <w:rsid w:val="00010492"/>
    <w:rsid w:val="00016826"/>
    <w:rsid w:val="0006073C"/>
    <w:rsid w:val="00065CEB"/>
    <w:rsid w:val="00066407"/>
    <w:rsid w:val="00071AAD"/>
    <w:rsid w:val="00081359"/>
    <w:rsid w:val="00090E9D"/>
    <w:rsid w:val="00090F35"/>
    <w:rsid w:val="00093107"/>
    <w:rsid w:val="00097D37"/>
    <w:rsid w:val="000A13E5"/>
    <w:rsid w:val="000B2E32"/>
    <w:rsid w:val="000B61F9"/>
    <w:rsid w:val="000C557F"/>
    <w:rsid w:val="000E34C6"/>
    <w:rsid w:val="000E50EC"/>
    <w:rsid w:val="000F0903"/>
    <w:rsid w:val="0010191A"/>
    <w:rsid w:val="00101EE4"/>
    <w:rsid w:val="00115C2B"/>
    <w:rsid w:val="001161DC"/>
    <w:rsid w:val="00127F4C"/>
    <w:rsid w:val="0014383A"/>
    <w:rsid w:val="0015191F"/>
    <w:rsid w:val="00152A94"/>
    <w:rsid w:val="001532FC"/>
    <w:rsid w:val="001562EF"/>
    <w:rsid w:val="00162E0F"/>
    <w:rsid w:val="00170835"/>
    <w:rsid w:val="00182ACD"/>
    <w:rsid w:val="00184CC3"/>
    <w:rsid w:val="0019388B"/>
    <w:rsid w:val="00195D4C"/>
    <w:rsid w:val="001A18C4"/>
    <w:rsid w:val="001A5AC5"/>
    <w:rsid w:val="001A6FA9"/>
    <w:rsid w:val="001B3F6F"/>
    <w:rsid w:val="001B6CF6"/>
    <w:rsid w:val="001C3219"/>
    <w:rsid w:val="001C790F"/>
    <w:rsid w:val="001D7F82"/>
    <w:rsid w:val="001E73C9"/>
    <w:rsid w:val="001F00D9"/>
    <w:rsid w:val="001F07E1"/>
    <w:rsid w:val="001F6C51"/>
    <w:rsid w:val="0020046E"/>
    <w:rsid w:val="002047C0"/>
    <w:rsid w:val="002105D3"/>
    <w:rsid w:val="00230D42"/>
    <w:rsid w:val="00231082"/>
    <w:rsid w:val="002556EA"/>
    <w:rsid w:val="0025768A"/>
    <w:rsid w:val="00260B0F"/>
    <w:rsid w:val="002617BF"/>
    <w:rsid w:val="00267140"/>
    <w:rsid w:val="002772AD"/>
    <w:rsid w:val="00280B83"/>
    <w:rsid w:val="00280D18"/>
    <w:rsid w:val="00286872"/>
    <w:rsid w:val="00297378"/>
    <w:rsid w:val="002A1467"/>
    <w:rsid w:val="002A441B"/>
    <w:rsid w:val="002A5413"/>
    <w:rsid w:val="002B1103"/>
    <w:rsid w:val="002B2758"/>
    <w:rsid w:val="002B702F"/>
    <w:rsid w:val="002C0E05"/>
    <w:rsid w:val="002C11AB"/>
    <w:rsid w:val="002C3102"/>
    <w:rsid w:val="002C6758"/>
    <w:rsid w:val="002D2D36"/>
    <w:rsid w:val="002D35E1"/>
    <w:rsid w:val="002D6B3E"/>
    <w:rsid w:val="002F31CC"/>
    <w:rsid w:val="002F525A"/>
    <w:rsid w:val="002F6E4C"/>
    <w:rsid w:val="003005FB"/>
    <w:rsid w:val="00306E32"/>
    <w:rsid w:val="003070E3"/>
    <w:rsid w:val="00310480"/>
    <w:rsid w:val="00320460"/>
    <w:rsid w:val="0032319F"/>
    <w:rsid w:val="0033089A"/>
    <w:rsid w:val="003331C8"/>
    <w:rsid w:val="003345A2"/>
    <w:rsid w:val="00334CC0"/>
    <w:rsid w:val="0034349E"/>
    <w:rsid w:val="00346192"/>
    <w:rsid w:val="0035361D"/>
    <w:rsid w:val="00354747"/>
    <w:rsid w:val="003623E4"/>
    <w:rsid w:val="0036777B"/>
    <w:rsid w:val="00386867"/>
    <w:rsid w:val="00393389"/>
    <w:rsid w:val="0039362F"/>
    <w:rsid w:val="0039629A"/>
    <w:rsid w:val="003D0699"/>
    <w:rsid w:val="003E2206"/>
    <w:rsid w:val="003E339B"/>
    <w:rsid w:val="003E572C"/>
    <w:rsid w:val="003F1DB7"/>
    <w:rsid w:val="003F25FB"/>
    <w:rsid w:val="003F6923"/>
    <w:rsid w:val="00400E33"/>
    <w:rsid w:val="00401DFB"/>
    <w:rsid w:val="0041623B"/>
    <w:rsid w:val="00421F2A"/>
    <w:rsid w:val="00424B95"/>
    <w:rsid w:val="00426F11"/>
    <w:rsid w:val="0042793B"/>
    <w:rsid w:val="00430BEC"/>
    <w:rsid w:val="004327DA"/>
    <w:rsid w:val="004465CF"/>
    <w:rsid w:val="004515E3"/>
    <w:rsid w:val="00451A43"/>
    <w:rsid w:val="00456292"/>
    <w:rsid w:val="00472A33"/>
    <w:rsid w:val="00482BC6"/>
    <w:rsid w:val="004867FD"/>
    <w:rsid w:val="00495699"/>
    <w:rsid w:val="004A384F"/>
    <w:rsid w:val="004B58CE"/>
    <w:rsid w:val="004D65D9"/>
    <w:rsid w:val="004F5C8A"/>
    <w:rsid w:val="004F63EF"/>
    <w:rsid w:val="00503791"/>
    <w:rsid w:val="0052219C"/>
    <w:rsid w:val="00523566"/>
    <w:rsid w:val="00525FEE"/>
    <w:rsid w:val="005371B5"/>
    <w:rsid w:val="00546205"/>
    <w:rsid w:val="00557C09"/>
    <w:rsid w:val="00557F67"/>
    <w:rsid w:val="0058341C"/>
    <w:rsid w:val="00583EDF"/>
    <w:rsid w:val="00591502"/>
    <w:rsid w:val="00591BDD"/>
    <w:rsid w:val="0059433E"/>
    <w:rsid w:val="005A353B"/>
    <w:rsid w:val="005B40D0"/>
    <w:rsid w:val="005B49E3"/>
    <w:rsid w:val="005B7FBB"/>
    <w:rsid w:val="005C6EEE"/>
    <w:rsid w:val="005D0415"/>
    <w:rsid w:val="005D14B1"/>
    <w:rsid w:val="005D1C6E"/>
    <w:rsid w:val="005E0969"/>
    <w:rsid w:val="005F4E1B"/>
    <w:rsid w:val="00607A94"/>
    <w:rsid w:val="00614A10"/>
    <w:rsid w:val="00621907"/>
    <w:rsid w:val="00633694"/>
    <w:rsid w:val="00634907"/>
    <w:rsid w:val="006351AB"/>
    <w:rsid w:val="0064124B"/>
    <w:rsid w:val="00656698"/>
    <w:rsid w:val="006579CF"/>
    <w:rsid w:val="00662771"/>
    <w:rsid w:val="006722A7"/>
    <w:rsid w:val="006830BE"/>
    <w:rsid w:val="006844A6"/>
    <w:rsid w:val="00684564"/>
    <w:rsid w:val="006929EE"/>
    <w:rsid w:val="006957F8"/>
    <w:rsid w:val="00696EF4"/>
    <w:rsid w:val="006A0834"/>
    <w:rsid w:val="006A3D2A"/>
    <w:rsid w:val="006A6664"/>
    <w:rsid w:val="006D01FC"/>
    <w:rsid w:val="006D7D69"/>
    <w:rsid w:val="006F4B02"/>
    <w:rsid w:val="006F513D"/>
    <w:rsid w:val="00724444"/>
    <w:rsid w:val="007267A5"/>
    <w:rsid w:val="0074437A"/>
    <w:rsid w:val="00761DCC"/>
    <w:rsid w:val="00774524"/>
    <w:rsid w:val="00784251"/>
    <w:rsid w:val="00790D42"/>
    <w:rsid w:val="00791E05"/>
    <w:rsid w:val="00796FAF"/>
    <w:rsid w:val="007B1A24"/>
    <w:rsid w:val="007B3776"/>
    <w:rsid w:val="007B7651"/>
    <w:rsid w:val="007C5000"/>
    <w:rsid w:val="007D776E"/>
    <w:rsid w:val="007E51AE"/>
    <w:rsid w:val="007E69F1"/>
    <w:rsid w:val="007E6F45"/>
    <w:rsid w:val="007E6F70"/>
    <w:rsid w:val="007F2BAC"/>
    <w:rsid w:val="007F6686"/>
    <w:rsid w:val="00807178"/>
    <w:rsid w:val="00816B64"/>
    <w:rsid w:val="00823B2B"/>
    <w:rsid w:val="00826818"/>
    <w:rsid w:val="00833DA3"/>
    <w:rsid w:val="00835ABD"/>
    <w:rsid w:val="008377D2"/>
    <w:rsid w:val="008410A5"/>
    <w:rsid w:val="00842889"/>
    <w:rsid w:val="008449F1"/>
    <w:rsid w:val="008570EF"/>
    <w:rsid w:val="0085783B"/>
    <w:rsid w:val="008601FD"/>
    <w:rsid w:val="008612F3"/>
    <w:rsid w:val="00862ADA"/>
    <w:rsid w:val="008731D8"/>
    <w:rsid w:val="00874578"/>
    <w:rsid w:val="008773E2"/>
    <w:rsid w:val="00894CA7"/>
    <w:rsid w:val="008B1A01"/>
    <w:rsid w:val="008B340C"/>
    <w:rsid w:val="008B34E8"/>
    <w:rsid w:val="008B5096"/>
    <w:rsid w:val="008C25B9"/>
    <w:rsid w:val="008C3E07"/>
    <w:rsid w:val="008C6AB8"/>
    <w:rsid w:val="008C7D05"/>
    <w:rsid w:val="008D3B7C"/>
    <w:rsid w:val="008D53DC"/>
    <w:rsid w:val="008F135D"/>
    <w:rsid w:val="00904801"/>
    <w:rsid w:val="009049EA"/>
    <w:rsid w:val="0091708D"/>
    <w:rsid w:val="009170EA"/>
    <w:rsid w:val="00923378"/>
    <w:rsid w:val="00927312"/>
    <w:rsid w:val="00940779"/>
    <w:rsid w:val="0094253F"/>
    <w:rsid w:val="00943D3C"/>
    <w:rsid w:val="009550EB"/>
    <w:rsid w:val="00955647"/>
    <w:rsid w:val="009646D9"/>
    <w:rsid w:val="0097210C"/>
    <w:rsid w:val="00972A71"/>
    <w:rsid w:val="00977F8B"/>
    <w:rsid w:val="00991D3E"/>
    <w:rsid w:val="009A0A0A"/>
    <w:rsid w:val="009C0412"/>
    <w:rsid w:val="009D78F5"/>
    <w:rsid w:val="009E4C90"/>
    <w:rsid w:val="009E58DC"/>
    <w:rsid w:val="009F07E5"/>
    <w:rsid w:val="009F1B89"/>
    <w:rsid w:val="009F2021"/>
    <w:rsid w:val="009F7BD6"/>
    <w:rsid w:val="00A12CDB"/>
    <w:rsid w:val="00A20089"/>
    <w:rsid w:val="00A30E13"/>
    <w:rsid w:val="00A43B86"/>
    <w:rsid w:val="00A548DA"/>
    <w:rsid w:val="00A558EA"/>
    <w:rsid w:val="00A62714"/>
    <w:rsid w:val="00A67702"/>
    <w:rsid w:val="00A7104F"/>
    <w:rsid w:val="00A76D3B"/>
    <w:rsid w:val="00A91CC0"/>
    <w:rsid w:val="00AA2EE4"/>
    <w:rsid w:val="00AB3B82"/>
    <w:rsid w:val="00AB4CA9"/>
    <w:rsid w:val="00AB7FEF"/>
    <w:rsid w:val="00AC448B"/>
    <w:rsid w:val="00AC6458"/>
    <w:rsid w:val="00AD40F0"/>
    <w:rsid w:val="00AE0A95"/>
    <w:rsid w:val="00AE3C4B"/>
    <w:rsid w:val="00AE4667"/>
    <w:rsid w:val="00AE6A8A"/>
    <w:rsid w:val="00AF1C6D"/>
    <w:rsid w:val="00AF3700"/>
    <w:rsid w:val="00B14CDB"/>
    <w:rsid w:val="00B353E1"/>
    <w:rsid w:val="00B47FC7"/>
    <w:rsid w:val="00B55BB9"/>
    <w:rsid w:val="00B64F33"/>
    <w:rsid w:val="00B6756E"/>
    <w:rsid w:val="00B712AD"/>
    <w:rsid w:val="00B77B1F"/>
    <w:rsid w:val="00B80329"/>
    <w:rsid w:val="00B8056E"/>
    <w:rsid w:val="00B80899"/>
    <w:rsid w:val="00B845D8"/>
    <w:rsid w:val="00B845F3"/>
    <w:rsid w:val="00B8604E"/>
    <w:rsid w:val="00B946BD"/>
    <w:rsid w:val="00BA4840"/>
    <w:rsid w:val="00BB1CFA"/>
    <w:rsid w:val="00BB503C"/>
    <w:rsid w:val="00BC1FAA"/>
    <w:rsid w:val="00BE2161"/>
    <w:rsid w:val="00BF1892"/>
    <w:rsid w:val="00C01422"/>
    <w:rsid w:val="00C1404A"/>
    <w:rsid w:val="00C313E4"/>
    <w:rsid w:val="00C35848"/>
    <w:rsid w:val="00C461EA"/>
    <w:rsid w:val="00C57975"/>
    <w:rsid w:val="00C6150E"/>
    <w:rsid w:val="00C73842"/>
    <w:rsid w:val="00C73E38"/>
    <w:rsid w:val="00C851BE"/>
    <w:rsid w:val="00C9549E"/>
    <w:rsid w:val="00CA2198"/>
    <w:rsid w:val="00CB0B55"/>
    <w:rsid w:val="00CB25AA"/>
    <w:rsid w:val="00CB3543"/>
    <w:rsid w:val="00CB50F5"/>
    <w:rsid w:val="00CC26C3"/>
    <w:rsid w:val="00CC2EDD"/>
    <w:rsid w:val="00CD0906"/>
    <w:rsid w:val="00CD2591"/>
    <w:rsid w:val="00CF5852"/>
    <w:rsid w:val="00D17331"/>
    <w:rsid w:val="00D22AAD"/>
    <w:rsid w:val="00D22AF7"/>
    <w:rsid w:val="00D24370"/>
    <w:rsid w:val="00D31275"/>
    <w:rsid w:val="00D3301E"/>
    <w:rsid w:val="00D34780"/>
    <w:rsid w:val="00D36264"/>
    <w:rsid w:val="00D37DC0"/>
    <w:rsid w:val="00D503DC"/>
    <w:rsid w:val="00D50AAC"/>
    <w:rsid w:val="00D519C0"/>
    <w:rsid w:val="00D546E3"/>
    <w:rsid w:val="00D553FD"/>
    <w:rsid w:val="00D7195D"/>
    <w:rsid w:val="00D73D34"/>
    <w:rsid w:val="00D855F1"/>
    <w:rsid w:val="00D8670C"/>
    <w:rsid w:val="00D90D9D"/>
    <w:rsid w:val="00D95355"/>
    <w:rsid w:val="00DA1EBB"/>
    <w:rsid w:val="00DD088B"/>
    <w:rsid w:val="00DD390A"/>
    <w:rsid w:val="00DD5860"/>
    <w:rsid w:val="00E01669"/>
    <w:rsid w:val="00E10E16"/>
    <w:rsid w:val="00E14E17"/>
    <w:rsid w:val="00E1794F"/>
    <w:rsid w:val="00E2773E"/>
    <w:rsid w:val="00E30659"/>
    <w:rsid w:val="00E3081E"/>
    <w:rsid w:val="00E30E37"/>
    <w:rsid w:val="00E313B0"/>
    <w:rsid w:val="00E331B4"/>
    <w:rsid w:val="00E51E6E"/>
    <w:rsid w:val="00E527D7"/>
    <w:rsid w:val="00E528AB"/>
    <w:rsid w:val="00E57B61"/>
    <w:rsid w:val="00E57CA8"/>
    <w:rsid w:val="00E610CE"/>
    <w:rsid w:val="00E62DCE"/>
    <w:rsid w:val="00E62EF2"/>
    <w:rsid w:val="00E87D1A"/>
    <w:rsid w:val="00E96457"/>
    <w:rsid w:val="00E97A55"/>
    <w:rsid w:val="00EA04D0"/>
    <w:rsid w:val="00EA3107"/>
    <w:rsid w:val="00EA6D70"/>
    <w:rsid w:val="00EC1E9E"/>
    <w:rsid w:val="00ED2079"/>
    <w:rsid w:val="00ED2E6D"/>
    <w:rsid w:val="00EE4521"/>
    <w:rsid w:val="00EF1CE8"/>
    <w:rsid w:val="00EF46DD"/>
    <w:rsid w:val="00F00D71"/>
    <w:rsid w:val="00F144E5"/>
    <w:rsid w:val="00F1466E"/>
    <w:rsid w:val="00F147A2"/>
    <w:rsid w:val="00F175C1"/>
    <w:rsid w:val="00F22D56"/>
    <w:rsid w:val="00F412DF"/>
    <w:rsid w:val="00F41FC8"/>
    <w:rsid w:val="00F62A59"/>
    <w:rsid w:val="00F63B44"/>
    <w:rsid w:val="00F76C49"/>
    <w:rsid w:val="00F77212"/>
    <w:rsid w:val="00F77BFC"/>
    <w:rsid w:val="00F97622"/>
    <w:rsid w:val="00FA486E"/>
    <w:rsid w:val="00FA6773"/>
    <w:rsid w:val="00FB1396"/>
    <w:rsid w:val="00FB69AD"/>
    <w:rsid w:val="00FB7AAA"/>
    <w:rsid w:val="00FC135D"/>
    <w:rsid w:val="00FC29D1"/>
    <w:rsid w:val="00FC7FE7"/>
    <w:rsid w:val="00FD1FC0"/>
    <w:rsid w:val="00FD240C"/>
    <w:rsid w:val="00FD2DA8"/>
    <w:rsid w:val="00FE2DFB"/>
    <w:rsid w:val="00FF2F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A312E"/>
  <w15:chartTrackingRefBased/>
  <w15:docId w15:val="{2A3372DF-08AA-44A3-8FC3-458D98BC1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936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36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36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6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6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6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6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6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6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6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36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36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36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36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36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6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6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62F"/>
    <w:rPr>
      <w:rFonts w:eastAsiaTheme="majorEastAsia" w:cstheme="majorBidi"/>
      <w:color w:val="272727" w:themeColor="text1" w:themeTint="D8"/>
    </w:rPr>
  </w:style>
  <w:style w:type="paragraph" w:styleId="Title">
    <w:name w:val="Title"/>
    <w:basedOn w:val="Normal"/>
    <w:next w:val="Normal"/>
    <w:link w:val="TitleChar"/>
    <w:uiPriority w:val="10"/>
    <w:qFormat/>
    <w:rsid w:val="003936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6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6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6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62F"/>
    <w:pPr>
      <w:spacing w:before="160"/>
      <w:jc w:val="center"/>
    </w:pPr>
    <w:rPr>
      <w:i/>
      <w:iCs/>
      <w:color w:val="404040" w:themeColor="text1" w:themeTint="BF"/>
    </w:rPr>
  </w:style>
  <w:style w:type="character" w:customStyle="1" w:styleId="QuoteChar">
    <w:name w:val="Quote Char"/>
    <w:basedOn w:val="DefaultParagraphFont"/>
    <w:link w:val="Quote"/>
    <w:uiPriority w:val="29"/>
    <w:rsid w:val="0039362F"/>
    <w:rPr>
      <w:i/>
      <w:iCs/>
      <w:color w:val="404040" w:themeColor="text1" w:themeTint="BF"/>
    </w:rPr>
  </w:style>
  <w:style w:type="paragraph" w:styleId="ListParagraph">
    <w:name w:val="List Paragraph"/>
    <w:basedOn w:val="Normal"/>
    <w:uiPriority w:val="34"/>
    <w:qFormat/>
    <w:rsid w:val="0039362F"/>
    <w:pPr>
      <w:ind w:left="720"/>
      <w:contextualSpacing/>
    </w:pPr>
  </w:style>
  <w:style w:type="character" w:styleId="IntenseEmphasis">
    <w:name w:val="Intense Emphasis"/>
    <w:basedOn w:val="DefaultParagraphFont"/>
    <w:uiPriority w:val="21"/>
    <w:qFormat/>
    <w:rsid w:val="0039362F"/>
    <w:rPr>
      <w:i/>
      <w:iCs/>
      <w:color w:val="0F4761" w:themeColor="accent1" w:themeShade="BF"/>
    </w:rPr>
  </w:style>
  <w:style w:type="paragraph" w:styleId="IntenseQuote">
    <w:name w:val="Intense Quote"/>
    <w:basedOn w:val="Normal"/>
    <w:next w:val="Normal"/>
    <w:link w:val="IntenseQuoteChar"/>
    <w:uiPriority w:val="30"/>
    <w:qFormat/>
    <w:rsid w:val="003936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362F"/>
    <w:rPr>
      <w:i/>
      <w:iCs/>
      <w:color w:val="0F4761" w:themeColor="accent1" w:themeShade="BF"/>
    </w:rPr>
  </w:style>
  <w:style w:type="character" w:styleId="IntenseReference">
    <w:name w:val="Intense Reference"/>
    <w:basedOn w:val="DefaultParagraphFont"/>
    <w:uiPriority w:val="32"/>
    <w:qFormat/>
    <w:rsid w:val="0039362F"/>
    <w:rPr>
      <w:b/>
      <w:bCs/>
      <w:smallCaps/>
      <w:color w:val="0F4761" w:themeColor="accent1" w:themeShade="BF"/>
      <w:spacing w:val="5"/>
    </w:rPr>
  </w:style>
  <w:style w:type="paragraph" w:customStyle="1" w:styleId="isselectedend">
    <w:name w:val="isselectedend"/>
    <w:basedOn w:val="Normal"/>
    <w:rsid w:val="00EA6D7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EA6D70"/>
    <w:rPr>
      <w:i/>
      <w:iCs/>
    </w:rPr>
  </w:style>
  <w:style w:type="paragraph" w:styleId="NormalWeb">
    <w:name w:val="Normal (Web)"/>
    <w:basedOn w:val="Normal"/>
    <w:uiPriority w:val="99"/>
    <w:unhideWhenUsed/>
    <w:rsid w:val="00EA6D7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5D04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0415"/>
    <w:rPr>
      <w:sz w:val="20"/>
      <w:szCs w:val="20"/>
      <w:lang w:val="en-GB"/>
    </w:rPr>
  </w:style>
  <w:style w:type="character" w:styleId="FootnoteReference">
    <w:name w:val="footnote reference"/>
    <w:basedOn w:val="DefaultParagraphFont"/>
    <w:uiPriority w:val="99"/>
    <w:semiHidden/>
    <w:unhideWhenUsed/>
    <w:rsid w:val="005D0415"/>
    <w:rPr>
      <w:vertAlign w:val="superscript"/>
    </w:rPr>
  </w:style>
  <w:style w:type="paragraph" w:styleId="Header">
    <w:name w:val="header"/>
    <w:basedOn w:val="Normal"/>
    <w:link w:val="HeaderChar"/>
    <w:uiPriority w:val="99"/>
    <w:unhideWhenUsed/>
    <w:rsid w:val="00D73D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3D34"/>
    <w:rPr>
      <w:lang w:val="en-GB"/>
    </w:rPr>
  </w:style>
  <w:style w:type="paragraph" w:styleId="Footer">
    <w:name w:val="footer"/>
    <w:basedOn w:val="Normal"/>
    <w:link w:val="FooterChar"/>
    <w:uiPriority w:val="99"/>
    <w:unhideWhenUsed/>
    <w:rsid w:val="00D73D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D3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06856-5EFA-43FE-9A57-AA4ABEAFF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1894</Words>
  <Characters>10799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T</dc:creator>
  <cp:keywords/>
  <dc:description/>
  <cp:lastModifiedBy>Karl T</cp:lastModifiedBy>
  <cp:revision>5</cp:revision>
  <dcterms:created xsi:type="dcterms:W3CDTF">2026-06-08T10:54:00Z</dcterms:created>
  <dcterms:modified xsi:type="dcterms:W3CDTF">2026-06-08T11:48:00Z</dcterms:modified>
</cp:coreProperties>
</file>