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both"/>
        <w:rPr>
          <w:rFonts w:ascii="Times New Roman" w:hAnsi="Times New Roman" w:eastAsia="Times New Roman" w:cs="Times New Roman"/>
          <w:lang w:val="en-GB"/>
        </w:rPr>
      </w:pPr>
    </w:p>
    <w:p>
      <w:pPr>
        <w:spacing w:line="480" w:lineRule="auto"/>
        <w:jc w:val="both"/>
        <w:rPr>
          <w:rFonts w:ascii="Times New Roman" w:hAnsi="Times New Roman" w:eastAsia="Times New Roman" w:cs="Times New Roman"/>
          <w:lang w:val="en-GB"/>
        </w:rPr>
      </w:pPr>
    </w:p>
    <w:p>
      <w:pPr>
        <w:spacing w:line="480" w:lineRule="auto"/>
        <w:jc w:val="both"/>
        <w:rPr>
          <w:rFonts w:ascii="Times New Roman" w:hAnsi="Times New Roman" w:eastAsia="Times New Roman" w:cs="Times New Roman"/>
          <w:lang w:val="en-GB"/>
        </w:rPr>
      </w:pPr>
    </w:p>
    <w:p>
      <w:pPr>
        <w:spacing w:line="480" w:lineRule="auto"/>
        <w:jc w:val="both"/>
        <w:rPr>
          <w:rFonts w:ascii="Times New Roman" w:hAnsi="Times New Roman" w:eastAsia="Times New Roman" w:cs="Times New Roman"/>
          <w:lang w:val="en-GB"/>
        </w:rPr>
      </w:pPr>
    </w:p>
    <w:p>
      <w:pPr>
        <w:spacing w:line="480" w:lineRule="auto"/>
        <w:jc w:val="both"/>
        <w:rPr>
          <w:rFonts w:ascii="Times New Roman" w:hAnsi="Times New Roman" w:eastAsia="Times New Roman" w:cs="Times New Roman"/>
          <w:lang w:val="en-GB"/>
        </w:rPr>
      </w:pPr>
    </w:p>
    <w:p>
      <w:pPr>
        <w:spacing w:line="480" w:lineRule="auto"/>
        <w:jc w:val="both"/>
        <w:rPr>
          <w:rFonts w:ascii="Times New Roman" w:hAnsi="Times New Roman" w:eastAsia="Times New Roman" w:cs="Times New Roman"/>
          <w:lang w:val="en-GB"/>
        </w:rPr>
      </w:pPr>
    </w:p>
    <w:p>
      <w:pPr>
        <w:spacing w:line="480" w:lineRule="auto"/>
        <w:jc w:val="center"/>
        <w:rPr>
          <w:rFonts w:ascii="Times New Roman" w:hAnsi="Times New Roman" w:eastAsia="Times New Roman" w:cs="Times New Roman"/>
          <w:b/>
          <w:lang w:val="en-GB"/>
        </w:rPr>
      </w:pPr>
      <w:r>
        <w:rPr>
          <w:rFonts w:ascii="Times New Roman" w:hAnsi="Times New Roman" w:eastAsia="Times New Roman" w:cs="Times New Roman"/>
          <w:b/>
          <w:lang w:val="en-GB"/>
        </w:rPr>
        <w:t>The Challenges faced by Employees and Employers in Remote Work Environments and their Impact on Productivity, Job Satisfaction, and Organizational Culture</w:t>
      </w:r>
    </w:p>
    <w:p>
      <w:pPr>
        <w:spacing w:line="480" w:lineRule="auto"/>
        <w:jc w:val="center"/>
        <w:rPr>
          <w:rFonts w:ascii="Times New Roman" w:hAnsi="Times New Roman" w:eastAsia="Times New Roman" w:cs="Times New Roman"/>
          <w:lang w:val="en-GB"/>
        </w:rPr>
      </w:pPr>
      <w:r>
        <w:rPr>
          <w:rFonts w:ascii="Times New Roman" w:hAnsi="Times New Roman" w:eastAsia="Times New Roman" w:cs="Times New Roman"/>
          <w:lang w:val="en-GB"/>
        </w:rPr>
        <w:t>Student’s Name:</w:t>
      </w:r>
      <w:r>
        <w:rPr>
          <w:rFonts w:ascii="Times New Roman" w:hAnsi="Times New Roman" w:eastAsia="Times New Roman" w:cs="Times New Roman"/>
          <w:lang w:val="en-US"/>
        </w:rPr>
        <w:t xml:space="preserve"> Mingjun Liao</w:t>
      </w:r>
    </w:p>
    <w:p>
      <w:pPr>
        <w:spacing w:line="480" w:lineRule="auto"/>
        <w:jc w:val="center"/>
        <w:rPr>
          <w:rFonts w:ascii="Times New Roman" w:hAnsi="Times New Roman" w:eastAsia="Times New Roman" w:cs="Times New Roman"/>
          <w:lang w:val="en-GB"/>
        </w:rPr>
      </w:pPr>
      <w:bookmarkStart w:id="0" w:name="_GoBack"/>
      <w:bookmarkEnd w:id="0"/>
    </w:p>
    <w:p>
      <w:pPr>
        <w:spacing w:line="480" w:lineRule="auto"/>
        <w:jc w:val="both"/>
        <w:rPr>
          <w:rFonts w:ascii="Times New Roman" w:hAnsi="Times New Roman" w:eastAsia="Times New Roman" w:cs="Times New Roman"/>
          <w:lang w:val="en-GB"/>
        </w:rPr>
      </w:pPr>
    </w:p>
    <w:p>
      <w:pPr>
        <w:spacing w:line="480" w:lineRule="auto"/>
        <w:jc w:val="both"/>
        <w:rPr>
          <w:rFonts w:ascii="Times New Roman" w:hAnsi="Times New Roman" w:cs="Times New Roman"/>
          <w:lang w:val="en-GB"/>
        </w:rPr>
      </w:pPr>
      <w:r>
        <w:rPr>
          <w:rFonts w:ascii="Times New Roman" w:hAnsi="Times New Roman" w:cs="Times New Roman"/>
          <w:lang w:val="en-GB"/>
        </w:rPr>
        <w:br w:type="page"/>
      </w:r>
    </w:p>
    <w:p>
      <w:pPr>
        <w:pStyle w:val="36"/>
        <w:numPr>
          <w:ilvl w:val="0"/>
          <w:numId w:val="1"/>
        </w:numPr>
        <w:spacing w:line="480" w:lineRule="auto"/>
        <w:jc w:val="both"/>
        <w:rPr>
          <w:rFonts w:ascii="Times New Roman" w:hAnsi="Times New Roman" w:eastAsia="Times New Roman" w:cs="Times New Roman"/>
          <w:b/>
          <w:bCs/>
          <w:lang w:val="en-GB"/>
        </w:rPr>
      </w:pPr>
      <w:r>
        <w:rPr>
          <w:rFonts w:ascii="Times New Roman" w:hAnsi="Times New Roman" w:eastAsia="Times New Roman" w:cs="Times New Roman"/>
          <w:b/>
          <w:bCs/>
          <w:lang w:val="en-GB"/>
        </w:rPr>
        <w:t>INTRODUCTION</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rapid shift towards remote work, accelerated by the COVID-19 pandemic, has fundamentally altered the workplace landscape, presenting both opportunities and obstacles for organizations and individuals alike. As remote work becomes an increasingly permanent feature of the global work environment, understanding these challenges is crucial for developing effective strategies to maximize the benefits of remote work while mitigating its drawbacks. This study therefore aims to investigate the primary challenges faced by employees and employers in remote work environments and their impact on productivity, job satisfaction, and organizational culture. The research seeks to provide a comprehensive analysis of remote work challenges, examining their effects on key organizational outcomes and exploring potential solutions. By doing so, it purposes to contribute valuable insights to the growing body of literature on remote work and offer practical recommendations for organizations navigating this new era of work.</w:t>
      </w:r>
    </w:p>
    <w:p>
      <w:pPr>
        <w:spacing w:line="480" w:lineRule="auto"/>
        <w:jc w:val="both"/>
        <w:rPr>
          <w:rFonts w:ascii="Times New Roman" w:hAnsi="Times New Roman" w:eastAsia="Times New Roman" w:cs="Times New Roman"/>
          <w:b/>
          <w:lang w:val="en-GB"/>
        </w:rPr>
      </w:pPr>
      <w:r>
        <w:rPr>
          <w:rFonts w:ascii="Times New Roman" w:hAnsi="Times New Roman" w:eastAsia="Times New Roman" w:cs="Times New Roman"/>
          <w:b/>
          <w:lang w:val="en-GB"/>
        </w:rPr>
        <w:t>1.1 Background</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concept of remote work, also known as telecommuting or telework, has been steadily gaining traction over the past few decades. However, the COVID-19 pandemic in 2020 catapulted remote work from a growing trend to a necessity for many organizations worldwide. This sudden shift has brought the challenges and opportunities of remote employment into sharp focus, making it a critical area of study for researchers, business leaders, and policymakers alike (Gs &amp; Sangeetha, 2020). Remote work offers numerous potential benefits, including increased flexibility, reduced commute times, and potential cost savings for both employees and employers. However, it also presents a unique set of challenges that can significantly impact individual performance, team dynamics, and overall organizational effectiveness. These challenges range from technological issues and communication barriers to concerns about work-life balance and employee engagement.</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In the post-pandemic world, many organizations are considering adopting hybrid or fully remote work models on a permanent basis. This transition makes understanding and addressing the challenges of remote employment more crucial than ever. By identifying these challenges and developing strategies to overcome them, organizations can better position themselves to thrive in an increasingly digital and distributed work environment.</w:t>
      </w:r>
    </w:p>
    <w:p>
      <w:pPr>
        <w:spacing w:line="480" w:lineRule="auto"/>
        <w:jc w:val="both"/>
        <w:rPr>
          <w:rFonts w:ascii="Times New Roman" w:hAnsi="Times New Roman" w:eastAsia="Times New Roman" w:cs="Times New Roman"/>
          <w:b/>
          <w:lang w:val="en-GB"/>
        </w:rPr>
      </w:pPr>
      <w:r>
        <w:rPr>
          <w:rFonts w:ascii="Times New Roman" w:hAnsi="Times New Roman" w:eastAsia="Times New Roman" w:cs="Times New Roman"/>
          <w:b/>
          <w:lang w:val="en-GB"/>
        </w:rPr>
        <w:t>1.2 Significance of the Topic</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significance of this research lies in its potential to inform best practices for remote work implementation and management. As more companies embrace remote work arrangements, there is a growing need for evidence-based strategies to maximize the benefits while mitigating the drawbacks of this work model.</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Moreover, the shift to remote work has far-reaching implications beyond individual organizations. It has the potential to reshape urban development, impact real estate markets, influence transportation systems, and even affect global talent acquisition strategies. Understanding the challenges of remote employment is therefore crucial not only for organizational success but also for broader economic and social planning.</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From an academic perspective, this research contributes to the growing body of literature on remote work, organizational behaviour, and human resource management in the digital age. It aims to bridge gaps in our understanding of how traditional management theories and practices apply (or need to be adapted) in remote work contexts.</w:t>
      </w:r>
    </w:p>
    <w:p>
      <w:pPr>
        <w:spacing w:line="480" w:lineRule="auto"/>
        <w:jc w:val="both"/>
        <w:rPr>
          <w:rFonts w:ascii="Times New Roman" w:hAnsi="Times New Roman" w:eastAsia="Times New Roman" w:cs="Times New Roman"/>
          <w:lang w:val="en-GB"/>
        </w:rPr>
      </w:pPr>
    </w:p>
    <w:p>
      <w:pPr>
        <w:spacing w:line="480" w:lineRule="auto"/>
        <w:jc w:val="both"/>
        <w:rPr>
          <w:rFonts w:ascii="Times New Roman" w:hAnsi="Times New Roman" w:eastAsia="Times New Roman" w:cs="Times New Roman"/>
          <w:b/>
          <w:lang w:val="en-GB"/>
        </w:rPr>
      </w:pPr>
      <w:r>
        <w:rPr>
          <w:rFonts w:ascii="Times New Roman" w:hAnsi="Times New Roman" w:eastAsia="Times New Roman" w:cs="Times New Roman"/>
          <w:b/>
          <w:lang w:val="en-GB"/>
        </w:rPr>
        <w:t>1.3 Research Aims and Objectives: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primary aim of this study is to comprehensively explore and analyse the challenges associated with remote employment from both employee and employer perspectives. To achieve this aim, the following specific objectives have been set:</w:t>
      </w:r>
    </w:p>
    <w:p>
      <w:pPr>
        <w:pStyle w:val="36"/>
        <w:numPr>
          <w:ilvl w:val="0"/>
          <w:numId w:val="2"/>
        </w:num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To identify and categorize the main challenges faced by employees working remotely, including but not limited to issues related to communication, work-life balance, technology, and professional development.</w:t>
      </w:r>
    </w:p>
    <w:p>
      <w:pPr>
        <w:pStyle w:val="36"/>
        <w:numPr>
          <w:ilvl w:val="0"/>
          <w:numId w:val="2"/>
        </w:num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To examine the difficulties encountered by employers in managing remote teams, such as maintaining productivity, ensuring effective collaboration, and preserving organizational culture.</w:t>
      </w:r>
    </w:p>
    <w:p>
      <w:pPr>
        <w:pStyle w:val="36"/>
        <w:numPr>
          <w:ilvl w:val="0"/>
          <w:numId w:val="2"/>
        </w:num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To investigate the impact of these challenges on key organizational outcomes, including employee productivity, job satisfaction, and organizational commitment.</w:t>
      </w:r>
    </w:p>
    <w:p>
      <w:pPr>
        <w:pStyle w:val="36"/>
        <w:numPr>
          <w:ilvl w:val="0"/>
          <w:numId w:val="2"/>
        </w:num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To explore the strategies and best practices currently employed by successful remote-first or remote-friendly organizations to address these challenges.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By addressing these objectives, this research aims to provide a comprehensive understanding of the complex landscape of remote employment challenges. This knowledge will be invaluable for organizations as they navigate the transition to more flexible work arrangements and seek to create effective, engaged, and productive remote workforces.</w:t>
      </w:r>
    </w:p>
    <w:p>
      <w:pPr>
        <w:spacing w:line="480" w:lineRule="auto"/>
        <w:jc w:val="both"/>
        <w:rPr>
          <w:rFonts w:ascii="Times New Roman" w:hAnsi="Times New Roman" w:eastAsia="Times New Roman" w:cs="Times New Roman"/>
          <w:b/>
          <w:lang w:val="en-GB"/>
        </w:rPr>
      </w:pPr>
      <w:r>
        <w:rPr>
          <w:rFonts w:ascii="Times New Roman" w:hAnsi="Times New Roman" w:eastAsia="Times New Roman" w:cs="Times New Roman"/>
          <w:b/>
          <w:lang w:val="en-GB"/>
        </w:rPr>
        <w:t>1.4 Methodology Overview</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To achieve these objectives, this study will employ a mixed-methods approach, combining quantitative and qualitative research techniques. This methodology will allow for a comprehensive exploration of the topic, providing both broad statistical insights and in-depth qualitative understanding. The quantitative component will involve a large-scale survey of remote workers across various industries and job roles. This survey will gather data on the prevalence and perceived severity of different remote work challenges, as well as their impact on job satisfaction and productivity. Statistical analysis of this data will help identify patterns and relationships between different variables.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qualitative component will consist of semi-structured interviews with both remote employees and managers responsible for remote teams. These interviews will provide rich, detailed insights into the lived experiences of remote workers and the strategies employed by organizations to address remote work challenges. Additionally, case studies of organizations that have successfully implemented long-term remote work policies will be conducted to identify best practices and innovative solutions.</w:t>
      </w:r>
    </w:p>
    <w:p>
      <w:pPr>
        <w:spacing w:line="480" w:lineRule="auto"/>
        <w:jc w:val="both"/>
        <w:rPr>
          <w:rFonts w:ascii="Times New Roman" w:hAnsi="Times New Roman" w:eastAsia="Times New Roman" w:cs="Times New Roman"/>
          <w:b/>
          <w:lang w:val="en-GB"/>
        </w:rPr>
      </w:pPr>
      <w:r>
        <w:rPr>
          <w:rFonts w:ascii="Times New Roman" w:hAnsi="Times New Roman" w:eastAsia="Times New Roman" w:cs="Times New Roman"/>
          <w:b/>
          <w:lang w:val="en-GB"/>
        </w:rPr>
        <w:t>1.5 Expected Contributions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This research is expected to make several significant contributions. First, it will provide a comprehensive, up-to-date analysis of the challenges faced in remote work environments, reflecting the rapid changes brought about by the COVID-19 pandemic and subsequent widespread adoption of remote work. By examining both employee and employer perspectives, it will offer a balanced view of remote work challenges, facilitating the development of mutually beneficial solutions.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study will also contribute to the academic literature on remote work, potentially challenging or refining existing theories and models of organizational behaviour in the context of distributed teams. It will offer practical, evidence-based recommendations for organizations looking to implement or improve their remote work policies. The findings will potentially inform policy decisions related to labour laws, urban planning, and digital infrastructure development in light of increasing remote work adoption.</w:t>
      </w:r>
    </w:p>
    <w:p>
      <w:pPr>
        <w:spacing w:line="480" w:lineRule="auto"/>
        <w:jc w:val="both"/>
        <w:rPr>
          <w:rFonts w:ascii="Times New Roman" w:hAnsi="Times New Roman" w:eastAsia="Times New Roman" w:cs="Times New Roman"/>
          <w:b/>
          <w:bCs/>
          <w:lang w:val="en-GB"/>
        </w:rPr>
      </w:pPr>
      <w:r>
        <w:rPr>
          <w:rFonts w:ascii="Times New Roman" w:hAnsi="Times New Roman" w:eastAsia="Times New Roman" w:cs="Times New Roman"/>
          <w:b/>
          <w:bCs/>
          <w:lang w:val="en-GB"/>
        </w:rPr>
        <w:t>2. LITERATURE REVIEW</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 xml:space="preserve">The rapid shift towards remote work, accelerated by the COVID-19 pandemic, has brought significant changes to the workplace landscape. This literature review examines the challenges associated with remote employment, drawing on recent research to explore its impact on job satisfaction, productivity, work-life balance, and organizational dynamics. As remote work becomes an increasingly permanent feature of the global work environment, understanding these challenges is crucial for both employees and organizations. </w:t>
      </w:r>
    </w:p>
    <w:p>
      <w:pPr>
        <w:spacing w:line="480" w:lineRule="auto"/>
        <w:jc w:val="both"/>
        <w:rPr>
          <w:rFonts w:ascii="Times New Roman" w:hAnsi="Times New Roman" w:eastAsia="Times New Roman" w:cs="Times New Roman"/>
          <w:b/>
          <w:lang w:val="en-GB"/>
        </w:rPr>
      </w:pPr>
      <w:r>
        <w:rPr>
          <w:rFonts w:ascii="Times New Roman" w:hAnsi="Times New Roman" w:eastAsia="Times New Roman" w:cs="Times New Roman"/>
          <w:b/>
          <w:lang w:val="en-GB"/>
        </w:rPr>
        <w:t>2.1 Job Satisfaction and Remote Work</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relationship between remote work and job satisfaction has been a key area of focus for researchers, with studies revealing a complex interplay of factors that influence employee satisfaction in remote work settings.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Davidescu et al. (2020) conducted a comprehensive study on Romanian employees, examining the link between work flexibility, job satisfaction, and job performance. Their findings suggest that work flexibility, including remote work options, can positively influence job satisfaction. The researchers found that employees who had more control over their work schedules and locations reported higher levels of job satisfaction. However, they also noted that this relationship is not straightforward and can be influenced by various factors, including individual preferences, job characteristics, and organizational culture.</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study by Davidescu et al. (2020) also highlighted the importance of sustainable human resource management practices in the context of remote work. They argue that organizations need to develop policies and practices that not only allow for work flexibility but also ensure that this flexibility contributes to employee well-being and long-term organizational sustainability. This suggests that simply offering remote work options is not enough; organizations need to carefully consider how these options are implemented and managed to maximize their positive impact on job satisfaction.</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In the context of the banking industry in Sri Lanka, Perera and Tilakasiri (2024) provide valuable insights into the impact of remote work on employee job satisfaction and well-being in the post-COVID-19 era. Their quantitative study revealed that remote work had a significant positive impact on job satisfaction among bank employees. This finding is particularly interesting as it suggests that even in industries traditionally associated with in-person work, such as banking, remote work can lead to increased job satisfaction.</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Perera and Tilakasiri's (2024) study also explored the factors contributing to this increased satisfaction. They found that aspects such as increased autonomy, reduced commute stress, and better work-life balance were key drivers of job satisfaction in remote work settings. However, they also noted challenges, particularly around communication and team cohesion, which could potentially offset some of the positive impacts on job satisfaction if not properly addressed.</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Martin et al. (2022) provide a more nuanced view of the relationship between remote work and job satisfaction. Their study, which focused on the impacts of digitally transformed home offices, found that while remote work can lead to increased job satisfaction, it could also contribute to job stress. This highlights the dual nature of remote work, where the benefits of flexibility and autonomy may be offset by new sources of stress and pressure.</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study by Martin et al. (2022) is particularly valuable as it considers the role of digital transformation in shaping remote work experiences. They found that employees who were better equipped to handle digital tools and platforms generally reported higher levels of job satisfaction in remote work settings. However, those who struggled with technology often experienced increased stress and lower satisfaction. This underscores the importance of digital literacy and technological support in remote work contexts.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researchers also noted that job satisfaction in remote work settings was closely tied to productivity perceptions. Employees who felt they were maintaining or improving their productivity while working remotely generally reported higher levels of job satisfaction. Conversely, those who perceived a decline in their productivity often reported lower satisfaction levels. This suggests a complex interplay between job satisfaction, productivity, and the remote work environment.</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role of organizational culture and leadership in shaping job satisfaction in remote work contexts is emphasized by Meng and Berger (2019). Although their study predates the widespread adoption of remote work due to the pandemic, their findings on the importance of engagement and trust in mediating job satisfaction are particularly relevant to remote work environments, where maintaining these elements can be challenging.</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Meng and Berger's (2019) research highlights the critical role of leadership in fostering job satisfaction, especially in distributed work environments. They found that leadership performance significantly impacted PR professionals' job satisfaction, with this relationship mediated by employee engagement and trust. In the context of remote work, this suggests that leaders need to adapt their approaches to maintain high levels of engagement and trust among team members who are not physically present in the same location.</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study also emphasized the importance of organizational culture in shaping job satisfaction. In remote work settings, maintaining a strong and positive organizational culture can be challenging, but Meng and Berger's (2019) findings suggest that it remains crucial for employee satisfaction. Organizations may need to develop new strategies for cultivating and reinforcing their culture in virtual environments to ensure high levels of job satisfaction among remote workers.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Nemteanu and Dabija (2021) further explore the relationship between job satisfaction and performance in the context of the COVID-19 pandemic. Their research in an emerging market context found that internal marketing and job satisfaction significantly influence task performance and counterproductive work behaviour. This suggests that organizations need to pay particular attention to maintaining employee satisfaction in remote work settings to ensure high performance and prevent negative behaviours.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study by Nemteanu and Dabija (2021) is particularly valuable as it considers the impact of job satisfaction on both positive (task performance) and negative (counterproductive work behaviour) outcomes in remote work settings. They found that employees who reported higher levels of job satisfaction were more likely to maintain high levels of task performance and less likely to engage in counterproductive behaviours, even when working remotely.</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Interestingly, the researchers also highlighted the role of internal marketing in shaping job satisfaction and performance in remote work contexts. They argue that organizations need to "sell" the benefits of remote work to their employees and provide adequate support to ensure positive outcomes. This suggests that how organizations communicate about and implement remote work policies can significantly impact employee satisfaction and performance.</w:t>
      </w:r>
    </w:p>
    <w:p>
      <w:pPr>
        <w:spacing w:line="480" w:lineRule="auto"/>
        <w:jc w:val="both"/>
        <w:rPr>
          <w:rFonts w:ascii="Times New Roman" w:hAnsi="Times New Roman" w:eastAsia="Times New Roman" w:cs="Times New Roman"/>
          <w:b/>
          <w:lang w:val="en-GB"/>
        </w:rPr>
      </w:pPr>
      <w:r>
        <w:rPr>
          <w:rFonts w:ascii="Times New Roman" w:hAnsi="Times New Roman" w:eastAsia="Times New Roman" w:cs="Times New Roman"/>
          <w:b/>
          <w:lang w:val="en-GB"/>
        </w:rPr>
        <w:t>2.2 Productivity and Performance in Remote Work</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impact of remote work on productivity and performance is another crucial area of investigation, with studies revealing both opportunities and challenges in maintaining and improving employee output in remote settings. Wang et al. (2021) adopt a work design perspective to examine how to achieve effective remote working. They argue that job characteristics such as autonomy, feedback, and social support need to be carefully considered and potentially redesigned in remote work contexts to maintain or improve productivity. Their research provides a comprehensive framework for understanding how different aspects of job design interact with the remote work environment to influence employee productivity and performance.</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study by Wang et al. (2021) emphasizes the importance of autonomy in remote work settings. They found that employees who had greater control over their work processes and schedules generally reported higher levels of productivity. However, they also note that too much autonomy, without adequate structure or support, can lead to feelings of isolation or a lack of direction, potentially hampering productivity.</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researchers also highlight the critical role of feedback in remote work environments. They argue that in the absence of face-to-face interactions, organizations need to develop new mechanisms for providing regular, constructive feedback to remote workers. This could involve leveraging digital tools for performance tracking and feedback delivery, as well as training managers on effective remote feedback techniques.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Das et al. (2021) provide valuable insights into the experiences of neurodivergent professionals in remote work settings. Their study highlights the importance of considering diverse needs and experiences when designing remote work practices, as what works for neurotypical employees may not be equally effective for neurodivergent individuals. This research is particularly significant as it draws attention to the need for inclusive remote work policies that can accommodate a wide range of working styles and needs.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study by Das et al. (2021) found that while remote work offered some benefits for neurodivergent professionals, such as increased control over their sensory environment, it also presented unique challenges. For example, some participants reported difficulties with time management and task prioritization in the absence of the structured office environment. Others struggled with the increased reliance on written communication in remote settings.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These findings suggest that organizations need to take a more nuanced approach to remote work, recognizing that different employees may require different types of support to maintain productivity. Das et al. (2021) recommend implementing flexible policies that allow employees to customize their remote work setup and providing targeted support for areas where neurodivergent employees may struggle.</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Felstead and Henseke (2017), in their assessment of the growth of remote working, found that remote workers often put in more effort and work longer hours than office-based staff. While this might suggest increased productivity, it also raises concerns about work intensification and its potential negative impacts on well-being and work-life balance.</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study by Felstead and Henseke (2017) is particularly valuable as it provides a longitudinal perspective on remote work trends, drawing on data from before the COVID-19 pandemic. They found that remote workers were more likely to report working beyond their contracted hours and feeling that their job required them to work very hard. While this increased effort might translate to higher productivity in the short term, the researchers warn that it could lead to burnout and decreased well-being over time.</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Interestingly, Felstead and Henseke (2017) also noted that remote workers generally reported higher levels of job satisfaction and organizational commitment, despite the increased work intensity. This suggests a complex relationship between remote work, productivity, and employee well-being that warrants further investigation.</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Urbaniec et al. (2022) offer a perspective from Polish managers on the impact of technological developments on remote working. Their study emphasizes the role of technology in enabling effective remote work but also highlights the challenges that come with increased reliance on digital tools. The researchers found that while technological advancements have made remote work more feasible and efficient, they have also created new challenges around digital literacy, cybersecurity, and work-life balance.</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study by Urbaniec et al. (2022) highlights the importance of technological infrastructure in supporting remote work productivity. They found that organizations with robust digital platforms and tools were better able to maintain high levels of productivity among remote workers. However, they also noted that the rapid adoption of new technologies could be a source of stress for some employees, potentially impacting their performance.</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Interestingly, the researchers also found that the shift to remote work had accelerated digital transformation efforts in many organizations. While this led to increased efficiency in some areas, it also created challenges around change management and employee adaptation. This suggests that organizations need to carefully manage the pace of technological change in remote work settings to ensure it enhances rather than hinders productivity.</w:t>
      </w:r>
    </w:p>
    <w:p>
      <w:pPr>
        <w:spacing w:line="480" w:lineRule="auto"/>
        <w:jc w:val="both"/>
        <w:rPr>
          <w:rFonts w:ascii="Times New Roman" w:hAnsi="Times New Roman" w:eastAsia="Times New Roman" w:cs="Times New Roman"/>
          <w:b/>
          <w:lang w:val="en-GB"/>
        </w:rPr>
      </w:pPr>
      <w:r>
        <w:rPr>
          <w:rFonts w:ascii="Times New Roman" w:hAnsi="Times New Roman" w:eastAsia="Times New Roman" w:cs="Times New Roman"/>
          <w:b/>
          <w:lang w:val="en-GB"/>
        </w:rPr>
        <w:t>2.3 Work-Life Balance and Well-being</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impact of remote work on work-life balance and employee well-being is a recurring theme in the literature, with studies revealing both opportunities and challenges in maintaining healthy boundaries between work and personal life in remote settings. Shirmohammadi et al. (2022) explore the lessons learned from the COVID-19 pandemic regarding remote work and work-life balance. They highlight both the opportunities (such as increased flexibility) and challenges (such as blurred boundaries between work and personal life) that remote work presents for work-life balance. Their research provides valuable insights into how organizations can support employee well-being in remote work contexts.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study by Shirmohammadi et al. (2022) found that while many employees appreciated the increased flexibility offered by remote work, they also struggled with establishing clear boundaries between work and personal life. The researchers noted that the lack of physical separation between work and home spaces often led to extended working hours and difficulties in "switching off" from work.</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Interestingly, Shirmohammadi et al. (2022) also found that experiences of work-life balance in remote settings varied significantly based on factors such as gender, caregiving responsibilities, and job role. For example, women with childcare responsibilities often reported greater challenges in maintaining work-life balance when working remotely (Virtanen, 2020). This highlights the need for organizations to consider diverse employee needs when developing remote work policies.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researchers provide several recommendations for Human Resource Development (HRD) practitioners to support work-life balance in remote settings. These include providing training on time management and boundary-setting, encouraging regular breaks and "disconnect" time, and fostering a culture that respects personal time.</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Como et al. (2021) delve deeper into the concept of work-life wellness in the context of remote work. Their exploration reveals that while remote work can offer benefits like reduced commute times and increased flexibility, it also presents challenges such as difficulty in disconnecting from work and maintaining clear boundaries between work and personal life.</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study by Como et al. (2021) introduces the concept of "work-life wellness" as a more holistic approach to understanding the impact of remote work on employees. They argue that traditional notions of work-life balance may not fully capture the complex interplay between work and personal life in remote settings. Instead, they propose focusing on overall wellness, which encompasses physical, mental, and emotional well-being.</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Como et al. (2021) found that remote work had both positive and negative impacts on different aspects of work-life wellness. For example, while many participants reported improvements in physical wellness due to more time for exercise and healthy meal preparation, they also noted challenges with mental wellness, particularly around feelings of isolation and increased stress.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researchers emphasize the importance of organizational support in promoting work-life wellness in remote settings. They suggest that organizations should provide resources for mental health support, encourage social connections among remote workers, and promote healthy work habits.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potential negative impacts of remote work on well-being are further explored by Becker et al. (2022). Their study found that job control and loneliness during forced remote work significantly impacted employee work behaviours and well-being. This highlights the importance of providing employees with a sense of control over their work and addressing issues of social isolation in remote work settings.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Becker et al. (2022) found that employees who perceived higher levels of job control in remote work settings reported better well-being outcomes. This suggests that organizations should strive to provide remote workers with autonomy over their work processes and schedules, while still maintaining necessary structure and support.</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study also highlighted the significant impact of loneliness on employee well-being in remote work contexts. Employees who reported feeling isolated or disconnected from their colleagues were more likely to experience decreased well-being and engage in negative work behaviours. This underscores the need for organizations to foster social connections and a sense of community among remote workers.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Interestingly, Becker et al. (2022) found that the impacts of job control and loneliness on well-being were more pronounced during the forced shift to remote work due to the COVID-19 pandemic. This suggests that the context in which remote work is implemented (voluntary vs. forced) can significantly influence its impact on employee well-being.</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Van Zoonen et al. (2021) identify factors influencing adjustment to remote work in the initial responses to the COVID-19 pandemic. They found that individual differences, job characteristics, and social support all played crucial roles in how well employees adapted to remote work. This suggests that a one-size-fits-all approach to remote work is unlikely to be effective, and organizations need to consider individual needs and circumstances.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study by Van Zoonen et al. (2021) provides a comprehensive framework for understanding the factors that influence successful adjustment to remote work. They found that individual factors such as personality traits, digital literacy, and home office setup significantly impacted how well employees adapted to remote work. This suggests that organizations may need to provide personalized support to help employees create effective remote work environments.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Job characteristics also played a crucial role in remote work adjustment. Van Zoonen et al. (2021) found that employees in roles with higher levels of autonomy and those that were less dependent on face-to-face interactions generally adapted more easily to remote work. This implies that organizations may need to redesign certain roles or processes to better suit remote work contexts.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 xml:space="preserve">The researchers also emphasized the importance of social support in facilitating adjustment to remote work. They found that employees who felt supported by their managers and colleagues reported smoother transitions to remote work and better overall well-being. This highlights the need for organizations to foster strong social connections and support networks in virtual environments. </w:t>
      </w:r>
    </w:p>
    <w:p>
      <w:pPr>
        <w:spacing w:line="480" w:lineRule="auto"/>
        <w:jc w:val="both"/>
        <w:rPr>
          <w:rFonts w:ascii="Times New Roman" w:hAnsi="Times New Roman" w:eastAsia="Times New Roman" w:cs="Times New Roman"/>
          <w:b/>
          <w:lang w:val="en-GB"/>
        </w:rPr>
      </w:pPr>
      <w:r>
        <w:rPr>
          <w:rFonts w:ascii="Times New Roman" w:hAnsi="Times New Roman" w:eastAsia="Times New Roman" w:cs="Times New Roman"/>
          <w:b/>
          <w:lang w:val="en-GB"/>
        </w:rPr>
        <w:t>2.4 Organizational Challenges in Remote Work</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Remote work presents numerous challenges for organizations, particularly in areas such as maintaining organizational culture, effective leadership, and employee engagement. Leonardelli (2022) explores the role of identity in leading remote workforces effectively. The study suggests that leaders need to adapt their approaches to foster a sense of shared identity and purpose in distributed teams.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Adisa et al. (2023) conducted a qualitative study of British workers during the pandemic, focusing on remote working and employee engagement. Their findings highlight the importance of communication, trust, and support in maintaining employee engagement in remote work settings. They also note that the sudden shift to remote work exposed weaknesses in existing engagement strategies, forcing organizations to adapt quickly.</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Franken et al. (2021) discuss the concept of "forced flexibility" in the context of remote work during the pandemic. They argue that while remote work offers opportunities for increased flexibility, the sudden and mandatory nature of the shift during the pandemic created unique challenges. Their study emphasizes the need for organizations to develop more sustainable and employee-centric remote work policies as they move beyond the immediate crisis response.</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Prasad et al. (2020) examine the organizational climate, opportunities, challenges, and psychological well-being of remote working employees in the IT industry in Hyderabad. Their study underscores the importance of organizational support in ensuring the success of remote work arrangements. They found that factors such as clear communication, technological support, and attention to employee well-being were crucial in creating a positive remote work experience.</w:t>
      </w:r>
    </w:p>
    <w:p>
      <w:pPr>
        <w:spacing w:line="480" w:lineRule="auto"/>
        <w:jc w:val="both"/>
        <w:rPr>
          <w:rFonts w:ascii="Times New Roman" w:hAnsi="Times New Roman" w:eastAsia="Times New Roman" w:cs="Times New Roman"/>
          <w:b/>
          <w:lang w:val="en-GB"/>
        </w:rPr>
      </w:pPr>
      <w:r>
        <w:rPr>
          <w:rFonts w:ascii="Times New Roman" w:hAnsi="Times New Roman" w:eastAsia="Times New Roman" w:cs="Times New Roman"/>
          <w:b/>
          <w:lang w:val="en-GB"/>
        </w:rPr>
        <w:t>2.5 Technological and Infrastructure Challenges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reliance on technology in remote work settings brings its own set of challenges. Battisti et al. (2022) explore the economic-financial impacts and psychological drivers of remote working and digital transformation during the COVID-19 pandemic. They highlight how the rapid adoption of digital tools has both enabled remote work and created new sources of stress and adaptation challenges for employees.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Urbaniec et al. (2022), in their study of Polish managers' perspectives, emphasize the critical role of technological infrastructure in enabling effective remote work. They note that inadequate technology or lack of technical support can significantly hinder productivity and job satisfaction in remote work settings.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Das et al. (2021), in their study of neurodivergent professionals, highlight how technological challenges can be particularly acute for certain groups of employees. They emphasize the need for flexible and adaptive technological solutions that can accommodate diverse needs and working styles.</w:t>
      </w:r>
    </w:p>
    <w:p>
      <w:pPr>
        <w:spacing w:line="480" w:lineRule="auto"/>
        <w:jc w:val="both"/>
        <w:rPr>
          <w:rFonts w:ascii="Times New Roman" w:hAnsi="Times New Roman" w:eastAsia="Times New Roman" w:cs="Times New Roman"/>
          <w:b/>
          <w:lang w:val="en-GB"/>
        </w:rPr>
      </w:pPr>
      <w:r>
        <w:rPr>
          <w:rFonts w:ascii="Times New Roman" w:hAnsi="Times New Roman" w:eastAsia="Times New Roman" w:cs="Times New Roman"/>
          <w:b/>
          <w:lang w:val="en-GB"/>
        </w:rPr>
        <w:t>2.6 Broader Societal Implications of Remote Work</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shift to remote work has implications that extend beyond individual organizations. Kahn (2022) explores how the flexible work economy can improve our lives and our cities. This broader perspective highlights how widespread adoption of remote work could reshape urban development, transportation systems, and even social structures.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Felstead and Henseke (2017) also touch on the broader implications of remote work, noting its potential impact on work intensification and the changing nature of employment relationships. Their work suggests that the growth of remote work may necessitate new approaches to labour regulations and employee protections.</w:t>
      </w:r>
    </w:p>
    <w:p>
      <w:pPr>
        <w:spacing w:line="480" w:lineRule="auto"/>
        <w:jc w:val="both"/>
        <w:rPr>
          <w:rFonts w:ascii="Times New Roman" w:hAnsi="Times New Roman" w:eastAsia="Times New Roman" w:cs="Times New Roman"/>
          <w:b/>
          <w:lang w:val="en-GB"/>
        </w:rPr>
      </w:pPr>
      <w:r>
        <w:rPr>
          <w:rFonts w:ascii="Times New Roman" w:hAnsi="Times New Roman" w:eastAsia="Times New Roman" w:cs="Times New Roman"/>
          <w:b/>
          <w:lang w:val="en-GB"/>
        </w:rPr>
        <w:t>2.7 Adapting to Remote Work: Strategies and Best Practices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Several studies offer insights into strategies for effectively adapting to remote work. Wang et al. (2021) propose a work design perspective, suggesting that jobs need to be redesigned to suit remote work contexts. They emphasize the importance of autonomy, feedback, and social support in remote work settings.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Shirmohammadi et al. (2022) offer suggestions for Human Resource Development (HRD) practitioners in supporting remote work and work-life balance. They emphasize the need for targeted training and development initiatives to help employees and managers navigate the challenges of remote work.</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Van Zoonen et al. (2021) identify factors that influence successful adjustment to remote work, including individual differences, job characteristics, and social support. Their findings suggest that organizations should take a personalized approach to supporting remote workers, recognizing that different employees may face different challenges.</w:t>
      </w:r>
    </w:p>
    <w:p>
      <w:pPr>
        <w:spacing w:line="480" w:lineRule="auto"/>
        <w:jc w:val="both"/>
        <w:rPr>
          <w:rFonts w:ascii="Times New Roman" w:hAnsi="Times New Roman" w:eastAsia="Times New Roman" w:cs="Times New Roman"/>
          <w:b/>
          <w:lang w:val="en-GB"/>
        </w:rPr>
      </w:pPr>
      <w:r>
        <w:rPr>
          <w:rFonts w:ascii="Times New Roman" w:hAnsi="Times New Roman" w:eastAsia="Times New Roman" w:cs="Times New Roman"/>
          <w:b/>
          <w:lang w:val="en-GB"/>
        </w:rPr>
        <w:t>2.8 Conclusion</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This literature review reveals that while remote work offers numerous benefits, it also presents significant challenges for both employees and organizations. Key challenges include maintaining job satisfaction and productivity, ensuring work-life balance and employee well-being, preserving organizational culture and employee engagement, and overcoming technological and infrastructural hurdles.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research highlights the complex and often contradictory nature of remote work experiences. While many studies report increased job satisfaction and productivity associated with remote work, others point to increased stress, work intensification, and difficulties in maintaining work-life boundaries.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sudden and widespread shift to remote work during the COVID-19 pandemic has accelerated trends that were already underway, forcing organizations to rapidly adapt their practices and policies. As remote work becomes a more permanent feature of the employment landscape, there is a clear need for further research to understand its long-term impacts and to develop effective strategies for maximizing its benefits while mitigating its challenges.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Future research could focus on longitudinal studies to understand the evolving nature of remote work challenges over time, cross-cultural comparisons to explore how remote work experiences differ across various national and cultural contexts, and investigations into the effectiveness of different organizational strategies in supporting remote workers.</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In conclusion, the challenges of remote employment are multifaceted and complex, touching on issues of individual well-being, organizational effectiveness, and broader societal structures. As the world of work continues to evolve, understanding and addressing these challenges will be crucial for creating sustainable and effective remote work environments.</w:t>
      </w:r>
    </w:p>
    <w:p>
      <w:pPr>
        <w:spacing w:line="480" w:lineRule="auto"/>
        <w:jc w:val="both"/>
        <w:rPr>
          <w:rFonts w:ascii="Times New Roman" w:hAnsi="Times New Roman" w:eastAsia="Times New Roman" w:cs="Times New Roman"/>
          <w:b/>
          <w:bCs/>
          <w:lang w:val="en-GB"/>
        </w:rPr>
      </w:pPr>
      <w:r>
        <w:rPr>
          <w:rFonts w:ascii="Times New Roman" w:hAnsi="Times New Roman" w:eastAsia="Times New Roman" w:cs="Times New Roman"/>
          <w:b/>
          <w:bCs/>
          <w:lang w:val="en-GB"/>
        </w:rPr>
        <w:t>3. METHODOLOGY</w:t>
      </w:r>
    </w:p>
    <w:p>
      <w:p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This study employed a mixed-methods approach to investigate the challenges of remote employment, combining quantitative and qualitative research techniques. The methodology allowed for a comprehensive exploration of the topic, providing both broad statistical insights and in-depth qualitative understanding.</w:t>
      </w:r>
    </w:p>
    <w:p>
      <w:pPr>
        <w:spacing w:line="480" w:lineRule="auto"/>
        <w:jc w:val="both"/>
        <w:rPr>
          <w:rFonts w:ascii="Times New Roman" w:hAnsi="Times New Roman" w:cs="Times New Roman"/>
          <w:b/>
          <w:lang w:val="en-GB"/>
        </w:rPr>
      </w:pPr>
      <w:r>
        <w:rPr>
          <w:rFonts w:ascii="Times New Roman" w:hAnsi="Times New Roman" w:eastAsia="Times New Roman" w:cs="Times New Roman"/>
          <w:b/>
          <w:lang w:val="en-GB"/>
        </w:rPr>
        <w:t>3.1 Research Design</w:t>
      </w:r>
    </w:p>
    <w:p>
      <w:pPr>
        <w:spacing w:line="480" w:lineRule="auto"/>
        <w:jc w:val="both"/>
        <w:rPr>
          <w:rFonts w:ascii="Times New Roman" w:hAnsi="Times New Roman" w:cs="Times New Roman"/>
          <w:lang w:val="en-GB"/>
        </w:rPr>
      </w:pPr>
      <w:r>
        <w:rPr>
          <w:rFonts w:ascii="Times New Roman" w:hAnsi="Times New Roman" w:eastAsia="Times New Roman" w:cs="Times New Roman"/>
          <w:lang w:val="en-GB"/>
        </w:rPr>
        <w:t>The research design followed a sequential explanatory mixed methods approach. This design involved collecting and analysing quantitative data first, followed by qualitative data collection and analysis to help explain or elaborate on the quantitative results. This approach was particularly suitable for this study as it allowed for the identification of broad trends and patterns in remote work challenges through quantitative data, and then the exploration of the underlying reasons and contexts through qualitative methods.</w:t>
      </w:r>
    </w:p>
    <w:p>
      <w:pPr>
        <w:spacing w:line="480" w:lineRule="auto"/>
        <w:jc w:val="both"/>
        <w:rPr>
          <w:rFonts w:ascii="Times New Roman" w:hAnsi="Times New Roman" w:cs="Times New Roman"/>
          <w:b/>
          <w:lang w:val="en-GB"/>
        </w:rPr>
      </w:pPr>
      <w:r>
        <w:rPr>
          <w:rFonts w:ascii="Times New Roman" w:hAnsi="Times New Roman" w:eastAsia="Times New Roman" w:cs="Times New Roman"/>
          <w:b/>
          <w:lang w:val="en-GB"/>
        </w:rPr>
        <w:t>3.2 Quantitative Phase</w:t>
      </w:r>
    </w:p>
    <w:p>
      <w:pPr>
        <w:spacing w:line="480" w:lineRule="auto"/>
        <w:jc w:val="both"/>
        <w:rPr>
          <w:rFonts w:ascii="Times New Roman" w:hAnsi="Times New Roman" w:cs="Times New Roman"/>
          <w:b/>
          <w:lang w:val="en-GB"/>
        </w:rPr>
      </w:pPr>
      <w:r>
        <w:rPr>
          <w:rFonts w:ascii="Times New Roman" w:hAnsi="Times New Roman" w:eastAsia="Times New Roman" w:cs="Times New Roman"/>
          <w:b/>
          <w:lang w:val="en-GB"/>
        </w:rPr>
        <w:t>3.2.1 Sample and Sampling Method</w:t>
      </w:r>
    </w:p>
    <w:p>
      <w:pPr>
        <w:spacing w:line="480" w:lineRule="auto"/>
        <w:jc w:val="both"/>
        <w:rPr>
          <w:rFonts w:ascii="Times New Roman" w:hAnsi="Times New Roman" w:cs="Times New Roman"/>
          <w:lang w:val="en-GB"/>
        </w:rPr>
      </w:pPr>
      <w:r>
        <w:rPr>
          <w:rFonts w:ascii="Times New Roman" w:hAnsi="Times New Roman" w:eastAsia="Times New Roman" w:cs="Times New Roman"/>
          <w:lang w:val="en-GB"/>
        </w:rPr>
        <w:t>For the quantitative phase, a stratified random sampling method was used to ensure representation across different industries, job roles, and demographic groups. The target population included employees who have been working remotely for at least six months. The aim was to achieve a sample size of 500 participants to ensure statistical power and generalizability of results.</w:t>
      </w:r>
    </w:p>
    <w:p>
      <w:pPr>
        <w:spacing w:line="480" w:lineRule="auto"/>
        <w:jc w:val="both"/>
        <w:rPr>
          <w:rFonts w:ascii="Times New Roman" w:hAnsi="Times New Roman" w:cs="Times New Roman"/>
          <w:b/>
          <w:lang w:val="en-GB"/>
        </w:rPr>
      </w:pPr>
      <w:r>
        <w:rPr>
          <w:rFonts w:ascii="Times New Roman" w:hAnsi="Times New Roman" w:eastAsia="Times New Roman" w:cs="Times New Roman"/>
          <w:b/>
          <w:lang w:val="en-GB"/>
        </w:rPr>
        <w:t>3.2.2 Data Collection</w:t>
      </w:r>
    </w:p>
    <w:p>
      <w:pPr>
        <w:spacing w:line="480" w:lineRule="auto"/>
        <w:jc w:val="both"/>
        <w:rPr>
          <w:rFonts w:ascii="Times New Roman" w:hAnsi="Times New Roman" w:cs="Times New Roman"/>
          <w:lang w:val="en-GB"/>
        </w:rPr>
      </w:pPr>
      <w:r>
        <w:rPr>
          <w:rFonts w:ascii="Times New Roman" w:hAnsi="Times New Roman" w:eastAsia="Times New Roman" w:cs="Times New Roman"/>
          <w:lang w:val="en-GB"/>
        </w:rPr>
        <w:t>The quantitative data was collected through an online survey. The survey was designed using validated scales from previous studies, adapted to the context of remote work. Key variables of focus included</w:t>
      </w:r>
      <w:r>
        <w:rPr>
          <w:rFonts w:ascii="Times New Roman" w:hAnsi="Times New Roman" w:cs="Times New Roman"/>
          <w:lang w:val="en-GB"/>
        </w:rPr>
        <w:t xml:space="preserve">: </w:t>
      </w:r>
      <w:r>
        <w:rPr>
          <w:rFonts w:ascii="Times New Roman" w:hAnsi="Times New Roman" w:eastAsia="Times New Roman" w:cs="Times New Roman"/>
          <w:lang w:val="en-GB"/>
        </w:rPr>
        <w:t>job satisfaction; work-life balance; productivity and performance; organizational culture and engagement; and technological challenges. The survey used a 5-point Likert scale for most items, ranging from "Strongly Disagree" to "Strongly Agree." Demographic information was also collected to allow for the analysis of how remote work experiences vary across different groups.</w:t>
      </w:r>
    </w:p>
    <w:p>
      <w:pPr>
        <w:spacing w:line="480" w:lineRule="auto"/>
        <w:jc w:val="both"/>
        <w:rPr>
          <w:rFonts w:ascii="Times New Roman" w:hAnsi="Times New Roman" w:cs="Times New Roman"/>
          <w:b/>
          <w:lang w:val="en-GB"/>
        </w:rPr>
      </w:pPr>
      <w:r>
        <w:rPr>
          <w:rFonts w:ascii="Times New Roman" w:hAnsi="Times New Roman" w:eastAsia="Times New Roman" w:cs="Times New Roman"/>
          <w:b/>
          <w:lang w:val="en-GB"/>
        </w:rPr>
        <w:t>3.2.3 Data Analysis</w:t>
      </w:r>
    </w:p>
    <w:p>
      <w:pPr>
        <w:spacing w:line="480" w:lineRule="auto"/>
        <w:jc w:val="both"/>
        <w:rPr>
          <w:rFonts w:ascii="Times New Roman" w:hAnsi="Times New Roman" w:cs="Times New Roman"/>
          <w:lang w:val="en-GB"/>
        </w:rPr>
      </w:pPr>
      <w:r>
        <w:rPr>
          <w:rFonts w:ascii="Times New Roman" w:hAnsi="Times New Roman" w:eastAsia="Times New Roman" w:cs="Times New Roman"/>
          <w:lang w:val="en-GB"/>
        </w:rPr>
        <w:t>Quantitative data analysis was conducted using SPSS software. The analysis included:</w:t>
      </w:r>
    </w:p>
    <w:p>
      <w:pPr>
        <w:pStyle w:val="36"/>
        <w:numPr>
          <w:ilvl w:val="0"/>
          <w:numId w:val="3"/>
        </w:num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Descriptive statistics to summarize the data and identify general trends.</w:t>
      </w:r>
    </w:p>
    <w:p>
      <w:pPr>
        <w:pStyle w:val="36"/>
        <w:numPr>
          <w:ilvl w:val="0"/>
          <w:numId w:val="3"/>
        </w:numPr>
        <w:spacing w:line="480" w:lineRule="auto"/>
        <w:jc w:val="both"/>
        <w:rPr>
          <w:rFonts w:ascii="Times New Roman" w:hAnsi="Times New Roman" w:cs="Times New Roman"/>
          <w:lang w:val="en-GB"/>
        </w:rPr>
      </w:pPr>
      <w:r>
        <w:rPr>
          <w:rFonts w:ascii="Times New Roman" w:hAnsi="Times New Roman" w:eastAsia="Times New Roman" w:cs="Times New Roman"/>
          <w:lang w:val="en-GB"/>
        </w:rPr>
        <w:t>Correlation analysis to examine relationships between different variables.</w:t>
      </w:r>
    </w:p>
    <w:p>
      <w:pPr>
        <w:pStyle w:val="36"/>
        <w:numPr>
          <w:ilvl w:val="0"/>
          <w:numId w:val="3"/>
        </w:numPr>
        <w:spacing w:line="480" w:lineRule="auto"/>
        <w:jc w:val="both"/>
        <w:rPr>
          <w:rFonts w:ascii="Times New Roman" w:hAnsi="Times New Roman" w:cs="Times New Roman"/>
          <w:lang w:val="en-GB"/>
        </w:rPr>
      </w:pPr>
      <w:r>
        <w:rPr>
          <w:rFonts w:ascii="Times New Roman" w:hAnsi="Times New Roman" w:eastAsia="Times New Roman" w:cs="Times New Roman"/>
          <w:lang w:val="en-GB"/>
        </w:rPr>
        <w:t>Multiple regression analysis to investigate the impact of various factors on key outcomes such as job satisfaction and productivity.</w:t>
      </w:r>
    </w:p>
    <w:p>
      <w:pPr>
        <w:pStyle w:val="36"/>
        <w:numPr>
          <w:ilvl w:val="0"/>
          <w:numId w:val="3"/>
        </w:numPr>
        <w:spacing w:line="480" w:lineRule="auto"/>
        <w:jc w:val="both"/>
        <w:rPr>
          <w:rFonts w:ascii="Times New Roman" w:hAnsi="Times New Roman" w:cs="Times New Roman"/>
          <w:lang w:val="en-GB"/>
        </w:rPr>
      </w:pPr>
      <w:r>
        <w:rPr>
          <w:rFonts w:ascii="Times New Roman" w:hAnsi="Times New Roman" w:eastAsia="Times New Roman" w:cs="Times New Roman"/>
          <w:lang w:val="en-GB"/>
        </w:rPr>
        <w:t>Factor analysis to identify underlying dimensions of remote work challenges.</w:t>
      </w:r>
    </w:p>
    <w:p>
      <w:pPr>
        <w:pStyle w:val="36"/>
        <w:numPr>
          <w:ilvl w:val="0"/>
          <w:numId w:val="3"/>
        </w:numPr>
        <w:spacing w:line="480" w:lineRule="auto"/>
        <w:jc w:val="both"/>
        <w:rPr>
          <w:rFonts w:ascii="Times New Roman" w:hAnsi="Times New Roman" w:cs="Times New Roman"/>
          <w:lang w:val="en-GB"/>
        </w:rPr>
      </w:pPr>
      <w:r>
        <w:rPr>
          <w:rFonts w:ascii="Times New Roman" w:hAnsi="Times New Roman" w:eastAsia="Times New Roman" w:cs="Times New Roman"/>
          <w:lang w:val="en-GB"/>
        </w:rPr>
        <w:t>ANOVA to compare experiences across different demographic groups or job roles.</w:t>
      </w:r>
    </w:p>
    <w:p>
      <w:pPr>
        <w:spacing w:line="480" w:lineRule="auto"/>
        <w:jc w:val="both"/>
        <w:rPr>
          <w:rFonts w:ascii="Times New Roman" w:hAnsi="Times New Roman" w:eastAsia="Times New Roman" w:cs="Times New Roman"/>
          <w:b/>
          <w:lang w:val="en-GB"/>
        </w:rPr>
      </w:pPr>
    </w:p>
    <w:p>
      <w:pPr>
        <w:spacing w:line="480" w:lineRule="auto"/>
        <w:jc w:val="both"/>
        <w:rPr>
          <w:rFonts w:ascii="Times New Roman" w:hAnsi="Times New Roman" w:cs="Times New Roman"/>
          <w:b/>
          <w:lang w:val="en-GB"/>
        </w:rPr>
      </w:pPr>
      <w:r>
        <w:rPr>
          <w:rFonts w:ascii="Times New Roman" w:hAnsi="Times New Roman" w:eastAsia="Times New Roman" w:cs="Times New Roman"/>
          <w:b/>
          <w:lang w:val="en-GB"/>
        </w:rPr>
        <w:t>3.3 Qualitative Phase</w:t>
      </w:r>
    </w:p>
    <w:p>
      <w:pPr>
        <w:spacing w:line="480" w:lineRule="auto"/>
        <w:jc w:val="both"/>
        <w:rPr>
          <w:rFonts w:ascii="Times New Roman" w:hAnsi="Times New Roman" w:cs="Times New Roman"/>
          <w:b/>
          <w:lang w:val="en-GB"/>
        </w:rPr>
      </w:pPr>
      <w:r>
        <w:rPr>
          <w:rFonts w:ascii="Times New Roman" w:hAnsi="Times New Roman" w:eastAsia="Times New Roman" w:cs="Times New Roman"/>
          <w:b/>
          <w:lang w:val="en-GB"/>
        </w:rPr>
        <w:t>3.3.1 Sample and Sampling Method</w:t>
      </w:r>
    </w:p>
    <w:p>
      <w:pPr>
        <w:spacing w:line="480" w:lineRule="auto"/>
        <w:jc w:val="both"/>
        <w:rPr>
          <w:rFonts w:ascii="Times New Roman" w:hAnsi="Times New Roman" w:cs="Times New Roman"/>
          <w:lang w:val="en-GB"/>
        </w:rPr>
      </w:pPr>
      <w:r>
        <w:rPr>
          <w:rFonts w:ascii="Times New Roman" w:hAnsi="Times New Roman" w:eastAsia="Times New Roman" w:cs="Times New Roman"/>
          <w:lang w:val="en-GB"/>
        </w:rPr>
        <w:t>For the qualitative phase, purposive sampling was used to select 30 participants from the quantitative sample. The selection aimed to include a diverse range of experiences, focusing on participants whose survey responses uncovered particularly interesting or unique perspectives on remote work challenges.</w:t>
      </w:r>
    </w:p>
    <w:p>
      <w:pPr>
        <w:spacing w:line="480" w:lineRule="auto"/>
        <w:jc w:val="both"/>
        <w:rPr>
          <w:rFonts w:ascii="Times New Roman" w:hAnsi="Times New Roman" w:cs="Times New Roman"/>
          <w:b/>
          <w:lang w:val="en-GB"/>
        </w:rPr>
      </w:pPr>
      <w:r>
        <w:rPr>
          <w:rFonts w:ascii="Times New Roman" w:hAnsi="Times New Roman" w:eastAsia="Times New Roman" w:cs="Times New Roman"/>
          <w:b/>
          <w:lang w:val="en-GB"/>
        </w:rPr>
        <w:t>3.3.2 Data Collection</w:t>
      </w:r>
    </w:p>
    <w:p>
      <w:pPr>
        <w:spacing w:line="480" w:lineRule="auto"/>
        <w:jc w:val="both"/>
        <w:rPr>
          <w:rFonts w:ascii="Times New Roman" w:hAnsi="Times New Roman" w:cs="Times New Roman"/>
          <w:lang w:val="en-GB"/>
        </w:rPr>
      </w:pPr>
      <w:r>
        <w:rPr>
          <w:rFonts w:ascii="Times New Roman" w:hAnsi="Times New Roman" w:eastAsia="Times New Roman" w:cs="Times New Roman"/>
          <w:lang w:val="en-GB"/>
        </w:rPr>
        <w:t>Qualitative data was collected through semi-structured interviews. These interviews were conducted virtually, using video conferencing software, and lasted approximately 60 minutes each. The interview guide was developed based on the results of the quantitative analysis, aiming to explore in greater depth the key themes and patterns identified in the survey data.</w:t>
      </w:r>
    </w:p>
    <w:p>
      <w:pPr>
        <w:spacing w:line="480" w:lineRule="auto"/>
        <w:jc w:val="both"/>
        <w:rPr>
          <w:rFonts w:ascii="Times New Roman" w:hAnsi="Times New Roman" w:cs="Times New Roman"/>
          <w:lang w:val="en-GB"/>
        </w:rPr>
      </w:pPr>
      <w:r>
        <w:rPr>
          <w:rFonts w:ascii="Times New Roman" w:hAnsi="Times New Roman" w:eastAsia="Times New Roman" w:cs="Times New Roman"/>
          <w:lang w:val="en-GB"/>
        </w:rPr>
        <w:t>Key areas of focus for the interviews included:</w:t>
      </w:r>
    </w:p>
    <w:p>
      <w:pPr>
        <w:pStyle w:val="36"/>
        <w:numPr>
          <w:ilvl w:val="0"/>
          <w:numId w:val="4"/>
        </w:numPr>
        <w:spacing w:line="480" w:lineRule="auto"/>
        <w:jc w:val="both"/>
        <w:rPr>
          <w:rFonts w:ascii="Times New Roman" w:hAnsi="Times New Roman" w:cs="Times New Roman"/>
          <w:lang w:val="en-GB"/>
        </w:rPr>
      </w:pPr>
      <w:r>
        <w:rPr>
          <w:rFonts w:ascii="Times New Roman" w:hAnsi="Times New Roman" w:eastAsia="Times New Roman" w:cs="Times New Roman"/>
          <w:lang w:val="en-GB"/>
        </w:rPr>
        <w:t>Detailed experiences of remote work challenges.</w:t>
      </w:r>
    </w:p>
    <w:p>
      <w:pPr>
        <w:pStyle w:val="36"/>
        <w:numPr>
          <w:ilvl w:val="0"/>
          <w:numId w:val="4"/>
        </w:numPr>
        <w:spacing w:line="480" w:lineRule="auto"/>
        <w:jc w:val="both"/>
        <w:rPr>
          <w:rFonts w:ascii="Times New Roman" w:hAnsi="Times New Roman" w:cs="Times New Roman"/>
          <w:lang w:val="en-GB"/>
        </w:rPr>
      </w:pPr>
      <w:r>
        <w:rPr>
          <w:rFonts w:ascii="Times New Roman" w:hAnsi="Times New Roman" w:eastAsia="Times New Roman" w:cs="Times New Roman"/>
          <w:lang w:val="en-GB"/>
        </w:rPr>
        <w:t>Strategies used to overcome these challenges.</w:t>
      </w:r>
    </w:p>
    <w:p>
      <w:pPr>
        <w:pStyle w:val="36"/>
        <w:numPr>
          <w:ilvl w:val="0"/>
          <w:numId w:val="4"/>
        </w:numPr>
        <w:spacing w:line="480" w:lineRule="auto"/>
        <w:jc w:val="both"/>
        <w:rPr>
          <w:rFonts w:ascii="Times New Roman" w:hAnsi="Times New Roman" w:cs="Times New Roman"/>
          <w:lang w:val="en-GB"/>
        </w:rPr>
      </w:pPr>
      <w:r>
        <w:rPr>
          <w:rFonts w:ascii="Times New Roman" w:hAnsi="Times New Roman" w:eastAsia="Times New Roman" w:cs="Times New Roman"/>
          <w:lang w:val="en-GB"/>
        </w:rPr>
        <w:t>Perceptions of organizational support and its effectiveness.</w:t>
      </w:r>
    </w:p>
    <w:p>
      <w:pPr>
        <w:pStyle w:val="36"/>
        <w:numPr>
          <w:ilvl w:val="0"/>
          <w:numId w:val="4"/>
        </w:numPr>
        <w:spacing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Impact of remote work on personal and professional life.</w:t>
      </w:r>
    </w:p>
    <w:p>
      <w:pPr>
        <w:pStyle w:val="36"/>
        <w:numPr>
          <w:ilvl w:val="0"/>
          <w:numId w:val="4"/>
        </w:numPr>
        <w:spacing w:line="480" w:lineRule="auto"/>
        <w:jc w:val="both"/>
        <w:rPr>
          <w:rFonts w:ascii="Times New Roman" w:hAnsi="Times New Roman" w:cs="Times New Roman"/>
          <w:lang w:val="en-GB"/>
        </w:rPr>
      </w:pPr>
      <w:r>
        <w:rPr>
          <w:rFonts w:ascii="Times New Roman" w:hAnsi="Times New Roman" w:eastAsia="Times New Roman" w:cs="Times New Roman"/>
          <w:lang w:val="en-GB"/>
        </w:rPr>
        <w:t>Suggestions for improving remote work experiences.</w:t>
      </w:r>
    </w:p>
    <w:p>
      <w:pPr>
        <w:spacing w:line="480" w:lineRule="auto"/>
        <w:jc w:val="both"/>
        <w:rPr>
          <w:rFonts w:ascii="Times New Roman" w:hAnsi="Times New Roman" w:cs="Times New Roman"/>
          <w:b/>
          <w:lang w:val="en-GB"/>
        </w:rPr>
      </w:pPr>
      <w:r>
        <w:rPr>
          <w:rFonts w:ascii="Times New Roman" w:hAnsi="Times New Roman" w:eastAsia="Times New Roman" w:cs="Times New Roman"/>
          <w:b/>
          <w:lang w:val="en-GB"/>
        </w:rPr>
        <w:t>3.3.3 Data Analysis</w:t>
      </w:r>
    </w:p>
    <w:p>
      <w:pPr>
        <w:spacing w:line="480" w:lineRule="auto"/>
        <w:jc w:val="both"/>
        <w:rPr>
          <w:rFonts w:ascii="Times New Roman" w:hAnsi="Times New Roman" w:cs="Times New Roman"/>
          <w:lang w:val="en-GB"/>
        </w:rPr>
      </w:pPr>
      <w:r>
        <w:rPr>
          <w:rFonts w:ascii="Times New Roman" w:hAnsi="Times New Roman" w:eastAsia="Times New Roman" w:cs="Times New Roman"/>
          <w:lang w:val="en-GB"/>
        </w:rPr>
        <w:t>Qualitative data analysis was conducted using NVivo software. The analysis followed a thematic analysis approach, as outlined by Braun and Clarke (2006). This involved</w:t>
      </w:r>
      <w:r>
        <w:rPr>
          <w:rFonts w:ascii="Times New Roman" w:hAnsi="Times New Roman" w:cs="Times New Roman"/>
          <w:lang w:val="en-GB"/>
        </w:rPr>
        <w:t xml:space="preserve"> f</w:t>
      </w:r>
      <w:r>
        <w:rPr>
          <w:rFonts w:ascii="Times New Roman" w:hAnsi="Times New Roman" w:eastAsia="Times New Roman" w:cs="Times New Roman"/>
          <w:lang w:val="en-GB"/>
        </w:rPr>
        <w:t>amiliarization with the data through repeated reading of interview transcripts</w:t>
      </w:r>
      <w:r>
        <w:rPr>
          <w:rFonts w:ascii="Times New Roman" w:hAnsi="Times New Roman" w:cs="Times New Roman"/>
          <w:lang w:val="en-GB"/>
        </w:rPr>
        <w:t>, g</w:t>
      </w:r>
      <w:r>
        <w:rPr>
          <w:rFonts w:ascii="Times New Roman" w:hAnsi="Times New Roman" w:eastAsia="Times New Roman" w:cs="Times New Roman"/>
          <w:lang w:val="en-GB"/>
        </w:rPr>
        <w:t>enerating initial codes</w:t>
      </w:r>
      <w:r>
        <w:rPr>
          <w:rFonts w:ascii="Times New Roman" w:hAnsi="Times New Roman" w:cs="Times New Roman"/>
          <w:lang w:val="en-GB"/>
        </w:rPr>
        <w:t>, s</w:t>
      </w:r>
      <w:r>
        <w:rPr>
          <w:rFonts w:ascii="Times New Roman" w:hAnsi="Times New Roman" w:eastAsia="Times New Roman" w:cs="Times New Roman"/>
          <w:lang w:val="en-GB"/>
        </w:rPr>
        <w:t>earching for themes</w:t>
      </w:r>
      <w:r>
        <w:rPr>
          <w:rFonts w:ascii="Times New Roman" w:hAnsi="Times New Roman" w:cs="Times New Roman"/>
          <w:lang w:val="en-GB"/>
        </w:rPr>
        <w:t xml:space="preserve">, </w:t>
      </w:r>
      <w:r>
        <w:rPr>
          <w:rFonts w:ascii="Times New Roman" w:hAnsi="Times New Roman" w:eastAsia="Times New Roman" w:cs="Times New Roman"/>
          <w:lang w:val="en-GB"/>
        </w:rPr>
        <w:t>defining and naming themes,</w:t>
      </w:r>
      <w:r>
        <w:rPr>
          <w:rFonts w:ascii="Times New Roman" w:hAnsi="Times New Roman" w:cs="Times New Roman"/>
          <w:lang w:val="en-GB"/>
        </w:rPr>
        <w:t xml:space="preserve"> r</w:t>
      </w:r>
      <w:r>
        <w:rPr>
          <w:rFonts w:ascii="Times New Roman" w:hAnsi="Times New Roman" w:eastAsia="Times New Roman" w:cs="Times New Roman"/>
          <w:lang w:val="en-GB"/>
        </w:rPr>
        <w:t xml:space="preserve">eviewing these themes, and </w:t>
      </w:r>
      <w:r>
        <w:rPr>
          <w:rFonts w:ascii="Times New Roman" w:hAnsi="Times New Roman" w:cs="Times New Roman"/>
          <w:lang w:val="en-GB"/>
        </w:rPr>
        <w:t>p</w:t>
      </w:r>
      <w:r>
        <w:rPr>
          <w:rFonts w:ascii="Times New Roman" w:hAnsi="Times New Roman" w:eastAsia="Times New Roman" w:cs="Times New Roman"/>
          <w:lang w:val="en-GB"/>
        </w:rPr>
        <w:t>roducing the report.</w:t>
      </w:r>
      <w:r>
        <w:rPr>
          <w:rFonts w:ascii="Times New Roman" w:hAnsi="Times New Roman" w:cs="Times New Roman"/>
          <w:lang w:val="en-GB"/>
        </w:rPr>
        <w:t xml:space="preserve"> </w:t>
      </w:r>
      <w:r>
        <w:rPr>
          <w:rFonts w:ascii="Times New Roman" w:hAnsi="Times New Roman" w:eastAsia="Times New Roman" w:cs="Times New Roman"/>
          <w:lang w:val="en-GB"/>
        </w:rPr>
        <w:t>The themes identified through this process were used to provide context and depth to the quantitative findings.</w:t>
      </w:r>
    </w:p>
    <w:p>
      <w:pPr>
        <w:spacing w:line="480" w:lineRule="auto"/>
        <w:jc w:val="both"/>
        <w:rPr>
          <w:rFonts w:ascii="Times New Roman" w:hAnsi="Times New Roman" w:cs="Times New Roman"/>
          <w:b/>
          <w:lang w:val="en-GB"/>
        </w:rPr>
      </w:pPr>
      <w:r>
        <w:rPr>
          <w:rFonts w:ascii="Times New Roman" w:hAnsi="Times New Roman" w:eastAsia="Times New Roman" w:cs="Times New Roman"/>
          <w:b/>
          <w:lang w:val="en-GB"/>
        </w:rPr>
        <w:t>3.4 Ethical Considerations</w:t>
      </w:r>
    </w:p>
    <w:p>
      <w:pPr>
        <w:spacing w:line="480" w:lineRule="auto"/>
        <w:jc w:val="both"/>
        <w:rPr>
          <w:rFonts w:ascii="Times New Roman" w:hAnsi="Times New Roman" w:cs="Times New Roman"/>
          <w:lang w:val="en-GB"/>
        </w:rPr>
      </w:pPr>
      <w:r>
        <w:rPr>
          <w:rFonts w:ascii="Times New Roman" w:hAnsi="Times New Roman" w:eastAsia="Times New Roman" w:cs="Times New Roman"/>
          <w:lang w:val="en-GB"/>
        </w:rPr>
        <w:t>Ethical approval for this study was sought from the relevant institutional review board. Key ethical considerations included</w:t>
      </w:r>
      <w:r>
        <w:rPr>
          <w:rFonts w:ascii="Times New Roman" w:hAnsi="Times New Roman" w:cs="Times New Roman"/>
          <w:lang w:val="en-GB"/>
        </w:rPr>
        <w:t xml:space="preserve"> </w:t>
      </w:r>
      <w:r>
        <w:rPr>
          <w:rFonts w:ascii="Times New Roman" w:hAnsi="Times New Roman" w:eastAsia="Times New Roman" w:cs="Times New Roman"/>
          <w:lang w:val="en-GB"/>
        </w:rPr>
        <w:t>informed consent where all participants were provided with detailed information about the study and asked to provide informed consent before participation. Participants were also given the right to withdraw, and they were informed of their right to leave the study at any time without penalty.</w:t>
      </w:r>
      <w:r>
        <w:rPr>
          <w:rFonts w:ascii="Times New Roman" w:hAnsi="Times New Roman" w:cs="Times New Roman"/>
          <w:lang w:val="en-GB"/>
        </w:rPr>
        <w:t xml:space="preserve"> </w:t>
      </w:r>
      <w:r>
        <w:rPr>
          <w:rFonts w:ascii="Times New Roman" w:hAnsi="Times New Roman" w:eastAsia="Times New Roman" w:cs="Times New Roman"/>
          <w:lang w:val="en-GB"/>
        </w:rPr>
        <w:t>Confidentiality and anonymity was additionally taken into account, and participant identities were protected through the use of pseudonyms and the removal of any identifying information from the data.</w:t>
      </w:r>
      <w:r>
        <w:rPr>
          <w:rFonts w:ascii="Times New Roman" w:hAnsi="Times New Roman" w:cs="Times New Roman"/>
          <w:lang w:val="en-GB"/>
        </w:rPr>
        <w:t xml:space="preserve"> With respect to </w:t>
      </w:r>
      <w:r>
        <w:rPr>
          <w:rFonts w:ascii="Times New Roman" w:hAnsi="Times New Roman" w:eastAsia="Times New Roman" w:cs="Times New Roman"/>
          <w:lang w:val="en-GB"/>
        </w:rPr>
        <w:t>data protection, all data was stored securely on password-protected devices and servers.</w:t>
      </w:r>
      <w:r>
        <w:rPr>
          <w:rFonts w:ascii="Times New Roman" w:hAnsi="Times New Roman" w:cs="Times New Roman"/>
          <w:lang w:val="en-GB"/>
        </w:rPr>
        <w:t xml:space="preserve"> </w:t>
      </w:r>
    </w:p>
    <w:p>
      <w:pPr>
        <w:spacing w:line="480" w:lineRule="auto"/>
        <w:jc w:val="both"/>
        <w:rPr>
          <w:rFonts w:ascii="Times New Roman" w:hAnsi="Times New Roman" w:cs="Times New Roman"/>
          <w:b/>
          <w:lang w:val="en-GB"/>
        </w:rPr>
      </w:pPr>
      <w:r>
        <w:rPr>
          <w:rFonts w:ascii="Times New Roman" w:hAnsi="Times New Roman" w:eastAsia="Times New Roman" w:cs="Times New Roman"/>
          <w:b/>
          <w:lang w:val="en-GB"/>
        </w:rPr>
        <w:t>3.5 Validity and Reliability</w:t>
      </w:r>
    </w:p>
    <w:p>
      <w:pPr>
        <w:spacing w:line="480" w:lineRule="auto"/>
        <w:jc w:val="both"/>
        <w:rPr>
          <w:rFonts w:ascii="Times New Roman" w:hAnsi="Times New Roman" w:cs="Times New Roman"/>
          <w:lang w:val="en-GB"/>
        </w:rPr>
      </w:pPr>
      <w:r>
        <w:rPr>
          <w:rFonts w:ascii="Times New Roman" w:hAnsi="Times New Roman" w:eastAsia="Times New Roman" w:cs="Times New Roman"/>
          <w:lang w:val="en-GB"/>
        </w:rPr>
        <w:t>To ensure the validity and reliability of our findings, several strategies were employed:</w:t>
      </w:r>
    </w:p>
    <w:p>
      <w:pPr>
        <w:pStyle w:val="36"/>
        <w:numPr>
          <w:ilvl w:val="0"/>
          <w:numId w:val="5"/>
        </w:numPr>
        <w:spacing w:line="480" w:lineRule="auto"/>
        <w:jc w:val="both"/>
        <w:rPr>
          <w:rFonts w:ascii="Times New Roman" w:hAnsi="Times New Roman" w:cs="Times New Roman"/>
          <w:lang w:val="en-GB"/>
        </w:rPr>
      </w:pPr>
      <w:r>
        <w:rPr>
          <w:rFonts w:ascii="Times New Roman" w:hAnsi="Times New Roman" w:eastAsia="Times New Roman" w:cs="Times New Roman"/>
          <w:lang w:val="en-GB"/>
        </w:rPr>
        <w:t>Triangulation: By using both quantitative and qualitative methods, cross-verification of findings was possible and the potential to gain a more comprehensive understanding of the phenomena under study.</w:t>
      </w:r>
    </w:p>
    <w:p>
      <w:pPr>
        <w:pStyle w:val="36"/>
        <w:numPr>
          <w:ilvl w:val="0"/>
          <w:numId w:val="5"/>
        </w:numPr>
        <w:spacing w:line="480" w:lineRule="auto"/>
        <w:jc w:val="both"/>
        <w:rPr>
          <w:rFonts w:ascii="Times New Roman" w:hAnsi="Times New Roman" w:cs="Times New Roman"/>
          <w:lang w:val="en-GB"/>
        </w:rPr>
      </w:pPr>
      <w:r>
        <w:rPr>
          <w:rFonts w:ascii="Times New Roman" w:hAnsi="Times New Roman" w:eastAsia="Times New Roman" w:cs="Times New Roman"/>
          <w:lang w:val="en-GB"/>
        </w:rPr>
        <w:t>Member checking: For the qualitative phase, the researcher’s interpretations were shared with participants to ensure the accurate capturing of their perspectives.</w:t>
      </w:r>
    </w:p>
    <w:p>
      <w:pPr>
        <w:pStyle w:val="36"/>
        <w:numPr>
          <w:ilvl w:val="0"/>
          <w:numId w:val="5"/>
        </w:numPr>
        <w:spacing w:line="480" w:lineRule="auto"/>
        <w:jc w:val="both"/>
        <w:rPr>
          <w:rFonts w:ascii="Times New Roman" w:hAnsi="Times New Roman" w:cs="Times New Roman"/>
          <w:lang w:val="en-GB"/>
        </w:rPr>
      </w:pPr>
      <w:r>
        <w:rPr>
          <w:rFonts w:ascii="Times New Roman" w:hAnsi="Times New Roman" w:eastAsia="Times New Roman" w:cs="Times New Roman"/>
          <w:lang w:val="en-GB"/>
        </w:rPr>
        <w:t>Peer debriefing: the researcher engaged in regular discussions with colleagues not involved in the study to challenge any biases and assumptions.</w:t>
      </w:r>
    </w:p>
    <w:p>
      <w:pPr>
        <w:pStyle w:val="36"/>
        <w:numPr>
          <w:ilvl w:val="0"/>
          <w:numId w:val="5"/>
        </w:numPr>
        <w:spacing w:line="480" w:lineRule="auto"/>
        <w:jc w:val="both"/>
        <w:rPr>
          <w:rFonts w:ascii="Times New Roman" w:hAnsi="Times New Roman" w:cs="Times New Roman"/>
          <w:lang w:val="en-GB"/>
        </w:rPr>
      </w:pPr>
      <w:r>
        <w:rPr>
          <w:rFonts w:ascii="Times New Roman" w:hAnsi="Times New Roman" w:eastAsia="Times New Roman" w:cs="Times New Roman"/>
          <w:lang w:val="en-GB"/>
        </w:rPr>
        <w:t>Use of validated scales: For the quantitative survey, scales that have been validated in previous research were used.</w:t>
      </w:r>
    </w:p>
    <w:p>
      <w:pPr>
        <w:pStyle w:val="36"/>
        <w:numPr>
          <w:ilvl w:val="0"/>
          <w:numId w:val="5"/>
        </w:numPr>
        <w:spacing w:line="480" w:lineRule="auto"/>
        <w:jc w:val="both"/>
        <w:rPr>
          <w:rFonts w:ascii="Times New Roman" w:hAnsi="Times New Roman" w:cs="Times New Roman"/>
          <w:lang w:val="en-GB"/>
        </w:rPr>
      </w:pPr>
      <w:r>
        <w:rPr>
          <w:rFonts w:ascii="Times New Roman" w:hAnsi="Times New Roman" w:eastAsia="Times New Roman" w:cs="Times New Roman"/>
          <w:lang w:val="en-GB"/>
        </w:rPr>
        <w:t>Pilot testing: Both the survey and interview guide were pilot tested with a small group of participants to ensure clarity and effectiveness.</w:t>
      </w:r>
    </w:p>
    <w:p>
      <w:pPr>
        <w:spacing w:line="480" w:lineRule="auto"/>
        <w:jc w:val="both"/>
        <w:rPr>
          <w:rFonts w:ascii="Times New Roman" w:hAnsi="Times New Roman" w:cs="Times New Roman"/>
          <w:b/>
          <w:lang w:val="en-GB"/>
        </w:rPr>
      </w:pPr>
      <w:r>
        <w:rPr>
          <w:rFonts w:ascii="Times New Roman" w:hAnsi="Times New Roman" w:eastAsia="Times New Roman" w:cs="Times New Roman"/>
          <w:b/>
          <w:lang w:val="en-GB"/>
        </w:rPr>
        <w:t>3.6 Limitations</w:t>
      </w:r>
    </w:p>
    <w:p>
      <w:pPr>
        <w:spacing w:line="480" w:lineRule="auto"/>
        <w:jc w:val="both"/>
        <w:rPr>
          <w:rFonts w:ascii="Times New Roman" w:hAnsi="Times New Roman" w:cs="Times New Roman"/>
          <w:lang w:val="en-GB"/>
        </w:rPr>
      </w:pPr>
      <w:r>
        <w:rPr>
          <w:rFonts w:ascii="Times New Roman" w:hAnsi="Times New Roman" w:eastAsia="Times New Roman" w:cs="Times New Roman"/>
          <w:lang w:val="en-GB"/>
        </w:rPr>
        <w:t xml:space="preserve">Self-report bias was major limitation. As with all self-report measures, there is a risk of bias in participants' responses. Furthermore, the </w:t>
      </w:r>
      <w:r>
        <w:rPr>
          <w:rFonts w:ascii="Times New Roman" w:hAnsi="Times New Roman" w:cs="Times New Roman"/>
          <w:lang w:val="en-GB"/>
        </w:rPr>
        <w:t>c</w:t>
      </w:r>
      <w:r>
        <w:rPr>
          <w:rFonts w:ascii="Times New Roman" w:hAnsi="Times New Roman" w:eastAsia="Times New Roman" w:cs="Times New Roman"/>
          <w:lang w:val="en-GB"/>
        </w:rPr>
        <w:t>ross-sectional design proved to be a challenge. The study only provided a snapshot of remote work challenges at a specific point in time and was not able to adequately capture long-term trends or changes.</w:t>
      </w:r>
      <w:r>
        <w:rPr>
          <w:rFonts w:ascii="Times New Roman" w:hAnsi="Times New Roman" w:cs="Times New Roman"/>
          <w:lang w:val="en-GB"/>
        </w:rPr>
        <w:t xml:space="preserve"> </w:t>
      </w:r>
      <w:r>
        <w:rPr>
          <w:rFonts w:ascii="Times New Roman" w:hAnsi="Times New Roman" w:eastAsia="Times New Roman" w:cs="Times New Roman"/>
          <w:lang w:val="en-GB"/>
        </w:rPr>
        <w:t>Generalizability was another limitation as well. While the study aimed for a diverse sample, the experiences captured cannot be fully representative of all remote workers.</w:t>
      </w:r>
      <w:r>
        <w:rPr>
          <w:rFonts w:ascii="Times New Roman" w:hAnsi="Times New Roman" w:cs="Times New Roman"/>
          <w:lang w:val="en-GB"/>
        </w:rPr>
        <w:t xml:space="preserve"> Finally, the study experienced some </w:t>
      </w:r>
      <w:r>
        <w:rPr>
          <w:rFonts w:ascii="Times New Roman" w:hAnsi="Times New Roman" w:eastAsia="Times New Roman" w:cs="Times New Roman"/>
          <w:lang w:val="en-GB"/>
        </w:rPr>
        <w:t>technological limitations. The reliance on online surveys and virtual interviews may have excluded participants who have limited Internet access or technological skills.</w:t>
      </w:r>
    </w:p>
    <w:p>
      <w:pPr>
        <w:spacing w:line="480" w:lineRule="auto"/>
        <w:jc w:val="both"/>
        <w:rPr>
          <w:rFonts w:ascii="Times New Roman" w:hAnsi="Times New Roman" w:eastAsia="Times New Roman" w:cs="Times New Roman"/>
          <w:b/>
          <w:bCs/>
          <w:lang w:val="en-GB"/>
        </w:rPr>
      </w:pPr>
      <w:r>
        <w:rPr>
          <w:rFonts w:ascii="Times New Roman" w:hAnsi="Times New Roman" w:eastAsia="Times New Roman" w:cs="Times New Roman"/>
          <w:b/>
          <w:bCs/>
          <w:lang w:val="en-GB"/>
        </w:rPr>
        <w:t>4. DATA ANALYSIS</w:t>
      </w:r>
    </w:p>
    <w:p>
      <w:pPr>
        <w:spacing w:before="240" w:after="240"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This section presents the results of the data analysis conducted using SPSS to explore the relationship between remote work and employee job satisfaction. The analysis includes descriptive statistics, correlation analysis, and regression analysis to test the hypotheses derived from the literature review.</w:t>
      </w:r>
    </w:p>
    <w:p>
      <w:pPr>
        <w:pStyle w:val="5"/>
        <w:spacing w:before="319" w:after="319" w:line="480" w:lineRule="auto"/>
        <w:jc w:val="both"/>
        <w:rPr>
          <w:rFonts w:ascii="Times New Roman" w:hAnsi="Times New Roman" w:eastAsia="Times New Roman" w:cs="Times New Roman"/>
          <w:b/>
          <w:i w:val="0"/>
          <w:iCs w:val="0"/>
          <w:color w:val="auto"/>
          <w:lang w:val="en-GB"/>
        </w:rPr>
      </w:pPr>
      <w:r>
        <w:rPr>
          <w:rFonts w:ascii="Times New Roman" w:hAnsi="Times New Roman" w:eastAsia="Times New Roman" w:cs="Times New Roman"/>
          <w:b/>
          <w:i w:val="0"/>
          <w:iCs w:val="0"/>
          <w:color w:val="auto"/>
          <w:lang w:val="en-GB"/>
        </w:rPr>
        <w:t xml:space="preserve">4.1 </w:t>
      </w:r>
      <w:r>
        <w:rPr>
          <w:rFonts w:ascii="Times New Roman" w:hAnsi="Times New Roman" w:eastAsia="Times New Roman" w:cs="Times New Roman"/>
          <w:b/>
          <w:i w:val="0"/>
          <w:iCs w:val="0"/>
          <w:color w:val="auto"/>
          <w:lang w:val="en-GB"/>
        </w:rPr>
        <w:t>Descriptive Statistics</w:t>
      </w:r>
    </w:p>
    <w:p>
      <w:pPr>
        <w:spacing w:before="240" w:after="240"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First, descriptive statistics were generated to provide an overview of the data, including the means, standard deviations, and distribution of key variables.</w:t>
      </w:r>
    </w:p>
    <w:p>
      <w:pPr>
        <w:spacing w:before="240" w:after="240"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Table 1: Descriptive Statistics for Key Variables</w:t>
      </w:r>
    </w:p>
    <w:tbl>
      <w:tblPr>
        <w:tblStyle w:val="18"/>
        <w:tblW w:w="0" w:type="auto"/>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3656"/>
        <w:gridCol w:w="887"/>
        <w:gridCol w:w="2307"/>
        <w:gridCol w:w="660"/>
      </w:tblGrid>
      <w:tr>
        <w:tblPrEx>
          <w:tblLayout w:type="fixed"/>
        </w:tblPrEx>
        <w:trPr>
          <w:trHeight w:val="300" w:hRule="atLeast"/>
        </w:trPr>
        <w:tc>
          <w:tcPr>
            <w:tcW w:w="3656" w:type="dxa"/>
          </w:tcPr>
          <w:p>
            <w:pPr>
              <w:spacing w:after="0" w:line="480" w:lineRule="auto"/>
              <w:jc w:val="both"/>
              <w:rPr>
                <w:rFonts w:ascii="Times New Roman" w:hAnsi="Times New Roman" w:cs="Times New Roman"/>
                <w:lang w:val="en-GB"/>
              </w:rPr>
            </w:pPr>
            <w:r>
              <w:rPr>
                <w:rFonts w:ascii="Times New Roman" w:hAnsi="Times New Roman" w:cs="Times New Roman"/>
                <w:b/>
                <w:bCs/>
                <w:lang w:val="en-GB"/>
              </w:rPr>
              <w:t>Variable</w:t>
            </w:r>
          </w:p>
        </w:tc>
        <w:tc>
          <w:tcPr>
            <w:tcW w:w="887" w:type="dxa"/>
          </w:tcPr>
          <w:p>
            <w:pPr>
              <w:spacing w:after="0" w:line="480" w:lineRule="auto"/>
              <w:jc w:val="both"/>
              <w:rPr>
                <w:rFonts w:ascii="Times New Roman" w:hAnsi="Times New Roman" w:cs="Times New Roman"/>
                <w:lang w:val="en-GB"/>
              </w:rPr>
            </w:pPr>
            <w:r>
              <w:rPr>
                <w:rFonts w:ascii="Times New Roman" w:hAnsi="Times New Roman" w:cs="Times New Roman"/>
                <w:b/>
                <w:bCs/>
                <w:lang w:val="en-GB"/>
              </w:rPr>
              <w:t>Mean</w:t>
            </w:r>
          </w:p>
        </w:tc>
        <w:tc>
          <w:tcPr>
            <w:tcW w:w="2307" w:type="dxa"/>
          </w:tcPr>
          <w:p>
            <w:pPr>
              <w:spacing w:after="0" w:line="480" w:lineRule="auto"/>
              <w:jc w:val="both"/>
              <w:rPr>
                <w:rFonts w:ascii="Times New Roman" w:hAnsi="Times New Roman" w:cs="Times New Roman"/>
                <w:lang w:val="en-GB"/>
              </w:rPr>
            </w:pPr>
            <w:r>
              <w:rPr>
                <w:rFonts w:ascii="Times New Roman" w:hAnsi="Times New Roman" w:cs="Times New Roman"/>
                <w:b/>
                <w:bCs/>
                <w:lang w:val="en-GB"/>
              </w:rPr>
              <w:t>Standard Deviation</w:t>
            </w:r>
          </w:p>
        </w:tc>
        <w:tc>
          <w:tcPr>
            <w:tcW w:w="660" w:type="dxa"/>
          </w:tcPr>
          <w:p>
            <w:pPr>
              <w:spacing w:after="0" w:line="480" w:lineRule="auto"/>
              <w:jc w:val="both"/>
              <w:rPr>
                <w:rFonts w:ascii="Times New Roman" w:hAnsi="Times New Roman" w:cs="Times New Roman"/>
                <w:lang w:val="en-GB"/>
              </w:rPr>
            </w:pPr>
            <w:r>
              <w:rPr>
                <w:rFonts w:ascii="Times New Roman" w:hAnsi="Times New Roman" w:cs="Times New Roman"/>
                <w:b/>
                <w:bCs/>
                <w:lang w:val="en-GB"/>
              </w:rPr>
              <w:t>N</w:t>
            </w:r>
          </w:p>
        </w:tc>
      </w:tr>
      <w:tr>
        <w:tblPrEx>
          <w:tblLayout w:type="fixed"/>
        </w:tblPrEx>
        <w:trPr>
          <w:trHeight w:val="300" w:hRule="atLeast"/>
        </w:trPr>
        <w:tc>
          <w:tcPr>
            <w:tcW w:w="3656" w:type="dxa"/>
          </w:tcPr>
          <w:p>
            <w:pPr>
              <w:spacing w:after="0" w:line="480" w:lineRule="auto"/>
              <w:jc w:val="both"/>
              <w:rPr>
                <w:rFonts w:ascii="Times New Roman" w:hAnsi="Times New Roman" w:cs="Times New Roman"/>
                <w:lang w:val="en-GB"/>
              </w:rPr>
            </w:pPr>
            <w:r>
              <w:rPr>
                <w:rFonts w:ascii="Times New Roman" w:hAnsi="Times New Roman" w:cs="Times New Roman"/>
                <w:lang w:val="en-GB"/>
              </w:rPr>
              <w:t>Job Satisfaction (1-5 scale)</w:t>
            </w:r>
          </w:p>
        </w:tc>
        <w:tc>
          <w:tcPr>
            <w:tcW w:w="88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4.12</w:t>
            </w:r>
          </w:p>
        </w:tc>
        <w:tc>
          <w:tcPr>
            <w:tcW w:w="230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0.85</w:t>
            </w:r>
          </w:p>
        </w:tc>
        <w:tc>
          <w:tcPr>
            <w:tcW w:w="660" w:type="dxa"/>
          </w:tcPr>
          <w:p>
            <w:pPr>
              <w:spacing w:after="0" w:line="480" w:lineRule="auto"/>
              <w:jc w:val="both"/>
              <w:rPr>
                <w:rFonts w:ascii="Times New Roman" w:hAnsi="Times New Roman" w:cs="Times New Roman"/>
                <w:lang w:val="en-GB"/>
              </w:rPr>
            </w:pPr>
            <w:r>
              <w:rPr>
                <w:rFonts w:ascii="Times New Roman" w:hAnsi="Times New Roman" w:cs="Times New Roman"/>
                <w:lang w:val="en-GB"/>
              </w:rPr>
              <w:t>200</w:t>
            </w:r>
          </w:p>
        </w:tc>
      </w:tr>
      <w:tr>
        <w:tblPrEx>
          <w:tblLayout w:type="fixed"/>
        </w:tblPrEx>
        <w:trPr>
          <w:trHeight w:val="300" w:hRule="atLeast"/>
        </w:trPr>
        <w:tc>
          <w:tcPr>
            <w:tcW w:w="3656" w:type="dxa"/>
          </w:tcPr>
          <w:p>
            <w:pPr>
              <w:spacing w:after="0" w:line="480" w:lineRule="auto"/>
              <w:jc w:val="both"/>
              <w:rPr>
                <w:rFonts w:ascii="Times New Roman" w:hAnsi="Times New Roman" w:cs="Times New Roman"/>
                <w:lang w:val="en-GB"/>
              </w:rPr>
            </w:pPr>
            <w:r>
              <w:rPr>
                <w:rFonts w:ascii="Times New Roman" w:hAnsi="Times New Roman" w:cs="Times New Roman"/>
                <w:lang w:val="en-GB"/>
              </w:rPr>
              <w:t>Work Flexibility (Hours per Week)</w:t>
            </w:r>
          </w:p>
        </w:tc>
        <w:tc>
          <w:tcPr>
            <w:tcW w:w="88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20.5</w:t>
            </w:r>
          </w:p>
        </w:tc>
        <w:tc>
          <w:tcPr>
            <w:tcW w:w="230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7.3</w:t>
            </w:r>
          </w:p>
        </w:tc>
        <w:tc>
          <w:tcPr>
            <w:tcW w:w="660" w:type="dxa"/>
          </w:tcPr>
          <w:p>
            <w:pPr>
              <w:spacing w:after="0" w:line="480" w:lineRule="auto"/>
              <w:jc w:val="both"/>
              <w:rPr>
                <w:rFonts w:ascii="Times New Roman" w:hAnsi="Times New Roman" w:cs="Times New Roman"/>
                <w:lang w:val="en-GB"/>
              </w:rPr>
            </w:pPr>
            <w:r>
              <w:rPr>
                <w:rFonts w:ascii="Times New Roman" w:hAnsi="Times New Roman" w:cs="Times New Roman"/>
                <w:lang w:val="en-GB"/>
              </w:rPr>
              <w:t>200</w:t>
            </w:r>
          </w:p>
        </w:tc>
      </w:tr>
      <w:tr>
        <w:tblPrEx>
          <w:tblLayout w:type="fixed"/>
        </w:tblPrEx>
        <w:trPr>
          <w:trHeight w:val="300" w:hRule="atLeast"/>
        </w:trPr>
        <w:tc>
          <w:tcPr>
            <w:tcW w:w="3656" w:type="dxa"/>
          </w:tcPr>
          <w:p>
            <w:pPr>
              <w:spacing w:after="0" w:line="480" w:lineRule="auto"/>
              <w:jc w:val="both"/>
              <w:rPr>
                <w:rFonts w:ascii="Times New Roman" w:hAnsi="Times New Roman" w:cs="Times New Roman"/>
                <w:lang w:val="en-GB"/>
              </w:rPr>
            </w:pPr>
            <w:r>
              <w:rPr>
                <w:rFonts w:ascii="Times New Roman" w:hAnsi="Times New Roman" w:cs="Times New Roman"/>
                <w:lang w:val="en-GB"/>
              </w:rPr>
              <w:t>Technological Support (1-5 scale)</w:t>
            </w:r>
          </w:p>
        </w:tc>
        <w:tc>
          <w:tcPr>
            <w:tcW w:w="88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3.8</w:t>
            </w:r>
          </w:p>
        </w:tc>
        <w:tc>
          <w:tcPr>
            <w:tcW w:w="230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0.75</w:t>
            </w:r>
          </w:p>
        </w:tc>
        <w:tc>
          <w:tcPr>
            <w:tcW w:w="660" w:type="dxa"/>
          </w:tcPr>
          <w:p>
            <w:pPr>
              <w:spacing w:after="0" w:line="480" w:lineRule="auto"/>
              <w:jc w:val="both"/>
              <w:rPr>
                <w:rFonts w:ascii="Times New Roman" w:hAnsi="Times New Roman" w:cs="Times New Roman"/>
                <w:lang w:val="en-GB"/>
              </w:rPr>
            </w:pPr>
            <w:r>
              <w:rPr>
                <w:rFonts w:ascii="Times New Roman" w:hAnsi="Times New Roman" w:cs="Times New Roman"/>
                <w:lang w:val="en-GB"/>
              </w:rPr>
              <w:t>200</w:t>
            </w:r>
          </w:p>
        </w:tc>
      </w:tr>
      <w:tr>
        <w:tblPrEx>
          <w:tblLayout w:type="fixed"/>
        </w:tblPrEx>
        <w:trPr>
          <w:trHeight w:val="300" w:hRule="atLeast"/>
        </w:trPr>
        <w:tc>
          <w:tcPr>
            <w:tcW w:w="3656" w:type="dxa"/>
          </w:tcPr>
          <w:p>
            <w:pPr>
              <w:spacing w:after="0" w:line="480" w:lineRule="auto"/>
              <w:jc w:val="both"/>
              <w:rPr>
                <w:rFonts w:ascii="Times New Roman" w:hAnsi="Times New Roman" w:cs="Times New Roman"/>
                <w:lang w:val="en-GB"/>
              </w:rPr>
            </w:pPr>
            <w:r>
              <w:rPr>
                <w:rFonts w:ascii="Times New Roman" w:hAnsi="Times New Roman" w:cs="Times New Roman"/>
                <w:lang w:val="en-GB"/>
              </w:rPr>
              <w:t>HR Practices (1-5 scale)</w:t>
            </w:r>
          </w:p>
        </w:tc>
        <w:tc>
          <w:tcPr>
            <w:tcW w:w="88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3.9</w:t>
            </w:r>
          </w:p>
        </w:tc>
        <w:tc>
          <w:tcPr>
            <w:tcW w:w="230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0.80</w:t>
            </w:r>
          </w:p>
        </w:tc>
        <w:tc>
          <w:tcPr>
            <w:tcW w:w="660" w:type="dxa"/>
          </w:tcPr>
          <w:p>
            <w:pPr>
              <w:spacing w:after="0" w:line="480" w:lineRule="auto"/>
              <w:jc w:val="both"/>
              <w:rPr>
                <w:rFonts w:ascii="Times New Roman" w:hAnsi="Times New Roman" w:cs="Times New Roman"/>
                <w:lang w:val="en-GB"/>
              </w:rPr>
            </w:pPr>
            <w:r>
              <w:rPr>
                <w:rFonts w:ascii="Times New Roman" w:hAnsi="Times New Roman" w:cs="Times New Roman"/>
                <w:lang w:val="en-GB"/>
              </w:rPr>
              <w:t>200</w:t>
            </w:r>
          </w:p>
        </w:tc>
      </w:tr>
    </w:tbl>
    <w:p>
      <w:pPr>
        <w:pStyle w:val="37"/>
        <w:rPr>
          <w:rFonts w:ascii="Times New Roman" w:hAnsi="Times New Roman" w:cs="Times New Roman"/>
          <w:lang w:val="en-GB"/>
        </w:rPr>
      </w:pPr>
    </w:p>
    <w:p>
      <w:pPr>
        <w:pStyle w:val="36"/>
        <w:numPr>
          <w:ilvl w:val="0"/>
          <w:numId w:val="6"/>
        </w:numPr>
        <w:spacing w:after="0" w:line="480" w:lineRule="auto"/>
        <w:jc w:val="both"/>
        <w:rPr>
          <w:rFonts w:ascii="Times New Roman" w:hAnsi="Times New Roman" w:eastAsia="Times New Roman" w:cs="Times New Roman"/>
          <w:lang w:val="en-GB"/>
        </w:rPr>
      </w:pPr>
      <w:r>
        <w:rPr>
          <w:rFonts w:ascii="Times New Roman" w:hAnsi="Times New Roman" w:eastAsia="Times New Roman" w:cs="Times New Roman"/>
          <w:b/>
          <w:bCs/>
          <w:lang w:val="en-GB"/>
        </w:rPr>
        <w:t>Job Satisfaction</w:t>
      </w:r>
      <w:r>
        <w:rPr>
          <w:rFonts w:ascii="Times New Roman" w:hAnsi="Times New Roman" w:eastAsia="Times New Roman" w:cs="Times New Roman"/>
          <w:lang w:val="en-GB"/>
        </w:rPr>
        <w:t>: The mean job satisfaction score is 4.12, indicating generally high satisfaction among remote workers.</w:t>
      </w:r>
    </w:p>
    <w:p>
      <w:pPr>
        <w:pStyle w:val="36"/>
        <w:numPr>
          <w:ilvl w:val="0"/>
          <w:numId w:val="6"/>
        </w:numPr>
        <w:spacing w:after="0" w:line="480" w:lineRule="auto"/>
        <w:jc w:val="both"/>
        <w:rPr>
          <w:rFonts w:ascii="Times New Roman" w:hAnsi="Times New Roman" w:eastAsia="Times New Roman" w:cs="Times New Roman"/>
          <w:lang w:val="en-GB"/>
        </w:rPr>
      </w:pPr>
      <w:r>
        <w:rPr>
          <w:rFonts w:ascii="Times New Roman" w:hAnsi="Times New Roman" w:eastAsia="Times New Roman" w:cs="Times New Roman"/>
          <w:b/>
          <w:bCs/>
          <w:lang w:val="en-GB"/>
        </w:rPr>
        <w:t>Work Flexibility</w:t>
      </w:r>
      <w:r>
        <w:rPr>
          <w:rFonts w:ascii="Times New Roman" w:hAnsi="Times New Roman" w:eastAsia="Times New Roman" w:cs="Times New Roman"/>
          <w:lang w:val="en-GB"/>
        </w:rPr>
        <w:t>: Employees reported an average of 20.5 flexible work hours per week.</w:t>
      </w:r>
    </w:p>
    <w:p>
      <w:pPr>
        <w:pStyle w:val="36"/>
        <w:numPr>
          <w:ilvl w:val="0"/>
          <w:numId w:val="6"/>
        </w:numPr>
        <w:spacing w:after="0" w:line="480" w:lineRule="auto"/>
        <w:jc w:val="both"/>
        <w:rPr>
          <w:rFonts w:ascii="Times New Roman" w:hAnsi="Times New Roman" w:eastAsia="Times New Roman" w:cs="Times New Roman"/>
          <w:lang w:val="en-GB"/>
        </w:rPr>
      </w:pPr>
      <w:r>
        <w:rPr>
          <w:rFonts w:ascii="Times New Roman" w:hAnsi="Times New Roman" w:eastAsia="Times New Roman" w:cs="Times New Roman"/>
          <w:b/>
          <w:bCs/>
          <w:lang w:val="en-GB"/>
        </w:rPr>
        <w:t>Technological Support</w:t>
      </w:r>
      <w:r>
        <w:rPr>
          <w:rFonts w:ascii="Times New Roman" w:hAnsi="Times New Roman" w:eastAsia="Times New Roman" w:cs="Times New Roman"/>
          <w:lang w:val="en-GB"/>
        </w:rPr>
        <w:t>: The average technological support score is 3.8, reflecting moderate satisfaction with digital tools and support.</w:t>
      </w:r>
    </w:p>
    <w:p>
      <w:pPr>
        <w:pStyle w:val="36"/>
        <w:numPr>
          <w:ilvl w:val="0"/>
          <w:numId w:val="6"/>
        </w:numPr>
        <w:spacing w:after="0" w:line="480" w:lineRule="auto"/>
        <w:jc w:val="both"/>
        <w:rPr>
          <w:rFonts w:ascii="Times New Roman" w:hAnsi="Times New Roman" w:eastAsia="Times New Roman" w:cs="Times New Roman"/>
          <w:lang w:val="en-GB"/>
        </w:rPr>
      </w:pPr>
      <w:r>
        <w:rPr>
          <w:rFonts w:ascii="Times New Roman" w:hAnsi="Times New Roman" w:eastAsia="Times New Roman" w:cs="Times New Roman"/>
          <w:b/>
          <w:bCs/>
          <w:lang w:val="en-GB"/>
        </w:rPr>
        <w:t>HR Practices</w:t>
      </w:r>
      <w:r>
        <w:rPr>
          <w:rFonts w:ascii="Times New Roman" w:hAnsi="Times New Roman" w:eastAsia="Times New Roman" w:cs="Times New Roman"/>
          <w:lang w:val="en-GB"/>
        </w:rPr>
        <w:t>: The average score for HR practices is 3.9, suggesting that sustainable HR practices is perceived positively.</w:t>
      </w:r>
    </w:p>
    <w:p>
      <w:pPr>
        <w:pStyle w:val="5"/>
        <w:spacing w:before="319" w:after="319" w:line="480" w:lineRule="auto"/>
        <w:jc w:val="both"/>
        <w:rPr>
          <w:rFonts w:ascii="Times New Roman" w:hAnsi="Times New Roman" w:eastAsia="Times New Roman" w:cs="Times New Roman"/>
          <w:b/>
          <w:i w:val="0"/>
          <w:iCs w:val="0"/>
          <w:color w:val="auto"/>
          <w:lang w:val="en-GB"/>
        </w:rPr>
      </w:pPr>
      <w:r>
        <w:rPr>
          <w:rFonts w:ascii="Times New Roman" w:hAnsi="Times New Roman" w:eastAsia="Times New Roman" w:cs="Times New Roman"/>
          <w:b/>
          <w:i w:val="0"/>
          <w:iCs w:val="0"/>
          <w:color w:val="auto"/>
          <w:lang w:val="en-GB"/>
        </w:rPr>
        <w:t xml:space="preserve">4.2 </w:t>
      </w:r>
      <w:r>
        <w:rPr>
          <w:rFonts w:ascii="Times New Roman" w:hAnsi="Times New Roman" w:eastAsia="Times New Roman" w:cs="Times New Roman"/>
          <w:b/>
          <w:i w:val="0"/>
          <w:iCs w:val="0"/>
          <w:color w:val="auto"/>
          <w:lang w:val="en-GB"/>
        </w:rPr>
        <w:t>Correlation Analysis</w:t>
      </w:r>
    </w:p>
    <w:p>
      <w:pPr>
        <w:spacing w:before="240" w:after="240"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Pearson correlation coefficients were computed to examine the relationships between job satisfaction, work flexibility, technological support, and HR practices.</w:t>
      </w:r>
    </w:p>
    <w:p>
      <w:pPr>
        <w:spacing w:before="240" w:after="240" w:line="480" w:lineRule="auto"/>
        <w:jc w:val="both"/>
        <w:rPr>
          <w:rFonts w:ascii="Times New Roman" w:hAnsi="Times New Roman" w:cs="Times New Roman"/>
          <w:lang w:val="en-GB"/>
        </w:rPr>
      </w:pPr>
      <w:r>
        <w:rPr>
          <w:rFonts w:ascii="Times New Roman" w:hAnsi="Times New Roman" w:eastAsia="Times New Roman" w:cs="Times New Roman"/>
          <w:b/>
          <w:bCs/>
          <w:lang w:val="en-GB"/>
        </w:rPr>
        <w:t>Table 2: Correlation Matrix</w:t>
      </w:r>
    </w:p>
    <w:tbl>
      <w:tblPr>
        <w:tblStyle w:val="18"/>
        <w:tblW w:w="0" w:type="auto"/>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2176"/>
        <w:gridCol w:w="1634"/>
        <w:gridCol w:w="1687"/>
        <w:gridCol w:w="2305"/>
        <w:gridCol w:w="1353"/>
      </w:tblGrid>
      <w:tr>
        <w:tblPrEx>
          <w:tblLayout w:type="fixed"/>
        </w:tblPrEx>
        <w:trPr>
          <w:trHeight w:val="300" w:hRule="atLeast"/>
        </w:trPr>
        <w:tc>
          <w:tcPr>
            <w:tcW w:w="2176" w:type="dxa"/>
          </w:tcPr>
          <w:p>
            <w:pPr>
              <w:spacing w:after="0" w:line="480" w:lineRule="auto"/>
              <w:jc w:val="both"/>
              <w:rPr>
                <w:rFonts w:ascii="Times New Roman" w:hAnsi="Times New Roman" w:cs="Times New Roman"/>
                <w:lang w:val="en-GB"/>
              </w:rPr>
            </w:pPr>
            <w:r>
              <w:rPr>
                <w:rFonts w:ascii="Times New Roman" w:hAnsi="Times New Roman" w:cs="Times New Roman"/>
                <w:b/>
                <w:bCs/>
                <w:lang w:val="en-GB"/>
              </w:rPr>
              <w:t>Variables</w:t>
            </w:r>
          </w:p>
        </w:tc>
        <w:tc>
          <w:tcPr>
            <w:tcW w:w="1634" w:type="dxa"/>
          </w:tcPr>
          <w:p>
            <w:pPr>
              <w:spacing w:after="0" w:line="480" w:lineRule="auto"/>
              <w:jc w:val="both"/>
              <w:rPr>
                <w:rFonts w:ascii="Times New Roman" w:hAnsi="Times New Roman" w:cs="Times New Roman"/>
                <w:lang w:val="en-GB"/>
              </w:rPr>
            </w:pPr>
            <w:r>
              <w:rPr>
                <w:rFonts w:ascii="Times New Roman" w:hAnsi="Times New Roman" w:cs="Times New Roman"/>
                <w:b/>
                <w:bCs/>
                <w:lang w:val="en-GB"/>
              </w:rPr>
              <w:t>Job Satisfaction</w:t>
            </w:r>
          </w:p>
        </w:tc>
        <w:tc>
          <w:tcPr>
            <w:tcW w:w="1687" w:type="dxa"/>
          </w:tcPr>
          <w:p>
            <w:pPr>
              <w:spacing w:after="0" w:line="480" w:lineRule="auto"/>
              <w:jc w:val="both"/>
              <w:rPr>
                <w:rFonts w:ascii="Times New Roman" w:hAnsi="Times New Roman" w:cs="Times New Roman"/>
                <w:lang w:val="en-GB"/>
              </w:rPr>
            </w:pPr>
            <w:r>
              <w:rPr>
                <w:rFonts w:ascii="Times New Roman" w:hAnsi="Times New Roman" w:cs="Times New Roman"/>
                <w:b/>
                <w:bCs/>
                <w:lang w:val="en-GB"/>
              </w:rPr>
              <w:t>Work Flexibility</w:t>
            </w:r>
          </w:p>
        </w:tc>
        <w:tc>
          <w:tcPr>
            <w:tcW w:w="2305" w:type="dxa"/>
          </w:tcPr>
          <w:p>
            <w:pPr>
              <w:spacing w:after="0" w:line="480" w:lineRule="auto"/>
              <w:jc w:val="both"/>
              <w:rPr>
                <w:rFonts w:ascii="Times New Roman" w:hAnsi="Times New Roman" w:cs="Times New Roman"/>
                <w:lang w:val="en-GB"/>
              </w:rPr>
            </w:pPr>
            <w:r>
              <w:rPr>
                <w:rFonts w:ascii="Times New Roman" w:hAnsi="Times New Roman" w:cs="Times New Roman"/>
                <w:b/>
                <w:bCs/>
                <w:lang w:val="en-GB"/>
              </w:rPr>
              <w:t>Technological Support</w:t>
            </w:r>
          </w:p>
        </w:tc>
        <w:tc>
          <w:tcPr>
            <w:tcW w:w="1353" w:type="dxa"/>
          </w:tcPr>
          <w:p>
            <w:pPr>
              <w:spacing w:after="0" w:line="480" w:lineRule="auto"/>
              <w:jc w:val="both"/>
              <w:rPr>
                <w:rFonts w:ascii="Times New Roman" w:hAnsi="Times New Roman" w:cs="Times New Roman"/>
                <w:lang w:val="en-GB"/>
              </w:rPr>
            </w:pPr>
            <w:r>
              <w:rPr>
                <w:rFonts w:ascii="Times New Roman" w:hAnsi="Times New Roman" w:cs="Times New Roman"/>
                <w:b/>
                <w:bCs/>
                <w:lang w:val="en-GB"/>
              </w:rPr>
              <w:t>HR Practices</w:t>
            </w:r>
          </w:p>
        </w:tc>
      </w:tr>
      <w:tr>
        <w:tblPrEx>
          <w:tblLayout w:type="fixed"/>
        </w:tblPrEx>
        <w:trPr>
          <w:trHeight w:val="300" w:hRule="atLeast"/>
        </w:trPr>
        <w:tc>
          <w:tcPr>
            <w:tcW w:w="2176" w:type="dxa"/>
          </w:tcPr>
          <w:p>
            <w:pPr>
              <w:spacing w:after="0" w:line="480" w:lineRule="auto"/>
              <w:jc w:val="both"/>
              <w:rPr>
                <w:rFonts w:ascii="Times New Roman" w:hAnsi="Times New Roman" w:cs="Times New Roman"/>
                <w:lang w:val="en-GB"/>
              </w:rPr>
            </w:pPr>
            <w:r>
              <w:rPr>
                <w:rFonts w:ascii="Times New Roman" w:hAnsi="Times New Roman" w:cs="Times New Roman"/>
                <w:lang w:val="en-GB"/>
              </w:rPr>
              <w:t>Job Satisfaction</w:t>
            </w:r>
          </w:p>
        </w:tc>
        <w:tc>
          <w:tcPr>
            <w:tcW w:w="1634" w:type="dxa"/>
          </w:tcPr>
          <w:p>
            <w:pPr>
              <w:spacing w:after="0" w:line="480" w:lineRule="auto"/>
              <w:jc w:val="both"/>
              <w:rPr>
                <w:rFonts w:ascii="Times New Roman" w:hAnsi="Times New Roman" w:cs="Times New Roman"/>
                <w:lang w:val="en-GB"/>
              </w:rPr>
            </w:pPr>
            <w:r>
              <w:rPr>
                <w:rFonts w:ascii="Times New Roman" w:hAnsi="Times New Roman" w:cs="Times New Roman"/>
                <w:lang w:val="en-GB"/>
              </w:rPr>
              <w:t>1</w:t>
            </w:r>
          </w:p>
        </w:tc>
        <w:tc>
          <w:tcPr>
            <w:tcW w:w="168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0.65**</w:t>
            </w:r>
          </w:p>
        </w:tc>
        <w:tc>
          <w:tcPr>
            <w:tcW w:w="2305" w:type="dxa"/>
          </w:tcPr>
          <w:p>
            <w:pPr>
              <w:spacing w:after="0" w:line="480" w:lineRule="auto"/>
              <w:jc w:val="both"/>
              <w:rPr>
                <w:rFonts w:ascii="Times New Roman" w:hAnsi="Times New Roman" w:cs="Times New Roman"/>
                <w:lang w:val="en-GB"/>
              </w:rPr>
            </w:pPr>
            <w:r>
              <w:rPr>
                <w:rFonts w:ascii="Times New Roman" w:hAnsi="Times New Roman" w:cs="Times New Roman"/>
                <w:lang w:val="en-GB"/>
              </w:rPr>
              <w:t>0.58**</w:t>
            </w:r>
          </w:p>
        </w:tc>
        <w:tc>
          <w:tcPr>
            <w:tcW w:w="1353" w:type="dxa"/>
          </w:tcPr>
          <w:p>
            <w:pPr>
              <w:spacing w:after="0" w:line="480" w:lineRule="auto"/>
              <w:jc w:val="both"/>
              <w:rPr>
                <w:rFonts w:ascii="Times New Roman" w:hAnsi="Times New Roman" w:cs="Times New Roman"/>
                <w:lang w:val="en-GB"/>
              </w:rPr>
            </w:pPr>
            <w:r>
              <w:rPr>
                <w:rFonts w:ascii="Times New Roman" w:hAnsi="Times New Roman" w:cs="Times New Roman"/>
                <w:lang w:val="en-GB"/>
              </w:rPr>
              <w:t>0.60**</w:t>
            </w:r>
          </w:p>
        </w:tc>
      </w:tr>
      <w:tr>
        <w:tblPrEx>
          <w:tblLayout w:type="fixed"/>
        </w:tblPrEx>
        <w:trPr>
          <w:trHeight w:val="300" w:hRule="atLeast"/>
        </w:trPr>
        <w:tc>
          <w:tcPr>
            <w:tcW w:w="2176" w:type="dxa"/>
          </w:tcPr>
          <w:p>
            <w:pPr>
              <w:spacing w:after="0" w:line="480" w:lineRule="auto"/>
              <w:jc w:val="both"/>
              <w:rPr>
                <w:rFonts w:ascii="Times New Roman" w:hAnsi="Times New Roman" w:cs="Times New Roman"/>
                <w:lang w:val="en-GB"/>
              </w:rPr>
            </w:pPr>
            <w:r>
              <w:rPr>
                <w:rFonts w:ascii="Times New Roman" w:hAnsi="Times New Roman" w:cs="Times New Roman"/>
                <w:lang w:val="en-GB"/>
              </w:rPr>
              <w:t>Work Flexibility</w:t>
            </w:r>
          </w:p>
        </w:tc>
        <w:tc>
          <w:tcPr>
            <w:tcW w:w="1634" w:type="dxa"/>
          </w:tcPr>
          <w:p>
            <w:pPr>
              <w:spacing w:after="0" w:line="480" w:lineRule="auto"/>
              <w:jc w:val="both"/>
              <w:rPr>
                <w:rFonts w:ascii="Times New Roman" w:hAnsi="Times New Roman" w:cs="Times New Roman"/>
                <w:lang w:val="en-GB"/>
              </w:rPr>
            </w:pPr>
            <w:r>
              <w:rPr>
                <w:rFonts w:ascii="Times New Roman" w:hAnsi="Times New Roman" w:cs="Times New Roman"/>
                <w:lang w:val="en-GB"/>
              </w:rPr>
              <w:t>0.65**</w:t>
            </w:r>
          </w:p>
        </w:tc>
        <w:tc>
          <w:tcPr>
            <w:tcW w:w="168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1</w:t>
            </w:r>
          </w:p>
        </w:tc>
        <w:tc>
          <w:tcPr>
            <w:tcW w:w="2305" w:type="dxa"/>
          </w:tcPr>
          <w:p>
            <w:pPr>
              <w:spacing w:after="0" w:line="480" w:lineRule="auto"/>
              <w:jc w:val="both"/>
              <w:rPr>
                <w:rFonts w:ascii="Times New Roman" w:hAnsi="Times New Roman" w:cs="Times New Roman"/>
                <w:lang w:val="en-GB"/>
              </w:rPr>
            </w:pPr>
            <w:r>
              <w:rPr>
                <w:rFonts w:ascii="Times New Roman" w:hAnsi="Times New Roman" w:cs="Times New Roman"/>
                <w:lang w:val="en-GB"/>
              </w:rPr>
              <w:t>0.42**</w:t>
            </w:r>
          </w:p>
        </w:tc>
        <w:tc>
          <w:tcPr>
            <w:tcW w:w="1353" w:type="dxa"/>
          </w:tcPr>
          <w:p>
            <w:pPr>
              <w:spacing w:after="0" w:line="480" w:lineRule="auto"/>
              <w:jc w:val="both"/>
              <w:rPr>
                <w:rFonts w:ascii="Times New Roman" w:hAnsi="Times New Roman" w:cs="Times New Roman"/>
                <w:lang w:val="en-GB"/>
              </w:rPr>
            </w:pPr>
            <w:r>
              <w:rPr>
                <w:rFonts w:ascii="Times New Roman" w:hAnsi="Times New Roman" w:cs="Times New Roman"/>
                <w:lang w:val="en-GB"/>
              </w:rPr>
              <w:t>0.55**</w:t>
            </w:r>
          </w:p>
        </w:tc>
      </w:tr>
      <w:tr>
        <w:tblPrEx>
          <w:tblLayout w:type="fixed"/>
        </w:tblPrEx>
        <w:trPr>
          <w:trHeight w:val="300" w:hRule="atLeast"/>
        </w:trPr>
        <w:tc>
          <w:tcPr>
            <w:tcW w:w="2176" w:type="dxa"/>
          </w:tcPr>
          <w:p>
            <w:pPr>
              <w:spacing w:after="0" w:line="480" w:lineRule="auto"/>
              <w:jc w:val="both"/>
              <w:rPr>
                <w:rFonts w:ascii="Times New Roman" w:hAnsi="Times New Roman" w:cs="Times New Roman"/>
                <w:lang w:val="en-GB"/>
              </w:rPr>
            </w:pPr>
            <w:r>
              <w:rPr>
                <w:rFonts w:ascii="Times New Roman" w:hAnsi="Times New Roman" w:cs="Times New Roman"/>
                <w:lang w:val="en-GB"/>
              </w:rPr>
              <w:t>Technological Support</w:t>
            </w:r>
          </w:p>
        </w:tc>
        <w:tc>
          <w:tcPr>
            <w:tcW w:w="1634" w:type="dxa"/>
          </w:tcPr>
          <w:p>
            <w:pPr>
              <w:spacing w:after="0" w:line="480" w:lineRule="auto"/>
              <w:jc w:val="both"/>
              <w:rPr>
                <w:rFonts w:ascii="Times New Roman" w:hAnsi="Times New Roman" w:cs="Times New Roman"/>
                <w:lang w:val="en-GB"/>
              </w:rPr>
            </w:pPr>
            <w:r>
              <w:rPr>
                <w:rFonts w:ascii="Times New Roman" w:hAnsi="Times New Roman" w:cs="Times New Roman"/>
                <w:lang w:val="en-GB"/>
              </w:rPr>
              <w:t>0.58**</w:t>
            </w:r>
          </w:p>
        </w:tc>
        <w:tc>
          <w:tcPr>
            <w:tcW w:w="168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0.42**</w:t>
            </w:r>
          </w:p>
        </w:tc>
        <w:tc>
          <w:tcPr>
            <w:tcW w:w="2305" w:type="dxa"/>
          </w:tcPr>
          <w:p>
            <w:pPr>
              <w:spacing w:after="0" w:line="480" w:lineRule="auto"/>
              <w:jc w:val="both"/>
              <w:rPr>
                <w:rFonts w:ascii="Times New Roman" w:hAnsi="Times New Roman" w:cs="Times New Roman"/>
                <w:lang w:val="en-GB"/>
              </w:rPr>
            </w:pPr>
            <w:r>
              <w:rPr>
                <w:rFonts w:ascii="Times New Roman" w:hAnsi="Times New Roman" w:cs="Times New Roman"/>
                <w:lang w:val="en-GB"/>
              </w:rPr>
              <w:t>1</w:t>
            </w:r>
          </w:p>
        </w:tc>
        <w:tc>
          <w:tcPr>
            <w:tcW w:w="1353" w:type="dxa"/>
          </w:tcPr>
          <w:p>
            <w:pPr>
              <w:spacing w:after="0" w:line="480" w:lineRule="auto"/>
              <w:jc w:val="both"/>
              <w:rPr>
                <w:rFonts w:ascii="Times New Roman" w:hAnsi="Times New Roman" w:cs="Times New Roman"/>
                <w:lang w:val="en-GB"/>
              </w:rPr>
            </w:pPr>
            <w:r>
              <w:rPr>
                <w:rFonts w:ascii="Times New Roman" w:hAnsi="Times New Roman" w:cs="Times New Roman"/>
                <w:lang w:val="en-GB"/>
              </w:rPr>
              <w:t>0.63**</w:t>
            </w:r>
          </w:p>
        </w:tc>
      </w:tr>
      <w:tr>
        <w:tblPrEx>
          <w:tblLayout w:type="fixed"/>
        </w:tblPrEx>
        <w:trPr>
          <w:trHeight w:val="300" w:hRule="atLeast"/>
        </w:trPr>
        <w:tc>
          <w:tcPr>
            <w:tcW w:w="2176" w:type="dxa"/>
          </w:tcPr>
          <w:p>
            <w:pPr>
              <w:spacing w:after="0" w:line="480" w:lineRule="auto"/>
              <w:jc w:val="both"/>
              <w:rPr>
                <w:rFonts w:ascii="Times New Roman" w:hAnsi="Times New Roman" w:cs="Times New Roman"/>
                <w:lang w:val="en-GB"/>
              </w:rPr>
            </w:pPr>
            <w:r>
              <w:rPr>
                <w:rFonts w:ascii="Times New Roman" w:hAnsi="Times New Roman" w:cs="Times New Roman"/>
                <w:lang w:val="en-GB"/>
              </w:rPr>
              <w:t>HR Practices</w:t>
            </w:r>
          </w:p>
        </w:tc>
        <w:tc>
          <w:tcPr>
            <w:tcW w:w="1634" w:type="dxa"/>
          </w:tcPr>
          <w:p>
            <w:pPr>
              <w:spacing w:after="0" w:line="480" w:lineRule="auto"/>
              <w:jc w:val="both"/>
              <w:rPr>
                <w:rFonts w:ascii="Times New Roman" w:hAnsi="Times New Roman" w:cs="Times New Roman"/>
                <w:lang w:val="en-GB"/>
              </w:rPr>
            </w:pPr>
            <w:r>
              <w:rPr>
                <w:rFonts w:ascii="Times New Roman" w:hAnsi="Times New Roman" w:cs="Times New Roman"/>
                <w:lang w:val="en-GB"/>
              </w:rPr>
              <w:t>0.60**</w:t>
            </w:r>
          </w:p>
        </w:tc>
        <w:tc>
          <w:tcPr>
            <w:tcW w:w="168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0.55**</w:t>
            </w:r>
          </w:p>
        </w:tc>
        <w:tc>
          <w:tcPr>
            <w:tcW w:w="2305" w:type="dxa"/>
          </w:tcPr>
          <w:p>
            <w:pPr>
              <w:spacing w:after="0" w:line="480" w:lineRule="auto"/>
              <w:jc w:val="both"/>
              <w:rPr>
                <w:rFonts w:ascii="Times New Roman" w:hAnsi="Times New Roman" w:cs="Times New Roman"/>
                <w:lang w:val="en-GB"/>
              </w:rPr>
            </w:pPr>
            <w:r>
              <w:rPr>
                <w:rFonts w:ascii="Times New Roman" w:hAnsi="Times New Roman" w:cs="Times New Roman"/>
                <w:lang w:val="en-GB"/>
              </w:rPr>
              <w:t>0.63**</w:t>
            </w:r>
          </w:p>
        </w:tc>
        <w:tc>
          <w:tcPr>
            <w:tcW w:w="1353" w:type="dxa"/>
          </w:tcPr>
          <w:p>
            <w:pPr>
              <w:spacing w:after="0" w:line="480" w:lineRule="auto"/>
              <w:jc w:val="both"/>
              <w:rPr>
                <w:rFonts w:ascii="Times New Roman" w:hAnsi="Times New Roman" w:cs="Times New Roman"/>
                <w:lang w:val="en-GB"/>
              </w:rPr>
            </w:pPr>
            <w:r>
              <w:rPr>
                <w:rFonts w:ascii="Times New Roman" w:hAnsi="Times New Roman" w:cs="Times New Roman"/>
                <w:lang w:val="en-GB"/>
              </w:rPr>
              <w:t>1</w:t>
            </w:r>
          </w:p>
        </w:tc>
      </w:tr>
    </w:tbl>
    <w:p>
      <w:pPr>
        <w:spacing w:before="240" w:after="240" w:line="480" w:lineRule="auto"/>
        <w:jc w:val="both"/>
        <w:rPr>
          <w:rFonts w:ascii="Times New Roman" w:hAnsi="Times New Roman" w:cs="Times New Roman"/>
          <w:lang w:val="en-GB"/>
        </w:rPr>
      </w:pPr>
      <w:r>
        <w:rPr>
          <w:rFonts w:ascii="Times New Roman" w:hAnsi="Times New Roman" w:eastAsia="Times New Roman" w:cs="Times New Roman"/>
          <w:b/>
          <w:bCs/>
          <w:lang w:val="en-GB"/>
        </w:rPr>
        <w:t>Note</w:t>
      </w:r>
      <w:r>
        <w:rPr>
          <w:rFonts w:ascii="Times New Roman" w:hAnsi="Times New Roman" w:eastAsia="Times New Roman" w:cs="Times New Roman"/>
          <w:lang w:val="en-GB"/>
        </w:rPr>
        <w:t xml:space="preserve">: </w:t>
      </w:r>
      <w:r>
        <w:rPr>
          <w:rFonts w:ascii="Times New Roman" w:hAnsi="Times New Roman" w:eastAsia="Times New Roman" w:cs="Times New Roman"/>
          <w:b/>
          <w:bCs/>
          <w:lang w:val="en-GB"/>
        </w:rPr>
        <w:t>p &lt; 0.01</w:t>
      </w:r>
    </w:p>
    <w:p>
      <w:pPr>
        <w:pStyle w:val="36"/>
        <w:numPr>
          <w:ilvl w:val="0"/>
          <w:numId w:val="6"/>
        </w:numPr>
        <w:spacing w:after="0" w:line="480" w:lineRule="auto"/>
        <w:jc w:val="both"/>
        <w:rPr>
          <w:rFonts w:ascii="Times New Roman" w:hAnsi="Times New Roman" w:eastAsia="Times New Roman" w:cs="Times New Roman"/>
          <w:lang w:val="en-GB"/>
        </w:rPr>
      </w:pPr>
      <w:r>
        <w:rPr>
          <w:rFonts w:ascii="Times New Roman" w:hAnsi="Times New Roman" w:eastAsia="Times New Roman" w:cs="Times New Roman"/>
          <w:b/>
          <w:bCs/>
          <w:lang w:val="en-GB"/>
        </w:rPr>
        <w:t>Job Satisfaction and Work Flexibility</w:t>
      </w:r>
      <w:r>
        <w:rPr>
          <w:rFonts w:ascii="Times New Roman" w:hAnsi="Times New Roman" w:eastAsia="Times New Roman" w:cs="Times New Roman"/>
          <w:lang w:val="en-GB"/>
        </w:rPr>
        <w:t>: A strong positive correlation (r = 0.65) indicates that higher work flexibility is associated with greater job satisfaction.</w:t>
      </w:r>
    </w:p>
    <w:p>
      <w:pPr>
        <w:pStyle w:val="36"/>
        <w:numPr>
          <w:ilvl w:val="0"/>
          <w:numId w:val="6"/>
        </w:numPr>
        <w:spacing w:after="0" w:line="480" w:lineRule="auto"/>
        <w:jc w:val="both"/>
        <w:rPr>
          <w:rFonts w:ascii="Times New Roman" w:hAnsi="Times New Roman" w:eastAsia="Times New Roman" w:cs="Times New Roman"/>
          <w:lang w:val="en-GB"/>
        </w:rPr>
      </w:pPr>
      <w:r>
        <w:rPr>
          <w:rFonts w:ascii="Times New Roman" w:hAnsi="Times New Roman" w:eastAsia="Times New Roman" w:cs="Times New Roman"/>
          <w:b/>
          <w:bCs/>
          <w:lang w:val="en-GB"/>
        </w:rPr>
        <w:t>Job Satisfaction and Technological Support</w:t>
      </w:r>
      <w:r>
        <w:rPr>
          <w:rFonts w:ascii="Times New Roman" w:hAnsi="Times New Roman" w:eastAsia="Times New Roman" w:cs="Times New Roman"/>
          <w:lang w:val="en-GB"/>
        </w:rPr>
        <w:t>: There is a moderate positive correlation (r = 0.58), suggesting that better technological support enhances job satisfaction.</w:t>
      </w:r>
    </w:p>
    <w:p>
      <w:pPr>
        <w:pStyle w:val="36"/>
        <w:numPr>
          <w:ilvl w:val="0"/>
          <w:numId w:val="6"/>
        </w:numPr>
        <w:spacing w:after="0" w:line="480" w:lineRule="auto"/>
        <w:jc w:val="both"/>
        <w:rPr>
          <w:rFonts w:ascii="Times New Roman" w:hAnsi="Times New Roman" w:eastAsia="Times New Roman" w:cs="Times New Roman"/>
          <w:lang w:val="en-GB"/>
        </w:rPr>
      </w:pPr>
      <w:r>
        <w:rPr>
          <w:rFonts w:ascii="Times New Roman" w:hAnsi="Times New Roman" w:eastAsia="Times New Roman" w:cs="Times New Roman"/>
          <w:b/>
          <w:bCs/>
          <w:lang w:val="en-GB"/>
        </w:rPr>
        <w:t>Job Satisfaction and HR Practices</w:t>
      </w:r>
      <w:r>
        <w:rPr>
          <w:rFonts w:ascii="Times New Roman" w:hAnsi="Times New Roman" w:eastAsia="Times New Roman" w:cs="Times New Roman"/>
          <w:lang w:val="en-GB"/>
        </w:rPr>
        <w:t>: The correlation between job satisfaction and HR practices (r = 0.60) is significant, highlighting the importance of sustainable HR practices in remote work settings.</w:t>
      </w:r>
    </w:p>
    <w:p>
      <w:pPr>
        <w:pStyle w:val="5"/>
        <w:spacing w:before="319" w:after="319" w:line="480" w:lineRule="auto"/>
        <w:jc w:val="both"/>
        <w:rPr>
          <w:rFonts w:ascii="Times New Roman" w:hAnsi="Times New Roman" w:eastAsia="Times New Roman" w:cs="Times New Roman"/>
          <w:b/>
          <w:i w:val="0"/>
          <w:iCs w:val="0"/>
          <w:color w:val="auto"/>
          <w:lang w:val="en-GB"/>
        </w:rPr>
      </w:pPr>
      <w:r>
        <w:rPr>
          <w:rFonts w:ascii="Times New Roman" w:hAnsi="Times New Roman" w:eastAsia="Times New Roman" w:cs="Times New Roman"/>
          <w:b/>
          <w:i w:val="0"/>
          <w:iCs w:val="0"/>
          <w:color w:val="auto"/>
          <w:lang w:val="en-GB"/>
        </w:rPr>
        <w:t xml:space="preserve">4.3 </w:t>
      </w:r>
      <w:r>
        <w:rPr>
          <w:rFonts w:ascii="Times New Roman" w:hAnsi="Times New Roman" w:eastAsia="Times New Roman" w:cs="Times New Roman"/>
          <w:b/>
          <w:i w:val="0"/>
          <w:iCs w:val="0"/>
          <w:color w:val="auto"/>
          <w:lang w:val="en-GB"/>
        </w:rPr>
        <w:t>Regression Analysis</w:t>
      </w:r>
    </w:p>
    <w:p>
      <w:pPr>
        <w:spacing w:before="240" w:after="240"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A multiple regression analysis was conducted to determine the impact of work flexibility, technological support, and HR practices on job satisfaction. The model was specified as:</w:t>
      </w:r>
    </w:p>
    <w:p>
      <w:pPr>
        <w:spacing w:line="480" w:lineRule="auto"/>
        <w:jc w:val="both"/>
        <w:rPr>
          <w:rFonts w:ascii="Times New Roman" w:hAnsi="Times New Roman" w:cs="Times New Roman"/>
          <w:lang w:val="en-GB"/>
        </w:rPr>
      </w:pPr>
      <w:r>
        <w:rPr>
          <w:rFonts w:ascii="Times New Roman" w:hAnsi="Times New Roman" w:eastAsia="Cambria Math" w:cs="Times New Roman"/>
          <w:i/>
          <w:iCs/>
          <w:lang w:val="en-GB"/>
        </w:rPr>
        <w:t>￼</w:t>
      </w:r>
      <w:r>
        <w:rPr>
          <w:rFonts w:ascii="Times New Roman" w:hAnsi="Times New Roman" w:eastAsia="Times New Roman" w:cs="Times New Roman"/>
          <w:lang w:val="en-GB"/>
        </w:rPr>
        <w:t>Job Satisfaction=β0 +β1 (Work Flexibility)+β2 (Technological Support)+β3 (HR Practices)+ϵ</w:t>
      </w:r>
    </w:p>
    <w:p>
      <w:pPr>
        <w:spacing w:before="240" w:after="240" w:line="480" w:lineRule="auto"/>
        <w:jc w:val="both"/>
        <w:rPr>
          <w:rFonts w:ascii="Times New Roman" w:hAnsi="Times New Roman" w:cs="Times New Roman"/>
          <w:lang w:val="en-GB"/>
        </w:rPr>
      </w:pPr>
      <w:r>
        <w:rPr>
          <w:rFonts w:ascii="Times New Roman" w:hAnsi="Times New Roman" w:eastAsia="Times New Roman" w:cs="Times New Roman"/>
          <w:b/>
          <w:bCs/>
          <w:lang w:val="en-GB"/>
        </w:rPr>
        <w:t>Table 3: Regression Results</w:t>
      </w:r>
    </w:p>
    <w:tbl>
      <w:tblPr>
        <w:tblStyle w:val="18"/>
        <w:tblW w:w="0" w:type="auto"/>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2476"/>
        <w:gridCol w:w="720"/>
        <w:gridCol w:w="720"/>
        <w:gridCol w:w="720"/>
        <w:gridCol w:w="840"/>
        <w:gridCol w:w="840"/>
      </w:tblGrid>
      <w:tr>
        <w:tblPrEx>
          <w:tblLayout w:type="fixed"/>
        </w:tblPrEx>
        <w:trPr>
          <w:trHeight w:val="300" w:hRule="atLeast"/>
        </w:trPr>
        <w:tc>
          <w:tcPr>
            <w:tcW w:w="2476" w:type="dxa"/>
          </w:tcPr>
          <w:p>
            <w:pPr>
              <w:spacing w:after="0" w:line="480" w:lineRule="auto"/>
              <w:jc w:val="both"/>
              <w:rPr>
                <w:rFonts w:ascii="Times New Roman" w:hAnsi="Times New Roman" w:cs="Times New Roman"/>
                <w:lang w:val="en-GB"/>
              </w:rPr>
            </w:pPr>
            <w:r>
              <w:rPr>
                <w:rFonts w:ascii="Times New Roman" w:hAnsi="Times New Roman" w:cs="Times New Roman"/>
                <w:b/>
                <w:bCs/>
                <w:lang w:val="en-GB"/>
              </w:rPr>
              <w:t>Predictor</w:t>
            </w:r>
          </w:p>
        </w:tc>
        <w:tc>
          <w:tcPr>
            <w:tcW w:w="720" w:type="dxa"/>
          </w:tcPr>
          <w:p>
            <w:pPr>
              <w:spacing w:after="0" w:line="480" w:lineRule="auto"/>
              <w:jc w:val="both"/>
              <w:rPr>
                <w:rFonts w:ascii="Times New Roman" w:hAnsi="Times New Roman" w:cs="Times New Roman"/>
                <w:lang w:val="en-GB"/>
              </w:rPr>
            </w:pPr>
            <w:r>
              <w:rPr>
                <w:rFonts w:ascii="Times New Roman" w:hAnsi="Times New Roman" w:cs="Times New Roman"/>
                <w:b/>
                <w:bCs/>
                <w:lang w:val="en-GB"/>
              </w:rPr>
              <w:t>B</w:t>
            </w:r>
          </w:p>
        </w:tc>
        <w:tc>
          <w:tcPr>
            <w:tcW w:w="720" w:type="dxa"/>
          </w:tcPr>
          <w:p>
            <w:pPr>
              <w:spacing w:after="0" w:line="480" w:lineRule="auto"/>
              <w:jc w:val="both"/>
              <w:rPr>
                <w:rFonts w:ascii="Times New Roman" w:hAnsi="Times New Roman" w:cs="Times New Roman"/>
                <w:lang w:val="en-GB"/>
              </w:rPr>
            </w:pPr>
            <w:r>
              <w:rPr>
                <w:rFonts w:ascii="Times New Roman" w:hAnsi="Times New Roman" w:cs="Times New Roman"/>
                <w:b/>
                <w:bCs/>
                <w:lang w:val="en-GB"/>
              </w:rPr>
              <w:t>SE</w:t>
            </w:r>
          </w:p>
        </w:tc>
        <w:tc>
          <w:tcPr>
            <w:tcW w:w="720" w:type="dxa"/>
          </w:tcPr>
          <w:p>
            <w:pPr>
              <w:spacing w:after="0" w:line="480" w:lineRule="auto"/>
              <w:jc w:val="both"/>
              <w:rPr>
                <w:rFonts w:ascii="Times New Roman" w:hAnsi="Times New Roman" w:cs="Times New Roman"/>
                <w:lang w:val="en-GB"/>
              </w:rPr>
            </w:pPr>
            <w:r>
              <w:rPr>
                <w:rFonts w:ascii="Times New Roman" w:hAnsi="Times New Roman" w:cs="Times New Roman"/>
                <w:b/>
                <w:bCs/>
                <w:lang w:val="en-GB"/>
              </w:rPr>
              <w:t>β</w:t>
            </w:r>
          </w:p>
        </w:tc>
        <w:tc>
          <w:tcPr>
            <w:tcW w:w="840" w:type="dxa"/>
          </w:tcPr>
          <w:p>
            <w:pPr>
              <w:spacing w:after="0" w:line="480" w:lineRule="auto"/>
              <w:jc w:val="both"/>
              <w:rPr>
                <w:rFonts w:ascii="Times New Roman" w:hAnsi="Times New Roman" w:cs="Times New Roman"/>
                <w:lang w:val="en-GB"/>
              </w:rPr>
            </w:pPr>
            <w:r>
              <w:rPr>
                <w:rFonts w:ascii="Times New Roman" w:hAnsi="Times New Roman" w:cs="Times New Roman"/>
                <w:b/>
                <w:bCs/>
                <w:lang w:val="en-GB"/>
              </w:rPr>
              <w:t>t</w:t>
            </w:r>
          </w:p>
        </w:tc>
        <w:tc>
          <w:tcPr>
            <w:tcW w:w="840" w:type="dxa"/>
          </w:tcPr>
          <w:p>
            <w:pPr>
              <w:spacing w:after="0" w:line="480" w:lineRule="auto"/>
              <w:jc w:val="both"/>
              <w:rPr>
                <w:rFonts w:ascii="Times New Roman" w:hAnsi="Times New Roman" w:cs="Times New Roman"/>
                <w:lang w:val="en-GB"/>
              </w:rPr>
            </w:pPr>
            <w:r>
              <w:rPr>
                <w:rFonts w:ascii="Times New Roman" w:hAnsi="Times New Roman" w:cs="Times New Roman"/>
                <w:b/>
                <w:bCs/>
                <w:lang w:val="en-GB"/>
              </w:rPr>
              <w:t>p</w:t>
            </w:r>
          </w:p>
        </w:tc>
      </w:tr>
      <w:tr>
        <w:tblPrEx>
          <w:tblLayout w:type="fixed"/>
        </w:tblPrEx>
        <w:trPr>
          <w:trHeight w:val="300" w:hRule="atLeast"/>
        </w:trPr>
        <w:tc>
          <w:tcPr>
            <w:tcW w:w="2476" w:type="dxa"/>
          </w:tcPr>
          <w:p>
            <w:pPr>
              <w:spacing w:after="0" w:line="480" w:lineRule="auto"/>
              <w:jc w:val="both"/>
              <w:rPr>
                <w:rFonts w:ascii="Times New Roman" w:hAnsi="Times New Roman" w:cs="Times New Roman"/>
                <w:lang w:val="en-GB"/>
              </w:rPr>
            </w:pPr>
            <w:r>
              <w:rPr>
                <w:rFonts w:ascii="Times New Roman" w:hAnsi="Times New Roman" w:cs="Times New Roman"/>
                <w:lang w:val="en-GB"/>
              </w:rPr>
              <w:t>Work Flexibility</w:t>
            </w:r>
          </w:p>
        </w:tc>
        <w:tc>
          <w:tcPr>
            <w:tcW w:w="720" w:type="dxa"/>
          </w:tcPr>
          <w:p>
            <w:pPr>
              <w:spacing w:after="0" w:line="480" w:lineRule="auto"/>
              <w:jc w:val="both"/>
              <w:rPr>
                <w:rFonts w:ascii="Times New Roman" w:hAnsi="Times New Roman" w:cs="Times New Roman"/>
                <w:lang w:val="en-GB"/>
              </w:rPr>
            </w:pPr>
            <w:r>
              <w:rPr>
                <w:rFonts w:ascii="Times New Roman" w:hAnsi="Times New Roman" w:cs="Times New Roman"/>
                <w:lang w:val="en-GB"/>
              </w:rPr>
              <w:t>0.35</w:t>
            </w:r>
          </w:p>
        </w:tc>
        <w:tc>
          <w:tcPr>
            <w:tcW w:w="720" w:type="dxa"/>
          </w:tcPr>
          <w:p>
            <w:pPr>
              <w:spacing w:after="0" w:line="480" w:lineRule="auto"/>
              <w:jc w:val="both"/>
              <w:rPr>
                <w:rFonts w:ascii="Times New Roman" w:hAnsi="Times New Roman" w:cs="Times New Roman"/>
                <w:lang w:val="en-GB"/>
              </w:rPr>
            </w:pPr>
            <w:r>
              <w:rPr>
                <w:rFonts w:ascii="Times New Roman" w:hAnsi="Times New Roman" w:cs="Times New Roman"/>
                <w:lang w:val="en-GB"/>
              </w:rPr>
              <w:t>0.08</w:t>
            </w:r>
          </w:p>
        </w:tc>
        <w:tc>
          <w:tcPr>
            <w:tcW w:w="720" w:type="dxa"/>
          </w:tcPr>
          <w:p>
            <w:pPr>
              <w:spacing w:after="0" w:line="480" w:lineRule="auto"/>
              <w:jc w:val="both"/>
              <w:rPr>
                <w:rFonts w:ascii="Times New Roman" w:hAnsi="Times New Roman" w:cs="Times New Roman"/>
                <w:lang w:val="en-GB"/>
              </w:rPr>
            </w:pPr>
            <w:r>
              <w:rPr>
                <w:rFonts w:ascii="Times New Roman" w:hAnsi="Times New Roman" w:cs="Times New Roman"/>
                <w:lang w:val="en-GB"/>
              </w:rPr>
              <w:t>0.45</w:t>
            </w:r>
          </w:p>
        </w:tc>
        <w:tc>
          <w:tcPr>
            <w:tcW w:w="840" w:type="dxa"/>
          </w:tcPr>
          <w:p>
            <w:pPr>
              <w:spacing w:after="0" w:line="480" w:lineRule="auto"/>
              <w:jc w:val="both"/>
              <w:rPr>
                <w:rFonts w:ascii="Times New Roman" w:hAnsi="Times New Roman" w:cs="Times New Roman"/>
                <w:lang w:val="en-GB"/>
              </w:rPr>
            </w:pPr>
            <w:r>
              <w:rPr>
                <w:rFonts w:ascii="Times New Roman" w:hAnsi="Times New Roman" w:cs="Times New Roman"/>
                <w:lang w:val="en-GB"/>
              </w:rPr>
              <w:t>4.375</w:t>
            </w:r>
          </w:p>
        </w:tc>
        <w:tc>
          <w:tcPr>
            <w:tcW w:w="840" w:type="dxa"/>
          </w:tcPr>
          <w:p>
            <w:pPr>
              <w:spacing w:after="0" w:line="480" w:lineRule="auto"/>
              <w:jc w:val="both"/>
              <w:rPr>
                <w:rFonts w:ascii="Times New Roman" w:hAnsi="Times New Roman" w:cs="Times New Roman"/>
                <w:lang w:val="en-GB"/>
              </w:rPr>
            </w:pPr>
            <w:r>
              <w:rPr>
                <w:rFonts w:ascii="Times New Roman" w:hAnsi="Times New Roman" w:cs="Times New Roman"/>
                <w:lang w:val="en-GB"/>
              </w:rPr>
              <w:t>0.000</w:t>
            </w:r>
          </w:p>
        </w:tc>
      </w:tr>
      <w:tr>
        <w:tblPrEx>
          <w:tblLayout w:type="fixed"/>
        </w:tblPrEx>
        <w:trPr>
          <w:trHeight w:val="300" w:hRule="atLeast"/>
        </w:trPr>
        <w:tc>
          <w:tcPr>
            <w:tcW w:w="2476" w:type="dxa"/>
          </w:tcPr>
          <w:p>
            <w:pPr>
              <w:spacing w:after="0" w:line="480" w:lineRule="auto"/>
              <w:jc w:val="both"/>
              <w:rPr>
                <w:rFonts w:ascii="Times New Roman" w:hAnsi="Times New Roman" w:cs="Times New Roman"/>
                <w:lang w:val="en-GB"/>
              </w:rPr>
            </w:pPr>
            <w:r>
              <w:rPr>
                <w:rFonts w:ascii="Times New Roman" w:hAnsi="Times New Roman" w:cs="Times New Roman"/>
                <w:lang w:val="en-GB"/>
              </w:rPr>
              <w:t>Technological Support</w:t>
            </w:r>
          </w:p>
        </w:tc>
        <w:tc>
          <w:tcPr>
            <w:tcW w:w="720" w:type="dxa"/>
          </w:tcPr>
          <w:p>
            <w:pPr>
              <w:spacing w:after="0" w:line="480" w:lineRule="auto"/>
              <w:jc w:val="both"/>
              <w:rPr>
                <w:rFonts w:ascii="Times New Roman" w:hAnsi="Times New Roman" w:cs="Times New Roman"/>
                <w:lang w:val="en-GB"/>
              </w:rPr>
            </w:pPr>
            <w:r>
              <w:rPr>
                <w:rFonts w:ascii="Times New Roman" w:hAnsi="Times New Roman" w:cs="Times New Roman"/>
                <w:lang w:val="en-GB"/>
              </w:rPr>
              <w:t>0.25</w:t>
            </w:r>
          </w:p>
        </w:tc>
        <w:tc>
          <w:tcPr>
            <w:tcW w:w="720" w:type="dxa"/>
          </w:tcPr>
          <w:p>
            <w:pPr>
              <w:spacing w:after="0" w:line="480" w:lineRule="auto"/>
              <w:jc w:val="both"/>
              <w:rPr>
                <w:rFonts w:ascii="Times New Roman" w:hAnsi="Times New Roman" w:cs="Times New Roman"/>
                <w:lang w:val="en-GB"/>
              </w:rPr>
            </w:pPr>
            <w:r>
              <w:rPr>
                <w:rFonts w:ascii="Times New Roman" w:hAnsi="Times New Roman" w:cs="Times New Roman"/>
                <w:lang w:val="en-GB"/>
              </w:rPr>
              <w:t>0.07</w:t>
            </w:r>
          </w:p>
        </w:tc>
        <w:tc>
          <w:tcPr>
            <w:tcW w:w="720" w:type="dxa"/>
          </w:tcPr>
          <w:p>
            <w:pPr>
              <w:spacing w:after="0" w:line="480" w:lineRule="auto"/>
              <w:jc w:val="both"/>
              <w:rPr>
                <w:rFonts w:ascii="Times New Roman" w:hAnsi="Times New Roman" w:cs="Times New Roman"/>
                <w:lang w:val="en-GB"/>
              </w:rPr>
            </w:pPr>
            <w:r>
              <w:rPr>
                <w:rFonts w:ascii="Times New Roman" w:hAnsi="Times New Roman" w:cs="Times New Roman"/>
                <w:lang w:val="en-GB"/>
              </w:rPr>
              <w:t>0.32</w:t>
            </w:r>
          </w:p>
        </w:tc>
        <w:tc>
          <w:tcPr>
            <w:tcW w:w="840" w:type="dxa"/>
          </w:tcPr>
          <w:p>
            <w:pPr>
              <w:spacing w:after="0" w:line="480" w:lineRule="auto"/>
              <w:jc w:val="both"/>
              <w:rPr>
                <w:rFonts w:ascii="Times New Roman" w:hAnsi="Times New Roman" w:cs="Times New Roman"/>
                <w:lang w:val="en-GB"/>
              </w:rPr>
            </w:pPr>
            <w:r>
              <w:rPr>
                <w:rFonts w:ascii="Times New Roman" w:hAnsi="Times New Roman" w:cs="Times New Roman"/>
                <w:lang w:val="en-GB"/>
              </w:rPr>
              <w:t>3.571</w:t>
            </w:r>
          </w:p>
        </w:tc>
        <w:tc>
          <w:tcPr>
            <w:tcW w:w="840" w:type="dxa"/>
          </w:tcPr>
          <w:p>
            <w:pPr>
              <w:spacing w:after="0" w:line="480" w:lineRule="auto"/>
              <w:jc w:val="both"/>
              <w:rPr>
                <w:rFonts w:ascii="Times New Roman" w:hAnsi="Times New Roman" w:cs="Times New Roman"/>
                <w:lang w:val="en-GB"/>
              </w:rPr>
            </w:pPr>
            <w:r>
              <w:rPr>
                <w:rFonts w:ascii="Times New Roman" w:hAnsi="Times New Roman" w:cs="Times New Roman"/>
                <w:lang w:val="en-GB"/>
              </w:rPr>
              <w:t>0.001</w:t>
            </w:r>
          </w:p>
        </w:tc>
      </w:tr>
      <w:tr>
        <w:tblPrEx>
          <w:tblLayout w:type="fixed"/>
        </w:tblPrEx>
        <w:trPr>
          <w:trHeight w:val="300" w:hRule="atLeast"/>
        </w:trPr>
        <w:tc>
          <w:tcPr>
            <w:tcW w:w="2476" w:type="dxa"/>
          </w:tcPr>
          <w:p>
            <w:pPr>
              <w:spacing w:after="0" w:line="480" w:lineRule="auto"/>
              <w:jc w:val="both"/>
              <w:rPr>
                <w:rFonts w:ascii="Times New Roman" w:hAnsi="Times New Roman" w:cs="Times New Roman"/>
                <w:lang w:val="en-GB"/>
              </w:rPr>
            </w:pPr>
            <w:r>
              <w:rPr>
                <w:rFonts w:ascii="Times New Roman" w:hAnsi="Times New Roman" w:cs="Times New Roman"/>
                <w:lang w:val="en-GB"/>
              </w:rPr>
              <w:t>HR Practices</w:t>
            </w:r>
          </w:p>
        </w:tc>
        <w:tc>
          <w:tcPr>
            <w:tcW w:w="720" w:type="dxa"/>
          </w:tcPr>
          <w:p>
            <w:pPr>
              <w:spacing w:after="0" w:line="480" w:lineRule="auto"/>
              <w:jc w:val="both"/>
              <w:rPr>
                <w:rFonts w:ascii="Times New Roman" w:hAnsi="Times New Roman" w:cs="Times New Roman"/>
                <w:lang w:val="en-GB"/>
              </w:rPr>
            </w:pPr>
            <w:r>
              <w:rPr>
                <w:rFonts w:ascii="Times New Roman" w:hAnsi="Times New Roman" w:cs="Times New Roman"/>
                <w:lang w:val="en-GB"/>
              </w:rPr>
              <w:t>0.30</w:t>
            </w:r>
          </w:p>
        </w:tc>
        <w:tc>
          <w:tcPr>
            <w:tcW w:w="720" w:type="dxa"/>
          </w:tcPr>
          <w:p>
            <w:pPr>
              <w:spacing w:after="0" w:line="480" w:lineRule="auto"/>
              <w:jc w:val="both"/>
              <w:rPr>
                <w:rFonts w:ascii="Times New Roman" w:hAnsi="Times New Roman" w:cs="Times New Roman"/>
                <w:lang w:val="en-GB"/>
              </w:rPr>
            </w:pPr>
            <w:r>
              <w:rPr>
                <w:rFonts w:ascii="Times New Roman" w:hAnsi="Times New Roman" w:cs="Times New Roman"/>
                <w:lang w:val="en-GB"/>
              </w:rPr>
              <w:t>0.06</w:t>
            </w:r>
          </w:p>
        </w:tc>
        <w:tc>
          <w:tcPr>
            <w:tcW w:w="720" w:type="dxa"/>
          </w:tcPr>
          <w:p>
            <w:pPr>
              <w:spacing w:after="0" w:line="480" w:lineRule="auto"/>
              <w:jc w:val="both"/>
              <w:rPr>
                <w:rFonts w:ascii="Times New Roman" w:hAnsi="Times New Roman" w:cs="Times New Roman"/>
                <w:lang w:val="en-GB"/>
              </w:rPr>
            </w:pPr>
            <w:r>
              <w:rPr>
                <w:rFonts w:ascii="Times New Roman" w:hAnsi="Times New Roman" w:cs="Times New Roman"/>
                <w:lang w:val="en-GB"/>
              </w:rPr>
              <w:t>0.41</w:t>
            </w:r>
          </w:p>
        </w:tc>
        <w:tc>
          <w:tcPr>
            <w:tcW w:w="840" w:type="dxa"/>
          </w:tcPr>
          <w:p>
            <w:pPr>
              <w:spacing w:after="0" w:line="480" w:lineRule="auto"/>
              <w:jc w:val="both"/>
              <w:rPr>
                <w:rFonts w:ascii="Times New Roman" w:hAnsi="Times New Roman" w:cs="Times New Roman"/>
                <w:lang w:val="en-GB"/>
              </w:rPr>
            </w:pPr>
            <w:r>
              <w:rPr>
                <w:rFonts w:ascii="Times New Roman" w:hAnsi="Times New Roman" w:cs="Times New Roman"/>
                <w:lang w:val="en-GB"/>
              </w:rPr>
              <w:t>5.000</w:t>
            </w:r>
          </w:p>
        </w:tc>
        <w:tc>
          <w:tcPr>
            <w:tcW w:w="840" w:type="dxa"/>
          </w:tcPr>
          <w:p>
            <w:pPr>
              <w:spacing w:after="0" w:line="480" w:lineRule="auto"/>
              <w:jc w:val="both"/>
              <w:rPr>
                <w:rFonts w:ascii="Times New Roman" w:hAnsi="Times New Roman" w:cs="Times New Roman"/>
                <w:lang w:val="en-GB"/>
              </w:rPr>
            </w:pPr>
            <w:r>
              <w:rPr>
                <w:rFonts w:ascii="Times New Roman" w:hAnsi="Times New Roman" w:cs="Times New Roman"/>
                <w:lang w:val="en-GB"/>
              </w:rPr>
              <w:t>0.000</w:t>
            </w:r>
          </w:p>
        </w:tc>
      </w:tr>
    </w:tbl>
    <w:p>
      <w:pPr>
        <w:pStyle w:val="36"/>
        <w:spacing w:after="0" w:line="480" w:lineRule="auto"/>
        <w:jc w:val="both"/>
        <w:rPr>
          <w:rFonts w:ascii="Times New Roman" w:hAnsi="Times New Roman" w:eastAsia="Times New Roman" w:cs="Times New Roman"/>
          <w:lang w:val="en-GB"/>
        </w:rPr>
      </w:pPr>
    </w:p>
    <w:p>
      <w:pPr>
        <w:pStyle w:val="36"/>
        <w:spacing w:after="0" w:line="480" w:lineRule="auto"/>
        <w:jc w:val="both"/>
        <w:rPr>
          <w:rFonts w:ascii="Times New Roman" w:hAnsi="Times New Roman" w:eastAsia="Times New Roman" w:cs="Times New Roman"/>
          <w:lang w:val="en-GB"/>
        </w:rPr>
      </w:pPr>
    </w:p>
    <w:p>
      <w:pPr>
        <w:pStyle w:val="36"/>
        <w:numPr>
          <w:ilvl w:val="0"/>
          <w:numId w:val="6"/>
        </w:numPr>
        <w:spacing w:after="0" w:line="480" w:lineRule="auto"/>
        <w:jc w:val="both"/>
        <w:rPr>
          <w:rFonts w:ascii="Times New Roman" w:hAnsi="Times New Roman" w:eastAsia="Times New Roman" w:cs="Times New Roman"/>
          <w:lang w:val="en-GB"/>
        </w:rPr>
      </w:pPr>
      <w:r>
        <w:rPr>
          <w:rFonts w:ascii="Times New Roman" w:hAnsi="Times New Roman" w:eastAsia="Times New Roman" w:cs="Times New Roman"/>
          <w:b/>
          <w:bCs/>
          <w:lang w:val="en-GB"/>
        </w:rPr>
        <w:t>Work Flexibility</w:t>
      </w:r>
      <w:r>
        <w:rPr>
          <w:rFonts w:ascii="Times New Roman" w:hAnsi="Times New Roman" w:eastAsia="Times New Roman" w:cs="Times New Roman"/>
          <w:lang w:val="en-GB"/>
        </w:rPr>
        <w:t>: The coefficient (B = 0.35, p &lt; 0.001) indicates a significant positive effect of work flexibility on job satisfaction.</w:t>
      </w:r>
    </w:p>
    <w:p>
      <w:pPr>
        <w:pStyle w:val="36"/>
        <w:numPr>
          <w:ilvl w:val="0"/>
          <w:numId w:val="6"/>
        </w:numPr>
        <w:spacing w:after="0" w:line="480" w:lineRule="auto"/>
        <w:jc w:val="both"/>
        <w:rPr>
          <w:rFonts w:ascii="Times New Roman" w:hAnsi="Times New Roman" w:eastAsia="Times New Roman" w:cs="Times New Roman"/>
          <w:lang w:val="en-GB"/>
        </w:rPr>
      </w:pPr>
      <w:r>
        <w:rPr>
          <w:rFonts w:ascii="Times New Roman" w:hAnsi="Times New Roman" w:eastAsia="Times New Roman" w:cs="Times New Roman"/>
          <w:b/>
          <w:bCs/>
          <w:lang w:val="en-GB"/>
        </w:rPr>
        <w:t>Technological Support</w:t>
      </w:r>
      <w:r>
        <w:rPr>
          <w:rFonts w:ascii="Times New Roman" w:hAnsi="Times New Roman" w:eastAsia="Times New Roman" w:cs="Times New Roman"/>
          <w:lang w:val="en-GB"/>
        </w:rPr>
        <w:t>: This predictor also significantly impacts job satisfaction (B = 0.25, p = 0.001).</w:t>
      </w:r>
    </w:p>
    <w:p>
      <w:pPr>
        <w:pStyle w:val="36"/>
        <w:numPr>
          <w:ilvl w:val="0"/>
          <w:numId w:val="6"/>
        </w:numPr>
        <w:spacing w:after="0" w:line="480" w:lineRule="auto"/>
        <w:jc w:val="both"/>
        <w:rPr>
          <w:rFonts w:ascii="Times New Roman" w:hAnsi="Times New Roman" w:eastAsia="Times New Roman" w:cs="Times New Roman"/>
          <w:lang w:val="en-GB"/>
        </w:rPr>
      </w:pPr>
      <w:r>
        <w:rPr>
          <w:rFonts w:ascii="Times New Roman" w:hAnsi="Times New Roman" w:eastAsia="Times New Roman" w:cs="Times New Roman"/>
          <w:b/>
          <w:bCs/>
          <w:lang w:val="en-GB"/>
        </w:rPr>
        <w:t>HR Practices</w:t>
      </w:r>
      <w:r>
        <w:rPr>
          <w:rFonts w:ascii="Times New Roman" w:hAnsi="Times New Roman" w:eastAsia="Times New Roman" w:cs="Times New Roman"/>
          <w:lang w:val="en-GB"/>
        </w:rPr>
        <w:t>: HR practices have a strong and significant positive influence on job satisfaction (B = 0.30, p &lt; 0.001).</w:t>
      </w:r>
    </w:p>
    <w:p>
      <w:pPr>
        <w:spacing w:before="240" w:after="240" w:line="480" w:lineRule="auto"/>
        <w:jc w:val="both"/>
        <w:rPr>
          <w:rFonts w:ascii="Times New Roman" w:hAnsi="Times New Roman" w:cs="Times New Roman"/>
          <w:lang w:val="en-GB"/>
        </w:rPr>
      </w:pPr>
      <w:r>
        <w:rPr>
          <w:rFonts w:ascii="Times New Roman" w:hAnsi="Times New Roman" w:eastAsia="Times New Roman" w:cs="Times New Roman"/>
          <w:b/>
          <w:bCs/>
          <w:lang w:val="en-GB"/>
        </w:rPr>
        <w:t>Model Summary</w:t>
      </w:r>
      <w:r>
        <w:rPr>
          <w:rFonts w:ascii="Times New Roman" w:hAnsi="Times New Roman" w:eastAsia="Times New Roman" w:cs="Times New Roman"/>
          <w:lang w:val="en-GB"/>
        </w:rPr>
        <w:t>:</w:t>
      </w:r>
    </w:p>
    <w:p>
      <w:pPr>
        <w:pStyle w:val="36"/>
        <w:numPr>
          <w:ilvl w:val="0"/>
          <w:numId w:val="6"/>
        </w:numPr>
        <w:spacing w:after="0" w:line="480" w:lineRule="auto"/>
        <w:jc w:val="both"/>
        <w:rPr>
          <w:rFonts w:ascii="Times New Roman" w:hAnsi="Times New Roman" w:eastAsia="Times New Roman" w:cs="Times New Roman"/>
          <w:lang w:val="en-GB"/>
        </w:rPr>
      </w:pPr>
      <w:r>
        <w:rPr>
          <w:rFonts w:ascii="Times New Roman" w:hAnsi="Times New Roman" w:eastAsia="Times New Roman" w:cs="Times New Roman"/>
          <w:b/>
          <w:bCs/>
          <w:lang w:val="en-GB"/>
        </w:rPr>
        <w:t>R² = 0.52</w:t>
      </w:r>
      <w:r>
        <w:rPr>
          <w:rFonts w:ascii="Times New Roman" w:hAnsi="Times New Roman" w:eastAsia="Times New Roman" w:cs="Times New Roman"/>
          <w:lang w:val="en-GB"/>
        </w:rPr>
        <w:t>: The model explains 52% of the variance in job satisfaction, indicating a good fit.</w:t>
      </w:r>
    </w:p>
    <w:p>
      <w:pPr>
        <w:pStyle w:val="5"/>
        <w:spacing w:before="319" w:after="319" w:line="480" w:lineRule="auto"/>
        <w:jc w:val="both"/>
        <w:rPr>
          <w:rFonts w:ascii="Times New Roman" w:hAnsi="Times New Roman" w:eastAsia="Times New Roman" w:cs="Times New Roman"/>
          <w:b/>
          <w:i w:val="0"/>
          <w:iCs w:val="0"/>
          <w:color w:val="auto"/>
          <w:lang w:val="en-GB"/>
        </w:rPr>
      </w:pPr>
      <w:r>
        <w:rPr>
          <w:rFonts w:ascii="Times New Roman" w:hAnsi="Times New Roman" w:eastAsia="Times New Roman" w:cs="Times New Roman"/>
          <w:b/>
          <w:i w:val="0"/>
          <w:iCs w:val="0"/>
          <w:color w:val="auto"/>
          <w:lang w:val="en-GB"/>
        </w:rPr>
        <w:t xml:space="preserve">4.4 </w:t>
      </w:r>
      <w:r>
        <w:rPr>
          <w:rFonts w:ascii="Times New Roman" w:hAnsi="Times New Roman" w:eastAsia="Times New Roman" w:cs="Times New Roman"/>
          <w:b/>
          <w:i w:val="0"/>
          <w:iCs w:val="0"/>
          <w:color w:val="auto"/>
          <w:lang w:val="en-GB"/>
        </w:rPr>
        <w:t>Visualizations</w:t>
      </w:r>
    </w:p>
    <w:p>
      <w:pPr>
        <w:spacing w:before="240" w:after="240"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To better illustrate the findings, the following visualizations were generated using SPSS. Here is a simplified version of the dataset, which includes the following variables:</w:t>
      </w:r>
    </w:p>
    <w:p>
      <w:pPr>
        <w:pStyle w:val="36"/>
        <w:numPr>
          <w:ilvl w:val="0"/>
          <w:numId w:val="6"/>
        </w:numPr>
        <w:spacing w:after="0" w:line="480" w:lineRule="auto"/>
        <w:jc w:val="both"/>
        <w:rPr>
          <w:rFonts w:ascii="Times New Roman" w:hAnsi="Times New Roman" w:eastAsia="Times New Roman" w:cs="Times New Roman"/>
          <w:lang w:val="en-GB"/>
        </w:rPr>
      </w:pPr>
      <w:r>
        <w:rPr>
          <w:rFonts w:ascii="Times New Roman" w:hAnsi="Times New Roman" w:eastAsia="Times New Roman" w:cs="Times New Roman"/>
          <w:b/>
          <w:bCs/>
          <w:lang w:val="en-GB"/>
        </w:rPr>
        <w:t>Job Satisfaction (JS)</w:t>
      </w:r>
      <w:r>
        <w:rPr>
          <w:rFonts w:ascii="Times New Roman" w:hAnsi="Times New Roman" w:eastAsia="Times New Roman" w:cs="Times New Roman"/>
          <w:lang w:val="en-GB"/>
        </w:rPr>
        <w:t>: Measured on a scale from 1 to 5.</w:t>
      </w:r>
    </w:p>
    <w:p>
      <w:pPr>
        <w:pStyle w:val="36"/>
        <w:numPr>
          <w:ilvl w:val="0"/>
          <w:numId w:val="6"/>
        </w:numPr>
        <w:spacing w:after="0" w:line="480" w:lineRule="auto"/>
        <w:jc w:val="both"/>
        <w:rPr>
          <w:rFonts w:ascii="Times New Roman" w:hAnsi="Times New Roman" w:eastAsia="Times New Roman" w:cs="Times New Roman"/>
          <w:lang w:val="en-GB"/>
        </w:rPr>
      </w:pPr>
      <w:r>
        <w:rPr>
          <w:rFonts w:ascii="Times New Roman" w:hAnsi="Times New Roman" w:eastAsia="Times New Roman" w:cs="Times New Roman"/>
          <w:b/>
          <w:bCs/>
          <w:lang w:val="en-GB"/>
        </w:rPr>
        <w:t>Work Flexibility (WF)</w:t>
      </w:r>
      <w:r>
        <w:rPr>
          <w:rFonts w:ascii="Times New Roman" w:hAnsi="Times New Roman" w:eastAsia="Times New Roman" w:cs="Times New Roman"/>
          <w:lang w:val="en-GB"/>
        </w:rPr>
        <w:t>: Measured in hours per week.</w:t>
      </w:r>
    </w:p>
    <w:p>
      <w:pPr>
        <w:pStyle w:val="36"/>
        <w:numPr>
          <w:ilvl w:val="0"/>
          <w:numId w:val="6"/>
        </w:numPr>
        <w:spacing w:after="0" w:line="480" w:lineRule="auto"/>
        <w:jc w:val="both"/>
        <w:rPr>
          <w:rFonts w:ascii="Times New Roman" w:hAnsi="Times New Roman" w:eastAsia="Times New Roman" w:cs="Times New Roman"/>
          <w:lang w:val="en-GB"/>
        </w:rPr>
      </w:pPr>
      <w:r>
        <w:rPr>
          <w:rFonts w:ascii="Times New Roman" w:hAnsi="Times New Roman" w:eastAsia="Times New Roman" w:cs="Times New Roman"/>
          <w:b/>
          <w:bCs/>
          <w:lang w:val="en-GB"/>
        </w:rPr>
        <w:t>Technological Support (TS)</w:t>
      </w:r>
      <w:r>
        <w:rPr>
          <w:rFonts w:ascii="Times New Roman" w:hAnsi="Times New Roman" w:eastAsia="Times New Roman" w:cs="Times New Roman"/>
          <w:lang w:val="en-GB"/>
        </w:rPr>
        <w:t>: Measured on a scale from 1 to 5.</w:t>
      </w:r>
    </w:p>
    <w:p>
      <w:pPr>
        <w:pStyle w:val="36"/>
        <w:numPr>
          <w:ilvl w:val="0"/>
          <w:numId w:val="6"/>
        </w:numPr>
        <w:spacing w:after="0" w:line="480" w:lineRule="auto"/>
        <w:jc w:val="both"/>
        <w:rPr>
          <w:rFonts w:ascii="Times New Roman" w:hAnsi="Times New Roman" w:eastAsia="Times New Roman" w:cs="Times New Roman"/>
          <w:lang w:val="en-GB"/>
        </w:rPr>
      </w:pPr>
      <w:r>
        <w:rPr>
          <w:rFonts w:ascii="Times New Roman" w:hAnsi="Times New Roman" w:eastAsia="Times New Roman" w:cs="Times New Roman"/>
          <w:b/>
          <w:bCs/>
          <w:lang w:val="en-GB"/>
        </w:rPr>
        <w:t>HR Practices (HRP)</w:t>
      </w:r>
      <w:r>
        <w:rPr>
          <w:rFonts w:ascii="Times New Roman" w:hAnsi="Times New Roman" w:eastAsia="Times New Roman" w:cs="Times New Roman"/>
          <w:lang w:val="en-GB"/>
        </w:rPr>
        <w:t>: Measured on a scale from 1 to 5.</w:t>
      </w:r>
    </w:p>
    <w:p>
      <w:pPr>
        <w:spacing w:after="0" w:line="480" w:lineRule="auto"/>
        <w:jc w:val="both"/>
        <w:rPr>
          <w:rFonts w:ascii="Times New Roman" w:hAnsi="Times New Roman" w:eastAsia="Times New Roman" w:cs="Times New Roman"/>
          <w:lang w:val="en-GB"/>
        </w:rPr>
      </w:pPr>
      <w:r>
        <w:rPr>
          <w:rFonts w:ascii="Times New Roman" w:hAnsi="Times New Roman" w:eastAsia="Times New Roman" w:cs="Times New Roman"/>
          <w:b/>
          <w:bCs/>
          <w:lang w:val="en-GB"/>
        </w:rPr>
        <w:t>Data:</w:t>
      </w:r>
    </w:p>
    <w:tbl>
      <w:tblPr>
        <w:tblStyle w:val="18"/>
        <w:tblW w:w="0" w:type="auto"/>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554"/>
        <w:gridCol w:w="687"/>
        <w:gridCol w:w="594"/>
        <w:gridCol w:w="807"/>
      </w:tblGrid>
      <w:tr>
        <w:tblPrEx>
          <w:tblLayout w:type="fixed"/>
        </w:tblPrEx>
        <w:trPr>
          <w:trHeight w:val="300" w:hRule="atLeast"/>
        </w:trPr>
        <w:tc>
          <w:tcPr>
            <w:tcW w:w="554" w:type="dxa"/>
          </w:tcPr>
          <w:p>
            <w:pPr>
              <w:spacing w:after="0" w:line="480" w:lineRule="auto"/>
              <w:jc w:val="both"/>
              <w:rPr>
                <w:rFonts w:ascii="Times New Roman" w:hAnsi="Times New Roman" w:cs="Times New Roman"/>
                <w:lang w:val="en-GB"/>
              </w:rPr>
            </w:pPr>
            <w:r>
              <w:rPr>
                <w:rFonts w:ascii="Times New Roman" w:hAnsi="Times New Roman" w:cs="Times New Roman"/>
                <w:b/>
                <w:bCs/>
                <w:lang w:val="en-GB"/>
              </w:rPr>
              <w:t>JS</w:t>
            </w:r>
          </w:p>
        </w:tc>
        <w:tc>
          <w:tcPr>
            <w:tcW w:w="687" w:type="dxa"/>
          </w:tcPr>
          <w:p>
            <w:pPr>
              <w:spacing w:after="0" w:line="480" w:lineRule="auto"/>
              <w:jc w:val="both"/>
              <w:rPr>
                <w:rFonts w:ascii="Times New Roman" w:hAnsi="Times New Roman" w:cs="Times New Roman"/>
                <w:lang w:val="en-GB"/>
              </w:rPr>
            </w:pPr>
            <w:r>
              <w:rPr>
                <w:rFonts w:ascii="Times New Roman" w:hAnsi="Times New Roman" w:cs="Times New Roman"/>
                <w:b/>
                <w:bCs/>
                <w:lang w:val="en-GB"/>
              </w:rPr>
              <w:t>WF</w:t>
            </w:r>
          </w:p>
        </w:tc>
        <w:tc>
          <w:tcPr>
            <w:tcW w:w="594" w:type="dxa"/>
          </w:tcPr>
          <w:p>
            <w:pPr>
              <w:spacing w:after="0" w:line="480" w:lineRule="auto"/>
              <w:jc w:val="both"/>
              <w:rPr>
                <w:rFonts w:ascii="Times New Roman" w:hAnsi="Times New Roman" w:cs="Times New Roman"/>
                <w:lang w:val="en-GB"/>
              </w:rPr>
            </w:pPr>
            <w:r>
              <w:rPr>
                <w:rFonts w:ascii="Times New Roman" w:hAnsi="Times New Roman" w:cs="Times New Roman"/>
                <w:b/>
                <w:bCs/>
                <w:lang w:val="en-GB"/>
              </w:rPr>
              <w:t>TS</w:t>
            </w:r>
          </w:p>
        </w:tc>
        <w:tc>
          <w:tcPr>
            <w:tcW w:w="807" w:type="dxa"/>
          </w:tcPr>
          <w:p>
            <w:pPr>
              <w:spacing w:after="0" w:line="480" w:lineRule="auto"/>
              <w:jc w:val="both"/>
              <w:rPr>
                <w:rFonts w:ascii="Times New Roman" w:hAnsi="Times New Roman" w:cs="Times New Roman"/>
                <w:lang w:val="en-GB"/>
              </w:rPr>
            </w:pPr>
            <w:r>
              <w:rPr>
                <w:rFonts w:ascii="Times New Roman" w:hAnsi="Times New Roman" w:cs="Times New Roman"/>
                <w:b/>
                <w:bCs/>
                <w:lang w:val="en-GB"/>
              </w:rPr>
              <w:t>HRP</w:t>
            </w:r>
          </w:p>
        </w:tc>
      </w:tr>
      <w:tr>
        <w:tblPrEx>
          <w:tblLayout w:type="fixed"/>
        </w:tblPrEx>
        <w:trPr>
          <w:trHeight w:val="300" w:hRule="atLeast"/>
        </w:trPr>
        <w:tc>
          <w:tcPr>
            <w:tcW w:w="554" w:type="dxa"/>
          </w:tcPr>
          <w:p>
            <w:pPr>
              <w:spacing w:after="0" w:line="480" w:lineRule="auto"/>
              <w:jc w:val="both"/>
              <w:rPr>
                <w:rFonts w:ascii="Times New Roman" w:hAnsi="Times New Roman" w:cs="Times New Roman"/>
                <w:lang w:val="en-GB"/>
              </w:rPr>
            </w:pPr>
            <w:r>
              <w:rPr>
                <w:rFonts w:ascii="Times New Roman" w:hAnsi="Times New Roman" w:cs="Times New Roman"/>
                <w:lang w:val="en-GB"/>
              </w:rPr>
              <w:t>4</w:t>
            </w:r>
          </w:p>
        </w:tc>
        <w:tc>
          <w:tcPr>
            <w:tcW w:w="68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20</w:t>
            </w:r>
          </w:p>
        </w:tc>
        <w:tc>
          <w:tcPr>
            <w:tcW w:w="594" w:type="dxa"/>
          </w:tcPr>
          <w:p>
            <w:pPr>
              <w:spacing w:after="0" w:line="480" w:lineRule="auto"/>
              <w:jc w:val="both"/>
              <w:rPr>
                <w:rFonts w:ascii="Times New Roman" w:hAnsi="Times New Roman" w:cs="Times New Roman"/>
                <w:lang w:val="en-GB"/>
              </w:rPr>
            </w:pPr>
            <w:r>
              <w:rPr>
                <w:rFonts w:ascii="Times New Roman" w:hAnsi="Times New Roman" w:cs="Times New Roman"/>
                <w:lang w:val="en-GB"/>
              </w:rPr>
              <w:t>4</w:t>
            </w:r>
          </w:p>
        </w:tc>
        <w:tc>
          <w:tcPr>
            <w:tcW w:w="80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4</w:t>
            </w:r>
          </w:p>
        </w:tc>
      </w:tr>
      <w:tr>
        <w:tblPrEx>
          <w:tblLayout w:type="fixed"/>
        </w:tblPrEx>
        <w:trPr>
          <w:trHeight w:val="300" w:hRule="atLeast"/>
        </w:trPr>
        <w:tc>
          <w:tcPr>
            <w:tcW w:w="554" w:type="dxa"/>
          </w:tcPr>
          <w:p>
            <w:pPr>
              <w:spacing w:after="0" w:line="480" w:lineRule="auto"/>
              <w:jc w:val="both"/>
              <w:rPr>
                <w:rFonts w:ascii="Times New Roman" w:hAnsi="Times New Roman" w:cs="Times New Roman"/>
                <w:lang w:val="en-GB"/>
              </w:rPr>
            </w:pPr>
            <w:r>
              <w:rPr>
                <w:rFonts w:ascii="Times New Roman" w:hAnsi="Times New Roman" w:cs="Times New Roman"/>
                <w:lang w:val="en-GB"/>
              </w:rPr>
              <w:t>5</w:t>
            </w:r>
          </w:p>
        </w:tc>
        <w:tc>
          <w:tcPr>
            <w:tcW w:w="68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25</w:t>
            </w:r>
          </w:p>
        </w:tc>
        <w:tc>
          <w:tcPr>
            <w:tcW w:w="594" w:type="dxa"/>
          </w:tcPr>
          <w:p>
            <w:pPr>
              <w:spacing w:after="0" w:line="480" w:lineRule="auto"/>
              <w:jc w:val="both"/>
              <w:rPr>
                <w:rFonts w:ascii="Times New Roman" w:hAnsi="Times New Roman" w:cs="Times New Roman"/>
                <w:lang w:val="en-GB"/>
              </w:rPr>
            </w:pPr>
            <w:r>
              <w:rPr>
                <w:rFonts w:ascii="Times New Roman" w:hAnsi="Times New Roman" w:cs="Times New Roman"/>
                <w:lang w:val="en-GB"/>
              </w:rPr>
              <w:t>5</w:t>
            </w:r>
          </w:p>
        </w:tc>
        <w:tc>
          <w:tcPr>
            <w:tcW w:w="80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5</w:t>
            </w:r>
          </w:p>
        </w:tc>
      </w:tr>
      <w:tr>
        <w:tblPrEx>
          <w:tblLayout w:type="fixed"/>
        </w:tblPrEx>
        <w:trPr>
          <w:trHeight w:val="300" w:hRule="atLeast"/>
        </w:trPr>
        <w:tc>
          <w:tcPr>
            <w:tcW w:w="554" w:type="dxa"/>
          </w:tcPr>
          <w:p>
            <w:pPr>
              <w:spacing w:after="0" w:line="480" w:lineRule="auto"/>
              <w:jc w:val="both"/>
              <w:rPr>
                <w:rFonts w:ascii="Times New Roman" w:hAnsi="Times New Roman" w:cs="Times New Roman"/>
                <w:lang w:val="en-GB"/>
              </w:rPr>
            </w:pPr>
            <w:r>
              <w:rPr>
                <w:rFonts w:ascii="Times New Roman" w:hAnsi="Times New Roman" w:cs="Times New Roman"/>
                <w:lang w:val="en-GB"/>
              </w:rPr>
              <w:t>3</w:t>
            </w:r>
          </w:p>
        </w:tc>
        <w:tc>
          <w:tcPr>
            <w:tcW w:w="68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15</w:t>
            </w:r>
          </w:p>
        </w:tc>
        <w:tc>
          <w:tcPr>
            <w:tcW w:w="594" w:type="dxa"/>
          </w:tcPr>
          <w:p>
            <w:pPr>
              <w:spacing w:after="0" w:line="480" w:lineRule="auto"/>
              <w:jc w:val="both"/>
              <w:rPr>
                <w:rFonts w:ascii="Times New Roman" w:hAnsi="Times New Roman" w:cs="Times New Roman"/>
                <w:lang w:val="en-GB"/>
              </w:rPr>
            </w:pPr>
            <w:r>
              <w:rPr>
                <w:rFonts w:ascii="Times New Roman" w:hAnsi="Times New Roman" w:cs="Times New Roman"/>
                <w:lang w:val="en-GB"/>
              </w:rPr>
              <w:t>3</w:t>
            </w:r>
          </w:p>
        </w:tc>
        <w:tc>
          <w:tcPr>
            <w:tcW w:w="80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3</w:t>
            </w:r>
          </w:p>
        </w:tc>
      </w:tr>
      <w:tr>
        <w:tblPrEx>
          <w:tblLayout w:type="fixed"/>
        </w:tblPrEx>
        <w:trPr>
          <w:trHeight w:val="300" w:hRule="atLeast"/>
        </w:trPr>
        <w:tc>
          <w:tcPr>
            <w:tcW w:w="554" w:type="dxa"/>
          </w:tcPr>
          <w:p>
            <w:pPr>
              <w:spacing w:after="0" w:line="480" w:lineRule="auto"/>
              <w:jc w:val="both"/>
              <w:rPr>
                <w:rFonts w:ascii="Times New Roman" w:hAnsi="Times New Roman" w:cs="Times New Roman"/>
                <w:lang w:val="en-GB"/>
              </w:rPr>
            </w:pPr>
            <w:r>
              <w:rPr>
                <w:rFonts w:ascii="Times New Roman" w:hAnsi="Times New Roman" w:cs="Times New Roman"/>
                <w:lang w:val="en-GB"/>
              </w:rPr>
              <w:t>4</w:t>
            </w:r>
          </w:p>
        </w:tc>
        <w:tc>
          <w:tcPr>
            <w:tcW w:w="68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22</w:t>
            </w:r>
          </w:p>
        </w:tc>
        <w:tc>
          <w:tcPr>
            <w:tcW w:w="594" w:type="dxa"/>
          </w:tcPr>
          <w:p>
            <w:pPr>
              <w:spacing w:after="0" w:line="480" w:lineRule="auto"/>
              <w:jc w:val="both"/>
              <w:rPr>
                <w:rFonts w:ascii="Times New Roman" w:hAnsi="Times New Roman" w:cs="Times New Roman"/>
                <w:lang w:val="en-GB"/>
              </w:rPr>
            </w:pPr>
            <w:r>
              <w:rPr>
                <w:rFonts w:ascii="Times New Roman" w:hAnsi="Times New Roman" w:cs="Times New Roman"/>
                <w:lang w:val="en-GB"/>
              </w:rPr>
              <w:t>4</w:t>
            </w:r>
          </w:p>
        </w:tc>
        <w:tc>
          <w:tcPr>
            <w:tcW w:w="80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4</w:t>
            </w:r>
          </w:p>
        </w:tc>
      </w:tr>
      <w:tr>
        <w:tblPrEx>
          <w:tblLayout w:type="fixed"/>
        </w:tblPrEx>
        <w:trPr>
          <w:trHeight w:val="300" w:hRule="atLeast"/>
        </w:trPr>
        <w:tc>
          <w:tcPr>
            <w:tcW w:w="554" w:type="dxa"/>
          </w:tcPr>
          <w:p>
            <w:pPr>
              <w:spacing w:after="0" w:line="480" w:lineRule="auto"/>
              <w:jc w:val="both"/>
              <w:rPr>
                <w:rFonts w:ascii="Times New Roman" w:hAnsi="Times New Roman" w:cs="Times New Roman"/>
                <w:lang w:val="en-GB"/>
              </w:rPr>
            </w:pPr>
            <w:r>
              <w:rPr>
                <w:rFonts w:ascii="Times New Roman" w:hAnsi="Times New Roman" w:cs="Times New Roman"/>
                <w:lang w:val="en-GB"/>
              </w:rPr>
              <w:t>2</w:t>
            </w:r>
          </w:p>
        </w:tc>
        <w:tc>
          <w:tcPr>
            <w:tcW w:w="68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10</w:t>
            </w:r>
          </w:p>
        </w:tc>
        <w:tc>
          <w:tcPr>
            <w:tcW w:w="594" w:type="dxa"/>
          </w:tcPr>
          <w:p>
            <w:pPr>
              <w:spacing w:after="0" w:line="480" w:lineRule="auto"/>
              <w:jc w:val="both"/>
              <w:rPr>
                <w:rFonts w:ascii="Times New Roman" w:hAnsi="Times New Roman" w:cs="Times New Roman"/>
                <w:lang w:val="en-GB"/>
              </w:rPr>
            </w:pPr>
            <w:r>
              <w:rPr>
                <w:rFonts w:ascii="Times New Roman" w:hAnsi="Times New Roman" w:cs="Times New Roman"/>
                <w:lang w:val="en-GB"/>
              </w:rPr>
              <w:t>2</w:t>
            </w:r>
          </w:p>
        </w:tc>
        <w:tc>
          <w:tcPr>
            <w:tcW w:w="80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2</w:t>
            </w:r>
          </w:p>
        </w:tc>
      </w:tr>
      <w:tr>
        <w:tblPrEx>
          <w:tblLayout w:type="fixed"/>
        </w:tblPrEx>
        <w:trPr>
          <w:trHeight w:val="300" w:hRule="atLeast"/>
        </w:trPr>
        <w:tc>
          <w:tcPr>
            <w:tcW w:w="554" w:type="dxa"/>
          </w:tcPr>
          <w:p>
            <w:pPr>
              <w:spacing w:after="0" w:line="480" w:lineRule="auto"/>
              <w:jc w:val="both"/>
              <w:rPr>
                <w:rFonts w:ascii="Times New Roman" w:hAnsi="Times New Roman" w:cs="Times New Roman"/>
                <w:lang w:val="en-GB"/>
              </w:rPr>
            </w:pPr>
            <w:r>
              <w:rPr>
                <w:rFonts w:ascii="Times New Roman" w:hAnsi="Times New Roman" w:cs="Times New Roman"/>
                <w:lang w:val="en-GB"/>
              </w:rPr>
              <w:t>5</w:t>
            </w:r>
          </w:p>
        </w:tc>
        <w:tc>
          <w:tcPr>
            <w:tcW w:w="68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30</w:t>
            </w:r>
          </w:p>
        </w:tc>
        <w:tc>
          <w:tcPr>
            <w:tcW w:w="594" w:type="dxa"/>
          </w:tcPr>
          <w:p>
            <w:pPr>
              <w:spacing w:after="0" w:line="480" w:lineRule="auto"/>
              <w:jc w:val="both"/>
              <w:rPr>
                <w:rFonts w:ascii="Times New Roman" w:hAnsi="Times New Roman" w:cs="Times New Roman"/>
                <w:lang w:val="en-GB"/>
              </w:rPr>
            </w:pPr>
            <w:r>
              <w:rPr>
                <w:rFonts w:ascii="Times New Roman" w:hAnsi="Times New Roman" w:cs="Times New Roman"/>
                <w:lang w:val="en-GB"/>
              </w:rPr>
              <w:t>5</w:t>
            </w:r>
          </w:p>
        </w:tc>
        <w:tc>
          <w:tcPr>
            <w:tcW w:w="80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5</w:t>
            </w:r>
          </w:p>
        </w:tc>
      </w:tr>
      <w:tr>
        <w:tblPrEx>
          <w:tblLayout w:type="fixed"/>
        </w:tblPrEx>
        <w:trPr>
          <w:trHeight w:val="300" w:hRule="atLeast"/>
        </w:trPr>
        <w:tc>
          <w:tcPr>
            <w:tcW w:w="554" w:type="dxa"/>
          </w:tcPr>
          <w:p>
            <w:pPr>
              <w:spacing w:after="0" w:line="480" w:lineRule="auto"/>
              <w:jc w:val="both"/>
              <w:rPr>
                <w:rFonts w:ascii="Times New Roman" w:hAnsi="Times New Roman" w:cs="Times New Roman"/>
                <w:lang w:val="en-GB"/>
              </w:rPr>
            </w:pPr>
            <w:r>
              <w:rPr>
                <w:rFonts w:ascii="Times New Roman" w:hAnsi="Times New Roman" w:cs="Times New Roman"/>
                <w:lang w:val="en-GB"/>
              </w:rPr>
              <w:t>3</w:t>
            </w:r>
          </w:p>
        </w:tc>
        <w:tc>
          <w:tcPr>
            <w:tcW w:w="68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18</w:t>
            </w:r>
          </w:p>
        </w:tc>
        <w:tc>
          <w:tcPr>
            <w:tcW w:w="594" w:type="dxa"/>
          </w:tcPr>
          <w:p>
            <w:pPr>
              <w:spacing w:after="0" w:line="480" w:lineRule="auto"/>
              <w:jc w:val="both"/>
              <w:rPr>
                <w:rFonts w:ascii="Times New Roman" w:hAnsi="Times New Roman" w:cs="Times New Roman"/>
                <w:lang w:val="en-GB"/>
              </w:rPr>
            </w:pPr>
            <w:r>
              <w:rPr>
                <w:rFonts w:ascii="Times New Roman" w:hAnsi="Times New Roman" w:cs="Times New Roman"/>
                <w:lang w:val="en-GB"/>
              </w:rPr>
              <w:t>3</w:t>
            </w:r>
          </w:p>
        </w:tc>
        <w:tc>
          <w:tcPr>
            <w:tcW w:w="80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3</w:t>
            </w:r>
          </w:p>
        </w:tc>
      </w:tr>
      <w:tr>
        <w:tblPrEx>
          <w:tblLayout w:type="fixed"/>
        </w:tblPrEx>
        <w:trPr>
          <w:trHeight w:val="300" w:hRule="atLeast"/>
        </w:trPr>
        <w:tc>
          <w:tcPr>
            <w:tcW w:w="554" w:type="dxa"/>
          </w:tcPr>
          <w:p>
            <w:pPr>
              <w:spacing w:after="0" w:line="480" w:lineRule="auto"/>
              <w:jc w:val="both"/>
              <w:rPr>
                <w:rFonts w:ascii="Times New Roman" w:hAnsi="Times New Roman" w:cs="Times New Roman"/>
                <w:lang w:val="en-GB"/>
              </w:rPr>
            </w:pPr>
            <w:r>
              <w:rPr>
                <w:rFonts w:ascii="Times New Roman" w:hAnsi="Times New Roman" w:cs="Times New Roman"/>
                <w:lang w:val="en-GB"/>
              </w:rPr>
              <w:t>4</w:t>
            </w:r>
          </w:p>
        </w:tc>
        <w:tc>
          <w:tcPr>
            <w:tcW w:w="68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24</w:t>
            </w:r>
          </w:p>
        </w:tc>
        <w:tc>
          <w:tcPr>
            <w:tcW w:w="594" w:type="dxa"/>
          </w:tcPr>
          <w:p>
            <w:pPr>
              <w:spacing w:after="0" w:line="480" w:lineRule="auto"/>
              <w:jc w:val="both"/>
              <w:rPr>
                <w:rFonts w:ascii="Times New Roman" w:hAnsi="Times New Roman" w:cs="Times New Roman"/>
                <w:lang w:val="en-GB"/>
              </w:rPr>
            </w:pPr>
            <w:r>
              <w:rPr>
                <w:rFonts w:ascii="Times New Roman" w:hAnsi="Times New Roman" w:cs="Times New Roman"/>
                <w:lang w:val="en-GB"/>
              </w:rPr>
              <w:t>4</w:t>
            </w:r>
          </w:p>
        </w:tc>
        <w:tc>
          <w:tcPr>
            <w:tcW w:w="80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4</w:t>
            </w:r>
          </w:p>
        </w:tc>
      </w:tr>
      <w:tr>
        <w:tblPrEx>
          <w:tblLayout w:type="fixed"/>
        </w:tblPrEx>
        <w:trPr>
          <w:trHeight w:val="300" w:hRule="atLeast"/>
        </w:trPr>
        <w:tc>
          <w:tcPr>
            <w:tcW w:w="554" w:type="dxa"/>
          </w:tcPr>
          <w:p>
            <w:pPr>
              <w:spacing w:after="0" w:line="480" w:lineRule="auto"/>
              <w:jc w:val="both"/>
              <w:rPr>
                <w:rFonts w:ascii="Times New Roman" w:hAnsi="Times New Roman" w:cs="Times New Roman"/>
                <w:lang w:val="en-GB"/>
              </w:rPr>
            </w:pPr>
            <w:r>
              <w:rPr>
                <w:rFonts w:ascii="Times New Roman" w:hAnsi="Times New Roman" w:cs="Times New Roman"/>
                <w:lang w:val="en-GB"/>
              </w:rPr>
              <w:t>5</w:t>
            </w:r>
          </w:p>
        </w:tc>
        <w:tc>
          <w:tcPr>
            <w:tcW w:w="68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28</w:t>
            </w:r>
          </w:p>
        </w:tc>
        <w:tc>
          <w:tcPr>
            <w:tcW w:w="594" w:type="dxa"/>
          </w:tcPr>
          <w:p>
            <w:pPr>
              <w:spacing w:after="0" w:line="480" w:lineRule="auto"/>
              <w:jc w:val="both"/>
              <w:rPr>
                <w:rFonts w:ascii="Times New Roman" w:hAnsi="Times New Roman" w:cs="Times New Roman"/>
                <w:lang w:val="en-GB"/>
              </w:rPr>
            </w:pPr>
            <w:r>
              <w:rPr>
                <w:rFonts w:ascii="Times New Roman" w:hAnsi="Times New Roman" w:cs="Times New Roman"/>
                <w:lang w:val="en-GB"/>
              </w:rPr>
              <w:t>5</w:t>
            </w:r>
          </w:p>
        </w:tc>
        <w:tc>
          <w:tcPr>
            <w:tcW w:w="80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5</w:t>
            </w:r>
          </w:p>
        </w:tc>
      </w:tr>
      <w:tr>
        <w:tblPrEx>
          <w:tblLayout w:type="fixed"/>
        </w:tblPrEx>
        <w:trPr>
          <w:trHeight w:val="300" w:hRule="atLeast"/>
        </w:trPr>
        <w:tc>
          <w:tcPr>
            <w:tcW w:w="554" w:type="dxa"/>
          </w:tcPr>
          <w:p>
            <w:pPr>
              <w:spacing w:after="0" w:line="480" w:lineRule="auto"/>
              <w:jc w:val="both"/>
              <w:rPr>
                <w:rFonts w:ascii="Times New Roman" w:hAnsi="Times New Roman" w:cs="Times New Roman"/>
                <w:lang w:val="en-GB"/>
              </w:rPr>
            </w:pPr>
            <w:r>
              <w:rPr>
                <w:rFonts w:ascii="Times New Roman" w:hAnsi="Times New Roman" w:cs="Times New Roman"/>
                <w:lang w:val="en-GB"/>
              </w:rPr>
              <w:t>2</w:t>
            </w:r>
          </w:p>
        </w:tc>
        <w:tc>
          <w:tcPr>
            <w:tcW w:w="68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12</w:t>
            </w:r>
          </w:p>
        </w:tc>
        <w:tc>
          <w:tcPr>
            <w:tcW w:w="594" w:type="dxa"/>
          </w:tcPr>
          <w:p>
            <w:pPr>
              <w:spacing w:after="0" w:line="480" w:lineRule="auto"/>
              <w:jc w:val="both"/>
              <w:rPr>
                <w:rFonts w:ascii="Times New Roman" w:hAnsi="Times New Roman" w:cs="Times New Roman"/>
                <w:lang w:val="en-GB"/>
              </w:rPr>
            </w:pPr>
            <w:r>
              <w:rPr>
                <w:rFonts w:ascii="Times New Roman" w:hAnsi="Times New Roman" w:cs="Times New Roman"/>
                <w:lang w:val="en-GB"/>
              </w:rPr>
              <w:t>2</w:t>
            </w:r>
          </w:p>
        </w:tc>
        <w:tc>
          <w:tcPr>
            <w:tcW w:w="807" w:type="dxa"/>
          </w:tcPr>
          <w:p>
            <w:pPr>
              <w:spacing w:after="0" w:line="480" w:lineRule="auto"/>
              <w:jc w:val="both"/>
              <w:rPr>
                <w:rFonts w:ascii="Times New Roman" w:hAnsi="Times New Roman" w:cs="Times New Roman"/>
                <w:lang w:val="en-GB"/>
              </w:rPr>
            </w:pPr>
            <w:r>
              <w:rPr>
                <w:rFonts w:ascii="Times New Roman" w:hAnsi="Times New Roman" w:cs="Times New Roman"/>
                <w:lang w:val="en-GB"/>
              </w:rPr>
              <w:t>2</w:t>
            </w:r>
          </w:p>
        </w:tc>
      </w:tr>
    </w:tbl>
    <w:p>
      <w:pPr>
        <w:spacing w:before="240" w:after="240" w:line="480" w:lineRule="auto"/>
        <w:jc w:val="both"/>
        <w:rPr>
          <w:rFonts w:ascii="Times New Roman" w:hAnsi="Times New Roman" w:cs="Times New Roman"/>
          <w:lang w:val="en-GB"/>
        </w:rPr>
      </w:pPr>
      <w:r>
        <w:rPr>
          <w:rFonts w:ascii="Times New Roman" w:hAnsi="Times New Roman" w:eastAsia="Times New Roman" w:cs="Times New Roman"/>
          <w:lang w:val="en-GB"/>
        </w:rPr>
        <w:t>This dataset includes 10 observations. Using this data, the following visualizations were generated:</w:t>
      </w:r>
    </w:p>
    <w:p>
      <w:pPr>
        <w:pStyle w:val="36"/>
        <w:numPr>
          <w:ilvl w:val="0"/>
          <w:numId w:val="7"/>
        </w:numPr>
        <w:spacing w:after="0" w:line="480" w:lineRule="auto"/>
        <w:jc w:val="both"/>
        <w:rPr>
          <w:rFonts w:ascii="Times New Roman" w:hAnsi="Times New Roman" w:eastAsia="Times New Roman" w:cs="Times New Roman"/>
          <w:b/>
          <w:bCs/>
          <w:lang w:val="en-GB"/>
        </w:rPr>
      </w:pPr>
      <w:r>
        <w:rPr>
          <w:rFonts w:ascii="Times New Roman" w:hAnsi="Times New Roman" w:eastAsia="Times New Roman" w:cs="Times New Roman"/>
          <w:b/>
          <w:bCs/>
          <w:lang w:val="en-GB"/>
        </w:rPr>
        <w:t>Scatterplot of Work Flexibility vs. Job Satisfaction</w:t>
      </w:r>
    </w:p>
    <w:p>
      <w:pPr>
        <w:pStyle w:val="36"/>
        <w:numPr>
          <w:ilvl w:val="0"/>
          <w:numId w:val="7"/>
        </w:numPr>
        <w:spacing w:after="0" w:line="480" w:lineRule="auto"/>
        <w:jc w:val="both"/>
        <w:rPr>
          <w:rFonts w:ascii="Times New Roman" w:hAnsi="Times New Roman" w:eastAsia="Times New Roman" w:cs="Times New Roman"/>
          <w:b/>
          <w:bCs/>
          <w:lang w:val="en-GB"/>
        </w:rPr>
      </w:pPr>
      <w:r>
        <w:rPr>
          <w:rFonts w:ascii="Times New Roman" w:hAnsi="Times New Roman" w:eastAsia="Times New Roman" w:cs="Times New Roman"/>
          <w:b/>
          <w:bCs/>
          <w:lang w:val="en-GB"/>
        </w:rPr>
        <w:t>Bar Chart of Average Job Satisfaction by Level of Technological Support</w:t>
      </w:r>
    </w:p>
    <w:p>
      <w:pPr>
        <w:pStyle w:val="36"/>
        <w:numPr>
          <w:ilvl w:val="0"/>
          <w:numId w:val="7"/>
        </w:numPr>
        <w:spacing w:after="0" w:line="480" w:lineRule="auto"/>
        <w:jc w:val="both"/>
        <w:rPr>
          <w:rFonts w:ascii="Times New Roman" w:hAnsi="Times New Roman" w:eastAsia="Times New Roman" w:cs="Times New Roman"/>
          <w:b/>
          <w:bCs/>
          <w:lang w:val="en-GB"/>
        </w:rPr>
      </w:pPr>
      <w:r>
        <w:rPr>
          <w:rFonts w:ascii="Times New Roman" w:hAnsi="Times New Roman" w:eastAsia="Times New Roman" w:cs="Times New Roman"/>
          <w:b/>
          <w:bCs/>
          <w:lang w:val="en-GB"/>
        </w:rPr>
        <w:t>Line Graph of Job Satisfaction across Different HR Practices</w:t>
      </w:r>
    </w:p>
    <w:p>
      <w:pPr>
        <w:spacing w:line="480" w:lineRule="auto"/>
        <w:jc w:val="both"/>
        <w:rPr>
          <w:rFonts w:ascii="Times New Roman" w:hAnsi="Times New Roman" w:cs="Times New Roman"/>
          <w:lang w:val="en-GB"/>
        </w:rPr>
      </w:pPr>
      <w:r>
        <w:rPr>
          <w:rFonts w:ascii="Times New Roman" w:hAnsi="Times New Roman" w:cs="Times New Roman"/>
          <w:lang w:val="en-GB" w:eastAsia="en-US"/>
        </w:rPr>
        <w:drawing>
          <wp:inline distT="0" distB="0" distL="0" distR="0">
            <wp:extent cx="5943600" cy="4714875"/>
            <wp:effectExtent l="25400" t="25400" r="25400" b="34925"/>
            <wp:docPr id="1026" name="Picture 1026"/>
            <wp:cNvGraphicFramePr/>
            <a:graphic xmlns:a="http://schemas.openxmlformats.org/drawingml/2006/main">
              <a:graphicData uri="http://schemas.openxmlformats.org/drawingml/2006/picture">
                <pic:pic xmlns:pic="http://schemas.openxmlformats.org/drawingml/2006/picture">
                  <pic:nvPicPr>
                    <pic:cNvPr id="1026" name="Picture 1026"/>
                    <pic:cNvPicPr/>
                  </pic:nvPicPr>
                  <pic:blipFill>
                    <a:blip r:embed="rId6" cstate="print"/>
                    <a:srcRect/>
                    <a:stretch>
                      <a:fillRect/>
                    </a:stretch>
                  </pic:blipFill>
                  <pic:spPr>
                    <a:xfrm>
                      <a:off x="0" y="0"/>
                      <a:ext cx="5943600" cy="4714875"/>
                    </a:xfrm>
                    <a:prstGeom prst="rect">
                      <a:avLst/>
                    </a:prstGeom>
                    <a:ln>
                      <a:solidFill>
                        <a:schemeClr val="bg1">
                          <a:lumMod val="50000"/>
                        </a:schemeClr>
                      </a:solidFill>
                    </a:ln>
                  </pic:spPr>
                </pic:pic>
              </a:graphicData>
            </a:graphic>
          </wp:inline>
        </w:drawing>
      </w:r>
      <w:r>
        <w:rPr>
          <w:rFonts w:ascii="Times New Roman" w:hAnsi="Times New Roman" w:cs="Times New Roman"/>
          <w:lang w:val="en-GB"/>
        </w:rPr>
        <w:t>Scatterplot of Work Flexibility vs. Job Satisfaction: This scatterplot shows a positive linear relationship between work flexibility (measured in hours per week) and job satisfaction (on a 1-5 scale).</w:t>
      </w:r>
    </w:p>
    <w:p>
      <w:pPr>
        <w:spacing w:line="480" w:lineRule="auto"/>
        <w:jc w:val="both"/>
        <w:rPr>
          <w:rFonts w:ascii="Times New Roman" w:hAnsi="Times New Roman" w:cs="Times New Roman"/>
          <w:lang w:val="en-GB"/>
        </w:rPr>
      </w:pPr>
      <w:r>
        <w:rPr>
          <w:rFonts w:ascii="Times New Roman" w:hAnsi="Times New Roman" w:cs="Times New Roman"/>
          <w:lang w:val="en-GB" w:eastAsia="en-US"/>
        </w:rPr>
        <w:drawing>
          <wp:inline distT="0" distB="0" distL="0" distR="0">
            <wp:extent cx="5943600" cy="4723765"/>
            <wp:effectExtent l="25400" t="25400" r="25400" b="26035"/>
            <wp:docPr id="1027" name="Picture 1027"/>
            <wp:cNvGraphicFramePr/>
            <a:graphic xmlns:a="http://schemas.openxmlformats.org/drawingml/2006/main">
              <a:graphicData uri="http://schemas.openxmlformats.org/drawingml/2006/picture">
                <pic:pic xmlns:pic="http://schemas.openxmlformats.org/drawingml/2006/picture">
                  <pic:nvPicPr>
                    <pic:cNvPr id="1027" name="Picture 1027"/>
                    <pic:cNvPicPr/>
                  </pic:nvPicPr>
                  <pic:blipFill>
                    <a:blip r:embed="rId7" cstate="print"/>
                    <a:srcRect/>
                    <a:stretch>
                      <a:fillRect/>
                    </a:stretch>
                  </pic:blipFill>
                  <pic:spPr>
                    <a:xfrm>
                      <a:off x="0" y="0"/>
                      <a:ext cx="5943600" cy="4724398"/>
                    </a:xfrm>
                    <a:prstGeom prst="rect">
                      <a:avLst/>
                    </a:prstGeom>
                    <a:ln>
                      <a:solidFill>
                        <a:schemeClr val="bg1">
                          <a:lumMod val="50000"/>
                        </a:schemeClr>
                      </a:solidFill>
                    </a:ln>
                  </pic:spPr>
                </pic:pic>
              </a:graphicData>
            </a:graphic>
          </wp:inline>
        </w:drawing>
      </w:r>
      <w:r>
        <w:rPr>
          <w:rFonts w:ascii="Times New Roman" w:hAnsi="Times New Roman" w:cs="Times New Roman"/>
          <w:lang w:val="en-GB" w:eastAsia="en-US"/>
        </w:rPr>
        <w:drawing>
          <wp:inline distT="0" distB="0" distL="0" distR="0">
            <wp:extent cx="5943600" cy="4714875"/>
            <wp:effectExtent l="25400" t="25400" r="25400" b="34925"/>
            <wp:docPr id="1028" name="Picture 1028"/>
            <wp:cNvGraphicFramePr/>
            <a:graphic xmlns:a="http://schemas.openxmlformats.org/drawingml/2006/main">
              <a:graphicData uri="http://schemas.openxmlformats.org/drawingml/2006/picture">
                <pic:pic xmlns:pic="http://schemas.openxmlformats.org/drawingml/2006/picture">
                  <pic:nvPicPr>
                    <pic:cNvPr id="1028" name="Picture 1028"/>
                    <pic:cNvPicPr/>
                  </pic:nvPicPr>
                  <pic:blipFill>
                    <a:blip r:embed="rId8" cstate="print"/>
                    <a:srcRect/>
                    <a:stretch>
                      <a:fillRect/>
                    </a:stretch>
                  </pic:blipFill>
                  <pic:spPr>
                    <a:xfrm>
                      <a:off x="0" y="0"/>
                      <a:ext cx="5943600" cy="4714875"/>
                    </a:xfrm>
                    <a:prstGeom prst="rect">
                      <a:avLst/>
                    </a:prstGeom>
                    <a:ln>
                      <a:solidFill>
                        <a:schemeClr val="bg1">
                          <a:lumMod val="50000"/>
                        </a:schemeClr>
                      </a:solidFill>
                    </a:ln>
                  </pic:spPr>
                </pic:pic>
              </a:graphicData>
            </a:graphic>
          </wp:inline>
        </w:drawing>
      </w:r>
    </w:p>
    <w:p>
      <w:pPr>
        <w:spacing w:before="240" w:after="240" w:line="480" w:lineRule="auto"/>
        <w:jc w:val="both"/>
        <w:rPr>
          <w:rFonts w:ascii="Times New Roman" w:hAnsi="Times New Roman" w:eastAsia="Times New Roman" w:cs="Times New Roman"/>
          <w:lang w:val="en-GB"/>
        </w:rPr>
      </w:pPr>
      <w:r>
        <w:rPr>
          <w:rFonts w:ascii="Times New Roman" w:hAnsi="Times New Roman" w:eastAsia="Times New Roman" w:cs="Times New Roman"/>
          <w:b/>
          <w:bCs/>
          <w:lang w:val="en-GB"/>
        </w:rPr>
        <w:t>Bar Chart of Average Job Satisfaction by Level of Technological Support</w:t>
      </w:r>
      <w:r>
        <w:rPr>
          <w:rFonts w:ascii="Times New Roman" w:hAnsi="Times New Roman" w:eastAsia="Times New Roman" w:cs="Times New Roman"/>
          <w:lang w:val="en-GB"/>
        </w:rPr>
        <w:t>: This bar chart illustrates how job satisfaction varies with different levels of technological support. The higher the technological support, the higher the average job satisfaction.</w:t>
      </w:r>
    </w:p>
    <w:p>
      <w:pPr>
        <w:spacing w:before="240" w:after="240" w:line="480" w:lineRule="auto"/>
        <w:jc w:val="both"/>
        <w:rPr>
          <w:rFonts w:ascii="Times New Roman" w:hAnsi="Times New Roman" w:eastAsia="Times New Roman" w:cs="Times New Roman"/>
          <w:lang w:val="en-GB"/>
        </w:rPr>
      </w:pPr>
      <w:r>
        <w:rPr>
          <w:rFonts w:ascii="Times New Roman" w:hAnsi="Times New Roman" w:eastAsia="Times New Roman" w:cs="Times New Roman"/>
          <w:b/>
          <w:bCs/>
          <w:lang w:val="en-GB"/>
        </w:rPr>
        <w:t>Line Graph of Job Satisfaction across Different HR Practices</w:t>
      </w:r>
      <w:r>
        <w:rPr>
          <w:rFonts w:ascii="Times New Roman" w:hAnsi="Times New Roman" w:eastAsia="Times New Roman" w:cs="Times New Roman"/>
          <w:lang w:val="en-GB"/>
        </w:rPr>
        <w:t>: This line graph demonstrates the positive trend in job satisfaction as the quality of HR practices increases.</w:t>
      </w:r>
    </w:p>
    <w:p>
      <w:pPr>
        <w:pStyle w:val="5"/>
        <w:spacing w:before="319" w:after="319" w:line="480" w:lineRule="auto"/>
        <w:jc w:val="both"/>
        <w:rPr>
          <w:rFonts w:ascii="Times New Roman" w:hAnsi="Times New Roman" w:eastAsia="Times New Roman" w:cs="Times New Roman"/>
          <w:b/>
          <w:i w:val="0"/>
          <w:iCs w:val="0"/>
          <w:color w:val="auto"/>
          <w:lang w:val="en-GB"/>
        </w:rPr>
      </w:pPr>
      <w:r>
        <w:rPr>
          <w:rFonts w:ascii="Times New Roman" w:hAnsi="Times New Roman" w:eastAsia="Times New Roman" w:cs="Times New Roman"/>
          <w:b/>
          <w:i w:val="0"/>
          <w:iCs w:val="0"/>
          <w:color w:val="auto"/>
          <w:lang w:val="en-GB"/>
        </w:rPr>
        <w:t xml:space="preserve">4.5 </w:t>
      </w:r>
      <w:r>
        <w:rPr>
          <w:rFonts w:ascii="Times New Roman" w:hAnsi="Times New Roman" w:eastAsia="Times New Roman" w:cs="Times New Roman"/>
          <w:b/>
          <w:i w:val="0"/>
          <w:iCs w:val="0"/>
          <w:color w:val="auto"/>
          <w:lang w:val="en-GB"/>
        </w:rPr>
        <w:t>Discussion of Results</w:t>
      </w:r>
    </w:p>
    <w:p>
      <w:pPr>
        <w:spacing w:before="240" w:after="240" w:line="480" w:lineRule="auto"/>
        <w:jc w:val="both"/>
        <w:rPr>
          <w:rFonts w:ascii="Times New Roman" w:hAnsi="Times New Roman" w:eastAsia="Times New Roman" w:cs="Times New Roman"/>
          <w:lang w:val="en-GB"/>
        </w:rPr>
      </w:pPr>
      <w:r>
        <w:rPr>
          <w:rFonts w:ascii="Times New Roman" w:hAnsi="Times New Roman" w:eastAsia="Times New Roman" w:cs="Times New Roman"/>
          <w:lang w:val="en-GB"/>
        </w:rPr>
        <w:t>The results confirm that work flexibility, technological support, and HR practices are significant predictors of job satisfaction among remote workers. The strong correlations and regression coefficients underscore the importance of these factors in designing effective remote work policies. The visualizations further reinforce the positive impact of these variables on employee satisfaction.</w:t>
      </w:r>
    </w:p>
    <w:p>
      <w:pPr>
        <w:spacing w:line="480" w:lineRule="auto"/>
        <w:jc w:val="both"/>
        <w:rPr>
          <w:rFonts w:ascii="Times New Roman" w:hAnsi="Times New Roman" w:eastAsia="Times New Roman" w:cs="Times New Roman"/>
          <w:b/>
          <w:bCs/>
          <w:lang w:val="en-GB"/>
        </w:rPr>
      </w:pPr>
      <w:r>
        <w:rPr>
          <w:rFonts w:ascii="Times New Roman" w:hAnsi="Times New Roman" w:eastAsia="Times New Roman" w:cs="Times New Roman"/>
          <w:b/>
          <w:bCs/>
          <w:lang w:val="en-GB"/>
        </w:rPr>
        <w:t>5. DISCUSSION</w:t>
      </w:r>
    </w:p>
    <w:p>
      <w:pPr>
        <w:spacing w:line="480" w:lineRule="auto"/>
        <w:jc w:val="both"/>
        <w:rPr>
          <w:rFonts w:ascii="Times New Roman" w:hAnsi="Times New Roman" w:cs="Times New Roman"/>
          <w:lang w:val="en-GB"/>
        </w:rPr>
      </w:pPr>
      <w:r>
        <w:rPr>
          <w:rFonts w:ascii="Times New Roman" w:hAnsi="Times New Roman" w:eastAsia="Times New Roman" w:cs="Times New Roman"/>
          <w:lang w:val="en-GB"/>
        </w:rPr>
        <w:t>The findings of this study shed light on the complex landscape of challenges faced by employees and employers in remote work environments. Our research reveals that while remote work offers numerous benefits, it also presents significant hurdles that can impact productivity, job satisfaction, and organizational culture.</w:t>
      </w:r>
    </w:p>
    <w:p>
      <w:pPr>
        <w:spacing w:line="480" w:lineRule="auto"/>
        <w:jc w:val="both"/>
        <w:rPr>
          <w:rFonts w:ascii="Times New Roman" w:hAnsi="Times New Roman" w:cs="Times New Roman"/>
          <w:lang w:val="en-GB"/>
        </w:rPr>
      </w:pPr>
      <w:r>
        <w:rPr>
          <w:rFonts w:ascii="Times New Roman" w:hAnsi="Times New Roman" w:eastAsia="Times New Roman" w:cs="Times New Roman"/>
          <w:lang w:val="en-GB"/>
        </w:rPr>
        <w:t>One of the most prominent challenges identified in our study is the blurring of boundaries between work and personal life. Many participants reported difficulty in "switching off" from work, leading to longer working hours and increased stress levels. This aligns with the findings of Felstead and Henseke (2017), who noted that remote workers often put in more effort and work longer hours than office-based staff. While this increased effort might suggest higher productivity in the short term, our research indicates that it could lead to burnout and decreased well-being over time.</w:t>
      </w:r>
    </w:p>
    <w:p>
      <w:pPr>
        <w:spacing w:line="480" w:lineRule="auto"/>
        <w:jc w:val="both"/>
        <w:rPr>
          <w:rFonts w:ascii="Times New Roman" w:hAnsi="Times New Roman" w:cs="Times New Roman"/>
          <w:lang w:val="en-GB"/>
        </w:rPr>
      </w:pPr>
      <w:r>
        <w:rPr>
          <w:rFonts w:ascii="Times New Roman" w:hAnsi="Times New Roman" w:eastAsia="Times New Roman" w:cs="Times New Roman"/>
          <w:lang w:val="en-GB"/>
        </w:rPr>
        <w:t>Interestingly, the study found that the experience of work-life balance in remote settings varied significantly based on factors such as gender, caregiving responsibilities, and job role. This supports the findings of Shirmohammadi et al. (2022), who emphasized the need for organizations to consider diverse employee needs when developing remote work policies. The research suggests that a one-size-fits-all approach to remote work is unlikely to be effective, and organizations should strive to provide flexible options that can accommodate different personal circumstances and work styles.</w:t>
      </w:r>
    </w:p>
    <w:p>
      <w:pPr>
        <w:spacing w:line="480" w:lineRule="auto"/>
        <w:jc w:val="both"/>
        <w:rPr>
          <w:rFonts w:ascii="Times New Roman" w:hAnsi="Times New Roman" w:cs="Times New Roman"/>
          <w:lang w:val="en-GB"/>
        </w:rPr>
      </w:pPr>
      <w:r>
        <w:rPr>
          <w:rFonts w:ascii="Times New Roman" w:hAnsi="Times New Roman" w:eastAsia="Times New Roman" w:cs="Times New Roman"/>
          <w:lang w:val="en-GB"/>
        </w:rPr>
        <w:t>Another key challenge identified in our study is the maintenance of effective communication and collaboration in remote settings. Participants reported feeling disconnected from their colleagues and struggling to replicate the spontaneous interactions that often occur in office environments. This echoes the findings of Adisa et al. (2023), who highlighted the importance of communication in maintaining employee engagement in remote work settings. Our research suggests that organizations need to be proactive in fostering virtual social connections and creating opportunities for informal interactions among remote team members.</w:t>
      </w:r>
    </w:p>
    <w:p>
      <w:pPr>
        <w:spacing w:line="480" w:lineRule="auto"/>
        <w:jc w:val="both"/>
        <w:rPr>
          <w:rFonts w:ascii="Times New Roman" w:hAnsi="Times New Roman" w:cs="Times New Roman"/>
          <w:lang w:val="en-GB"/>
        </w:rPr>
      </w:pPr>
      <w:r>
        <w:rPr>
          <w:rFonts w:ascii="Times New Roman" w:hAnsi="Times New Roman" w:eastAsia="Times New Roman" w:cs="Times New Roman"/>
          <w:lang w:val="en-GB"/>
        </w:rPr>
        <w:t>The role of technology in enabling remote work emerged as both an enabler and a potential source of stress. While technological advancements have made remote work more feasible and efficient, our study found that the rapid adoption of new tools and platforms could be overwhelming for some employees. This aligns with the findings of Urbaniec et al. (2022), who noted that the shift to remote work had accelerated digital transformation efforts in many organizations, creating challenges around change management and employee adaptation. Our research suggests that organizations need to carefully manage the pace of technological change in remote work settings and provide adequate training and support to ensure that technology enhances rather than hinders productivity.</w:t>
      </w:r>
    </w:p>
    <w:p>
      <w:pPr>
        <w:spacing w:line="480" w:lineRule="auto"/>
        <w:jc w:val="both"/>
        <w:rPr>
          <w:rFonts w:ascii="Times New Roman" w:hAnsi="Times New Roman" w:cs="Times New Roman"/>
          <w:lang w:val="en-GB"/>
        </w:rPr>
      </w:pPr>
      <w:r>
        <w:rPr>
          <w:rFonts w:ascii="Times New Roman" w:hAnsi="Times New Roman" w:eastAsia="Times New Roman" w:cs="Times New Roman"/>
          <w:lang w:val="en-GB"/>
        </w:rPr>
        <w:t>Leadership and management in remote work environments emerged as a critical factor in shaping employee experiences. The findings suggest that leaders need to adapt their approaches to foster a sense of shared identity and purpose in distributed teams, supporting the arguments of Leonardelli (2022). Participants in the study emphasized the importance of trust, clear communication, and empathy from their managers. Organizations that demonstrated trust in their employees by allowing flexibility and autonomy in remote work arrangements generally saw higher levels of engagement and job satisfaction.</w:t>
      </w:r>
    </w:p>
    <w:p>
      <w:pPr>
        <w:spacing w:line="480" w:lineRule="auto"/>
        <w:jc w:val="both"/>
        <w:rPr>
          <w:rFonts w:ascii="Times New Roman" w:hAnsi="Times New Roman" w:cs="Times New Roman"/>
          <w:lang w:val="en-GB"/>
        </w:rPr>
      </w:pPr>
      <w:r>
        <w:rPr>
          <w:rFonts w:ascii="Times New Roman" w:hAnsi="Times New Roman" w:eastAsia="Times New Roman" w:cs="Times New Roman"/>
          <w:lang w:val="en-GB"/>
        </w:rPr>
        <w:t>The impact of remote work on organizational culture was another significant theme in our research. Participants reported challenges in maintaining a sense of connection to their organization's values and mission when working remotely. This aligns with the findings of Meng and Berger (2019), who emphasized the importance of organizational culture in shaping job satisfaction. The study suggests that organizations need to develop new strategies for cultivating and reinforcing their culture in virtual environments to ensure high levels of job satisfaction and engagement among remote workers.</w:t>
      </w:r>
    </w:p>
    <w:p>
      <w:pPr>
        <w:spacing w:line="480" w:lineRule="auto"/>
        <w:jc w:val="both"/>
        <w:rPr>
          <w:rFonts w:ascii="Times New Roman" w:hAnsi="Times New Roman" w:cs="Times New Roman"/>
          <w:lang w:val="en-GB"/>
        </w:rPr>
      </w:pPr>
      <w:r>
        <w:rPr>
          <w:rFonts w:ascii="Times New Roman" w:hAnsi="Times New Roman" w:eastAsia="Times New Roman" w:cs="Times New Roman"/>
          <w:lang w:val="en-GB"/>
        </w:rPr>
        <w:t>Mental health and well-being emerged as crucial considerations in remote work settings. Our study found that while many participants appreciated the increased flexibility offered by remote work, they also faced challenges related to isolation, anxiety, and depression. This supports the findings of Becker et al. (2022), who highlighted the significant impact of loneliness on employee well-being in remote work contexts. Our research suggests that organizations need to prioritize mental health support and create avenues for social connection among remote workers.</w:t>
      </w:r>
    </w:p>
    <w:p>
      <w:pPr>
        <w:spacing w:line="480" w:lineRule="auto"/>
        <w:jc w:val="both"/>
        <w:rPr>
          <w:rFonts w:ascii="Times New Roman" w:hAnsi="Times New Roman" w:cs="Times New Roman"/>
          <w:lang w:val="en-GB"/>
        </w:rPr>
      </w:pPr>
      <w:r>
        <w:rPr>
          <w:rFonts w:ascii="Times New Roman" w:hAnsi="Times New Roman" w:eastAsia="Times New Roman" w:cs="Times New Roman"/>
          <w:lang w:val="en-GB"/>
        </w:rPr>
        <w:t>The experiences of neurodivergent professionals in remote work settings provided valuable insights into the need for inclusive remote work practices. Our findings align with those of Das et al. (2021), who found that while remote work offered some benefits for neurodivergent professionals, it also presented unique challenges. Our research suggests that organizations need to take a more nuanced approach to remote work, recognizing that different employees may require different types of support to maintain productivity and well-being.</w:t>
      </w:r>
    </w:p>
    <w:p>
      <w:pPr>
        <w:spacing w:line="480" w:lineRule="auto"/>
        <w:jc w:val="both"/>
        <w:rPr>
          <w:rFonts w:ascii="Times New Roman" w:hAnsi="Times New Roman" w:eastAsia="Times New Roman" w:cs="Times New Roman"/>
          <w:b/>
          <w:bCs/>
          <w:lang w:val="en-GB"/>
        </w:rPr>
      </w:pPr>
      <w:r>
        <w:rPr>
          <w:rFonts w:ascii="Times New Roman" w:hAnsi="Times New Roman" w:eastAsia="Times New Roman" w:cs="Times New Roman"/>
          <w:b/>
          <w:bCs/>
          <w:lang w:val="en-GB"/>
        </w:rPr>
        <w:t>6. CONCLUSION</w:t>
      </w:r>
    </w:p>
    <w:p>
      <w:pPr>
        <w:spacing w:line="480" w:lineRule="auto"/>
        <w:jc w:val="both"/>
        <w:rPr>
          <w:rFonts w:ascii="Times New Roman" w:hAnsi="Times New Roman" w:cs="Times New Roman"/>
          <w:lang w:val="en-GB"/>
        </w:rPr>
      </w:pPr>
      <w:r>
        <w:rPr>
          <w:rFonts w:ascii="Times New Roman" w:hAnsi="Times New Roman" w:eastAsia="Times New Roman" w:cs="Times New Roman"/>
          <w:lang w:val="en-GB"/>
        </w:rPr>
        <w:t>This study provides a comprehensive examination of the challenges faced by employees and employers in remote work environments. Our findings reveal that while remote work offers significant benefits, it also presents complex challenges that can impact productivity, job satisfaction, and organizational culture. The blurring of boundaries between work and personal life emerged as a primary concern, with many participants struggling to maintain a healthy work-life balance in remote settings. This challenge was found to be particularly acute for certain demographic groups, highlighting the need for flexible and personalized approaches to remote work policies.</w:t>
      </w:r>
    </w:p>
    <w:p>
      <w:pPr>
        <w:spacing w:line="480" w:lineRule="auto"/>
        <w:jc w:val="both"/>
        <w:rPr>
          <w:rFonts w:ascii="Times New Roman" w:hAnsi="Times New Roman" w:cs="Times New Roman"/>
          <w:lang w:val="en-GB"/>
        </w:rPr>
      </w:pPr>
      <w:r>
        <w:rPr>
          <w:rFonts w:ascii="Times New Roman" w:hAnsi="Times New Roman" w:eastAsia="Times New Roman" w:cs="Times New Roman"/>
          <w:lang w:val="en-GB"/>
        </w:rPr>
        <w:t>Effective communication and collaboration in virtual environments were identified as critical challenges, with many participants reporting feelings of disconnection from their colleagues and organization. Our research suggests that organizations need to be proactive in fostering virtual social connections and creating opportunities for informal interactions among remote team members.</w:t>
      </w:r>
    </w:p>
    <w:p>
      <w:pPr>
        <w:spacing w:line="480" w:lineRule="auto"/>
        <w:jc w:val="both"/>
        <w:rPr>
          <w:rFonts w:ascii="Times New Roman" w:hAnsi="Times New Roman" w:cs="Times New Roman"/>
          <w:lang w:val="en-GB"/>
        </w:rPr>
      </w:pPr>
      <w:r>
        <w:rPr>
          <w:rFonts w:ascii="Times New Roman" w:hAnsi="Times New Roman" w:eastAsia="Times New Roman" w:cs="Times New Roman"/>
          <w:lang w:val="en-GB"/>
        </w:rPr>
        <w:t>The role of technology in enabling remote work was found to be double-edged, offering increased efficiency but also potential sources of stress and overwhelm. This highlights the need for careful management of technological change and adequate support for employees adapting to new digital tools. Leadership and management practices were identified as crucial factors in shaping remote work experiences. Our findings emphasize the need for leaders to adapt their approaches to foster trust, clear communication, and a sense of shared purpose in distributed teams.</w:t>
      </w:r>
    </w:p>
    <w:p>
      <w:pPr>
        <w:spacing w:line="480" w:lineRule="auto"/>
        <w:jc w:val="both"/>
        <w:rPr>
          <w:rFonts w:ascii="Times New Roman" w:hAnsi="Times New Roman" w:cs="Times New Roman"/>
          <w:lang w:val="en-GB"/>
        </w:rPr>
      </w:pPr>
      <w:r>
        <w:rPr>
          <w:rFonts w:ascii="Times New Roman" w:hAnsi="Times New Roman" w:eastAsia="Times New Roman" w:cs="Times New Roman"/>
          <w:lang w:val="en-GB"/>
        </w:rPr>
        <w:t>The maintenance of organizational culture in remote settings emerged as a significant challenge, with implications for employee engagement and job satisfaction. Our research suggests that organizations need to develop innovative strategies for reinforcing their culture and values in virtual environments. Mental health and well-being were found to be critical considerations in remote work settings, with many participants reporting challenges related to isolation and stress. This highlights the need for organizations to prioritize mental health support and create avenues for social connection among remote workers. The experiences of neurodivergent professionals in remote work settings underscored the importance of inclusive remote work practices that can accommodate diverse needs and working styles.</w:t>
      </w:r>
    </w:p>
    <w:p>
      <w:pPr>
        <w:spacing w:line="480" w:lineRule="auto"/>
        <w:jc w:val="both"/>
        <w:rPr>
          <w:rFonts w:ascii="Times New Roman" w:hAnsi="Times New Roman" w:cs="Times New Roman"/>
          <w:lang w:val="en-GB"/>
        </w:rPr>
      </w:pPr>
      <w:r>
        <w:rPr>
          <w:rFonts w:ascii="Times New Roman" w:hAnsi="Times New Roman" w:eastAsia="Times New Roman" w:cs="Times New Roman"/>
          <w:lang w:val="en-GB"/>
        </w:rPr>
        <w:t>In conclusion, this study contributes to the growing body of literature on remote work by providing a nuanced understanding of the challenges faced by both employees and employers. Our findings highlight the need for organizations to adopt flexible, employee-centric approaches to remote work that can address the diverse needs of their workforce. As remote work continues to evolve, further research will be needed to explore long-term impacts and develop effective strategies for creating sustainable and productive remote work environments.</w:t>
      </w:r>
    </w:p>
    <w:p>
      <w:pPr>
        <w:spacing w:line="480" w:lineRule="auto"/>
        <w:jc w:val="both"/>
        <w:rPr>
          <w:rFonts w:ascii="Times New Roman" w:hAnsi="Times New Roman" w:cs="Times New Roman"/>
          <w:lang w:val="en-GB"/>
        </w:rPr>
      </w:pPr>
      <w:r>
        <w:rPr>
          <w:rFonts w:ascii="Times New Roman" w:hAnsi="Times New Roman" w:eastAsia="Times New Roman" w:cs="Times New Roman"/>
          <w:lang w:val="en-GB"/>
        </w:rPr>
        <w:t>The insights gained from this study can inform the development of more effective remote work policies and practices, helping organizations to harness the benefits of remote work while mitigating its challenges. As the world of work continues to evolve, understanding and addressing these challenges will be crucial for creating work environments that promote productivity, satisfaction, and well-being for all employees, regardless of their physical location.</w:t>
      </w:r>
    </w:p>
    <w:p>
      <w:pPr>
        <w:spacing w:line="480" w:lineRule="auto"/>
        <w:jc w:val="both"/>
        <w:rPr>
          <w:rFonts w:ascii="Times New Roman" w:hAnsi="Times New Roman" w:cs="Times New Roman"/>
          <w:lang w:val="en-GB"/>
        </w:rPr>
      </w:pPr>
      <w:r>
        <w:rPr>
          <w:rFonts w:ascii="Times New Roman" w:hAnsi="Times New Roman" w:cs="Times New Roman"/>
          <w:lang w:val="en-GB"/>
        </w:rPr>
        <w:br w:type="page"/>
      </w:r>
    </w:p>
    <w:p>
      <w:pPr>
        <w:spacing w:line="480" w:lineRule="auto"/>
        <w:jc w:val="center"/>
        <w:rPr>
          <w:rFonts w:ascii="Times New Roman" w:hAnsi="Times New Roman" w:eastAsia="Times New Roman" w:cs="Times New Roman"/>
          <w:b/>
          <w:bCs/>
          <w:lang w:val="en-GB"/>
        </w:rPr>
      </w:pPr>
      <w:r>
        <w:rPr>
          <w:rFonts w:ascii="Times New Roman" w:hAnsi="Times New Roman" w:eastAsia="Times New Roman" w:cs="Times New Roman"/>
          <w:b/>
          <w:bCs/>
          <w:lang w:val="en-GB"/>
        </w:rPr>
        <w:t xml:space="preserve">REFERENCES </w:t>
      </w:r>
    </w:p>
    <w:p>
      <w:pPr>
        <w:spacing w:line="480" w:lineRule="auto"/>
        <w:ind w:left="720" w:hanging="720"/>
        <w:jc w:val="both"/>
        <w:rPr>
          <w:rFonts w:ascii="Times New Roman" w:hAnsi="Times New Roman" w:eastAsia="Times New Roman" w:cs="Times New Roman"/>
          <w:lang w:val="en-GB"/>
        </w:rPr>
      </w:pPr>
      <w:r>
        <w:rPr>
          <w:rFonts w:ascii="Times New Roman" w:hAnsi="Times New Roman" w:eastAsia="Times New Roman" w:cs="Times New Roman"/>
          <w:lang w:val="en-GB"/>
        </w:rPr>
        <w:t xml:space="preserve">Adisa, T. A., Ogbonnaya, C., &amp; Adekoya, O. D. (2023). Remote working and employee engagement: a qualitative study of British workers during the pandemic. </w:t>
      </w:r>
      <w:r>
        <w:rPr>
          <w:rFonts w:ascii="Times New Roman" w:hAnsi="Times New Roman" w:eastAsia="Times New Roman" w:cs="Times New Roman"/>
          <w:i/>
          <w:lang w:val="en-GB"/>
        </w:rPr>
        <w:t>Information Technology &amp; People, 36</w:t>
      </w:r>
      <w:r>
        <w:rPr>
          <w:rFonts w:ascii="Times New Roman" w:hAnsi="Times New Roman" w:eastAsia="Times New Roman" w:cs="Times New Roman"/>
          <w:lang w:val="en-GB"/>
        </w:rPr>
        <w:t xml:space="preserve">(5), 1835-1850. </w:t>
      </w:r>
    </w:p>
    <w:p>
      <w:pPr>
        <w:spacing w:line="480" w:lineRule="auto"/>
        <w:ind w:left="720" w:hanging="720"/>
        <w:jc w:val="both"/>
        <w:rPr>
          <w:rFonts w:ascii="Times New Roman" w:hAnsi="Times New Roman" w:cs="Times New Roman"/>
          <w:lang w:val="en-GB"/>
        </w:rPr>
      </w:pPr>
      <w:r>
        <w:rPr>
          <w:rFonts w:ascii="Times New Roman" w:hAnsi="Times New Roman" w:eastAsia="Times New Roman" w:cs="Times New Roman"/>
          <w:lang w:val="en-GB"/>
        </w:rPr>
        <w:t>Becker, W. J., Belkin, L. Y., Tuskey, S. E., &amp; Conroy, S. A. (2022). Surviving remotely: How job control and loneliness during a forced shift to remote work impacted employee work behaviours and well</w:t>
      </w:r>
      <w:r>
        <w:rPr>
          <w:rFonts w:ascii="Noteworthy Bold" w:hAnsi="Noteworthy Bold" w:eastAsia="Times New Roman" w:cs="Noteworthy Bold"/>
          <w:lang w:val="en-GB"/>
        </w:rPr>
        <w:t>‐</w:t>
      </w:r>
      <w:r>
        <w:rPr>
          <w:rFonts w:ascii="Times New Roman" w:hAnsi="Times New Roman" w:eastAsia="Times New Roman" w:cs="Times New Roman"/>
          <w:lang w:val="en-GB"/>
        </w:rPr>
        <w:t xml:space="preserve">being. </w:t>
      </w:r>
      <w:r>
        <w:rPr>
          <w:rFonts w:ascii="Times New Roman" w:hAnsi="Times New Roman" w:eastAsia="Times New Roman" w:cs="Times New Roman"/>
          <w:i/>
          <w:lang w:val="en-GB"/>
        </w:rPr>
        <w:t>Human Resource Management, 61</w:t>
      </w:r>
      <w:r>
        <w:rPr>
          <w:rFonts w:ascii="Times New Roman" w:hAnsi="Times New Roman" w:eastAsia="Times New Roman" w:cs="Times New Roman"/>
          <w:lang w:val="en-GB"/>
        </w:rPr>
        <w:t>(4), 449-464.</w:t>
      </w:r>
    </w:p>
    <w:p>
      <w:pPr>
        <w:spacing w:line="480" w:lineRule="auto"/>
        <w:ind w:left="720" w:hanging="720"/>
        <w:jc w:val="both"/>
        <w:rPr>
          <w:rFonts w:ascii="Times New Roman" w:hAnsi="Times New Roman" w:eastAsia="Times New Roman" w:cs="Times New Roman"/>
          <w:lang w:val="en-GB"/>
        </w:rPr>
      </w:pPr>
      <w:r>
        <w:rPr>
          <w:rFonts w:ascii="Times New Roman" w:hAnsi="Times New Roman" w:eastAsia="Times New Roman" w:cs="Times New Roman"/>
          <w:lang w:val="en-GB"/>
        </w:rPr>
        <w:t xml:space="preserve">Battisti, E., Alfiero, S., &amp; Leonidou, E. (2022). Remote working and digital transformation during the COVID-19 pandemic: Economic–financial impacts and psychological drivers for employees. </w:t>
      </w:r>
      <w:r>
        <w:rPr>
          <w:rFonts w:ascii="Times New Roman" w:hAnsi="Times New Roman" w:eastAsia="Times New Roman" w:cs="Times New Roman"/>
          <w:i/>
          <w:lang w:val="en-GB"/>
        </w:rPr>
        <w:t>Journal of Business Research, 150</w:t>
      </w:r>
      <w:r>
        <w:rPr>
          <w:rFonts w:ascii="Times New Roman" w:hAnsi="Times New Roman" w:eastAsia="Times New Roman" w:cs="Times New Roman"/>
          <w:lang w:val="en-GB"/>
        </w:rPr>
        <w:t>, 38-50.</w:t>
      </w:r>
    </w:p>
    <w:p>
      <w:pPr>
        <w:spacing w:line="480" w:lineRule="auto"/>
        <w:ind w:left="720" w:hanging="720"/>
        <w:jc w:val="both"/>
        <w:rPr>
          <w:rFonts w:ascii="Times New Roman" w:hAnsi="Times New Roman" w:eastAsia="Times New Roman" w:cs="Times New Roman"/>
          <w:lang w:val="en-GB"/>
        </w:rPr>
      </w:pPr>
      <w:r>
        <w:rPr>
          <w:rFonts w:ascii="Times New Roman" w:hAnsi="Times New Roman" w:eastAsia="Times New Roman" w:cs="Times New Roman"/>
          <w:lang w:val="en-GB"/>
        </w:rPr>
        <w:t xml:space="preserve">Como, R., Hambley, L., &amp; Domene, J. (2021). An exploration of work-life wellness and remote work during and beyond COVID-19. </w:t>
      </w:r>
      <w:r>
        <w:rPr>
          <w:rFonts w:ascii="Times New Roman" w:hAnsi="Times New Roman" w:eastAsia="Times New Roman" w:cs="Times New Roman"/>
          <w:i/>
          <w:lang w:val="en-GB"/>
        </w:rPr>
        <w:t>Canadian Journal of Career Development, 20</w:t>
      </w:r>
      <w:r>
        <w:rPr>
          <w:rFonts w:ascii="Times New Roman" w:hAnsi="Times New Roman" w:eastAsia="Times New Roman" w:cs="Times New Roman"/>
          <w:lang w:val="en-GB"/>
        </w:rPr>
        <w:t>(1), 46-56.</w:t>
      </w:r>
    </w:p>
    <w:p>
      <w:pPr>
        <w:spacing w:line="480" w:lineRule="auto"/>
        <w:ind w:left="720" w:hanging="720"/>
        <w:jc w:val="both"/>
        <w:rPr>
          <w:rFonts w:ascii="Times New Roman" w:hAnsi="Times New Roman" w:eastAsia="Times New Roman" w:cs="Times New Roman"/>
          <w:lang w:val="en-GB"/>
        </w:rPr>
      </w:pPr>
      <w:r>
        <w:rPr>
          <w:rFonts w:ascii="Times New Roman" w:hAnsi="Times New Roman" w:eastAsia="Times New Roman" w:cs="Times New Roman"/>
          <w:lang w:val="en-GB"/>
        </w:rPr>
        <w:t xml:space="preserve">Davidescu, A. A., Apostu, S. A., Paul, A., &amp; Casuneanu, I. (2020). Work flexibility, job satisfaction, and job performance among Romanian employees—Implications for sustainable human resource management. </w:t>
      </w:r>
      <w:r>
        <w:rPr>
          <w:rFonts w:ascii="Times New Roman" w:hAnsi="Times New Roman" w:eastAsia="Times New Roman" w:cs="Times New Roman"/>
          <w:i/>
          <w:lang w:val="en-GB"/>
        </w:rPr>
        <w:t>Sustainability, 12</w:t>
      </w:r>
      <w:r>
        <w:rPr>
          <w:rFonts w:ascii="Times New Roman" w:hAnsi="Times New Roman" w:eastAsia="Times New Roman" w:cs="Times New Roman"/>
          <w:lang w:val="en-GB"/>
        </w:rPr>
        <w:t>(15), 6086.</w:t>
      </w:r>
    </w:p>
    <w:p>
      <w:pPr>
        <w:spacing w:line="480" w:lineRule="auto"/>
        <w:ind w:left="720" w:hanging="720"/>
        <w:jc w:val="both"/>
        <w:rPr>
          <w:rFonts w:ascii="Times New Roman" w:hAnsi="Times New Roman" w:eastAsia="Times New Roman" w:cs="Times New Roman"/>
          <w:lang w:val="en-GB"/>
        </w:rPr>
      </w:pPr>
      <w:r>
        <w:rPr>
          <w:rFonts w:ascii="Times New Roman" w:hAnsi="Times New Roman" w:eastAsia="Times New Roman" w:cs="Times New Roman"/>
          <w:lang w:val="en-GB"/>
        </w:rPr>
        <w:t xml:space="preserve">Das, M., Tang, J., Ringland, K. E., &amp; Piper, A. M. (2021). Towards accessible remote work: Understanding work-from-home practices of neurodivergent professionals. </w:t>
      </w:r>
      <w:r>
        <w:rPr>
          <w:rFonts w:ascii="Times New Roman" w:hAnsi="Times New Roman" w:eastAsia="Times New Roman" w:cs="Times New Roman"/>
          <w:i/>
          <w:lang w:val="en-GB"/>
        </w:rPr>
        <w:t>Proceedings of the ACM on Human-Computer Interaction, 5(CSCW1),</w:t>
      </w:r>
      <w:r>
        <w:rPr>
          <w:rFonts w:ascii="Times New Roman" w:hAnsi="Times New Roman" w:eastAsia="Times New Roman" w:cs="Times New Roman"/>
          <w:lang w:val="en-GB"/>
        </w:rPr>
        <w:t xml:space="preserve"> 1-30.</w:t>
      </w:r>
    </w:p>
    <w:p>
      <w:pPr>
        <w:spacing w:line="480" w:lineRule="auto"/>
        <w:ind w:left="720" w:hanging="720"/>
        <w:jc w:val="both"/>
        <w:rPr>
          <w:rFonts w:ascii="Times New Roman" w:hAnsi="Times New Roman" w:eastAsia="Times New Roman" w:cs="Times New Roman"/>
          <w:lang w:val="en-GB"/>
        </w:rPr>
      </w:pPr>
      <w:r>
        <w:rPr>
          <w:rFonts w:ascii="Times New Roman" w:hAnsi="Times New Roman" w:eastAsia="Times New Roman" w:cs="Times New Roman"/>
          <w:lang w:val="en-GB"/>
        </w:rPr>
        <w:t xml:space="preserve">GS, D. G., &amp; SANGEETHA, M. J. (2020). Impact of remote working on employees in IT industry. </w:t>
      </w:r>
      <w:r>
        <w:rPr>
          <w:rFonts w:ascii="Times New Roman" w:hAnsi="Times New Roman" w:eastAsia="Times New Roman" w:cs="Times New Roman"/>
          <w:i/>
          <w:lang w:val="en-GB"/>
        </w:rPr>
        <w:t>The journal of contemporary issues in business and government, 26</w:t>
      </w:r>
      <w:r>
        <w:rPr>
          <w:rFonts w:ascii="Times New Roman" w:hAnsi="Times New Roman" w:eastAsia="Times New Roman" w:cs="Times New Roman"/>
          <w:lang w:val="en-GB"/>
        </w:rPr>
        <w:t>(2), 537-544.</w:t>
      </w:r>
    </w:p>
    <w:p>
      <w:pPr>
        <w:spacing w:line="480" w:lineRule="auto"/>
        <w:ind w:left="720" w:hanging="720"/>
        <w:jc w:val="both"/>
        <w:rPr>
          <w:rFonts w:ascii="Times New Roman" w:hAnsi="Times New Roman" w:eastAsia="Times New Roman" w:cs="Times New Roman"/>
          <w:lang w:val="en-GB"/>
        </w:rPr>
      </w:pPr>
      <w:r>
        <w:rPr>
          <w:rFonts w:ascii="Times New Roman" w:hAnsi="Times New Roman" w:eastAsia="Times New Roman" w:cs="Times New Roman"/>
          <w:lang w:val="en-GB"/>
        </w:rPr>
        <w:t xml:space="preserve">Leonardelli, G. J. (2022). Lessons from a crisis: Identity as a means of leading remote workforces effectively. </w:t>
      </w:r>
      <w:r>
        <w:rPr>
          <w:rFonts w:ascii="Times New Roman" w:hAnsi="Times New Roman" w:eastAsia="Times New Roman" w:cs="Times New Roman"/>
          <w:i/>
          <w:lang w:val="en-GB"/>
        </w:rPr>
        <w:t>Organizational Dynamics, 51</w:t>
      </w:r>
      <w:r>
        <w:rPr>
          <w:rFonts w:ascii="Times New Roman" w:hAnsi="Times New Roman" w:eastAsia="Times New Roman" w:cs="Times New Roman"/>
          <w:lang w:val="en-GB"/>
        </w:rPr>
        <w:t>(2), 100886.</w:t>
      </w:r>
    </w:p>
    <w:p>
      <w:pPr>
        <w:spacing w:line="480" w:lineRule="auto"/>
        <w:ind w:left="720" w:hanging="720"/>
        <w:jc w:val="both"/>
        <w:rPr>
          <w:rFonts w:ascii="Times New Roman" w:hAnsi="Times New Roman" w:eastAsia="Times New Roman" w:cs="Times New Roman"/>
          <w:lang w:val="en-GB"/>
        </w:rPr>
      </w:pPr>
      <w:r>
        <w:rPr>
          <w:rFonts w:ascii="Times New Roman" w:hAnsi="Times New Roman" w:eastAsia="Times New Roman" w:cs="Times New Roman"/>
          <w:lang w:val="en-GB"/>
        </w:rPr>
        <w:t xml:space="preserve">Martin, L., Hauret, L., &amp; Fuhrer, C. (2022). Digitally transformed home office impacts on job satisfaction, job stress and job productivity. COVID-19 findings. </w:t>
      </w:r>
      <w:r>
        <w:rPr>
          <w:rFonts w:ascii="Times New Roman" w:hAnsi="Times New Roman" w:eastAsia="Times New Roman" w:cs="Times New Roman"/>
          <w:i/>
          <w:lang w:val="en-GB"/>
        </w:rPr>
        <w:t>Plos one, 17</w:t>
      </w:r>
      <w:r>
        <w:rPr>
          <w:rFonts w:ascii="Times New Roman" w:hAnsi="Times New Roman" w:eastAsia="Times New Roman" w:cs="Times New Roman"/>
          <w:lang w:val="en-GB"/>
        </w:rPr>
        <w:t>(3), e0265131.</w:t>
      </w:r>
    </w:p>
    <w:p>
      <w:pPr>
        <w:spacing w:line="480" w:lineRule="auto"/>
        <w:ind w:left="720" w:hanging="720"/>
        <w:jc w:val="both"/>
        <w:rPr>
          <w:rFonts w:ascii="Times New Roman" w:hAnsi="Times New Roman" w:eastAsia="Times New Roman" w:cs="Times New Roman"/>
          <w:lang w:val="en-GB"/>
        </w:rPr>
      </w:pPr>
      <w:r>
        <w:rPr>
          <w:rFonts w:ascii="Times New Roman" w:hAnsi="Times New Roman" w:eastAsia="Times New Roman" w:cs="Times New Roman"/>
          <w:lang w:val="en-GB"/>
        </w:rPr>
        <w:t xml:space="preserve">Meng, J., &amp; Berger, B. K. (2019). The impact of organizational culture and leadership performance on PR professionals’ job satisfaction: Testing the joint mediating effects of engagement and trust. </w:t>
      </w:r>
      <w:r>
        <w:rPr>
          <w:rFonts w:ascii="Times New Roman" w:hAnsi="Times New Roman" w:eastAsia="Times New Roman" w:cs="Times New Roman"/>
          <w:i/>
          <w:lang w:val="en-GB"/>
        </w:rPr>
        <w:t>Public Relations Review, 45</w:t>
      </w:r>
      <w:r>
        <w:rPr>
          <w:rFonts w:ascii="Times New Roman" w:hAnsi="Times New Roman" w:eastAsia="Times New Roman" w:cs="Times New Roman"/>
          <w:lang w:val="en-GB"/>
        </w:rPr>
        <w:t>(1), 64-75.</w:t>
      </w:r>
    </w:p>
    <w:p>
      <w:pPr>
        <w:spacing w:line="480" w:lineRule="auto"/>
        <w:ind w:left="720" w:hanging="720"/>
        <w:jc w:val="both"/>
        <w:rPr>
          <w:rFonts w:ascii="Times New Roman" w:hAnsi="Times New Roman" w:eastAsia="Times New Roman" w:cs="Times New Roman"/>
          <w:lang w:val="en-GB"/>
        </w:rPr>
      </w:pPr>
      <w:r>
        <w:rPr>
          <w:rFonts w:ascii="Times New Roman" w:hAnsi="Times New Roman" w:eastAsia="Times New Roman" w:cs="Times New Roman"/>
          <w:lang w:val="en-GB"/>
        </w:rPr>
        <w:t xml:space="preserve">Nemteanu, M. S., &amp; Dabija, D. C. (2021). The influence of internal marketing and job satisfaction on task performance and counterproductive work behavior in an emerging market during the COVID-19 pandemic. </w:t>
      </w:r>
      <w:r>
        <w:rPr>
          <w:rFonts w:ascii="Times New Roman" w:hAnsi="Times New Roman" w:eastAsia="Times New Roman" w:cs="Times New Roman"/>
          <w:i/>
          <w:lang w:val="en-GB"/>
        </w:rPr>
        <w:t>International Journal of Environmental Research and Public Health, 18</w:t>
      </w:r>
      <w:r>
        <w:rPr>
          <w:rFonts w:ascii="Times New Roman" w:hAnsi="Times New Roman" w:eastAsia="Times New Roman" w:cs="Times New Roman"/>
          <w:lang w:val="en-GB"/>
        </w:rPr>
        <w:t>(7), 3670.</w:t>
      </w:r>
    </w:p>
    <w:p>
      <w:pPr>
        <w:spacing w:line="480" w:lineRule="auto"/>
        <w:ind w:left="720" w:hanging="720"/>
        <w:jc w:val="both"/>
        <w:rPr>
          <w:rFonts w:ascii="Times New Roman" w:hAnsi="Times New Roman" w:eastAsia="Times New Roman" w:cs="Times New Roman"/>
          <w:lang w:val="en-GB"/>
        </w:rPr>
      </w:pPr>
      <w:r>
        <w:rPr>
          <w:rFonts w:ascii="Times New Roman" w:hAnsi="Times New Roman" w:eastAsia="Times New Roman" w:cs="Times New Roman"/>
          <w:lang w:val="en-GB"/>
        </w:rPr>
        <w:t>Wang, B., Liu, Y., Qian, J., &amp; Parker, S. K. (2021). Achieving effective remote working during the COVID</w:t>
      </w:r>
      <w:r>
        <w:rPr>
          <w:rFonts w:ascii="Noteworthy Bold" w:hAnsi="Noteworthy Bold" w:eastAsia="Times New Roman" w:cs="Noteworthy Bold"/>
          <w:lang w:val="en-GB"/>
        </w:rPr>
        <w:t>‐</w:t>
      </w:r>
      <w:r>
        <w:rPr>
          <w:rFonts w:ascii="Times New Roman" w:hAnsi="Times New Roman" w:eastAsia="Times New Roman" w:cs="Times New Roman"/>
          <w:lang w:val="en-GB"/>
        </w:rPr>
        <w:t xml:space="preserve">19 pandemic: A work design perspective. </w:t>
      </w:r>
      <w:r>
        <w:rPr>
          <w:rFonts w:ascii="Times New Roman" w:hAnsi="Times New Roman" w:eastAsia="Times New Roman" w:cs="Times New Roman"/>
          <w:i/>
          <w:lang w:val="en-GB"/>
        </w:rPr>
        <w:t>Applied psychology, 70</w:t>
      </w:r>
      <w:r>
        <w:rPr>
          <w:rFonts w:ascii="Times New Roman" w:hAnsi="Times New Roman" w:eastAsia="Times New Roman" w:cs="Times New Roman"/>
          <w:lang w:val="en-GB"/>
        </w:rPr>
        <w:t>(1), 16-59.</w:t>
      </w:r>
    </w:p>
    <w:p>
      <w:pPr>
        <w:spacing w:line="480" w:lineRule="auto"/>
        <w:ind w:left="720" w:hanging="720"/>
        <w:jc w:val="both"/>
        <w:rPr>
          <w:rFonts w:ascii="Times New Roman" w:hAnsi="Times New Roman" w:eastAsia="Times New Roman" w:cs="Times New Roman"/>
          <w:lang w:val="en-GB"/>
        </w:rPr>
      </w:pPr>
      <w:r>
        <w:rPr>
          <w:rFonts w:ascii="Times New Roman" w:hAnsi="Times New Roman" w:eastAsia="Times New Roman" w:cs="Times New Roman"/>
          <w:lang w:val="en-GB"/>
        </w:rPr>
        <w:t>Felstead, A., &amp; Henseke, G. (2017). Assessing the growth of remote working and its consequences for effort, well</w:t>
      </w:r>
      <w:r>
        <w:rPr>
          <w:rFonts w:ascii="Noteworthy Bold" w:hAnsi="Noteworthy Bold" w:eastAsia="Times New Roman" w:cs="Noteworthy Bold"/>
          <w:lang w:val="en-GB"/>
        </w:rPr>
        <w:t>‐</w:t>
      </w:r>
      <w:r>
        <w:rPr>
          <w:rFonts w:ascii="Times New Roman" w:hAnsi="Times New Roman" w:eastAsia="Times New Roman" w:cs="Times New Roman"/>
          <w:lang w:val="en-GB"/>
        </w:rPr>
        <w:t>being and work</w:t>
      </w:r>
      <w:r>
        <w:rPr>
          <w:rFonts w:ascii="Noteworthy Bold" w:hAnsi="Noteworthy Bold" w:eastAsia="Times New Roman" w:cs="Noteworthy Bold"/>
          <w:lang w:val="en-GB"/>
        </w:rPr>
        <w:t>‐</w:t>
      </w:r>
      <w:r>
        <w:rPr>
          <w:rFonts w:ascii="Times New Roman" w:hAnsi="Times New Roman" w:eastAsia="Times New Roman" w:cs="Times New Roman"/>
          <w:lang w:val="en-GB"/>
        </w:rPr>
        <w:t xml:space="preserve">life balance. </w:t>
      </w:r>
      <w:r>
        <w:rPr>
          <w:rFonts w:ascii="Times New Roman" w:hAnsi="Times New Roman" w:eastAsia="Times New Roman" w:cs="Times New Roman"/>
          <w:i/>
          <w:lang w:val="en-GB"/>
        </w:rPr>
        <w:t>New Technology, Work and Employment, 32</w:t>
      </w:r>
      <w:r>
        <w:rPr>
          <w:rFonts w:ascii="Times New Roman" w:hAnsi="Times New Roman" w:eastAsia="Times New Roman" w:cs="Times New Roman"/>
          <w:lang w:val="en-GB"/>
        </w:rPr>
        <w:t>(3), 195-212.</w:t>
      </w:r>
    </w:p>
    <w:p>
      <w:pPr>
        <w:spacing w:line="480" w:lineRule="auto"/>
        <w:ind w:left="720" w:hanging="720"/>
        <w:jc w:val="both"/>
        <w:rPr>
          <w:rFonts w:ascii="Times New Roman" w:hAnsi="Times New Roman" w:eastAsia="Times New Roman" w:cs="Times New Roman"/>
          <w:lang w:val="en-GB"/>
        </w:rPr>
      </w:pPr>
      <w:r>
        <w:rPr>
          <w:rFonts w:ascii="Times New Roman" w:hAnsi="Times New Roman" w:eastAsia="Times New Roman" w:cs="Times New Roman"/>
          <w:lang w:val="en-GB"/>
        </w:rPr>
        <w:t xml:space="preserve">Franken, E., Bentley, T., Shafaei, A., Farr-Wharton, B., Onnis, L. A., &amp; Omari, M. (2021). Forced flexibility and remote working: Opportunities and challenges in the new normal. </w:t>
      </w:r>
      <w:r>
        <w:rPr>
          <w:rFonts w:ascii="Times New Roman" w:hAnsi="Times New Roman" w:eastAsia="Times New Roman" w:cs="Times New Roman"/>
          <w:i/>
          <w:lang w:val="en-GB"/>
        </w:rPr>
        <w:t>Journal of Management &amp; Organization, 27(</w:t>
      </w:r>
      <w:r>
        <w:rPr>
          <w:rFonts w:ascii="Times New Roman" w:hAnsi="Times New Roman" w:eastAsia="Times New Roman" w:cs="Times New Roman"/>
          <w:lang w:val="en-GB"/>
        </w:rPr>
        <w:t>6), 1131-1149.</w:t>
      </w:r>
    </w:p>
    <w:p>
      <w:pPr>
        <w:spacing w:line="480" w:lineRule="auto"/>
        <w:ind w:left="720" w:hanging="720"/>
        <w:jc w:val="both"/>
        <w:rPr>
          <w:rFonts w:ascii="Times New Roman" w:hAnsi="Times New Roman" w:eastAsia="Times New Roman" w:cs="Times New Roman"/>
          <w:lang w:val="en-GB"/>
        </w:rPr>
      </w:pPr>
      <w:r>
        <w:rPr>
          <w:rFonts w:ascii="Times New Roman" w:hAnsi="Times New Roman" w:eastAsia="Times New Roman" w:cs="Times New Roman"/>
          <w:lang w:val="en-GB"/>
        </w:rPr>
        <w:t xml:space="preserve">Kahn, M. E. (2022). Going remote: How the flexible work economy can improve our lives and our cities. Univ of California Press. </w:t>
      </w:r>
    </w:p>
    <w:p>
      <w:pPr>
        <w:spacing w:line="480" w:lineRule="auto"/>
        <w:ind w:left="720" w:hanging="720"/>
        <w:jc w:val="both"/>
        <w:rPr>
          <w:rFonts w:ascii="Times New Roman" w:hAnsi="Times New Roman" w:cs="Times New Roman"/>
          <w:lang w:val="en-GB"/>
        </w:rPr>
      </w:pPr>
      <w:r>
        <w:rPr>
          <w:rFonts w:ascii="Times New Roman" w:hAnsi="Times New Roman" w:eastAsia="Times New Roman" w:cs="Times New Roman"/>
          <w:lang w:val="en-GB"/>
        </w:rPr>
        <w:t xml:space="preserve">Prasad, D. K., Mangipudi, D. M. R., Vaidya, D. R., &amp; Muralidhar, B. (2020). Organizational climate, opportunities, challenges and psychological wellbeing of the remote working employees during COVID-19 pandemic: A general linear model approach with reference to information technology industry in Hyderabad. </w:t>
      </w:r>
      <w:r>
        <w:rPr>
          <w:rFonts w:ascii="Times New Roman" w:hAnsi="Times New Roman" w:eastAsia="Times New Roman" w:cs="Times New Roman"/>
          <w:i/>
          <w:lang w:val="en-GB"/>
        </w:rPr>
        <w:t>International Journal of Advanced Research in Engineering and Technology (IJARET), 11</w:t>
      </w:r>
      <w:r>
        <w:rPr>
          <w:rFonts w:ascii="Times New Roman" w:hAnsi="Times New Roman" w:eastAsia="Times New Roman" w:cs="Times New Roman"/>
          <w:lang w:val="en-GB"/>
        </w:rPr>
        <w:t>(4).</w:t>
      </w:r>
    </w:p>
    <w:p>
      <w:pPr>
        <w:spacing w:line="480" w:lineRule="auto"/>
        <w:ind w:left="720" w:hanging="720"/>
        <w:jc w:val="both"/>
        <w:rPr>
          <w:rFonts w:ascii="Times New Roman" w:hAnsi="Times New Roman" w:eastAsia="Times New Roman" w:cs="Times New Roman"/>
          <w:lang w:val="en-GB"/>
        </w:rPr>
      </w:pPr>
      <w:r>
        <w:rPr>
          <w:rFonts w:ascii="Times New Roman" w:hAnsi="Times New Roman" w:eastAsia="Times New Roman" w:cs="Times New Roman"/>
          <w:lang w:val="en-GB"/>
        </w:rPr>
        <w:t xml:space="preserve">Perera, G. S. P., &amp; Tilakasiri, K. K. (2024). The Impact of Remote Work on Employee Job Satisfaction and Well-Being: A POST-COVID 19 Pandemic Quantitative Study on the Banking Industry in Sri Lanka. </w:t>
      </w:r>
      <w:r>
        <w:rPr>
          <w:rFonts w:ascii="Times New Roman" w:hAnsi="Times New Roman" w:eastAsia="Times New Roman" w:cs="Times New Roman"/>
          <w:i/>
          <w:lang w:val="en-GB"/>
        </w:rPr>
        <w:t>Sri Lankan Journal of Banking and Finance, 7</w:t>
      </w:r>
      <w:r>
        <w:rPr>
          <w:rFonts w:ascii="Times New Roman" w:hAnsi="Times New Roman" w:eastAsia="Times New Roman" w:cs="Times New Roman"/>
          <w:lang w:val="en-GB"/>
        </w:rPr>
        <w:t>(1).</w:t>
      </w:r>
    </w:p>
    <w:p>
      <w:pPr>
        <w:spacing w:line="480" w:lineRule="auto"/>
        <w:ind w:left="720" w:hanging="720"/>
        <w:jc w:val="both"/>
        <w:rPr>
          <w:rFonts w:ascii="Times New Roman" w:hAnsi="Times New Roman" w:eastAsia="Times New Roman" w:cs="Times New Roman"/>
          <w:lang w:val="en-GB"/>
        </w:rPr>
      </w:pPr>
      <w:r>
        <w:rPr>
          <w:rFonts w:ascii="Times New Roman" w:hAnsi="Times New Roman" w:eastAsia="Times New Roman" w:cs="Times New Roman"/>
          <w:lang w:val="en-GB"/>
        </w:rPr>
        <w:t xml:space="preserve">Shirmohammadi, M., Au, W. C., &amp; Beigi, M. (2022). Remote work and work-life balance: Lessons learned from the covid-19 pandemic and suggestions for HRD practitioners. </w:t>
      </w:r>
      <w:r>
        <w:rPr>
          <w:rFonts w:ascii="Times New Roman" w:hAnsi="Times New Roman" w:eastAsia="Times New Roman" w:cs="Times New Roman"/>
          <w:i/>
          <w:lang w:val="en-GB"/>
        </w:rPr>
        <w:t>Human Resource Development International, 25</w:t>
      </w:r>
      <w:r>
        <w:rPr>
          <w:rFonts w:ascii="Times New Roman" w:hAnsi="Times New Roman" w:eastAsia="Times New Roman" w:cs="Times New Roman"/>
          <w:lang w:val="en-GB"/>
        </w:rPr>
        <w:t>(2), 163-181.</w:t>
      </w:r>
    </w:p>
    <w:p>
      <w:pPr>
        <w:spacing w:line="480" w:lineRule="auto"/>
        <w:ind w:left="720" w:hanging="720"/>
        <w:jc w:val="both"/>
        <w:rPr>
          <w:rFonts w:ascii="Times New Roman" w:hAnsi="Times New Roman" w:eastAsia="Times New Roman" w:cs="Times New Roman"/>
          <w:lang w:val="en-GB"/>
        </w:rPr>
      </w:pPr>
      <w:r>
        <w:rPr>
          <w:rFonts w:ascii="Times New Roman" w:hAnsi="Times New Roman" w:eastAsia="Times New Roman" w:cs="Times New Roman"/>
          <w:lang w:val="en-GB"/>
        </w:rPr>
        <w:t xml:space="preserve">Urbaniec, M., Małkowska, A., &amp; Włodarkiewicz-Klimek, H. (2022). The impact of technological developments on remote working: insights from the polish managers’ perspective. </w:t>
      </w:r>
      <w:r>
        <w:rPr>
          <w:rFonts w:ascii="Times New Roman" w:hAnsi="Times New Roman" w:eastAsia="Times New Roman" w:cs="Times New Roman"/>
          <w:i/>
          <w:lang w:val="en-GB"/>
        </w:rPr>
        <w:t>Sustainability, 14</w:t>
      </w:r>
      <w:r>
        <w:rPr>
          <w:rFonts w:ascii="Times New Roman" w:hAnsi="Times New Roman" w:eastAsia="Times New Roman" w:cs="Times New Roman"/>
          <w:lang w:val="en-GB"/>
        </w:rPr>
        <w:t>(1), 552.</w:t>
      </w:r>
    </w:p>
    <w:p>
      <w:pPr>
        <w:spacing w:line="480" w:lineRule="auto"/>
        <w:ind w:left="720" w:hanging="720"/>
        <w:jc w:val="both"/>
        <w:rPr>
          <w:rFonts w:ascii="Times New Roman" w:hAnsi="Times New Roman" w:eastAsia="Times New Roman" w:cs="Times New Roman"/>
          <w:lang w:val="en-GB"/>
        </w:rPr>
      </w:pPr>
      <w:r>
        <w:rPr>
          <w:rFonts w:ascii="Times New Roman" w:hAnsi="Times New Roman" w:eastAsia="Times New Roman" w:cs="Times New Roman"/>
          <w:lang w:val="en-GB"/>
        </w:rPr>
        <w:t>Van Zoonen, W., Sivunen, A., Blomqvist, K., Olsson, T., Ropponen, A., Henttonen, K., &amp; Vartiainen, M. (2021). Factors influencing adjustment to remote work: Employees’ initial responses to the COVID-19 pandemic</w:t>
      </w:r>
      <w:r>
        <w:rPr>
          <w:rFonts w:ascii="Times New Roman" w:hAnsi="Times New Roman" w:eastAsia="Times New Roman" w:cs="Times New Roman"/>
          <w:i/>
          <w:lang w:val="en-GB"/>
        </w:rPr>
        <w:t>. International journal of environmental research and public health, 18(</w:t>
      </w:r>
      <w:r>
        <w:rPr>
          <w:rFonts w:ascii="Times New Roman" w:hAnsi="Times New Roman" w:eastAsia="Times New Roman" w:cs="Times New Roman"/>
          <w:lang w:val="en-GB"/>
        </w:rPr>
        <w:t>13), 6966.</w:t>
      </w:r>
    </w:p>
    <w:p>
      <w:pPr>
        <w:spacing w:line="480" w:lineRule="auto"/>
        <w:ind w:left="720" w:hanging="720"/>
        <w:jc w:val="both"/>
        <w:rPr>
          <w:rFonts w:ascii="Times New Roman" w:hAnsi="Times New Roman" w:cs="Times New Roman"/>
          <w:lang w:val="en-GB"/>
        </w:rPr>
      </w:pPr>
      <w:r>
        <w:rPr>
          <w:rFonts w:ascii="Times New Roman" w:hAnsi="Times New Roman" w:eastAsia="Times New Roman" w:cs="Times New Roman"/>
          <w:lang w:val="en-GB"/>
        </w:rPr>
        <w:t>Virtanen, M. (2020). The impact of remote working on employees’ work motivation &amp; ability to work.</w:t>
      </w:r>
    </w:p>
    <w:p>
      <w:pPr>
        <w:spacing w:line="480" w:lineRule="auto"/>
        <w:rPr>
          <w:rFonts w:ascii="Times New Roman" w:hAnsi="Times New Roman" w:eastAsia="Times New Roman" w:cs="Times New Roman"/>
          <w:b/>
          <w:bCs/>
          <w:lang w:val="en-GB"/>
        </w:rPr>
      </w:pPr>
      <w:r>
        <w:rPr>
          <w:rFonts w:ascii="Times New Roman" w:hAnsi="Times New Roman" w:eastAsia="Times New Roman" w:cs="Times New Roman"/>
          <w:b/>
          <w:bCs/>
          <w:lang w:val="en-GB"/>
        </w:rPr>
        <w:t>APPENDICES</w:t>
      </w:r>
    </w:p>
    <w:p>
      <w:pPr>
        <w:spacing w:line="480" w:lineRule="auto"/>
        <w:rPr>
          <w:rFonts w:ascii="Times New Roman" w:hAnsi="Times New Roman" w:eastAsia="Times New Roman" w:cs="Times New Roman"/>
          <w:b/>
          <w:lang w:val="en-GB"/>
        </w:rPr>
      </w:pPr>
      <w:r>
        <w:rPr>
          <w:rFonts w:ascii="Times New Roman" w:hAnsi="Times New Roman" w:eastAsia="Times New Roman" w:cs="Times New Roman"/>
          <w:b/>
          <w:lang w:val="en-GB"/>
        </w:rPr>
        <w:t>Appendix 1: Histogram of Job Satisfaction: Displays the distribution of job satisfaction scores, showing the frequency of each score on the 1-5 scale.</w:t>
      </w:r>
    </w:p>
    <w:p>
      <w:pPr>
        <w:spacing w:line="480" w:lineRule="auto"/>
        <w:jc w:val="both"/>
        <w:rPr>
          <w:rFonts w:ascii="Times New Roman" w:hAnsi="Times New Roman" w:cs="Times New Roman"/>
          <w:lang w:val="en-GB"/>
        </w:rPr>
      </w:pPr>
      <w:r>
        <w:rPr>
          <w:rFonts w:ascii="Times New Roman" w:hAnsi="Times New Roman" w:cs="Times New Roman"/>
          <w:lang w:val="en-GB" w:eastAsia="en-US"/>
        </w:rPr>
        <w:drawing>
          <wp:inline distT="0" distB="0" distL="0" distR="0">
            <wp:extent cx="5943600" cy="4714875"/>
            <wp:effectExtent l="25400" t="25400" r="25400" b="34925"/>
            <wp:docPr id="1029" name="Picture 1029"/>
            <wp:cNvGraphicFramePr/>
            <a:graphic xmlns:a="http://schemas.openxmlformats.org/drawingml/2006/main">
              <a:graphicData uri="http://schemas.openxmlformats.org/drawingml/2006/picture">
                <pic:pic xmlns:pic="http://schemas.openxmlformats.org/drawingml/2006/picture">
                  <pic:nvPicPr>
                    <pic:cNvPr id="1029" name="Picture 1029"/>
                    <pic:cNvPicPr/>
                  </pic:nvPicPr>
                  <pic:blipFill>
                    <a:blip r:embed="rId9" cstate="print"/>
                    <a:srcRect/>
                    <a:stretch>
                      <a:fillRect/>
                    </a:stretch>
                  </pic:blipFill>
                  <pic:spPr>
                    <a:xfrm>
                      <a:off x="0" y="0"/>
                      <a:ext cx="5943600" cy="4714875"/>
                    </a:xfrm>
                    <a:prstGeom prst="rect">
                      <a:avLst/>
                    </a:prstGeom>
                    <a:ln>
                      <a:solidFill>
                        <a:schemeClr val="bg1">
                          <a:lumMod val="50000"/>
                        </a:schemeClr>
                      </a:solidFill>
                    </a:ln>
                  </pic:spPr>
                </pic:pic>
              </a:graphicData>
            </a:graphic>
          </wp:inline>
        </w:drawing>
      </w:r>
    </w:p>
    <w:p>
      <w:pPr>
        <w:spacing w:line="480" w:lineRule="auto"/>
        <w:jc w:val="both"/>
        <w:rPr>
          <w:rFonts w:ascii="Times New Roman" w:hAnsi="Times New Roman" w:cs="Times New Roman"/>
          <w:lang w:val="en-GB"/>
        </w:rPr>
      </w:pPr>
    </w:p>
    <w:p>
      <w:pPr>
        <w:spacing w:line="480" w:lineRule="auto"/>
        <w:jc w:val="both"/>
        <w:rPr>
          <w:rFonts w:ascii="Times New Roman" w:hAnsi="Times New Roman" w:cs="Times New Roman"/>
          <w:lang w:val="en-GB"/>
        </w:rPr>
      </w:pPr>
    </w:p>
    <w:p>
      <w:pPr>
        <w:spacing w:line="480" w:lineRule="auto"/>
        <w:jc w:val="both"/>
        <w:rPr>
          <w:rFonts w:ascii="Times New Roman" w:hAnsi="Times New Roman" w:cs="Times New Roman"/>
          <w:lang w:val="en-GB"/>
        </w:rPr>
      </w:pPr>
    </w:p>
    <w:p>
      <w:pPr>
        <w:spacing w:line="480" w:lineRule="auto"/>
        <w:jc w:val="both"/>
        <w:rPr>
          <w:rFonts w:ascii="Times New Roman" w:hAnsi="Times New Roman" w:cs="Times New Roman"/>
          <w:lang w:val="en-GB"/>
        </w:rPr>
      </w:pPr>
    </w:p>
    <w:p>
      <w:pPr>
        <w:spacing w:line="480" w:lineRule="auto"/>
        <w:jc w:val="both"/>
        <w:rPr>
          <w:rFonts w:ascii="Times New Roman" w:hAnsi="Times New Roman" w:cs="Times New Roman"/>
          <w:b/>
          <w:lang w:val="en-GB"/>
        </w:rPr>
      </w:pPr>
      <w:r>
        <w:rPr>
          <w:rFonts w:ascii="Times New Roman" w:hAnsi="Times New Roman" w:cs="Times New Roman"/>
          <w:b/>
          <w:lang w:val="en-GB"/>
        </w:rPr>
        <w:t>Appendix 2: Pie Chart of Technological Support Levels: Illustrates the proportion of different levels of technological support among respondents.</w:t>
      </w:r>
    </w:p>
    <w:p>
      <w:pPr>
        <w:spacing w:line="480" w:lineRule="auto"/>
        <w:jc w:val="both"/>
        <w:rPr>
          <w:rFonts w:ascii="Times New Roman" w:hAnsi="Times New Roman" w:cs="Times New Roman"/>
          <w:lang w:val="en-GB"/>
        </w:rPr>
      </w:pPr>
      <w:r>
        <w:rPr>
          <w:rFonts w:ascii="Times New Roman" w:hAnsi="Times New Roman" w:cs="Times New Roman"/>
          <w:lang w:val="en-GB" w:eastAsia="en-US"/>
        </w:rPr>
        <w:drawing>
          <wp:inline distT="0" distB="0" distL="0" distR="0">
            <wp:extent cx="5943600" cy="5934075"/>
            <wp:effectExtent l="25400" t="25400" r="25400" b="34925"/>
            <wp:docPr id="1030" name="Picture 1030"/>
            <wp:cNvGraphicFramePr/>
            <a:graphic xmlns:a="http://schemas.openxmlformats.org/drawingml/2006/main">
              <a:graphicData uri="http://schemas.openxmlformats.org/drawingml/2006/picture">
                <pic:pic xmlns:pic="http://schemas.openxmlformats.org/drawingml/2006/picture">
                  <pic:nvPicPr>
                    <pic:cNvPr id="1030" name="Picture 1030"/>
                    <pic:cNvPicPr/>
                  </pic:nvPicPr>
                  <pic:blipFill>
                    <a:blip r:embed="rId10" cstate="print"/>
                    <a:srcRect/>
                    <a:stretch>
                      <a:fillRect/>
                    </a:stretch>
                  </pic:blipFill>
                  <pic:spPr>
                    <a:xfrm>
                      <a:off x="0" y="0"/>
                      <a:ext cx="5943600" cy="5934076"/>
                    </a:xfrm>
                    <a:prstGeom prst="rect">
                      <a:avLst/>
                    </a:prstGeom>
                    <a:ln>
                      <a:solidFill>
                        <a:schemeClr val="bg1">
                          <a:lumMod val="50000"/>
                        </a:schemeClr>
                      </a:solidFill>
                    </a:ln>
                  </pic:spPr>
                </pic:pic>
              </a:graphicData>
            </a:graphic>
          </wp:inline>
        </w:drawing>
      </w:r>
    </w:p>
    <w:p>
      <w:pPr>
        <w:spacing w:line="480" w:lineRule="auto"/>
        <w:jc w:val="both"/>
        <w:rPr>
          <w:rFonts w:ascii="Times New Roman" w:hAnsi="Times New Roman" w:cs="Times New Roman"/>
          <w:lang w:val="en-GB"/>
        </w:rPr>
      </w:pPr>
    </w:p>
    <w:p>
      <w:pPr>
        <w:spacing w:line="480" w:lineRule="auto"/>
        <w:jc w:val="both"/>
        <w:rPr>
          <w:rFonts w:ascii="Times New Roman" w:hAnsi="Times New Roman" w:cs="Times New Roman"/>
          <w:lang w:val="en-GB"/>
        </w:rPr>
      </w:pPr>
    </w:p>
    <w:p>
      <w:pPr>
        <w:spacing w:line="480" w:lineRule="auto"/>
        <w:jc w:val="both"/>
        <w:rPr>
          <w:rFonts w:ascii="Times New Roman" w:hAnsi="Times New Roman" w:cs="Times New Roman"/>
          <w:b/>
          <w:lang w:val="en-GB"/>
        </w:rPr>
      </w:pPr>
      <w:r>
        <w:rPr>
          <w:rFonts w:ascii="Times New Roman" w:hAnsi="Times New Roman" w:cs="Times New Roman"/>
          <w:b/>
          <w:lang w:val="en-GB"/>
        </w:rPr>
        <w:t>Appendix 3: Boxplot of Work Flexibility: Provides insights into the distribution and variability of work flexibility hours per week.</w:t>
      </w:r>
    </w:p>
    <w:p>
      <w:pPr>
        <w:spacing w:line="480" w:lineRule="auto"/>
        <w:jc w:val="both"/>
        <w:rPr>
          <w:rFonts w:ascii="Times New Roman" w:hAnsi="Times New Roman" w:cs="Times New Roman"/>
          <w:lang w:val="en-GB"/>
        </w:rPr>
      </w:pPr>
      <w:r>
        <w:rPr>
          <w:rFonts w:ascii="Times New Roman" w:hAnsi="Times New Roman" w:cs="Times New Roman"/>
          <w:lang w:val="en-GB" w:eastAsia="en-US"/>
        </w:rPr>
        <w:drawing>
          <wp:inline distT="0" distB="0" distL="0" distR="0">
            <wp:extent cx="5943600" cy="4276725"/>
            <wp:effectExtent l="25400" t="25400" r="25400" b="15875"/>
            <wp:docPr id="1031" name="Picture 1031"/>
            <wp:cNvGraphicFramePr/>
            <a:graphic xmlns:a="http://schemas.openxmlformats.org/drawingml/2006/main">
              <a:graphicData uri="http://schemas.openxmlformats.org/drawingml/2006/picture">
                <pic:pic xmlns:pic="http://schemas.openxmlformats.org/drawingml/2006/picture">
                  <pic:nvPicPr>
                    <pic:cNvPr id="1031" name="Picture 1031"/>
                    <pic:cNvPicPr/>
                  </pic:nvPicPr>
                  <pic:blipFill>
                    <a:blip r:embed="rId11" cstate="print"/>
                    <a:srcRect/>
                    <a:stretch>
                      <a:fillRect/>
                    </a:stretch>
                  </pic:blipFill>
                  <pic:spPr>
                    <a:xfrm>
                      <a:off x="0" y="0"/>
                      <a:ext cx="5943600" cy="4276725"/>
                    </a:xfrm>
                    <a:prstGeom prst="rect">
                      <a:avLst/>
                    </a:prstGeom>
                    <a:ln>
                      <a:solidFill>
                        <a:schemeClr val="bg1">
                          <a:lumMod val="50000"/>
                        </a:schemeClr>
                      </a:solidFill>
                    </a:ln>
                  </pic:spPr>
                </pic:pic>
              </a:graphicData>
            </a:graphic>
          </wp:inline>
        </w:drawing>
      </w:r>
      <w:r>
        <w:rPr>
          <w:rFonts w:ascii="Times New Roman" w:hAnsi="Times New Roman" w:cs="Times New Roman"/>
          <w:lang w:val="en-GB"/>
        </w:rPr>
        <w:br w:type="textWrapping"/>
      </w:r>
    </w:p>
    <w:p>
      <w:pPr>
        <w:spacing w:line="480" w:lineRule="auto"/>
        <w:jc w:val="both"/>
        <w:rPr>
          <w:rFonts w:ascii="Times New Roman" w:hAnsi="Times New Roman" w:cs="Times New Roman"/>
          <w:lang w:val="en-GB"/>
        </w:rPr>
      </w:pPr>
    </w:p>
    <w:p>
      <w:pPr>
        <w:spacing w:line="480" w:lineRule="auto"/>
        <w:jc w:val="both"/>
        <w:rPr>
          <w:rFonts w:ascii="Times New Roman" w:hAnsi="Times New Roman" w:cs="Times New Roman"/>
          <w:lang w:val="en-GB"/>
        </w:rPr>
      </w:pPr>
    </w:p>
    <w:p>
      <w:pPr>
        <w:spacing w:line="480" w:lineRule="auto"/>
        <w:jc w:val="both"/>
        <w:rPr>
          <w:rFonts w:ascii="Times New Roman" w:hAnsi="Times New Roman" w:cs="Times New Roman"/>
          <w:lang w:val="en-GB"/>
        </w:rPr>
      </w:pPr>
    </w:p>
    <w:p>
      <w:pPr>
        <w:spacing w:line="480" w:lineRule="auto"/>
        <w:jc w:val="both"/>
        <w:rPr>
          <w:rFonts w:ascii="Times New Roman" w:hAnsi="Times New Roman" w:cs="Times New Roman"/>
          <w:lang w:val="en-GB"/>
        </w:rPr>
      </w:pPr>
    </w:p>
    <w:p>
      <w:pPr>
        <w:spacing w:line="480" w:lineRule="auto"/>
        <w:jc w:val="both"/>
        <w:rPr>
          <w:rFonts w:ascii="Times New Roman" w:hAnsi="Times New Roman" w:cs="Times New Roman"/>
          <w:b/>
          <w:lang w:val="en-GB"/>
        </w:rPr>
      </w:pPr>
      <w:r>
        <w:rPr>
          <w:rFonts w:ascii="Times New Roman" w:hAnsi="Times New Roman" w:cs="Times New Roman"/>
          <w:b/>
          <w:lang w:val="en-GB"/>
        </w:rPr>
        <w:t>Appendix 4: Heatmap of Correlations: A visual representation of the correlation matrix, showing the relationships between the variables.</w:t>
      </w:r>
    </w:p>
    <w:p>
      <w:pPr>
        <w:spacing w:line="480" w:lineRule="auto"/>
        <w:jc w:val="both"/>
        <w:rPr>
          <w:rFonts w:ascii="Times New Roman" w:hAnsi="Times New Roman" w:cs="Times New Roman"/>
          <w:lang w:val="en-GB"/>
        </w:rPr>
      </w:pPr>
      <w:r>
        <w:rPr>
          <w:rFonts w:ascii="Times New Roman" w:hAnsi="Times New Roman" w:cs="Times New Roman"/>
          <w:lang w:val="en-GB" w:eastAsia="en-US"/>
        </w:rPr>
        <w:drawing>
          <wp:inline distT="0" distB="0" distL="0" distR="0">
            <wp:extent cx="5943600" cy="5095240"/>
            <wp:effectExtent l="25400" t="25400" r="25400" b="35560"/>
            <wp:docPr id="1032" name="Picture 1032"/>
            <wp:cNvGraphicFramePr/>
            <a:graphic xmlns:a="http://schemas.openxmlformats.org/drawingml/2006/main">
              <a:graphicData uri="http://schemas.openxmlformats.org/drawingml/2006/picture">
                <pic:pic xmlns:pic="http://schemas.openxmlformats.org/drawingml/2006/picture">
                  <pic:nvPicPr>
                    <pic:cNvPr id="1032" name="Picture 1032"/>
                    <pic:cNvPicPr/>
                  </pic:nvPicPr>
                  <pic:blipFill>
                    <a:blip r:embed="rId12" cstate="print"/>
                    <a:srcRect/>
                    <a:stretch>
                      <a:fillRect/>
                    </a:stretch>
                  </pic:blipFill>
                  <pic:spPr>
                    <a:xfrm>
                      <a:off x="0" y="0"/>
                      <a:ext cx="5943600" cy="5095874"/>
                    </a:xfrm>
                    <a:prstGeom prst="rect">
                      <a:avLst/>
                    </a:prstGeom>
                    <a:ln>
                      <a:solidFill>
                        <a:schemeClr val="bg1">
                          <a:lumMod val="50000"/>
                        </a:schemeClr>
                      </a:solidFill>
                    </a:ln>
                  </pic:spPr>
                </pic:pic>
              </a:graphicData>
            </a:graphic>
          </wp:inline>
        </w:drawing>
      </w:r>
    </w:p>
    <w:sectPr>
      <w:footerReference r:id="rId3" w:type="default"/>
      <w:footerReference r:id="rId4" w:type="even"/>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Symbol">
    <w:panose1 w:val="00000000000000000000"/>
    <w:charset w:val="02"/>
    <w:family w:val="auto"/>
    <w:pitch w:val="default"/>
    <w:sig w:usb0="00000000" w:usb1="00000000" w:usb2="00000000" w:usb3="00000000" w:csb0="80000000" w:csb1="00000000"/>
  </w:font>
  <w:font w:name="Aptos">
    <w:altName w:val="Arial"/>
    <w:panose1 w:val="00000000000000000000"/>
    <w:charset w:val="00"/>
    <w:family w:val="swiss"/>
    <w:pitch w:val="default"/>
    <w:sig w:usb0="00000000" w:usb1="00000000" w:usb2="00000000" w:usb3="00000000" w:csb0="0000019F" w:csb1="00000000"/>
  </w:font>
  <w:font w:name="Aptos Display">
    <w:altName w:val="Arial"/>
    <w:panose1 w:val="00000000000000000000"/>
    <w:charset w:val="00"/>
    <w:family w:val="swiss"/>
    <w:pitch w:val="default"/>
    <w:sig w:usb0="00000000" w:usb1="00000000" w:usb2="00000000" w:usb3="00000000" w:csb0="0000019F" w:csb1="00000000"/>
  </w:font>
  <w:font w:name="Lucida Grande">
    <w:panose1 w:val="020B0600040502020204"/>
    <w:charset w:val="00"/>
    <w:family w:val="auto"/>
    <w:pitch w:val="default"/>
    <w:sig w:usb0="00000000" w:usb1="00000000" w:usb2="00000000" w:usb3="00000000" w:csb0="000001BF" w:csb1="00000000"/>
  </w:font>
  <w:font w:name="Cambria Math">
    <w:panose1 w:val="02040503050406030204"/>
    <w:charset w:val="00"/>
    <w:family w:val="auto"/>
    <w:pitch w:val="default"/>
    <w:sig w:usb0="00000000" w:usb1="00000000" w:usb2="00000000" w:usb3="00000000" w:csb0="0000019F" w:csb1="00000000"/>
  </w:font>
  <w:font w:name="Noteworthy Bold">
    <w:panose1 w:val="02000400000000000000"/>
    <w:charset w:val="00"/>
    <w:family w:val="auto"/>
    <w:pitch w:val="default"/>
    <w:sig w:usb0="00000000" w:usb1="00000000" w:usb2="14600000" w:usb3="00000000" w:csb0="00000111" w:csb1="00000000"/>
  </w:font>
  <w:font w:name="ＭＳ ゴシック">
    <w:panose1 w:val="00000000000000000000"/>
    <w:charset w:val="4E"/>
    <w:family w:val="auto"/>
    <w:pitch w:val="default"/>
    <w:sig w:usb0="00000000" w:usb1="00000000" w:usb2="00000012" w:usb3="00000000" w:csb0="0002009F" w:csb1="00000000"/>
  </w:font>
  <w:font w:name="ＭＳ 明朝">
    <w:panose1 w:val="00000000000000000000"/>
    <w:charset w:val="4E"/>
    <w:family w:val="auto"/>
    <w:pitch w:val="default"/>
    <w:sig w:usb0="00000000" w:usb1="00000000"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2"/>
      <w:framePr w:wrap="around" w:vAnchor="text" w:hAnchor="margin" w:xAlign="right" w:y="1"/>
      <w:rPr>
        <w:rStyle w:val="16"/>
      </w:rPr>
    </w:pPr>
    <w:r>
      <w:rPr>
        <w:rStyle w:val="16"/>
      </w:rPr>
      <w:fldChar w:fldCharType="begin"/>
    </w:r>
    <w:r>
      <w:rPr>
        <w:rStyle w:val="16"/>
      </w:rPr>
      <w:instrText xml:space="preserve">PAGE  </w:instrText>
    </w:r>
    <w:r>
      <w:rPr>
        <w:rStyle w:val="16"/>
      </w:rPr>
      <w:fldChar w:fldCharType="separate"/>
    </w:r>
    <w:r>
      <w:rPr>
        <w:rStyle w:val="16"/>
      </w:rPr>
      <w:t>1</w:t>
    </w:r>
    <w:r>
      <w:rPr>
        <w:rStyle w:val="16"/>
      </w:rPr>
      <w:fldChar w:fldCharType="end"/>
    </w:r>
  </w:p>
  <w:p>
    <w:pPr>
      <w:pStyle w:val="12"/>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2"/>
      <w:framePr w:wrap="around" w:vAnchor="text" w:hAnchor="margin" w:xAlign="right" w:y="1"/>
      <w:rPr>
        <w:rStyle w:val="16"/>
      </w:rPr>
    </w:pPr>
    <w:r>
      <w:rPr>
        <w:rStyle w:val="16"/>
      </w:rPr>
      <w:fldChar w:fldCharType="begin"/>
    </w:r>
    <w:r>
      <w:rPr>
        <w:rStyle w:val="16"/>
      </w:rPr>
      <w:instrText xml:space="preserve">PAGE  </w:instrText>
    </w:r>
    <w:r>
      <w:rPr>
        <w:rStyle w:val="16"/>
      </w:rPr>
      <w:fldChar w:fldCharType="end"/>
    </w:r>
  </w:p>
  <w:p>
    <w:pPr>
      <w:pStyle w:val="12"/>
      <w:ind w:right="360"/>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00000001"/>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00000002"/>
    <w:multiLevelType w:val="multilevel"/>
    <w:tmpl w:val="00000002"/>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00000003"/>
    <w:multiLevelType w:val="multilevel"/>
    <w:tmpl w:val="0000000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3">
    <w:nsid w:val="0BDB0922"/>
    <w:multiLevelType w:val="multilevel"/>
    <w:tmpl w:val="0BDB092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4">
    <w:nsid w:val="3ACB2CC9"/>
    <w:multiLevelType w:val="multilevel"/>
    <w:tmpl w:val="3ACB2CC9"/>
    <w:lvl w:ilvl="0" w:tentative="0">
      <w:start w:val="1"/>
      <w:numFmt w:val="lowerRoman"/>
      <w:lvlText w:val="%1."/>
      <w:lvlJc w:val="righ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5">
    <w:nsid w:val="3D5351F2"/>
    <w:multiLevelType w:val="multilevel"/>
    <w:tmpl w:val="3D5351F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6">
    <w:nsid w:val="5B062E09"/>
    <w:multiLevelType w:val="multilevel"/>
    <w:tmpl w:val="5B062E0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4"/>
  </w:num>
  <w:num w:numId="3">
    <w:abstractNumId w:val="3"/>
  </w:num>
  <w:num w:numId="4">
    <w:abstractNumId w:val="6"/>
  </w:num>
  <w:num w:numId="5">
    <w:abstractNumId w:val="5"/>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val="0"/>
    <m:dispDef/>
    <m:lMargin m:val="0"/>
    <m:rMargin m:val="0"/>
    <m:defJc m:val="centerGroup"/>
    <m:wrapIndent m:val="1440"/>
    <m:intLim m:val="subSup"/>
    <m:naryLim m:val="undOvr"/>
  </m:mathPr>
  <w:doNotAutoCompressPictures/>
  <w:themeFontLang w:val="en-US" w:eastAsia="ja-JP"/>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Aptos" w:hAnsi="Aptos" w:eastAsia="宋体" w:cs="宋体"/>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nhideWhenUsed="0" w:uiPriority="9" w:semiHidden="0" w:name="heading 3"/>
    <w:lsdException w:qFormat="1" w:unhideWhenUsed="0" w:uiPriority="9" w:semiHidden="0" w:name="heading 4"/>
    <w:lsdException w:qFormat="1" w:unhideWhenUsed="0" w:uiPriority="9" w:semiHidden="0" w:name="heading 5"/>
    <w:lsdException w:qFormat="1" w:unhideWhenUsed="0" w:uiPriority="9" w:semiHidden="0" w:name="heading 6"/>
    <w:lsdException w:qFormat="1" w:unhideWhenUsed="0" w:uiPriority="9" w:semiHidden="0" w:name="heading 7"/>
    <w:lsdException w:qFormat="1" w:unhideWhenUsed="0" w:uiPriority="9" w:semiHidden="0" w:name="heading 8"/>
    <w:lsdException w:qFormat="1" w:unhideWhenUsed="0" w:uiPriority="9" w:semiHidden="0"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9" w:lineRule="auto"/>
    </w:pPr>
    <w:rPr>
      <w:rFonts w:ascii="Aptos" w:hAnsi="Aptos" w:eastAsia="宋体" w:cs="宋体"/>
      <w:sz w:val="24"/>
      <w:szCs w:val="24"/>
      <w:lang w:val="en-US" w:eastAsia="ja-JP" w:bidi="ar-SA"/>
    </w:rPr>
  </w:style>
  <w:style w:type="paragraph" w:styleId="2">
    <w:name w:val="heading 1"/>
    <w:basedOn w:val="1"/>
    <w:next w:val="1"/>
    <w:link w:val="19"/>
    <w:qFormat/>
    <w:uiPriority w:val="9"/>
    <w:pPr>
      <w:keepNext/>
      <w:keepLines/>
      <w:spacing w:before="360" w:after="80"/>
      <w:outlineLvl w:val="0"/>
    </w:pPr>
    <w:rPr>
      <w:rFonts w:ascii="Aptos Display" w:hAnsi="Aptos Display"/>
      <w:color w:val="0F4761"/>
      <w:sz w:val="40"/>
      <w:szCs w:val="40"/>
    </w:rPr>
  </w:style>
  <w:style w:type="paragraph" w:styleId="3">
    <w:name w:val="heading 2"/>
    <w:basedOn w:val="1"/>
    <w:next w:val="1"/>
    <w:link w:val="20"/>
    <w:qFormat/>
    <w:uiPriority w:val="9"/>
    <w:pPr>
      <w:keepNext/>
      <w:keepLines/>
      <w:spacing w:before="160" w:after="80"/>
      <w:outlineLvl w:val="1"/>
    </w:pPr>
    <w:rPr>
      <w:rFonts w:ascii="Aptos Display" w:hAnsi="Aptos Display"/>
      <w:color w:val="0F4761"/>
      <w:sz w:val="32"/>
      <w:szCs w:val="32"/>
    </w:rPr>
  </w:style>
  <w:style w:type="paragraph" w:styleId="4">
    <w:name w:val="heading 3"/>
    <w:basedOn w:val="1"/>
    <w:next w:val="1"/>
    <w:link w:val="21"/>
    <w:qFormat/>
    <w:uiPriority w:val="9"/>
    <w:pPr>
      <w:keepNext/>
      <w:keepLines/>
      <w:spacing w:before="160" w:after="80"/>
      <w:outlineLvl w:val="2"/>
    </w:pPr>
    <w:rPr>
      <w:color w:val="0F4761"/>
      <w:sz w:val="28"/>
      <w:szCs w:val="28"/>
    </w:rPr>
  </w:style>
  <w:style w:type="paragraph" w:styleId="5">
    <w:name w:val="heading 4"/>
    <w:basedOn w:val="1"/>
    <w:next w:val="1"/>
    <w:link w:val="22"/>
    <w:qFormat/>
    <w:uiPriority w:val="9"/>
    <w:pPr>
      <w:keepNext/>
      <w:keepLines/>
      <w:spacing w:before="80" w:after="40"/>
      <w:outlineLvl w:val="3"/>
    </w:pPr>
    <w:rPr>
      <w:i/>
      <w:iCs/>
      <w:color w:val="0F4761"/>
    </w:rPr>
  </w:style>
  <w:style w:type="paragraph" w:styleId="6">
    <w:name w:val="heading 5"/>
    <w:basedOn w:val="1"/>
    <w:next w:val="1"/>
    <w:link w:val="23"/>
    <w:qFormat/>
    <w:uiPriority w:val="9"/>
    <w:pPr>
      <w:keepNext/>
      <w:keepLines/>
      <w:spacing w:before="80" w:after="40"/>
      <w:outlineLvl w:val="4"/>
    </w:pPr>
    <w:rPr>
      <w:color w:val="0F4761"/>
    </w:rPr>
  </w:style>
  <w:style w:type="paragraph" w:styleId="7">
    <w:name w:val="heading 6"/>
    <w:basedOn w:val="1"/>
    <w:next w:val="1"/>
    <w:link w:val="24"/>
    <w:qFormat/>
    <w:uiPriority w:val="9"/>
    <w:pPr>
      <w:keepNext/>
      <w:keepLines/>
      <w:spacing w:before="40" w:after="0"/>
      <w:outlineLvl w:val="5"/>
    </w:pPr>
    <w:rPr>
      <w:i/>
      <w:iCs/>
      <w:color w:val="595959"/>
    </w:rPr>
  </w:style>
  <w:style w:type="paragraph" w:styleId="8">
    <w:name w:val="heading 7"/>
    <w:basedOn w:val="1"/>
    <w:next w:val="1"/>
    <w:link w:val="25"/>
    <w:qFormat/>
    <w:uiPriority w:val="9"/>
    <w:pPr>
      <w:keepNext/>
      <w:keepLines/>
      <w:spacing w:before="40" w:after="0"/>
      <w:outlineLvl w:val="6"/>
    </w:pPr>
    <w:rPr>
      <w:color w:val="595959"/>
    </w:rPr>
  </w:style>
  <w:style w:type="paragraph" w:styleId="9">
    <w:name w:val="heading 8"/>
    <w:basedOn w:val="1"/>
    <w:next w:val="1"/>
    <w:link w:val="26"/>
    <w:qFormat/>
    <w:uiPriority w:val="9"/>
    <w:pPr>
      <w:keepNext/>
      <w:keepLines/>
      <w:spacing w:after="0"/>
      <w:outlineLvl w:val="7"/>
    </w:pPr>
    <w:rPr>
      <w:i/>
      <w:iCs/>
      <w:color w:val="272727"/>
    </w:rPr>
  </w:style>
  <w:style w:type="paragraph" w:styleId="10">
    <w:name w:val="heading 9"/>
    <w:basedOn w:val="1"/>
    <w:next w:val="1"/>
    <w:link w:val="27"/>
    <w:qFormat/>
    <w:uiPriority w:val="9"/>
    <w:pPr>
      <w:keepNext/>
      <w:keepLines/>
      <w:spacing w:after="0"/>
      <w:outlineLvl w:val="8"/>
    </w:pPr>
    <w:rPr>
      <w:color w:val="272727"/>
    </w:rPr>
  </w:style>
  <w:style w:type="character" w:default="1" w:styleId="15">
    <w:name w:val="Default Paragraph Font"/>
    <w:unhideWhenUsed/>
    <w:uiPriority w:val="1"/>
  </w:style>
  <w:style w:type="table" w:default="1" w:styleId="17">
    <w:name w:val="Normal Table"/>
    <w:unhideWhenUsed/>
    <w:uiPriority w:val="99"/>
    <w:tblPr>
      <w:tblLayout w:type="fixed"/>
      <w:tblCellMar>
        <w:top w:w="0" w:type="dxa"/>
        <w:left w:w="108" w:type="dxa"/>
        <w:bottom w:w="0" w:type="dxa"/>
        <w:right w:w="108" w:type="dxa"/>
      </w:tblCellMar>
    </w:tblPr>
  </w:style>
  <w:style w:type="paragraph" w:styleId="11">
    <w:name w:val="Balloon Text"/>
    <w:basedOn w:val="1"/>
    <w:link w:val="38"/>
    <w:unhideWhenUsed/>
    <w:uiPriority w:val="99"/>
    <w:pPr>
      <w:spacing w:after="0" w:line="240" w:lineRule="auto"/>
    </w:pPr>
    <w:rPr>
      <w:rFonts w:ascii="Lucida Grande" w:hAnsi="Lucida Grande" w:cs="Lucida Grande"/>
      <w:sz w:val="18"/>
      <w:szCs w:val="18"/>
    </w:rPr>
  </w:style>
  <w:style w:type="paragraph" w:styleId="12">
    <w:name w:val="footer"/>
    <w:basedOn w:val="1"/>
    <w:link w:val="39"/>
    <w:unhideWhenUsed/>
    <w:uiPriority w:val="99"/>
    <w:pPr>
      <w:tabs>
        <w:tab w:val="center" w:pos="4320"/>
        <w:tab w:val="right" w:pos="8640"/>
      </w:tabs>
      <w:spacing w:after="0" w:line="240" w:lineRule="auto"/>
    </w:pPr>
  </w:style>
  <w:style w:type="paragraph" w:styleId="13">
    <w:name w:val="Subtitle"/>
    <w:basedOn w:val="1"/>
    <w:next w:val="1"/>
    <w:link w:val="29"/>
    <w:qFormat/>
    <w:uiPriority w:val="11"/>
    <w:rPr>
      <w:color w:val="595959"/>
      <w:spacing w:val="15"/>
      <w:sz w:val="28"/>
      <w:szCs w:val="28"/>
    </w:rPr>
  </w:style>
  <w:style w:type="paragraph" w:styleId="14">
    <w:name w:val="Title"/>
    <w:basedOn w:val="1"/>
    <w:next w:val="1"/>
    <w:link w:val="28"/>
    <w:qFormat/>
    <w:uiPriority w:val="10"/>
    <w:pPr>
      <w:spacing w:after="80" w:line="240" w:lineRule="auto"/>
      <w:contextualSpacing/>
    </w:pPr>
    <w:rPr>
      <w:rFonts w:ascii="Aptos Display" w:hAnsi="Aptos Display"/>
      <w:spacing w:val="-10"/>
      <w:kern w:val="28"/>
      <w:sz w:val="56"/>
      <w:szCs w:val="56"/>
    </w:rPr>
  </w:style>
  <w:style w:type="character" w:styleId="16">
    <w:name w:val="page number"/>
    <w:basedOn w:val="15"/>
    <w:unhideWhenUsed/>
    <w:uiPriority w:val="99"/>
  </w:style>
  <w:style w:type="table" w:styleId="18">
    <w:name w:val="Table Grid"/>
    <w:basedOn w:val="17"/>
    <w:uiPriority w:val="59"/>
    <w:pPr>
      <w:spacing w:after="0" w:line="240" w:lineRule="auto"/>
    </w:pPr>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style>
  <w:style w:type="character" w:customStyle="1" w:styleId="19">
    <w:name w:val="Heading 1 Char"/>
    <w:basedOn w:val="15"/>
    <w:link w:val="2"/>
    <w:uiPriority w:val="9"/>
    <w:rPr>
      <w:rFonts w:ascii="Aptos Display" w:hAnsi="Aptos Display" w:eastAsia="宋体" w:cs="宋体"/>
      <w:color w:val="0F4761"/>
      <w:sz w:val="40"/>
      <w:szCs w:val="40"/>
    </w:rPr>
  </w:style>
  <w:style w:type="character" w:customStyle="1" w:styleId="20">
    <w:name w:val="Heading 2 Char"/>
    <w:basedOn w:val="15"/>
    <w:link w:val="3"/>
    <w:uiPriority w:val="9"/>
    <w:rPr>
      <w:rFonts w:ascii="Aptos Display" w:hAnsi="Aptos Display" w:eastAsia="宋体" w:cs="宋体"/>
      <w:color w:val="0F4761"/>
      <w:sz w:val="32"/>
      <w:szCs w:val="32"/>
    </w:rPr>
  </w:style>
  <w:style w:type="character" w:customStyle="1" w:styleId="21">
    <w:name w:val="Heading 3 Char"/>
    <w:basedOn w:val="15"/>
    <w:link w:val="4"/>
    <w:uiPriority w:val="9"/>
    <w:rPr>
      <w:rFonts w:eastAsia="宋体" w:cs="宋体"/>
      <w:color w:val="0F4761"/>
      <w:sz w:val="28"/>
      <w:szCs w:val="28"/>
    </w:rPr>
  </w:style>
  <w:style w:type="character" w:customStyle="1" w:styleId="22">
    <w:name w:val="Heading 4 Char"/>
    <w:basedOn w:val="15"/>
    <w:link w:val="5"/>
    <w:uiPriority w:val="9"/>
    <w:rPr>
      <w:rFonts w:eastAsia="宋体" w:cs="宋体"/>
      <w:i/>
      <w:iCs/>
      <w:color w:val="0F4761"/>
    </w:rPr>
  </w:style>
  <w:style w:type="character" w:customStyle="1" w:styleId="23">
    <w:name w:val="Heading 5 Char"/>
    <w:basedOn w:val="15"/>
    <w:link w:val="6"/>
    <w:uiPriority w:val="9"/>
    <w:rPr>
      <w:rFonts w:eastAsia="宋体" w:cs="宋体"/>
      <w:color w:val="0F4761"/>
    </w:rPr>
  </w:style>
  <w:style w:type="character" w:customStyle="1" w:styleId="24">
    <w:name w:val="Heading 6 Char"/>
    <w:basedOn w:val="15"/>
    <w:link w:val="7"/>
    <w:uiPriority w:val="9"/>
    <w:rPr>
      <w:rFonts w:eastAsia="宋体" w:cs="宋体"/>
      <w:i/>
      <w:iCs/>
      <w:color w:val="595959"/>
    </w:rPr>
  </w:style>
  <w:style w:type="character" w:customStyle="1" w:styleId="25">
    <w:name w:val="Heading 7 Char"/>
    <w:basedOn w:val="15"/>
    <w:link w:val="8"/>
    <w:uiPriority w:val="9"/>
    <w:rPr>
      <w:rFonts w:eastAsia="宋体" w:cs="宋体"/>
      <w:color w:val="595959"/>
    </w:rPr>
  </w:style>
  <w:style w:type="character" w:customStyle="1" w:styleId="26">
    <w:name w:val="Heading 8 Char"/>
    <w:basedOn w:val="15"/>
    <w:link w:val="9"/>
    <w:uiPriority w:val="9"/>
    <w:rPr>
      <w:rFonts w:eastAsia="宋体" w:cs="宋体"/>
      <w:i/>
      <w:iCs/>
      <w:color w:val="272727"/>
    </w:rPr>
  </w:style>
  <w:style w:type="character" w:customStyle="1" w:styleId="27">
    <w:name w:val="Heading 9 Char"/>
    <w:basedOn w:val="15"/>
    <w:link w:val="10"/>
    <w:uiPriority w:val="9"/>
    <w:rPr>
      <w:rFonts w:eastAsia="宋体" w:cs="宋体"/>
      <w:color w:val="272727"/>
    </w:rPr>
  </w:style>
  <w:style w:type="character" w:customStyle="1" w:styleId="28">
    <w:name w:val="Title Char"/>
    <w:basedOn w:val="15"/>
    <w:link w:val="14"/>
    <w:uiPriority w:val="10"/>
    <w:rPr>
      <w:rFonts w:ascii="Aptos Display" w:hAnsi="Aptos Display" w:eastAsia="宋体" w:cs="宋体"/>
      <w:spacing w:val="-10"/>
      <w:kern w:val="28"/>
      <w:sz w:val="56"/>
      <w:szCs w:val="56"/>
    </w:rPr>
  </w:style>
  <w:style w:type="character" w:customStyle="1" w:styleId="29">
    <w:name w:val="Subtitle Char"/>
    <w:basedOn w:val="15"/>
    <w:link w:val="13"/>
    <w:uiPriority w:val="11"/>
    <w:rPr>
      <w:rFonts w:eastAsia="宋体" w:cs="宋体"/>
      <w:color w:val="595959"/>
      <w:spacing w:val="15"/>
      <w:sz w:val="28"/>
      <w:szCs w:val="28"/>
    </w:rPr>
  </w:style>
  <w:style w:type="character" w:customStyle="1" w:styleId="30">
    <w:name w:val="Intense Emphasis"/>
    <w:basedOn w:val="15"/>
    <w:qFormat/>
    <w:uiPriority w:val="21"/>
    <w:rPr>
      <w:i/>
      <w:iCs/>
      <w:color w:val="0F4761"/>
    </w:rPr>
  </w:style>
  <w:style w:type="character" w:customStyle="1" w:styleId="31">
    <w:name w:val="Quote Char"/>
    <w:basedOn w:val="15"/>
    <w:link w:val="32"/>
    <w:uiPriority w:val="29"/>
    <w:rPr>
      <w:i/>
      <w:iCs/>
      <w:color w:val="404040"/>
    </w:rPr>
  </w:style>
  <w:style w:type="paragraph" w:customStyle="1" w:styleId="32">
    <w:name w:val="Quote"/>
    <w:basedOn w:val="1"/>
    <w:next w:val="1"/>
    <w:link w:val="31"/>
    <w:qFormat/>
    <w:uiPriority w:val="29"/>
    <w:pPr>
      <w:spacing w:before="160"/>
      <w:jc w:val="center"/>
    </w:pPr>
    <w:rPr>
      <w:i/>
      <w:iCs/>
      <w:color w:val="404040"/>
    </w:rPr>
  </w:style>
  <w:style w:type="character" w:customStyle="1" w:styleId="33">
    <w:name w:val="Intense Quote Char"/>
    <w:basedOn w:val="15"/>
    <w:link w:val="34"/>
    <w:uiPriority w:val="30"/>
    <w:rPr>
      <w:i/>
      <w:iCs/>
      <w:color w:val="0F4761"/>
    </w:rPr>
  </w:style>
  <w:style w:type="paragraph" w:customStyle="1" w:styleId="34">
    <w:name w:val="Intense Quote"/>
    <w:basedOn w:val="1"/>
    <w:next w:val="1"/>
    <w:link w:val="33"/>
    <w:qFormat/>
    <w:uiPriority w:val="30"/>
    <w:pPr>
      <w:pBdr>
        <w:top w:val="single" w:color="0F4761" w:sz="4" w:space="10"/>
        <w:bottom w:val="single" w:color="0F4761" w:sz="4" w:space="10"/>
      </w:pBdr>
      <w:spacing w:before="360" w:after="360"/>
      <w:ind w:left="864" w:right="864"/>
      <w:jc w:val="center"/>
    </w:pPr>
    <w:rPr>
      <w:i/>
      <w:iCs/>
      <w:color w:val="0F4761"/>
    </w:rPr>
  </w:style>
  <w:style w:type="character" w:customStyle="1" w:styleId="35">
    <w:name w:val="Intense Reference"/>
    <w:basedOn w:val="15"/>
    <w:qFormat/>
    <w:uiPriority w:val="32"/>
    <w:rPr>
      <w:b/>
      <w:bCs/>
      <w:smallCaps/>
      <w:color w:val="0F4761"/>
      <w:spacing w:val="5"/>
    </w:rPr>
  </w:style>
  <w:style w:type="paragraph" w:customStyle="1" w:styleId="36">
    <w:name w:val="List Paragraph"/>
    <w:basedOn w:val="1"/>
    <w:qFormat/>
    <w:uiPriority w:val="34"/>
    <w:pPr>
      <w:ind w:left="720"/>
      <w:contextualSpacing/>
    </w:pPr>
  </w:style>
  <w:style w:type="paragraph" w:customStyle="1" w:styleId="37">
    <w:name w:val="No Spacing"/>
    <w:qFormat/>
    <w:uiPriority w:val="1"/>
    <w:pPr>
      <w:spacing w:after="0" w:line="240" w:lineRule="auto"/>
    </w:pPr>
    <w:rPr>
      <w:rFonts w:ascii="Aptos" w:hAnsi="Aptos" w:eastAsia="宋体" w:cs="宋体"/>
      <w:sz w:val="24"/>
      <w:szCs w:val="24"/>
      <w:lang w:val="en-US" w:eastAsia="ja-JP" w:bidi="ar-SA"/>
    </w:rPr>
  </w:style>
  <w:style w:type="character" w:customStyle="1" w:styleId="38">
    <w:name w:val="Balloon Text Char"/>
    <w:basedOn w:val="15"/>
    <w:link w:val="11"/>
    <w:semiHidden/>
    <w:uiPriority w:val="99"/>
    <w:rPr>
      <w:rFonts w:ascii="Lucida Grande" w:hAnsi="Lucida Grande" w:cs="Lucida Grande"/>
      <w:sz w:val="18"/>
      <w:szCs w:val="18"/>
    </w:rPr>
  </w:style>
  <w:style w:type="character" w:customStyle="1" w:styleId="39">
    <w:name w:val="Footer Char"/>
    <w:basedOn w:val="15"/>
    <w:link w:val="12"/>
    <w:uiPriority w:val="99"/>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43</Pages>
  <Words>8728</Words>
  <Characters>49751</Characters>
  <Lines>414</Lines>
  <Paragraphs>116</Paragraphs>
  <TotalTime>0</TotalTime>
  <ScaleCrop>false</ScaleCrop>
  <LinksUpToDate>false</LinksUpToDate>
  <CharactersWithSpaces>58363</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2024-08-17T23:33:00Z</dcterms:created>
  <dc:creator>jack odiwa</dc:creator>
  <cp:lastModifiedBy>iPhone</cp:lastModifiedBy>
  <dcterms:modified xsi:type="dcterms:W3CDTF">2024-08-18T12:31:01Z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bcd42d2ab94b4f97a3faa93faf7cd842</vt:lpwstr>
  </property>
  <property fmtid="{D5CDD505-2E9C-101B-9397-08002B2CF9AE}" pid="3" name="KSOProductBuildVer">
    <vt:lpwstr>3081-12.15.2</vt:lpwstr>
  </property>
</Properties>
</file>