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00E07" w14:textId="77777777" w:rsidR="00F44600" w:rsidRDefault="00000000" w:rsidP="00F44600">
      <w:pPr>
        <w:spacing w:line="360" w:lineRule="auto"/>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B116C2">
        <w:rPr>
          <w:noProof/>
        </w:rPr>
        <w:pict w14:anchorId="280C18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4pt;height:106.2pt;visibility:visible">
            <v:imagedata r:id="rId8" r:href="rId9"/>
          </v:shape>
        </w:pict>
      </w:r>
      <w:r>
        <w:rPr>
          <w:noProof/>
        </w:rPr>
        <w:fldChar w:fldCharType="end"/>
      </w:r>
      <w:r>
        <w:rPr>
          <w:noProof/>
        </w:rPr>
        <w:fldChar w:fldCharType="end"/>
      </w:r>
    </w:p>
    <w:p w14:paraId="35671F73" w14:textId="77777777" w:rsidR="00F44600" w:rsidRDefault="00F44600" w:rsidP="00F44600">
      <w:pPr>
        <w:spacing w:line="360" w:lineRule="auto"/>
        <w:rPr>
          <w:rStyle w:val="Strong"/>
          <w:rFonts w:ascii="Segoe UI" w:hAnsi="Segoe UI" w:cs="Segoe UI"/>
          <w:color w:val="1D2125"/>
        </w:rPr>
      </w:pPr>
    </w:p>
    <w:p w14:paraId="502E50D3" w14:textId="77777777" w:rsidR="00F44600" w:rsidRDefault="00F44600" w:rsidP="00F44600">
      <w:pPr>
        <w:spacing w:line="360" w:lineRule="auto"/>
        <w:rPr>
          <w:rStyle w:val="Strong"/>
          <w:rFonts w:ascii="Arial" w:hAnsi="Arial" w:cs="Arial"/>
          <w:color w:val="1D2125"/>
          <w:sz w:val="36"/>
          <w:szCs w:val="36"/>
        </w:rPr>
      </w:pPr>
    </w:p>
    <w:p w14:paraId="1BDF8486" w14:textId="77777777" w:rsidR="00F44600" w:rsidRDefault="00F44600" w:rsidP="00F4460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68EBC24C" w14:textId="77777777" w:rsidR="00F44600" w:rsidRDefault="00F44600" w:rsidP="00F4460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3789D199" w14:textId="77777777" w:rsidR="00F44600" w:rsidRDefault="00F44600" w:rsidP="00F44600">
      <w:pPr>
        <w:spacing w:line="360" w:lineRule="auto"/>
        <w:jc w:val="center"/>
        <w:rPr>
          <w:rStyle w:val="Strong"/>
          <w:rFonts w:ascii="Arial" w:hAnsi="Arial" w:cs="Arial"/>
          <w:color w:val="1D2125"/>
          <w:sz w:val="36"/>
          <w:szCs w:val="36"/>
        </w:rPr>
      </w:pPr>
    </w:p>
    <w:p w14:paraId="3D3ABB51" w14:textId="77777777" w:rsidR="00F44600" w:rsidRDefault="00F44600" w:rsidP="00F44600">
      <w:pPr>
        <w:spacing w:line="360" w:lineRule="auto"/>
        <w:jc w:val="center"/>
        <w:rPr>
          <w:rStyle w:val="Strong"/>
          <w:rFonts w:ascii="Arial" w:hAnsi="Arial" w:cs="Arial"/>
          <w:color w:val="1D2125"/>
          <w:sz w:val="36"/>
          <w:szCs w:val="36"/>
        </w:rPr>
      </w:pPr>
    </w:p>
    <w:p w14:paraId="1130D903" w14:textId="77777777" w:rsidR="00F44600" w:rsidRDefault="00F44600" w:rsidP="00F4460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1A01FF9D" w14:textId="77777777" w:rsidR="00F44600" w:rsidRDefault="00F44600" w:rsidP="00F44600">
      <w:pPr>
        <w:spacing w:line="360" w:lineRule="auto"/>
        <w:rPr>
          <w:rStyle w:val="Strong"/>
          <w:rFonts w:ascii="Arial" w:hAnsi="Arial" w:cs="Arial"/>
          <w:color w:val="1D2125"/>
          <w:sz w:val="32"/>
          <w:szCs w:val="32"/>
        </w:rPr>
      </w:pPr>
    </w:p>
    <w:p w14:paraId="59B7F45D" w14:textId="7BEF7371" w:rsidR="00F44600" w:rsidRDefault="00F44600" w:rsidP="00F4460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B116C2">
        <w:rPr>
          <w:rStyle w:val="Strong"/>
          <w:rFonts w:ascii="Arial" w:hAnsi="Arial" w:cs="Arial"/>
          <w:color w:val="1D2125"/>
          <w:sz w:val="32"/>
          <w:szCs w:val="32"/>
        </w:rPr>
        <w:t xml:space="preserve"> Vilma Rodrigues</w:t>
      </w:r>
    </w:p>
    <w:p w14:paraId="012674D2" w14:textId="40E12748" w:rsidR="00F44600" w:rsidRDefault="00F44600" w:rsidP="00F4460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116C2">
        <w:rPr>
          <w:rStyle w:val="Strong"/>
          <w:rFonts w:ascii="Arial" w:hAnsi="Arial" w:cs="Arial"/>
          <w:color w:val="1D2125"/>
          <w:sz w:val="32"/>
          <w:szCs w:val="32"/>
        </w:rPr>
        <w:t xml:space="preserve"> 2336478</w:t>
      </w:r>
    </w:p>
    <w:p w14:paraId="3B5C5862" w14:textId="22BE02B8" w:rsidR="00800348" w:rsidRDefault="00F44600" w:rsidP="00F44600">
      <w:pPr>
        <w:rPr>
          <w:lang w:eastAsia="en-GB"/>
        </w:rPr>
      </w:pPr>
      <w:r>
        <w:rPr>
          <w:rStyle w:val="Strong"/>
          <w:rFonts w:ascii="Arial" w:hAnsi="Arial" w:cs="Arial"/>
          <w:color w:val="1D2125"/>
          <w:sz w:val="32"/>
          <w:szCs w:val="32"/>
        </w:rPr>
        <w:t>Lecturer’s name:</w:t>
      </w:r>
      <w:r w:rsidR="00B116C2">
        <w:rPr>
          <w:rStyle w:val="Strong"/>
          <w:rFonts w:ascii="Arial" w:hAnsi="Arial" w:cs="Arial"/>
          <w:color w:val="1D2125"/>
          <w:sz w:val="32"/>
          <w:szCs w:val="32"/>
        </w:rPr>
        <w:t xml:space="preserve"> Laila Surani</w:t>
      </w:r>
      <w:r w:rsidR="00800348">
        <w:rPr>
          <w:lang w:eastAsia="en-GB"/>
        </w:rPr>
        <w:br w:type="page"/>
      </w:r>
    </w:p>
    <w:sdt>
      <w:sdtPr>
        <w:rPr>
          <w:rFonts w:asciiTheme="minorHAnsi" w:eastAsiaTheme="minorHAnsi" w:hAnsiTheme="minorHAnsi" w:cstheme="minorBidi"/>
          <w:color w:val="auto"/>
          <w:sz w:val="22"/>
          <w:szCs w:val="22"/>
          <w:lang w:val="en-GB"/>
        </w:rPr>
        <w:id w:val="-420792880"/>
        <w:docPartObj>
          <w:docPartGallery w:val="Table of Contents"/>
          <w:docPartUnique/>
        </w:docPartObj>
      </w:sdtPr>
      <w:sdtEndPr>
        <w:rPr>
          <w:b/>
          <w:bCs/>
          <w:noProof/>
        </w:rPr>
      </w:sdtEndPr>
      <w:sdtContent>
        <w:p w14:paraId="60B77501" w14:textId="77777777" w:rsidR="00ED2276" w:rsidRDefault="00ED2276">
          <w:pPr>
            <w:pStyle w:val="TOCHeading"/>
          </w:pPr>
          <w:r>
            <w:t>Table of Contents</w:t>
          </w:r>
        </w:p>
        <w:p w14:paraId="79107EA7" w14:textId="77777777" w:rsidR="00F1155D" w:rsidRDefault="00ED227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12839982" w:history="1">
            <w:r w:rsidR="00F1155D" w:rsidRPr="00474ABB">
              <w:rPr>
                <w:rStyle w:val="Hyperlink"/>
                <w:rFonts w:eastAsia="Times New Roman"/>
                <w:noProof/>
                <w:lang w:eastAsia="en-GB"/>
              </w:rPr>
              <w:t>Introduction</w:t>
            </w:r>
            <w:r w:rsidR="00F1155D">
              <w:rPr>
                <w:noProof/>
                <w:webHidden/>
              </w:rPr>
              <w:tab/>
            </w:r>
            <w:r w:rsidR="00F1155D">
              <w:rPr>
                <w:noProof/>
                <w:webHidden/>
              </w:rPr>
              <w:fldChar w:fldCharType="begin"/>
            </w:r>
            <w:r w:rsidR="00F1155D">
              <w:rPr>
                <w:noProof/>
                <w:webHidden/>
              </w:rPr>
              <w:instrText xml:space="preserve"> PAGEREF _Toc212839982 \h </w:instrText>
            </w:r>
            <w:r w:rsidR="00F1155D">
              <w:rPr>
                <w:noProof/>
                <w:webHidden/>
              </w:rPr>
            </w:r>
            <w:r w:rsidR="00F1155D">
              <w:rPr>
                <w:noProof/>
                <w:webHidden/>
              </w:rPr>
              <w:fldChar w:fldCharType="separate"/>
            </w:r>
            <w:r w:rsidR="00F1155D">
              <w:rPr>
                <w:noProof/>
                <w:webHidden/>
              </w:rPr>
              <w:t>3</w:t>
            </w:r>
            <w:r w:rsidR="00F1155D">
              <w:rPr>
                <w:noProof/>
                <w:webHidden/>
              </w:rPr>
              <w:fldChar w:fldCharType="end"/>
            </w:r>
          </w:hyperlink>
        </w:p>
        <w:p w14:paraId="08D7BDF7" w14:textId="77777777" w:rsidR="00F1155D" w:rsidRDefault="00F1155D">
          <w:pPr>
            <w:pStyle w:val="TOC1"/>
            <w:tabs>
              <w:tab w:val="right" w:leader="dot" w:pos="9016"/>
            </w:tabs>
            <w:rPr>
              <w:rFonts w:eastAsiaTheme="minorEastAsia"/>
              <w:noProof/>
              <w:lang w:eastAsia="en-GB"/>
            </w:rPr>
          </w:pPr>
          <w:hyperlink w:anchor="_Toc212839983" w:history="1">
            <w:r w:rsidRPr="00474ABB">
              <w:rPr>
                <w:rStyle w:val="Hyperlink"/>
                <w:rFonts w:eastAsia="Times New Roman"/>
                <w:noProof/>
                <w:lang w:eastAsia="en-GB"/>
              </w:rPr>
              <w:t>Task 1 – Defining Key Concepts in Practice</w:t>
            </w:r>
            <w:r>
              <w:rPr>
                <w:noProof/>
                <w:webHidden/>
              </w:rPr>
              <w:tab/>
            </w:r>
            <w:r>
              <w:rPr>
                <w:noProof/>
                <w:webHidden/>
              </w:rPr>
              <w:fldChar w:fldCharType="begin"/>
            </w:r>
            <w:r>
              <w:rPr>
                <w:noProof/>
                <w:webHidden/>
              </w:rPr>
              <w:instrText xml:space="preserve"> PAGEREF _Toc212839983 \h </w:instrText>
            </w:r>
            <w:r>
              <w:rPr>
                <w:noProof/>
                <w:webHidden/>
              </w:rPr>
            </w:r>
            <w:r>
              <w:rPr>
                <w:noProof/>
                <w:webHidden/>
              </w:rPr>
              <w:fldChar w:fldCharType="separate"/>
            </w:r>
            <w:r>
              <w:rPr>
                <w:noProof/>
                <w:webHidden/>
              </w:rPr>
              <w:t>3</w:t>
            </w:r>
            <w:r>
              <w:rPr>
                <w:noProof/>
                <w:webHidden/>
              </w:rPr>
              <w:fldChar w:fldCharType="end"/>
            </w:r>
          </w:hyperlink>
        </w:p>
        <w:p w14:paraId="579F526B" w14:textId="77777777" w:rsidR="00F1155D" w:rsidRDefault="00F1155D">
          <w:pPr>
            <w:pStyle w:val="TOC2"/>
            <w:tabs>
              <w:tab w:val="right" w:leader="dot" w:pos="9016"/>
            </w:tabs>
            <w:rPr>
              <w:rFonts w:eastAsiaTheme="minorEastAsia"/>
              <w:noProof/>
              <w:lang w:eastAsia="en-GB"/>
            </w:rPr>
          </w:pPr>
          <w:hyperlink w:anchor="_Toc212839984" w:history="1">
            <w:r w:rsidRPr="00474ABB">
              <w:rPr>
                <w:rStyle w:val="Hyperlink"/>
                <w:rFonts w:eastAsia="Times New Roman"/>
                <w:noProof/>
                <w:lang w:eastAsia="en-GB"/>
              </w:rPr>
              <w:t>Innovation</w:t>
            </w:r>
            <w:r>
              <w:rPr>
                <w:noProof/>
                <w:webHidden/>
              </w:rPr>
              <w:tab/>
            </w:r>
            <w:r>
              <w:rPr>
                <w:noProof/>
                <w:webHidden/>
              </w:rPr>
              <w:fldChar w:fldCharType="begin"/>
            </w:r>
            <w:r>
              <w:rPr>
                <w:noProof/>
                <w:webHidden/>
              </w:rPr>
              <w:instrText xml:space="preserve"> PAGEREF _Toc212839984 \h </w:instrText>
            </w:r>
            <w:r>
              <w:rPr>
                <w:noProof/>
                <w:webHidden/>
              </w:rPr>
            </w:r>
            <w:r>
              <w:rPr>
                <w:noProof/>
                <w:webHidden/>
              </w:rPr>
              <w:fldChar w:fldCharType="separate"/>
            </w:r>
            <w:r>
              <w:rPr>
                <w:noProof/>
                <w:webHidden/>
              </w:rPr>
              <w:t>3</w:t>
            </w:r>
            <w:r>
              <w:rPr>
                <w:noProof/>
                <w:webHidden/>
              </w:rPr>
              <w:fldChar w:fldCharType="end"/>
            </w:r>
          </w:hyperlink>
        </w:p>
        <w:p w14:paraId="1629BAB9" w14:textId="77777777" w:rsidR="00F1155D" w:rsidRDefault="00F1155D">
          <w:pPr>
            <w:pStyle w:val="TOC2"/>
            <w:tabs>
              <w:tab w:val="right" w:leader="dot" w:pos="9016"/>
            </w:tabs>
            <w:rPr>
              <w:rFonts w:eastAsiaTheme="minorEastAsia"/>
              <w:noProof/>
              <w:lang w:eastAsia="en-GB"/>
            </w:rPr>
          </w:pPr>
          <w:hyperlink w:anchor="_Toc212839985" w:history="1">
            <w:r w:rsidRPr="00474ABB">
              <w:rPr>
                <w:rStyle w:val="Hyperlink"/>
                <w:rFonts w:eastAsia="Times New Roman"/>
                <w:noProof/>
                <w:lang w:eastAsia="en-GB"/>
              </w:rPr>
              <w:t>Creativity</w:t>
            </w:r>
            <w:r>
              <w:rPr>
                <w:noProof/>
                <w:webHidden/>
              </w:rPr>
              <w:tab/>
            </w:r>
            <w:r>
              <w:rPr>
                <w:noProof/>
                <w:webHidden/>
              </w:rPr>
              <w:fldChar w:fldCharType="begin"/>
            </w:r>
            <w:r>
              <w:rPr>
                <w:noProof/>
                <w:webHidden/>
              </w:rPr>
              <w:instrText xml:space="preserve"> PAGEREF _Toc212839985 \h </w:instrText>
            </w:r>
            <w:r>
              <w:rPr>
                <w:noProof/>
                <w:webHidden/>
              </w:rPr>
            </w:r>
            <w:r>
              <w:rPr>
                <w:noProof/>
                <w:webHidden/>
              </w:rPr>
              <w:fldChar w:fldCharType="separate"/>
            </w:r>
            <w:r>
              <w:rPr>
                <w:noProof/>
                <w:webHidden/>
              </w:rPr>
              <w:t>3</w:t>
            </w:r>
            <w:r>
              <w:rPr>
                <w:noProof/>
                <w:webHidden/>
              </w:rPr>
              <w:fldChar w:fldCharType="end"/>
            </w:r>
          </w:hyperlink>
        </w:p>
        <w:p w14:paraId="59ED1B9B" w14:textId="77777777" w:rsidR="00F1155D" w:rsidRDefault="00F1155D">
          <w:pPr>
            <w:pStyle w:val="TOC2"/>
            <w:tabs>
              <w:tab w:val="right" w:leader="dot" w:pos="9016"/>
            </w:tabs>
            <w:rPr>
              <w:rFonts w:eastAsiaTheme="minorEastAsia"/>
              <w:noProof/>
              <w:lang w:eastAsia="en-GB"/>
            </w:rPr>
          </w:pPr>
          <w:hyperlink w:anchor="_Toc212839986" w:history="1">
            <w:r w:rsidRPr="00474ABB">
              <w:rPr>
                <w:rStyle w:val="Hyperlink"/>
                <w:rFonts w:eastAsia="Times New Roman"/>
                <w:noProof/>
                <w:lang w:eastAsia="en-GB"/>
              </w:rPr>
              <w:t>Value Creation</w:t>
            </w:r>
            <w:r>
              <w:rPr>
                <w:noProof/>
                <w:webHidden/>
              </w:rPr>
              <w:tab/>
            </w:r>
            <w:r>
              <w:rPr>
                <w:noProof/>
                <w:webHidden/>
              </w:rPr>
              <w:fldChar w:fldCharType="begin"/>
            </w:r>
            <w:r>
              <w:rPr>
                <w:noProof/>
                <w:webHidden/>
              </w:rPr>
              <w:instrText xml:space="preserve"> PAGEREF _Toc212839986 \h </w:instrText>
            </w:r>
            <w:r>
              <w:rPr>
                <w:noProof/>
                <w:webHidden/>
              </w:rPr>
            </w:r>
            <w:r>
              <w:rPr>
                <w:noProof/>
                <w:webHidden/>
              </w:rPr>
              <w:fldChar w:fldCharType="separate"/>
            </w:r>
            <w:r>
              <w:rPr>
                <w:noProof/>
                <w:webHidden/>
              </w:rPr>
              <w:t>4</w:t>
            </w:r>
            <w:r>
              <w:rPr>
                <w:noProof/>
                <w:webHidden/>
              </w:rPr>
              <w:fldChar w:fldCharType="end"/>
            </w:r>
          </w:hyperlink>
        </w:p>
        <w:p w14:paraId="7848DF53" w14:textId="77777777" w:rsidR="00F1155D" w:rsidRDefault="00F1155D">
          <w:pPr>
            <w:pStyle w:val="TOC2"/>
            <w:tabs>
              <w:tab w:val="right" w:leader="dot" w:pos="9016"/>
            </w:tabs>
            <w:rPr>
              <w:rFonts w:eastAsiaTheme="minorEastAsia"/>
              <w:noProof/>
              <w:lang w:eastAsia="en-GB"/>
            </w:rPr>
          </w:pPr>
          <w:hyperlink w:anchor="_Toc212839987" w:history="1">
            <w:r w:rsidRPr="00474ABB">
              <w:rPr>
                <w:rStyle w:val="Hyperlink"/>
                <w:rFonts w:eastAsia="Times New Roman"/>
                <w:noProof/>
                <w:lang w:eastAsia="en-GB"/>
              </w:rPr>
              <w:t>Change</w:t>
            </w:r>
            <w:r>
              <w:rPr>
                <w:noProof/>
                <w:webHidden/>
              </w:rPr>
              <w:tab/>
            </w:r>
            <w:r>
              <w:rPr>
                <w:noProof/>
                <w:webHidden/>
              </w:rPr>
              <w:fldChar w:fldCharType="begin"/>
            </w:r>
            <w:r>
              <w:rPr>
                <w:noProof/>
                <w:webHidden/>
              </w:rPr>
              <w:instrText xml:space="preserve"> PAGEREF _Toc212839987 \h </w:instrText>
            </w:r>
            <w:r>
              <w:rPr>
                <w:noProof/>
                <w:webHidden/>
              </w:rPr>
            </w:r>
            <w:r>
              <w:rPr>
                <w:noProof/>
                <w:webHidden/>
              </w:rPr>
              <w:fldChar w:fldCharType="separate"/>
            </w:r>
            <w:r>
              <w:rPr>
                <w:noProof/>
                <w:webHidden/>
              </w:rPr>
              <w:t>4</w:t>
            </w:r>
            <w:r>
              <w:rPr>
                <w:noProof/>
                <w:webHidden/>
              </w:rPr>
              <w:fldChar w:fldCharType="end"/>
            </w:r>
          </w:hyperlink>
        </w:p>
        <w:p w14:paraId="1EAC6113" w14:textId="77777777" w:rsidR="00F1155D" w:rsidRDefault="00F1155D">
          <w:pPr>
            <w:pStyle w:val="TOC1"/>
            <w:tabs>
              <w:tab w:val="right" w:leader="dot" w:pos="9016"/>
            </w:tabs>
            <w:rPr>
              <w:rFonts w:eastAsiaTheme="minorEastAsia"/>
              <w:noProof/>
              <w:lang w:eastAsia="en-GB"/>
            </w:rPr>
          </w:pPr>
          <w:hyperlink w:anchor="_Toc212839988" w:history="1">
            <w:r w:rsidRPr="00474ABB">
              <w:rPr>
                <w:rStyle w:val="Hyperlink"/>
                <w:rFonts w:eastAsia="Times New Roman"/>
                <w:noProof/>
                <w:lang w:eastAsia="en-GB"/>
              </w:rPr>
              <w:t>Task 2 – Mind Map</w:t>
            </w:r>
            <w:r>
              <w:rPr>
                <w:noProof/>
                <w:webHidden/>
              </w:rPr>
              <w:tab/>
            </w:r>
            <w:r>
              <w:rPr>
                <w:noProof/>
                <w:webHidden/>
              </w:rPr>
              <w:fldChar w:fldCharType="begin"/>
            </w:r>
            <w:r>
              <w:rPr>
                <w:noProof/>
                <w:webHidden/>
              </w:rPr>
              <w:instrText xml:space="preserve"> PAGEREF _Toc212839988 \h </w:instrText>
            </w:r>
            <w:r>
              <w:rPr>
                <w:noProof/>
                <w:webHidden/>
              </w:rPr>
            </w:r>
            <w:r>
              <w:rPr>
                <w:noProof/>
                <w:webHidden/>
              </w:rPr>
              <w:fldChar w:fldCharType="separate"/>
            </w:r>
            <w:r>
              <w:rPr>
                <w:noProof/>
                <w:webHidden/>
              </w:rPr>
              <w:t>4</w:t>
            </w:r>
            <w:r>
              <w:rPr>
                <w:noProof/>
                <w:webHidden/>
              </w:rPr>
              <w:fldChar w:fldCharType="end"/>
            </w:r>
          </w:hyperlink>
        </w:p>
        <w:p w14:paraId="5614DB5C" w14:textId="77777777" w:rsidR="00F1155D" w:rsidRDefault="00F1155D">
          <w:pPr>
            <w:pStyle w:val="TOC1"/>
            <w:tabs>
              <w:tab w:val="right" w:leader="dot" w:pos="9016"/>
            </w:tabs>
            <w:rPr>
              <w:rFonts w:eastAsiaTheme="minorEastAsia"/>
              <w:noProof/>
              <w:lang w:eastAsia="en-GB"/>
            </w:rPr>
          </w:pPr>
          <w:hyperlink w:anchor="_Toc212839989" w:history="1">
            <w:r w:rsidRPr="00474ABB">
              <w:rPr>
                <w:rStyle w:val="Hyperlink"/>
                <w:noProof/>
              </w:rPr>
              <w:t>Task 3 – Self-Reflection of Group Activity</w:t>
            </w:r>
            <w:r>
              <w:rPr>
                <w:noProof/>
                <w:webHidden/>
              </w:rPr>
              <w:tab/>
            </w:r>
            <w:r>
              <w:rPr>
                <w:noProof/>
                <w:webHidden/>
              </w:rPr>
              <w:fldChar w:fldCharType="begin"/>
            </w:r>
            <w:r>
              <w:rPr>
                <w:noProof/>
                <w:webHidden/>
              </w:rPr>
              <w:instrText xml:space="preserve"> PAGEREF _Toc212839989 \h </w:instrText>
            </w:r>
            <w:r>
              <w:rPr>
                <w:noProof/>
                <w:webHidden/>
              </w:rPr>
            </w:r>
            <w:r>
              <w:rPr>
                <w:noProof/>
                <w:webHidden/>
              </w:rPr>
              <w:fldChar w:fldCharType="separate"/>
            </w:r>
            <w:r>
              <w:rPr>
                <w:noProof/>
                <w:webHidden/>
              </w:rPr>
              <w:t>5</w:t>
            </w:r>
            <w:r>
              <w:rPr>
                <w:noProof/>
                <w:webHidden/>
              </w:rPr>
              <w:fldChar w:fldCharType="end"/>
            </w:r>
          </w:hyperlink>
        </w:p>
        <w:p w14:paraId="793040DE" w14:textId="77777777" w:rsidR="00F1155D" w:rsidRDefault="00F1155D">
          <w:pPr>
            <w:pStyle w:val="TOC1"/>
            <w:tabs>
              <w:tab w:val="right" w:leader="dot" w:pos="9016"/>
            </w:tabs>
            <w:rPr>
              <w:rFonts w:eastAsiaTheme="minorEastAsia"/>
              <w:noProof/>
              <w:lang w:eastAsia="en-GB"/>
            </w:rPr>
          </w:pPr>
          <w:hyperlink w:anchor="_Toc212839990" w:history="1">
            <w:r w:rsidRPr="00474ABB">
              <w:rPr>
                <w:rStyle w:val="Hyperlink"/>
                <w:rFonts w:eastAsia="Times New Roman"/>
                <w:noProof/>
                <w:lang w:eastAsia="en-GB"/>
              </w:rPr>
              <w:t>Task 4 – Case Study Analysis of a UK Innovation</w:t>
            </w:r>
            <w:r>
              <w:rPr>
                <w:noProof/>
                <w:webHidden/>
              </w:rPr>
              <w:tab/>
            </w:r>
            <w:r>
              <w:rPr>
                <w:noProof/>
                <w:webHidden/>
              </w:rPr>
              <w:fldChar w:fldCharType="begin"/>
            </w:r>
            <w:r>
              <w:rPr>
                <w:noProof/>
                <w:webHidden/>
              </w:rPr>
              <w:instrText xml:space="preserve"> PAGEREF _Toc212839990 \h </w:instrText>
            </w:r>
            <w:r>
              <w:rPr>
                <w:noProof/>
                <w:webHidden/>
              </w:rPr>
            </w:r>
            <w:r>
              <w:rPr>
                <w:noProof/>
                <w:webHidden/>
              </w:rPr>
              <w:fldChar w:fldCharType="separate"/>
            </w:r>
            <w:r>
              <w:rPr>
                <w:noProof/>
                <w:webHidden/>
              </w:rPr>
              <w:t>6</w:t>
            </w:r>
            <w:r>
              <w:rPr>
                <w:noProof/>
                <w:webHidden/>
              </w:rPr>
              <w:fldChar w:fldCharType="end"/>
            </w:r>
          </w:hyperlink>
        </w:p>
        <w:p w14:paraId="4B358CCB" w14:textId="77777777" w:rsidR="00F1155D" w:rsidRDefault="00F1155D">
          <w:pPr>
            <w:pStyle w:val="TOC1"/>
            <w:tabs>
              <w:tab w:val="right" w:leader="dot" w:pos="9016"/>
            </w:tabs>
            <w:rPr>
              <w:rFonts w:eastAsiaTheme="minorEastAsia"/>
              <w:noProof/>
              <w:lang w:eastAsia="en-GB"/>
            </w:rPr>
          </w:pPr>
          <w:hyperlink w:anchor="_Toc212839991" w:history="1">
            <w:r w:rsidRPr="00474ABB">
              <w:rPr>
                <w:rStyle w:val="Hyperlink"/>
                <w:rFonts w:eastAsia="Times New Roman"/>
                <w:noProof/>
                <w:lang w:eastAsia="en-GB"/>
              </w:rPr>
              <w:t>Task 5 – Research Task Current Issue in Health and Social Care – the Staff Burnout</w:t>
            </w:r>
            <w:r>
              <w:rPr>
                <w:noProof/>
                <w:webHidden/>
              </w:rPr>
              <w:tab/>
            </w:r>
            <w:r>
              <w:rPr>
                <w:noProof/>
                <w:webHidden/>
              </w:rPr>
              <w:fldChar w:fldCharType="begin"/>
            </w:r>
            <w:r>
              <w:rPr>
                <w:noProof/>
                <w:webHidden/>
              </w:rPr>
              <w:instrText xml:space="preserve"> PAGEREF _Toc212839991 \h </w:instrText>
            </w:r>
            <w:r>
              <w:rPr>
                <w:noProof/>
                <w:webHidden/>
              </w:rPr>
            </w:r>
            <w:r>
              <w:rPr>
                <w:noProof/>
                <w:webHidden/>
              </w:rPr>
              <w:fldChar w:fldCharType="separate"/>
            </w:r>
            <w:r>
              <w:rPr>
                <w:noProof/>
                <w:webHidden/>
              </w:rPr>
              <w:t>6</w:t>
            </w:r>
            <w:r>
              <w:rPr>
                <w:noProof/>
                <w:webHidden/>
              </w:rPr>
              <w:fldChar w:fldCharType="end"/>
            </w:r>
          </w:hyperlink>
        </w:p>
        <w:p w14:paraId="6067233B" w14:textId="77777777" w:rsidR="00F1155D" w:rsidRDefault="00F1155D">
          <w:pPr>
            <w:pStyle w:val="TOC1"/>
            <w:tabs>
              <w:tab w:val="right" w:leader="dot" w:pos="9016"/>
            </w:tabs>
            <w:rPr>
              <w:rFonts w:eastAsiaTheme="minorEastAsia"/>
              <w:noProof/>
              <w:lang w:eastAsia="en-GB"/>
            </w:rPr>
          </w:pPr>
          <w:hyperlink w:anchor="_Toc212839992" w:history="1">
            <w:r w:rsidRPr="00474ABB">
              <w:rPr>
                <w:rStyle w:val="Hyperlink"/>
                <w:rFonts w:eastAsia="Times New Roman"/>
                <w:noProof/>
                <w:lang w:eastAsia="en-GB"/>
              </w:rPr>
              <w:t>Task 6 – Exploring Digital Innovation in Health and Social Care</w:t>
            </w:r>
            <w:r>
              <w:rPr>
                <w:noProof/>
                <w:webHidden/>
              </w:rPr>
              <w:tab/>
            </w:r>
            <w:r>
              <w:rPr>
                <w:noProof/>
                <w:webHidden/>
              </w:rPr>
              <w:fldChar w:fldCharType="begin"/>
            </w:r>
            <w:r>
              <w:rPr>
                <w:noProof/>
                <w:webHidden/>
              </w:rPr>
              <w:instrText xml:space="preserve"> PAGEREF _Toc212839992 \h </w:instrText>
            </w:r>
            <w:r>
              <w:rPr>
                <w:noProof/>
                <w:webHidden/>
              </w:rPr>
            </w:r>
            <w:r>
              <w:rPr>
                <w:noProof/>
                <w:webHidden/>
              </w:rPr>
              <w:fldChar w:fldCharType="separate"/>
            </w:r>
            <w:r>
              <w:rPr>
                <w:noProof/>
                <w:webHidden/>
              </w:rPr>
              <w:t>7</w:t>
            </w:r>
            <w:r>
              <w:rPr>
                <w:noProof/>
                <w:webHidden/>
              </w:rPr>
              <w:fldChar w:fldCharType="end"/>
            </w:r>
          </w:hyperlink>
        </w:p>
        <w:p w14:paraId="6FBF8651" w14:textId="77777777" w:rsidR="00F1155D" w:rsidRDefault="00F1155D">
          <w:pPr>
            <w:pStyle w:val="TOC2"/>
            <w:tabs>
              <w:tab w:val="right" w:leader="dot" w:pos="9016"/>
            </w:tabs>
            <w:rPr>
              <w:rFonts w:eastAsiaTheme="minorEastAsia"/>
              <w:noProof/>
              <w:lang w:eastAsia="en-GB"/>
            </w:rPr>
          </w:pPr>
          <w:hyperlink w:anchor="_Toc212839993" w:history="1">
            <w:r w:rsidRPr="00474ABB">
              <w:rPr>
                <w:rStyle w:val="Hyperlink"/>
                <w:noProof/>
                <w:lang w:eastAsia="en-GB"/>
              </w:rPr>
              <w:t>Wearable Health Technologies for Chronic Conditions</w:t>
            </w:r>
            <w:r>
              <w:rPr>
                <w:noProof/>
                <w:webHidden/>
              </w:rPr>
              <w:tab/>
            </w:r>
            <w:r>
              <w:rPr>
                <w:noProof/>
                <w:webHidden/>
              </w:rPr>
              <w:fldChar w:fldCharType="begin"/>
            </w:r>
            <w:r>
              <w:rPr>
                <w:noProof/>
                <w:webHidden/>
              </w:rPr>
              <w:instrText xml:space="preserve"> PAGEREF _Toc212839993 \h </w:instrText>
            </w:r>
            <w:r>
              <w:rPr>
                <w:noProof/>
                <w:webHidden/>
              </w:rPr>
            </w:r>
            <w:r>
              <w:rPr>
                <w:noProof/>
                <w:webHidden/>
              </w:rPr>
              <w:fldChar w:fldCharType="separate"/>
            </w:r>
            <w:r>
              <w:rPr>
                <w:noProof/>
                <w:webHidden/>
              </w:rPr>
              <w:t>7</w:t>
            </w:r>
            <w:r>
              <w:rPr>
                <w:noProof/>
                <w:webHidden/>
              </w:rPr>
              <w:fldChar w:fldCharType="end"/>
            </w:r>
          </w:hyperlink>
        </w:p>
        <w:p w14:paraId="2190C33E" w14:textId="77777777" w:rsidR="00F1155D" w:rsidRDefault="00F1155D">
          <w:pPr>
            <w:pStyle w:val="TOC2"/>
            <w:tabs>
              <w:tab w:val="right" w:leader="dot" w:pos="9016"/>
            </w:tabs>
            <w:rPr>
              <w:rFonts w:eastAsiaTheme="minorEastAsia"/>
              <w:noProof/>
              <w:lang w:eastAsia="en-GB"/>
            </w:rPr>
          </w:pPr>
          <w:hyperlink w:anchor="_Toc212839994" w:history="1">
            <w:r w:rsidRPr="00474ABB">
              <w:rPr>
                <w:rStyle w:val="Hyperlink"/>
                <w:rFonts w:eastAsia="Times New Roman"/>
                <w:noProof/>
                <w:lang w:eastAsia="en-GB"/>
              </w:rPr>
              <w:t>Electronic Health Records (EHRs) and Communication</w:t>
            </w:r>
            <w:r>
              <w:rPr>
                <w:noProof/>
                <w:webHidden/>
              </w:rPr>
              <w:tab/>
            </w:r>
            <w:r>
              <w:rPr>
                <w:noProof/>
                <w:webHidden/>
              </w:rPr>
              <w:fldChar w:fldCharType="begin"/>
            </w:r>
            <w:r>
              <w:rPr>
                <w:noProof/>
                <w:webHidden/>
              </w:rPr>
              <w:instrText xml:space="preserve"> PAGEREF _Toc212839994 \h </w:instrText>
            </w:r>
            <w:r>
              <w:rPr>
                <w:noProof/>
                <w:webHidden/>
              </w:rPr>
            </w:r>
            <w:r>
              <w:rPr>
                <w:noProof/>
                <w:webHidden/>
              </w:rPr>
              <w:fldChar w:fldCharType="separate"/>
            </w:r>
            <w:r>
              <w:rPr>
                <w:noProof/>
                <w:webHidden/>
              </w:rPr>
              <w:t>7</w:t>
            </w:r>
            <w:r>
              <w:rPr>
                <w:noProof/>
                <w:webHidden/>
              </w:rPr>
              <w:fldChar w:fldCharType="end"/>
            </w:r>
          </w:hyperlink>
        </w:p>
        <w:p w14:paraId="499EF811" w14:textId="77777777" w:rsidR="00F1155D" w:rsidRDefault="00F1155D">
          <w:pPr>
            <w:pStyle w:val="TOC2"/>
            <w:tabs>
              <w:tab w:val="right" w:leader="dot" w:pos="9016"/>
            </w:tabs>
            <w:rPr>
              <w:rFonts w:eastAsiaTheme="minorEastAsia"/>
              <w:noProof/>
              <w:lang w:eastAsia="en-GB"/>
            </w:rPr>
          </w:pPr>
          <w:hyperlink w:anchor="_Toc212839995" w:history="1">
            <w:r w:rsidRPr="00474ABB">
              <w:rPr>
                <w:rStyle w:val="Hyperlink"/>
                <w:rFonts w:eastAsia="Times New Roman"/>
                <w:noProof/>
                <w:lang w:eastAsia="en-GB"/>
              </w:rPr>
              <w:t>Digital Technology for Preventative Care and Health Promotion</w:t>
            </w:r>
            <w:r>
              <w:rPr>
                <w:noProof/>
                <w:webHidden/>
              </w:rPr>
              <w:tab/>
            </w:r>
            <w:r>
              <w:rPr>
                <w:noProof/>
                <w:webHidden/>
              </w:rPr>
              <w:fldChar w:fldCharType="begin"/>
            </w:r>
            <w:r>
              <w:rPr>
                <w:noProof/>
                <w:webHidden/>
              </w:rPr>
              <w:instrText xml:space="preserve"> PAGEREF _Toc212839995 \h </w:instrText>
            </w:r>
            <w:r>
              <w:rPr>
                <w:noProof/>
                <w:webHidden/>
              </w:rPr>
            </w:r>
            <w:r>
              <w:rPr>
                <w:noProof/>
                <w:webHidden/>
              </w:rPr>
              <w:fldChar w:fldCharType="separate"/>
            </w:r>
            <w:r>
              <w:rPr>
                <w:noProof/>
                <w:webHidden/>
              </w:rPr>
              <w:t>7</w:t>
            </w:r>
            <w:r>
              <w:rPr>
                <w:noProof/>
                <w:webHidden/>
              </w:rPr>
              <w:fldChar w:fldCharType="end"/>
            </w:r>
          </w:hyperlink>
        </w:p>
        <w:p w14:paraId="729F7625" w14:textId="77777777" w:rsidR="00F1155D" w:rsidRDefault="00F1155D">
          <w:pPr>
            <w:pStyle w:val="TOC1"/>
            <w:tabs>
              <w:tab w:val="right" w:leader="dot" w:pos="9016"/>
            </w:tabs>
            <w:rPr>
              <w:rFonts w:eastAsiaTheme="minorEastAsia"/>
              <w:noProof/>
              <w:lang w:eastAsia="en-GB"/>
            </w:rPr>
          </w:pPr>
          <w:hyperlink w:anchor="_Toc212839996" w:history="1">
            <w:r w:rsidRPr="00474ABB">
              <w:rPr>
                <w:rStyle w:val="Hyperlink"/>
                <w:rFonts w:eastAsia="Times New Roman"/>
                <w:noProof/>
                <w:lang w:eastAsia="en-GB"/>
              </w:rPr>
              <w:t>Task 7 – Understanding the NHS Leadership Framework</w:t>
            </w:r>
            <w:r>
              <w:rPr>
                <w:noProof/>
                <w:webHidden/>
              </w:rPr>
              <w:tab/>
            </w:r>
            <w:r>
              <w:rPr>
                <w:noProof/>
                <w:webHidden/>
              </w:rPr>
              <w:fldChar w:fldCharType="begin"/>
            </w:r>
            <w:r>
              <w:rPr>
                <w:noProof/>
                <w:webHidden/>
              </w:rPr>
              <w:instrText xml:space="preserve"> PAGEREF _Toc212839996 \h </w:instrText>
            </w:r>
            <w:r>
              <w:rPr>
                <w:noProof/>
                <w:webHidden/>
              </w:rPr>
            </w:r>
            <w:r>
              <w:rPr>
                <w:noProof/>
                <w:webHidden/>
              </w:rPr>
              <w:fldChar w:fldCharType="separate"/>
            </w:r>
            <w:r>
              <w:rPr>
                <w:noProof/>
                <w:webHidden/>
              </w:rPr>
              <w:t>8</w:t>
            </w:r>
            <w:r>
              <w:rPr>
                <w:noProof/>
                <w:webHidden/>
              </w:rPr>
              <w:fldChar w:fldCharType="end"/>
            </w:r>
          </w:hyperlink>
        </w:p>
        <w:p w14:paraId="6A845EB4" w14:textId="77777777" w:rsidR="00F1155D" w:rsidRDefault="00F1155D">
          <w:pPr>
            <w:pStyle w:val="TOC2"/>
            <w:tabs>
              <w:tab w:val="right" w:leader="dot" w:pos="9016"/>
            </w:tabs>
            <w:rPr>
              <w:rFonts w:eastAsiaTheme="minorEastAsia"/>
              <w:noProof/>
              <w:lang w:eastAsia="en-GB"/>
            </w:rPr>
          </w:pPr>
          <w:hyperlink w:anchor="_Toc212839997" w:history="1">
            <w:r w:rsidRPr="00474ABB">
              <w:rPr>
                <w:rStyle w:val="Hyperlink"/>
                <w:rFonts w:eastAsia="Times New Roman"/>
                <w:noProof/>
                <w:lang w:eastAsia="en-GB"/>
              </w:rPr>
              <w:t>Summary of the Framework</w:t>
            </w:r>
            <w:r>
              <w:rPr>
                <w:noProof/>
                <w:webHidden/>
              </w:rPr>
              <w:tab/>
            </w:r>
            <w:r>
              <w:rPr>
                <w:noProof/>
                <w:webHidden/>
              </w:rPr>
              <w:fldChar w:fldCharType="begin"/>
            </w:r>
            <w:r>
              <w:rPr>
                <w:noProof/>
                <w:webHidden/>
              </w:rPr>
              <w:instrText xml:space="preserve"> PAGEREF _Toc212839997 \h </w:instrText>
            </w:r>
            <w:r>
              <w:rPr>
                <w:noProof/>
                <w:webHidden/>
              </w:rPr>
            </w:r>
            <w:r>
              <w:rPr>
                <w:noProof/>
                <w:webHidden/>
              </w:rPr>
              <w:fldChar w:fldCharType="separate"/>
            </w:r>
            <w:r>
              <w:rPr>
                <w:noProof/>
                <w:webHidden/>
              </w:rPr>
              <w:t>8</w:t>
            </w:r>
            <w:r>
              <w:rPr>
                <w:noProof/>
                <w:webHidden/>
              </w:rPr>
              <w:fldChar w:fldCharType="end"/>
            </w:r>
          </w:hyperlink>
        </w:p>
        <w:p w14:paraId="73320391" w14:textId="77777777" w:rsidR="00F1155D" w:rsidRDefault="00F1155D">
          <w:pPr>
            <w:pStyle w:val="TOC2"/>
            <w:tabs>
              <w:tab w:val="right" w:leader="dot" w:pos="9016"/>
            </w:tabs>
            <w:rPr>
              <w:rFonts w:eastAsiaTheme="minorEastAsia"/>
              <w:noProof/>
              <w:lang w:eastAsia="en-GB"/>
            </w:rPr>
          </w:pPr>
          <w:hyperlink w:anchor="_Toc212839998" w:history="1">
            <w:r w:rsidRPr="00474ABB">
              <w:rPr>
                <w:rStyle w:val="Hyperlink"/>
                <w:rFonts w:eastAsia="Times New Roman"/>
                <w:noProof/>
                <w:lang w:eastAsia="en-GB"/>
              </w:rPr>
              <w:t>Leadership Behaviour – Inspiring Shared Purpose</w:t>
            </w:r>
            <w:r>
              <w:rPr>
                <w:noProof/>
                <w:webHidden/>
              </w:rPr>
              <w:tab/>
            </w:r>
            <w:r>
              <w:rPr>
                <w:noProof/>
                <w:webHidden/>
              </w:rPr>
              <w:fldChar w:fldCharType="begin"/>
            </w:r>
            <w:r>
              <w:rPr>
                <w:noProof/>
                <w:webHidden/>
              </w:rPr>
              <w:instrText xml:space="preserve"> PAGEREF _Toc212839998 \h </w:instrText>
            </w:r>
            <w:r>
              <w:rPr>
                <w:noProof/>
                <w:webHidden/>
              </w:rPr>
            </w:r>
            <w:r>
              <w:rPr>
                <w:noProof/>
                <w:webHidden/>
              </w:rPr>
              <w:fldChar w:fldCharType="separate"/>
            </w:r>
            <w:r>
              <w:rPr>
                <w:noProof/>
                <w:webHidden/>
              </w:rPr>
              <w:t>8</w:t>
            </w:r>
            <w:r>
              <w:rPr>
                <w:noProof/>
                <w:webHidden/>
              </w:rPr>
              <w:fldChar w:fldCharType="end"/>
            </w:r>
          </w:hyperlink>
        </w:p>
        <w:p w14:paraId="60BFCC42" w14:textId="77777777" w:rsidR="00F1155D" w:rsidRDefault="00F1155D">
          <w:pPr>
            <w:pStyle w:val="TOC2"/>
            <w:tabs>
              <w:tab w:val="right" w:leader="dot" w:pos="9016"/>
            </w:tabs>
            <w:rPr>
              <w:rFonts w:eastAsiaTheme="minorEastAsia"/>
              <w:noProof/>
              <w:lang w:eastAsia="en-GB"/>
            </w:rPr>
          </w:pPr>
          <w:hyperlink w:anchor="_Toc212839999" w:history="1">
            <w:r w:rsidRPr="00474ABB">
              <w:rPr>
                <w:rStyle w:val="Hyperlink"/>
                <w:rFonts w:eastAsia="Times New Roman"/>
                <w:noProof/>
                <w:lang w:eastAsia="en-GB"/>
              </w:rPr>
              <w:t>Reflection on Leadership and Creativity</w:t>
            </w:r>
            <w:r>
              <w:rPr>
                <w:noProof/>
                <w:webHidden/>
              </w:rPr>
              <w:tab/>
            </w:r>
            <w:r>
              <w:rPr>
                <w:noProof/>
                <w:webHidden/>
              </w:rPr>
              <w:fldChar w:fldCharType="begin"/>
            </w:r>
            <w:r>
              <w:rPr>
                <w:noProof/>
                <w:webHidden/>
              </w:rPr>
              <w:instrText xml:space="preserve"> PAGEREF _Toc212839999 \h </w:instrText>
            </w:r>
            <w:r>
              <w:rPr>
                <w:noProof/>
                <w:webHidden/>
              </w:rPr>
            </w:r>
            <w:r>
              <w:rPr>
                <w:noProof/>
                <w:webHidden/>
              </w:rPr>
              <w:fldChar w:fldCharType="separate"/>
            </w:r>
            <w:r>
              <w:rPr>
                <w:noProof/>
                <w:webHidden/>
              </w:rPr>
              <w:t>8</w:t>
            </w:r>
            <w:r>
              <w:rPr>
                <w:noProof/>
                <w:webHidden/>
              </w:rPr>
              <w:fldChar w:fldCharType="end"/>
            </w:r>
          </w:hyperlink>
        </w:p>
        <w:p w14:paraId="390BE01C" w14:textId="77777777" w:rsidR="00F1155D" w:rsidRDefault="00F1155D">
          <w:pPr>
            <w:pStyle w:val="TOC1"/>
            <w:tabs>
              <w:tab w:val="right" w:leader="dot" w:pos="9016"/>
            </w:tabs>
            <w:rPr>
              <w:rFonts w:eastAsiaTheme="minorEastAsia"/>
              <w:noProof/>
              <w:lang w:eastAsia="en-GB"/>
            </w:rPr>
          </w:pPr>
          <w:hyperlink w:anchor="_Toc212840000" w:history="1">
            <w:r w:rsidRPr="00474ABB">
              <w:rPr>
                <w:rStyle w:val="Hyperlink"/>
                <w:rFonts w:eastAsia="Times New Roman"/>
                <w:noProof/>
                <w:lang w:eastAsia="en-GB"/>
              </w:rPr>
              <w:t>Task 8 – Self-Reflection Journal Entry</w:t>
            </w:r>
            <w:r>
              <w:rPr>
                <w:noProof/>
                <w:webHidden/>
              </w:rPr>
              <w:tab/>
            </w:r>
            <w:r>
              <w:rPr>
                <w:noProof/>
                <w:webHidden/>
              </w:rPr>
              <w:fldChar w:fldCharType="begin"/>
            </w:r>
            <w:r>
              <w:rPr>
                <w:noProof/>
                <w:webHidden/>
              </w:rPr>
              <w:instrText xml:space="preserve"> PAGEREF _Toc212840000 \h </w:instrText>
            </w:r>
            <w:r>
              <w:rPr>
                <w:noProof/>
                <w:webHidden/>
              </w:rPr>
            </w:r>
            <w:r>
              <w:rPr>
                <w:noProof/>
                <w:webHidden/>
              </w:rPr>
              <w:fldChar w:fldCharType="separate"/>
            </w:r>
            <w:r>
              <w:rPr>
                <w:noProof/>
                <w:webHidden/>
              </w:rPr>
              <w:t>9</w:t>
            </w:r>
            <w:r>
              <w:rPr>
                <w:noProof/>
                <w:webHidden/>
              </w:rPr>
              <w:fldChar w:fldCharType="end"/>
            </w:r>
          </w:hyperlink>
        </w:p>
        <w:p w14:paraId="17A16DBD" w14:textId="77777777" w:rsidR="00F1155D" w:rsidRDefault="00F1155D">
          <w:pPr>
            <w:pStyle w:val="TOC1"/>
            <w:tabs>
              <w:tab w:val="right" w:leader="dot" w:pos="9016"/>
            </w:tabs>
            <w:rPr>
              <w:rFonts w:eastAsiaTheme="minorEastAsia"/>
              <w:noProof/>
              <w:lang w:eastAsia="en-GB"/>
            </w:rPr>
          </w:pPr>
          <w:hyperlink w:anchor="_Toc212840001" w:history="1">
            <w:r w:rsidRPr="00474ABB">
              <w:rPr>
                <w:rStyle w:val="Hyperlink"/>
                <w:noProof/>
              </w:rPr>
              <w:t>References</w:t>
            </w:r>
            <w:r>
              <w:rPr>
                <w:noProof/>
                <w:webHidden/>
              </w:rPr>
              <w:tab/>
            </w:r>
            <w:r>
              <w:rPr>
                <w:noProof/>
                <w:webHidden/>
              </w:rPr>
              <w:fldChar w:fldCharType="begin"/>
            </w:r>
            <w:r>
              <w:rPr>
                <w:noProof/>
                <w:webHidden/>
              </w:rPr>
              <w:instrText xml:space="preserve"> PAGEREF _Toc212840001 \h </w:instrText>
            </w:r>
            <w:r>
              <w:rPr>
                <w:noProof/>
                <w:webHidden/>
              </w:rPr>
            </w:r>
            <w:r>
              <w:rPr>
                <w:noProof/>
                <w:webHidden/>
              </w:rPr>
              <w:fldChar w:fldCharType="separate"/>
            </w:r>
            <w:r>
              <w:rPr>
                <w:noProof/>
                <w:webHidden/>
              </w:rPr>
              <w:t>10</w:t>
            </w:r>
            <w:r>
              <w:rPr>
                <w:noProof/>
                <w:webHidden/>
              </w:rPr>
              <w:fldChar w:fldCharType="end"/>
            </w:r>
          </w:hyperlink>
        </w:p>
        <w:p w14:paraId="26FB9DCA" w14:textId="77777777" w:rsidR="00ED2276" w:rsidRDefault="00ED2276">
          <w:r>
            <w:rPr>
              <w:b/>
              <w:bCs/>
              <w:noProof/>
            </w:rPr>
            <w:fldChar w:fldCharType="end"/>
          </w:r>
        </w:p>
      </w:sdtContent>
    </w:sdt>
    <w:p w14:paraId="1DE115B8" w14:textId="77777777" w:rsidR="00800348" w:rsidRDefault="00800348" w:rsidP="00A952FC">
      <w:pPr>
        <w:rPr>
          <w:lang w:eastAsia="en-GB"/>
        </w:rPr>
      </w:pPr>
    </w:p>
    <w:p w14:paraId="5F0AE452" w14:textId="77777777" w:rsidR="00800348" w:rsidRDefault="00800348">
      <w:pPr>
        <w:rPr>
          <w:lang w:eastAsia="en-GB"/>
        </w:rPr>
      </w:pPr>
      <w:r>
        <w:rPr>
          <w:lang w:eastAsia="en-GB"/>
        </w:rPr>
        <w:br w:type="page"/>
      </w:r>
    </w:p>
    <w:p w14:paraId="3FE60BA2" w14:textId="77777777" w:rsidR="00FD51F8" w:rsidRPr="00FD51F8" w:rsidRDefault="00FD51F8" w:rsidP="001668F5">
      <w:pPr>
        <w:pStyle w:val="Heading1"/>
        <w:spacing w:line="360" w:lineRule="auto"/>
        <w:jc w:val="both"/>
        <w:rPr>
          <w:rFonts w:eastAsia="Times New Roman"/>
          <w:lang w:eastAsia="en-GB"/>
        </w:rPr>
      </w:pPr>
      <w:bookmarkStart w:id="0" w:name="_Toc212839982"/>
      <w:r w:rsidRPr="00FD51F8">
        <w:rPr>
          <w:rFonts w:eastAsia="Times New Roman"/>
          <w:lang w:eastAsia="en-GB"/>
        </w:rPr>
        <w:lastRenderedPageBreak/>
        <w:t>Introduction</w:t>
      </w:r>
      <w:bookmarkEnd w:id="0"/>
    </w:p>
    <w:p w14:paraId="77592AA1" w14:textId="77777777" w:rsidR="001668F5" w:rsidRDefault="001668F5" w:rsidP="00F13E95">
      <w:pPr>
        <w:pStyle w:val="NormalWeb"/>
        <w:spacing w:line="360" w:lineRule="auto"/>
        <w:jc w:val="both"/>
      </w:pPr>
      <w:r>
        <w:t>This portfolio illustrates an actual comprehension of creativity, innovation, value creation, and leadership within the concept of health and social care. The specifically chosen tasks impact involvement within learning activities each week and theoretical approaches like the Torrance Test of Creative Thinking, convergent and divergent thinking, and the NHS Leadership Framework. Each task investigates how creative and analytical abilities are dedicated to identifying industry issues, endorsing service enhancement, and improving person-based results. Reflective elements are derived from the Gibbs’ Reflective Cycle (1988) in order to assess personal learning and development during the progress of the module.</w:t>
      </w:r>
    </w:p>
    <w:p w14:paraId="32C54818" w14:textId="4DFA705C" w:rsidR="00FD51F8" w:rsidRPr="00FD51F8" w:rsidRDefault="00FD51F8" w:rsidP="00F13E95">
      <w:pPr>
        <w:pStyle w:val="Heading1"/>
        <w:spacing w:line="360" w:lineRule="auto"/>
        <w:jc w:val="both"/>
        <w:rPr>
          <w:rFonts w:eastAsia="Times New Roman"/>
          <w:lang w:eastAsia="en-GB"/>
        </w:rPr>
      </w:pPr>
      <w:bookmarkStart w:id="1" w:name="_Toc212839983"/>
      <w:r w:rsidRPr="00FD51F8">
        <w:rPr>
          <w:rFonts w:eastAsia="Times New Roman"/>
          <w:lang w:eastAsia="en-GB"/>
        </w:rPr>
        <w:t>1 – Defining Key Concepts in Practice</w:t>
      </w:r>
      <w:bookmarkEnd w:id="1"/>
    </w:p>
    <w:p w14:paraId="556B7FE2" w14:textId="77777777" w:rsidR="00FD51F8" w:rsidRDefault="00FD51F8" w:rsidP="00F13E95">
      <w:pPr>
        <w:pStyle w:val="Heading2"/>
        <w:spacing w:line="360" w:lineRule="auto"/>
        <w:jc w:val="both"/>
        <w:rPr>
          <w:rFonts w:eastAsia="Times New Roman"/>
          <w:lang w:eastAsia="en-GB"/>
        </w:rPr>
      </w:pPr>
      <w:bookmarkStart w:id="2" w:name="_Toc212839984"/>
      <w:r w:rsidRPr="00FD51F8">
        <w:rPr>
          <w:rFonts w:eastAsia="Times New Roman"/>
          <w:lang w:eastAsia="en-GB"/>
        </w:rPr>
        <w:t>Innovation</w:t>
      </w:r>
      <w:bookmarkEnd w:id="2"/>
    </w:p>
    <w:p w14:paraId="1815DFAA" w14:textId="77777777" w:rsidR="000B395C" w:rsidRDefault="000B395C" w:rsidP="00714717">
      <w:pPr>
        <w:pStyle w:val="NormalWeb"/>
        <w:spacing w:line="360" w:lineRule="auto"/>
        <w:jc w:val="both"/>
      </w:pPr>
      <w:r>
        <w:t>The concept of innovation within health and social care consists of the representation of new ideas, technological revolution, or availability of various services. Rogers (2003) describes innovation as the process via which fresh ideas are produced, improved, and applied to create social or economic value. In real-world situations, innovation accumulates constant enhancement such as the telehealth systems allowing remote consultations and decreasing waiting times (Greenhalgh et al., 2023). In the health and social care sector, innovation is assumed to be essential for identifying raising issues, especially in handling ageing societal groups and chronic diseases.</w:t>
      </w:r>
    </w:p>
    <w:p w14:paraId="1A323914" w14:textId="77777777" w:rsidR="00E44123" w:rsidRDefault="00FD51F8" w:rsidP="00714717">
      <w:pPr>
        <w:pStyle w:val="Heading2"/>
        <w:spacing w:line="360" w:lineRule="auto"/>
        <w:jc w:val="both"/>
        <w:rPr>
          <w:rFonts w:eastAsia="Times New Roman"/>
          <w:lang w:eastAsia="en-GB"/>
        </w:rPr>
      </w:pPr>
      <w:bookmarkStart w:id="3" w:name="_Toc212839985"/>
      <w:r w:rsidRPr="00FD51F8">
        <w:rPr>
          <w:rFonts w:eastAsia="Times New Roman"/>
          <w:lang w:eastAsia="en-GB"/>
        </w:rPr>
        <w:t>Creativity</w:t>
      </w:r>
      <w:bookmarkEnd w:id="3"/>
    </w:p>
    <w:p w14:paraId="13C47036" w14:textId="77777777" w:rsidR="00F13E95" w:rsidRDefault="00F13E95" w:rsidP="00714717">
      <w:pPr>
        <w:pStyle w:val="NormalWeb"/>
        <w:spacing w:line="360" w:lineRule="auto"/>
        <w:jc w:val="both"/>
      </w:pPr>
      <w:r>
        <w:t xml:space="preserve">Creativity is aligned with the capability to produce new and applicable concepts, which could cause essential alteration. ‘Torrance’, as cited in Kim, Cramond &amp; </w:t>
      </w:r>
      <w:proofErr w:type="spellStart"/>
      <w:r>
        <w:t>Bandalos</w:t>
      </w:r>
      <w:proofErr w:type="spellEnd"/>
      <w:r>
        <w:t xml:space="preserve">, </w:t>
      </w:r>
      <w:r w:rsidR="00FB6EFB">
        <w:t>(</w:t>
      </w:r>
      <w:r>
        <w:t>2006</w:t>
      </w:r>
      <w:r w:rsidR="00FB6EFB">
        <w:t>)</w:t>
      </w:r>
      <w:r>
        <w:t>, analyses creativity with the ability to recognise issues, envisage various solutions, and imply novel influences. Within care practice, creativity permits professionals to customise interferences towards individual necessities; for instance, creating sensory-oriented initiatives for individuals with a diagnosis of dementia. In addition, creativity improves personnel involvement, as well as sustains a culture of problem-solving across multidisciplinary teams (Todd, 2016).</w:t>
      </w:r>
    </w:p>
    <w:p w14:paraId="72118714" w14:textId="77777777" w:rsidR="00E44123" w:rsidRDefault="00FD51F8" w:rsidP="00714717">
      <w:pPr>
        <w:pStyle w:val="Heading2"/>
        <w:spacing w:line="360" w:lineRule="auto"/>
        <w:jc w:val="both"/>
        <w:rPr>
          <w:rFonts w:eastAsia="Times New Roman"/>
          <w:lang w:eastAsia="en-GB"/>
        </w:rPr>
      </w:pPr>
      <w:bookmarkStart w:id="4" w:name="_Toc212839986"/>
      <w:r w:rsidRPr="00FD51F8">
        <w:rPr>
          <w:rFonts w:eastAsia="Times New Roman"/>
          <w:lang w:eastAsia="en-GB"/>
        </w:rPr>
        <w:lastRenderedPageBreak/>
        <w:t>Value Creation</w:t>
      </w:r>
      <w:bookmarkEnd w:id="4"/>
    </w:p>
    <w:p w14:paraId="257804B3" w14:textId="77777777" w:rsidR="00714717" w:rsidRDefault="00714717" w:rsidP="00C43217">
      <w:pPr>
        <w:pStyle w:val="NormalWeb"/>
        <w:spacing w:line="360" w:lineRule="auto"/>
        <w:jc w:val="both"/>
      </w:pPr>
      <w:r>
        <w:t>In health and social care, value creation is related to providing quantifiable positives, which improve lasting results for patients, personnel, and societal groups. Porter (2010) describes the value as the least results attained regarding the cost of care of the certain institution. In the NHS settings, value is accumulated via integrated services that correlate physical and mental health, decreasing imitation and enhancing patient expertise. In addition, digital innovations, including the NHS App, improve value creation through converting healthcare into a more available and effective source. Moreover, such instruments authorise people to handle appointments, prescriptions, and records, leading to improved involvement, self-management skills, and wider system quality augmentation.</w:t>
      </w:r>
    </w:p>
    <w:p w14:paraId="08591961" w14:textId="77777777" w:rsidR="00E44123" w:rsidRDefault="00FD51F8" w:rsidP="00C43217">
      <w:pPr>
        <w:pStyle w:val="Heading2"/>
        <w:spacing w:line="360" w:lineRule="auto"/>
        <w:jc w:val="both"/>
        <w:rPr>
          <w:rFonts w:eastAsia="Times New Roman"/>
          <w:lang w:eastAsia="en-GB"/>
        </w:rPr>
      </w:pPr>
      <w:bookmarkStart w:id="5" w:name="_Toc212839987"/>
      <w:r w:rsidRPr="00FD51F8">
        <w:rPr>
          <w:rFonts w:eastAsia="Times New Roman"/>
          <w:lang w:eastAsia="en-GB"/>
        </w:rPr>
        <w:t>Change</w:t>
      </w:r>
      <w:bookmarkEnd w:id="5"/>
    </w:p>
    <w:p w14:paraId="5D2F4340" w14:textId="77777777" w:rsidR="00C43217" w:rsidRDefault="00C43217" w:rsidP="00FB3576">
      <w:pPr>
        <w:pStyle w:val="NormalWeb"/>
        <w:spacing w:line="360" w:lineRule="auto"/>
        <w:jc w:val="both"/>
      </w:pPr>
      <w:r>
        <w:t>Change is related to the transformation from one phase to another via organised and planned improvement procedures. The change model of Lewin (1951), consisting of unfreeze, change, and refreeze, demonstrates how efficient change demands steady preparation, application, and empowerment. Within health and social care settings, coping with change is considered vital in applying new technologies or guidelines efficiently. For instance, adjusting to electronic health records (EHRs) demands technical expertise and cultural willingness. Therefore, change management guarantees sustainability and configuration with quality care philosophies (Armstrong, 2021).</w:t>
      </w:r>
    </w:p>
    <w:p w14:paraId="01F002A2" w14:textId="2BAC33E1" w:rsidR="00B116C2" w:rsidRDefault="00B116C2" w:rsidP="00FB3576">
      <w:pPr>
        <w:pStyle w:val="NormalWeb"/>
        <w:spacing w:line="360" w:lineRule="auto"/>
        <w:jc w:val="both"/>
      </w:pPr>
      <w:r>
        <w:rPr>
          <w:noProof/>
        </w:rPr>
        <w:drawing>
          <wp:inline distT="0" distB="0" distL="0" distR="0" wp14:anchorId="084F015A" wp14:editId="78708020">
            <wp:extent cx="5731510" cy="2188845"/>
            <wp:effectExtent l="0" t="0" r="2540" b="1905"/>
            <wp:docPr id="1776196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96980"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88845"/>
                    </a:xfrm>
                    <a:prstGeom prst="rect">
                      <a:avLst/>
                    </a:prstGeom>
                  </pic:spPr>
                </pic:pic>
              </a:graphicData>
            </a:graphic>
          </wp:inline>
        </w:drawing>
      </w:r>
    </w:p>
    <w:p w14:paraId="7933E41C" w14:textId="28EDE48D" w:rsidR="001E6AFA" w:rsidRDefault="00FD51F8" w:rsidP="00FB3576">
      <w:pPr>
        <w:pStyle w:val="Heading1"/>
        <w:spacing w:line="360" w:lineRule="auto"/>
        <w:jc w:val="both"/>
        <w:rPr>
          <w:rFonts w:eastAsia="Times New Roman"/>
          <w:lang w:eastAsia="en-GB"/>
        </w:rPr>
      </w:pPr>
      <w:bookmarkStart w:id="6" w:name="_Toc212839988"/>
      <w:r w:rsidRPr="00FD51F8">
        <w:rPr>
          <w:rFonts w:eastAsia="Times New Roman"/>
          <w:lang w:eastAsia="en-GB"/>
        </w:rPr>
        <w:lastRenderedPageBreak/>
        <w:t>2 – Mind Map</w:t>
      </w:r>
      <w:bookmarkEnd w:id="6"/>
    </w:p>
    <w:p w14:paraId="56C2FBA9" w14:textId="77777777" w:rsidR="009022DC" w:rsidRDefault="009022DC" w:rsidP="00FB3576">
      <w:pPr>
        <w:pStyle w:val="NormalWeb"/>
        <w:spacing w:line="360" w:lineRule="auto"/>
        <w:jc w:val="both"/>
      </w:pPr>
      <w:r>
        <w:t>The suggested mind map analyses creative approaches in order to decrease staff burnout within health and social care settings. The major concern, ‘Staff Burnout’, is related to five major divisions – Workload Management, Wellbeing Support, Digital Solutions, Leadership &amp; Communication, and Organisational Culture.</w:t>
      </w:r>
    </w:p>
    <w:p w14:paraId="113D550B" w14:textId="0A4E8E18" w:rsidR="00633565" w:rsidRDefault="009022DC" w:rsidP="00FB3576">
      <w:pPr>
        <w:pStyle w:val="NormalWeb"/>
        <w:spacing w:line="360" w:lineRule="auto"/>
        <w:jc w:val="both"/>
        <w:rPr>
          <w:noProof/>
        </w:rPr>
      </w:pPr>
      <w:r>
        <w:t>Utilising divergent thinking to create various possibilities and convergent thinking to improve them within actual solutions (Jones &amp; Estes, 2015; Todd, 2016), this process motivates creativity and structure. Wider concepts like flexible rotas, mindfulness breaks, and peer-support groups were also provided as feasible initiatives, such as digital shift schedules and wellbeing programs. Moreover, the map showcases how innovation and cooperation could endorse a healthier workplace. Through a combination of creative ideas and organised decision-making processes, this initiative related to the principles of value creation and constant augmentation within patient-based care.</w:t>
      </w:r>
    </w:p>
    <w:p w14:paraId="65245A51" w14:textId="7375D00B" w:rsidR="00B116C2" w:rsidRDefault="00B116C2" w:rsidP="00FB3576">
      <w:pPr>
        <w:pStyle w:val="NormalWeb"/>
        <w:spacing w:line="360" w:lineRule="auto"/>
        <w:jc w:val="both"/>
      </w:pPr>
      <w:r>
        <w:rPr>
          <w:noProof/>
        </w:rPr>
        <w:drawing>
          <wp:inline distT="0" distB="0" distL="0" distR="0" wp14:anchorId="09BB3BD2" wp14:editId="3D22BB19">
            <wp:extent cx="5731510" cy="2771775"/>
            <wp:effectExtent l="0" t="0" r="2540" b="9525"/>
            <wp:docPr id="200185937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59371" name="Picture 2"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71775"/>
                    </a:xfrm>
                    <a:prstGeom prst="rect">
                      <a:avLst/>
                    </a:prstGeom>
                  </pic:spPr>
                </pic:pic>
              </a:graphicData>
            </a:graphic>
          </wp:inline>
        </w:drawing>
      </w:r>
    </w:p>
    <w:p w14:paraId="78F447E1" w14:textId="4971628C" w:rsidR="00FD51F8" w:rsidRPr="00A373E1" w:rsidRDefault="00FD51F8" w:rsidP="00FB3576">
      <w:pPr>
        <w:pStyle w:val="Heading1"/>
        <w:spacing w:line="360" w:lineRule="auto"/>
        <w:jc w:val="both"/>
        <w:rPr>
          <w:rStyle w:val="Heading1Char"/>
          <w:b/>
        </w:rPr>
      </w:pPr>
      <w:bookmarkStart w:id="7" w:name="_Toc212839989"/>
      <w:r w:rsidRPr="00A373E1">
        <w:t xml:space="preserve"> 3 – Self-Reflection of Group Activity</w:t>
      </w:r>
      <w:bookmarkEnd w:id="7"/>
    </w:p>
    <w:p w14:paraId="4E768E7B" w14:textId="77777777" w:rsidR="00FB3576" w:rsidRDefault="00FB3576" w:rsidP="00FB3576">
      <w:pPr>
        <w:pStyle w:val="NormalWeb"/>
        <w:spacing w:line="360" w:lineRule="auto"/>
        <w:jc w:val="both"/>
      </w:pPr>
      <w:r>
        <w:t xml:space="preserve">Throughout the group activity on Convergent and Divergent Thinking, I was insightful regarding how creativity and logic accompany each other in resolving comprehensive issues. Divergent thinking motivated my team to create various possible solutions; on the other hand, convergent thinking forced us to choose the most adequate alternative. Jones and Estes (2015) </w:t>
      </w:r>
      <w:r>
        <w:lastRenderedPageBreak/>
        <w:t>represent convergent thinking as a process narrowing possibilities through organised reasoning, while divergent thinking endorses innovation via inspection.</w:t>
      </w:r>
    </w:p>
    <w:p w14:paraId="3544D562" w14:textId="77777777" w:rsidR="00FB3576" w:rsidRDefault="00FB3576" w:rsidP="00FB3576">
      <w:pPr>
        <w:pStyle w:val="NormalWeb"/>
        <w:spacing w:line="360" w:lineRule="auto"/>
        <w:jc w:val="both"/>
      </w:pPr>
      <w:r>
        <w:t>Utilising the Gibbs’ Reflective Cycle (1988), I defined the activity in detail; our team generated ideas to sustain vaccine distribution for vulnerable societal groups. At first, my feelings were doubtful, as I favoured organised problem-solving. Nevertheless, throughout the brainstorming session, I understood that being directive to alternative ideas improved the group’s creative thinking. The assessment showed a harmony between thinking approaches that helped us to gain a powerful outcome. At last, I was able to uphold cooperative creativity and identify my bias toward convergent thinking. Finally, the action plan was applied to perform divergent thinking in further group environments, especially through appending judgement throughout idea creation.</w:t>
      </w:r>
    </w:p>
    <w:p w14:paraId="19BBFF0D" w14:textId="6155F51F" w:rsidR="00B116C2" w:rsidRDefault="00B116C2" w:rsidP="00FB3576">
      <w:pPr>
        <w:pStyle w:val="NormalWeb"/>
        <w:spacing w:line="360" w:lineRule="auto"/>
        <w:jc w:val="both"/>
      </w:pPr>
      <w:r>
        <w:rPr>
          <w:noProof/>
        </w:rPr>
        <w:drawing>
          <wp:inline distT="0" distB="0" distL="0" distR="0" wp14:anchorId="39A97DA1" wp14:editId="701051E5">
            <wp:extent cx="5731510" cy="2699385"/>
            <wp:effectExtent l="0" t="0" r="2540" b="5715"/>
            <wp:docPr id="77668003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80038" name="Picture 3"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99385"/>
                    </a:xfrm>
                    <a:prstGeom prst="rect">
                      <a:avLst/>
                    </a:prstGeom>
                  </pic:spPr>
                </pic:pic>
              </a:graphicData>
            </a:graphic>
          </wp:inline>
        </w:drawing>
      </w:r>
    </w:p>
    <w:p w14:paraId="2CBADC21" w14:textId="4F005413" w:rsidR="00FD51F8" w:rsidRPr="00FD51F8" w:rsidRDefault="00FD51F8" w:rsidP="001C23E1">
      <w:pPr>
        <w:pStyle w:val="Heading1"/>
        <w:spacing w:line="360" w:lineRule="auto"/>
        <w:jc w:val="both"/>
        <w:rPr>
          <w:rFonts w:eastAsia="Times New Roman"/>
          <w:lang w:eastAsia="en-GB"/>
        </w:rPr>
      </w:pPr>
      <w:bookmarkStart w:id="8" w:name="_Toc212839990"/>
      <w:r w:rsidRPr="00FD51F8">
        <w:rPr>
          <w:rFonts w:eastAsia="Times New Roman"/>
          <w:lang w:eastAsia="en-GB"/>
        </w:rPr>
        <w:t>4 – Case Study Analysis of a UK Inn</w:t>
      </w:r>
      <w:r>
        <w:rPr>
          <w:rFonts w:eastAsia="Times New Roman"/>
          <w:lang w:eastAsia="en-GB"/>
        </w:rPr>
        <w:t>ovation</w:t>
      </w:r>
      <w:bookmarkEnd w:id="8"/>
    </w:p>
    <w:p w14:paraId="179BBB6D" w14:textId="77777777" w:rsidR="001C23E1" w:rsidRDefault="001C23E1" w:rsidP="001C23E1">
      <w:pPr>
        <w:pStyle w:val="NormalWeb"/>
        <w:spacing w:line="360" w:lineRule="auto"/>
        <w:jc w:val="both"/>
      </w:pPr>
      <w:r>
        <w:t>The NHS App demonstrates a digital innovation within the enhancement of patient access and value establishment. The app is created by NHS Digital and permits users to book appointments, order prescriptions, and review medical records steadily. The creativity of the app is grounded upon the mixture of various healthcare functions into a single platform, identifying the lasting issue of fragmented admission to GP services (NHS Digital, 2023).</w:t>
      </w:r>
    </w:p>
    <w:p w14:paraId="4C720B7B" w14:textId="77777777" w:rsidR="001C23E1" w:rsidRDefault="001C23E1" w:rsidP="000579BD">
      <w:pPr>
        <w:pStyle w:val="NormalWeb"/>
        <w:spacing w:line="360" w:lineRule="auto"/>
        <w:jc w:val="both"/>
      </w:pPr>
      <w:r>
        <w:t xml:space="preserve">Moreover, the app was created via repetitive co-establishment with service users and clinicians, guaranteeing genuineness and usage. It also improves value creation by decreasing the </w:t>
      </w:r>
      <w:r>
        <w:lastRenderedPageBreak/>
        <w:t>administrative load on personnel and reinforcing patients to self-manage health demands, relating to Porter’s (2010) result-oriented definition of value. In addition, assessments indicate augmented patient fulfilment and decreased phone call workload for practices (BMA, 2023). Lastly, the NHS App shows how digital creativity could change care delivery, attaining accessibility, efficacy, and user authorisation across the UK.</w:t>
      </w:r>
    </w:p>
    <w:p w14:paraId="3891A3BC" w14:textId="7D53FF7F" w:rsidR="00B116C2" w:rsidRDefault="00B116C2" w:rsidP="000579BD">
      <w:pPr>
        <w:pStyle w:val="NormalWeb"/>
        <w:spacing w:line="360" w:lineRule="auto"/>
        <w:jc w:val="both"/>
      </w:pPr>
      <w:r>
        <w:rPr>
          <w:noProof/>
        </w:rPr>
        <w:drawing>
          <wp:inline distT="0" distB="0" distL="0" distR="0" wp14:anchorId="1A7DA87F" wp14:editId="2ACC0609">
            <wp:extent cx="5731510" cy="2526030"/>
            <wp:effectExtent l="0" t="0" r="2540" b="7620"/>
            <wp:docPr id="7522923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9236"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26030"/>
                    </a:xfrm>
                    <a:prstGeom prst="rect">
                      <a:avLst/>
                    </a:prstGeom>
                  </pic:spPr>
                </pic:pic>
              </a:graphicData>
            </a:graphic>
          </wp:inline>
        </w:drawing>
      </w:r>
    </w:p>
    <w:p w14:paraId="4E2F4114" w14:textId="46B2EAF5" w:rsidR="00FD51F8" w:rsidRPr="00FD51F8" w:rsidRDefault="00690611" w:rsidP="000579BD">
      <w:pPr>
        <w:pStyle w:val="Heading1"/>
        <w:spacing w:line="360" w:lineRule="auto"/>
        <w:jc w:val="both"/>
        <w:rPr>
          <w:rFonts w:eastAsia="Times New Roman"/>
          <w:lang w:eastAsia="en-GB"/>
        </w:rPr>
      </w:pPr>
      <w:bookmarkStart w:id="9" w:name="_Toc212839991"/>
      <w:r>
        <w:rPr>
          <w:rFonts w:eastAsia="Times New Roman"/>
          <w:lang w:eastAsia="en-GB"/>
        </w:rPr>
        <w:t xml:space="preserve">5 – Research Task </w:t>
      </w:r>
      <w:r w:rsidR="00FD51F8" w:rsidRPr="00FD51F8">
        <w:rPr>
          <w:rFonts w:eastAsia="Times New Roman"/>
          <w:lang w:eastAsia="en-GB"/>
        </w:rPr>
        <w:t>Current I</w:t>
      </w:r>
      <w:r>
        <w:rPr>
          <w:rFonts w:eastAsia="Times New Roman"/>
          <w:lang w:eastAsia="en-GB"/>
        </w:rPr>
        <w:t>ssue in Health and Social Care – the Staff Burnout</w:t>
      </w:r>
      <w:bookmarkEnd w:id="9"/>
    </w:p>
    <w:p w14:paraId="05E07C7A" w14:textId="77777777" w:rsidR="000579BD" w:rsidRDefault="000579BD" w:rsidP="000579BD">
      <w:pPr>
        <w:pStyle w:val="NormalWeb"/>
        <w:spacing w:line="360" w:lineRule="auto"/>
        <w:jc w:val="both"/>
      </w:pPr>
      <w:r>
        <w:t>Staff burnout is still a standing issue within the NHS and social care industry, related to labour force surpluses and emotional tension. The initial study by West et al. (2022) in BMJ Open revealed that emotional frustration within healthcare personnel augmented throughout the COVID-19 pandemic as heavy workloads and inappropriate support prevailed. Thus, the researchers indicate that burnout aligns with decreased quality of care and increased turnover purposes.</w:t>
      </w:r>
    </w:p>
    <w:p w14:paraId="1014107E" w14:textId="77777777" w:rsidR="000579BD" w:rsidRDefault="000579BD" w:rsidP="000579BD">
      <w:pPr>
        <w:pStyle w:val="NormalWeb"/>
        <w:spacing w:line="360" w:lineRule="auto"/>
        <w:jc w:val="both"/>
      </w:pPr>
      <w:r>
        <w:t xml:space="preserve">The other study by Hall et al. (2023) in BMC Health Services Research recognised systemic factors like lasting shifts, emotional labour, and restricted recovery time as major contributors. The authors suggested organisational-based interferences emphasising on psychological sustenance and workload re-establishment. Combined, these studies underscore that burnout is not assumed to be an individual catastrophe but a structural concern demanding creative organisational approaches and leadership strategies that focus on personnel wellbeing. The </w:t>
      </w:r>
      <w:r>
        <w:lastRenderedPageBreak/>
        <w:t>findings empower the essence of value creation via workforce sustainability within health and social care environments.</w:t>
      </w:r>
    </w:p>
    <w:p w14:paraId="06149400" w14:textId="15F9D6CA" w:rsidR="003641DC" w:rsidRDefault="003641DC" w:rsidP="000579BD">
      <w:pPr>
        <w:pStyle w:val="NormalWeb"/>
        <w:spacing w:line="360" w:lineRule="auto"/>
        <w:jc w:val="both"/>
      </w:pPr>
      <w:r>
        <w:rPr>
          <w:noProof/>
        </w:rPr>
        <w:drawing>
          <wp:inline distT="0" distB="0" distL="0" distR="0" wp14:anchorId="2CB1C313" wp14:editId="1BB5676B">
            <wp:extent cx="5731510" cy="2026920"/>
            <wp:effectExtent l="0" t="0" r="2540" b="0"/>
            <wp:docPr id="25383249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32497" name="Picture 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026920"/>
                    </a:xfrm>
                    <a:prstGeom prst="rect">
                      <a:avLst/>
                    </a:prstGeom>
                  </pic:spPr>
                </pic:pic>
              </a:graphicData>
            </a:graphic>
          </wp:inline>
        </w:drawing>
      </w:r>
    </w:p>
    <w:p w14:paraId="6CC95FC7" w14:textId="1B623173" w:rsidR="00FD51F8" w:rsidRPr="00FD51F8" w:rsidRDefault="00FD51F8" w:rsidP="000579BD">
      <w:pPr>
        <w:pStyle w:val="Heading1"/>
        <w:spacing w:line="360" w:lineRule="auto"/>
        <w:jc w:val="both"/>
        <w:rPr>
          <w:rFonts w:eastAsia="Times New Roman"/>
          <w:lang w:eastAsia="en-GB"/>
        </w:rPr>
      </w:pPr>
      <w:bookmarkStart w:id="10" w:name="_Toc212839992"/>
      <w:r w:rsidRPr="00FD51F8">
        <w:rPr>
          <w:rFonts w:eastAsia="Times New Roman"/>
          <w:lang w:eastAsia="en-GB"/>
        </w:rPr>
        <w:t>6 – Exploring Digital Innovation in Health and Social Care</w:t>
      </w:r>
      <w:bookmarkEnd w:id="10"/>
    </w:p>
    <w:p w14:paraId="046C435E" w14:textId="77777777" w:rsidR="00FD51F8" w:rsidRDefault="00FD51F8" w:rsidP="001C23E1">
      <w:pPr>
        <w:spacing w:before="100" w:beforeAutospacing="1" w:after="100" w:afterAutospacing="1" w:line="360" w:lineRule="auto"/>
        <w:jc w:val="both"/>
        <w:rPr>
          <w:rStyle w:val="Heading2Char"/>
          <w:lang w:eastAsia="en-GB"/>
        </w:rPr>
      </w:pPr>
      <w:bookmarkStart w:id="11" w:name="_Toc212839993"/>
      <w:r w:rsidRPr="00FD51F8">
        <w:rPr>
          <w:rStyle w:val="Heading2Char"/>
          <w:lang w:eastAsia="en-GB"/>
        </w:rPr>
        <w:t>Wearable Health Technologies for Chronic Conditions</w:t>
      </w:r>
      <w:bookmarkEnd w:id="11"/>
    </w:p>
    <w:p w14:paraId="48611A2E" w14:textId="77777777" w:rsidR="001C23E1" w:rsidRDefault="001C23E1" w:rsidP="001C23E1">
      <w:pPr>
        <w:pStyle w:val="NormalWeb"/>
        <w:spacing w:line="360" w:lineRule="auto"/>
        <w:jc w:val="both"/>
      </w:pPr>
      <w:r>
        <w:t>Smartwatches and continuous glucose monitors are wearable health technologies, helping in sustaining self-management of chronic conditions by allowing real-time monitoring. For instance, the Apple Watch’s ECG feature could detect atrial fibrillation, assisting in setting up a diagnosis in advance (Perez et al., 2022). Such technologies endorse patient reinforcement, permitting individuals to supervise their health data and provide results to clinicians. According to Chen et al. (2023), wearable devices improve devotion to treatment plans and motivate lifestyle. Within health and social care settings, wearable devices are dedicated to preventive care and decreasing hospital admissions, establishing clinical and social value.</w:t>
      </w:r>
    </w:p>
    <w:p w14:paraId="503636EB" w14:textId="77777777" w:rsidR="00C20028" w:rsidRDefault="00FD51F8" w:rsidP="001C23E1">
      <w:pPr>
        <w:pStyle w:val="Heading2"/>
        <w:spacing w:line="360" w:lineRule="auto"/>
        <w:jc w:val="both"/>
        <w:rPr>
          <w:rFonts w:eastAsia="Times New Roman"/>
          <w:lang w:eastAsia="en-GB"/>
        </w:rPr>
      </w:pPr>
      <w:bookmarkStart w:id="12" w:name="_Toc212839994"/>
      <w:r w:rsidRPr="00FD51F8">
        <w:rPr>
          <w:rFonts w:eastAsia="Times New Roman"/>
          <w:lang w:eastAsia="en-GB"/>
        </w:rPr>
        <w:t>Electronic Health Records (EHRs) and Communication</w:t>
      </w:r>
      <w:bookmarkEnd w:id="12"/>
    </w:p>
    <w:p w14:paraId="4AE5B7E7" w14:textId="77777777" w:rsidR="00916592" w:rsidRDefault="00916592" w:rsidP="001C23E1">
      <w:pPr>
        <w:pStyle w:val="NormalWeb"/>
        <w:spacing w:line="360" w:lineRule="auto"/>
        <w:jc w:val="both"/>
      </w:pPr>
      <w:r>
        <w:t>Electronic Health Records (EHRs) have transformed communication between healthcare providers by including patient information as a unified digital system. Al-</w:t>
      </w:r>
      <w:proofErr w:type="spellStart"/>
      <w:r>
        <w:t>Kahtani</w:t>
      </w:r>
      <w:proofErr w:type="spellEnd"/>
      <w:r>
        <w:t xml:space="preserve"> et al. (2021) state that EHRs decrease repetition of tests, avert medication faults, and enhance continuity of care. The inner operative capability of EHR systems augments cooperation within multidisciplinary teams, allowing data-based decision-making processes. Within social care settings, EHRs enhance coordination between community services and medical institutions. The investment of the NHS in shared care records indicates a national breakthrough in terms of efficacy and transparency within patient care.</w:t>
      </w:r>
    </w:p>
    <w:p w14:paraId="69CCED49" w14:textId="77777777" w:rsidR="00C20028" w:rsidRDefault="00FD51F8" w:rsidP="00916592">
      <w:pPr>
        <w:pStyle w:val="Heading2"/>
        <w:spacing w:line="360" w:lineRule="auto"/>
        <w:jc w:val="both"/>
        <w:rPr>
          <w:rFonts w:eastAsia="Times New Roman"/>
          <w:lang w:eastAsia="en-GB"/>
        </w:rPr>
      </w:pPr>
      <w:bookmarkStart w:id="13" w:name="_Toc212839995"/>
      <w:r w:rsidRPr="00FD51F8">
        <w:rPr>
          <w:rFonts w:eastAsia="Times New Roman"/>
          <w:lang w:eastAsia="en-GB"/>
        </w:rPr>
        <w:lastRenderedPageBreak/>
        <w:t>Digital Technology for Preventative Care and Health Promotion</w:t>
      </w:r>
      <w:bookmarkEnd w:id="13"/>
    </w:p>
    <w:p w14:paraId="75B7F796" w14:textId="77777777" w:rsidR="001E79D0" w:rsidRDefault="001E79D0" w:rsidP="00916592">
      <w:pPr>
        <w:pStyle w:val="NormalWeb"/>
        <w:spacing w:line="360" w:lineRule="auto"/>
        <w:jc w:val="both"/>
      </w:pPr>
      <w:r>
        <w:t>Digital technologies are considered a major component within the endorsement of health and averting illness. Applications and online platforms offer health education, reminders, and online mentoring regarding lifestyle management. For instance, the NHS ‘Couch to 5K’ app motivates physical activity via progressive goal situations. According to Patel et al. (2022), mobile health interventions enhanced physical activity levels and decreased corpulence rates among participants. These instruments showcase how creativity within digital design could impact on behaviour change and decrease tension on healthcare systems by preventing disease, not only treating it.</w:t>
      </w:r>
    </w:p>
    <w:p w14:paraId="2DA22F2D" w14:textId="28260043" w:rsidR="00FD51F8" w:rsidRPr="00FD51F8" w:rsidRDefault="00FD51F8" w:rsidP="001E79D0">
      <w:pPr>
        <w:pStyle w:val="Heading1"/>
        <w:spacing w:line="360" w:lineRule="auto"/>
        <w:jc w:val="both"/>
        <w:rPr>
          <w:rFonts w:eastAsia="Times New Roman"/>
          <w:lang w:eastAsia="en-GB"/>
        </w:rPr>
      </w:pPr>
      <w:bookmarkStart w:id="14" w:name="_Toc212839996"/>
      <w:r w:rsidRPr="00FD51F8">
        <w:rPr>
          <w:rFonts w:eastAsia="Times New Roman"/>
          <w:lang w:eastAsia="en-GB"/>
        </w:rPr>
        <w:t>7 – Understanding the NHS Leadership Framework</w:t>
      </w:r>
      <w:bookmarkEnd w:id="14"/>
    </w:p>
    <w:p w14:paraId="41F8AA96" w14:textId="77777777" w:rsidR="00FB3576" w:rsidRPr="00D93252" w:rsidRDefault="00FD51F8" w:rsidP="001E79D0">
      <w:pPr>
        <w:pStyle w:val="Heading2"/>
        <w:spacing w:line="360" w:lineRule="auto"/>
        <w:jc w:val="both"/>
        <w:rPr>
          <w:rFonts w:eastAsia="Times New Roman"/>
          <w:lang w:eastAsia="en-GB"/>
        </w:rPr>
      </w:pPr>
      <w:bookmarkStart w:id="15" w:name="_Toc212839997"/>
      <w:r w:rsidRPr="00BE7EF9">
        <w:rPr>
          <w:rFonts w:eastAsia="Times New Roman"/>
          <w:lang w:eastAsia="en-GB"/>
        </w:rPr>
        <w:t>Summary of the Framework</w:t>
      </w:r>
      <w:bookmarkEnd w:id="15"/>
    </w:p>
    <w:p w14:paraId="7BB52324" w14:textId="77777777" w:rsidR="00B91835" w:rsidRDefault="00B91835" w:rsidP="001E79D0">
      <w:pPr>
        <w:pStyle w:val="NormalWeb"/>
        <w:spacing w:line="360" w:lineRule="auto"/>
        <w:jc w:val="both"/>
      </w:pPr>
      <w:r>
        <w:t>The NHS Leadership Framework defines seven major dimensions that define efficient leadership behaviours within health and social care, such as inspiring shared purpose, leading with care, evaluating information, connecting our service, sharing the vision, engaging the team, and holding to account (NHS Leadership Academy, 2023). Such competencies focus on sympathy, cooperation, and responsibility. Moreover, the framework offers an organised approach to guarantee that leadership improves the certain institution into one that is safe, effective, and patient-based. In modern practices, leadership is assumed to be more than just a hierarchical role; it includes motivating others to behold creatively and ethically. Thus, such a framework is vital in endorsing innovation and sustaining a culture of steady enhancement in the NHS and social care services.</w:t>
      </w:r>
    </w:p>
    <w:p w14:paraId="6F12166F" w14:textId="77777777" w:rsidR="00BE7EF9" w:rsidRDefault="00BE7EF9" w:rsidP="00B91835">
      <w:pPr>
        <w:pStyle w:val="Heading2"/>
        <w:spacing w:line="360" w:lineRule="auto"/>
        <w:jc w:val="both"/>
        <w:rPr>
          <w:rFonts w:eastAsia="Times New Roman"/>
          <w:lang w:eastAsia="en-GB"/>
        </w:rPr>
      </w:pPr>
      <w:bookmarkStart w:id="16" w:name="_Toc212839998"/>
      <w:r>
        <w:rPr>
          <w:rFonts w:eastAsia="Times New Roman"/>
          <w:lang w:eastAsia="en-GB"/>
        </w:rPr>
        <w:t>Leadership Behaviour –</w:t>
      </w:r>
      <w:r w:rsidR="00FD51F8" w:rsidRPr="00FD51F8">
        <w:rPr>
          <w:rFonts w:eastAsia="Times New Roman"/>
          <w:lang w:eastAsia="en-GB"/>
        </w:rPr>
        <w:t xml:space="preserve"> Inspiring Shared Purpose</w:t>
      </w:r>
      <w:bookmarkEnd w:id="16"/>
    </w:p>
    <w:p w14:paraId="23F391FE" w14:textId="77777777" w:rsidR="002806C9" w:rsidRDefault="002806C9" w:rsidP="00B91835">
      <w:pPr>
        <w:pStyle w:val="NormalWeb"/>
        <w:spacing w:line="360" w:lineRule="auto"/>
        <w:jc w:val="both"/>
      </w:pPr>
      <w:r>
        <w:t xml:space="preserve">‘Inspiring shared purpose’ focuses on encouraging teams with a proper, adequate and cooperative insight and proposing individual positions within organisational goals. Moreover, the professional leaders motivate creativity by endorsing open communication policies, appraising achievements, and adjusting to partnership. For instance, engaging personnel within digital transformation projects, like applying electronic health records (EHRs), empowers involvement and mutual responsibility for enhancing patient results. West et al. (2021) indicate that inclusive leadership establishes psychological safety and loyalty, allowing persons to share </w:t>
      </w:r>
      <w:r>
        <w:lastRenderedPageBreak/>
        <w:t>their ideas spontaneously. Such behaviour encourages innovative thinking, augments teamwork, and guarantees that creativity is dedicated straightforwardly to providing compassionate, high-quality care within health and social care settings.</w:t>
      </w:r>
    </w:p>
    <w:p w14:paraId="523485E1" w14:textId="77777777" w:rsidR="00BE7EF9" w:rsidRDefault="00FD51F8" w:rsidP="002806C9">
      <w:pPr>
        <w:pStyle w:val="Heading2"/>
        <w:spacing w:line="360" w:lineRule="auto"/>
        <w:jc w:val="both"/>
        <w:rPr>
          <w:rFonts w:eastAsia="Times New Roman"/>
          <w:lang w:eastAsia="en-GB"/>
        </w:rPr>
      </w:pPr>
      <w:bookmarkStart w:id="17" w:name="_Toc212839999"/>
      <w:r w:rsidRPr="00FD51F8">
        <w:rPr>
          <w:rFonts w:eastAsia="Times New Roman"/>
          <w:lang w:eastAsia="en-GB"/>
        </w:rPr>
        <w:t>Reflection on Leadership and Creativity</w:t>
      </w:r>
      <w:bookmarkEnd w:id="17"/>
    </w:p>
    <w:p w14:paraId="4400E2F4" w14:textId="77777777" w:rsidR="00A238C0" w:rsidRDefault="00A238C0" w:rsidP="00A238C0">
      <w:pPr>
        <w:pStyle w:val="NormalWeb"/>
        <w:spacing w:line="360" w:lineRule="auto"/>
        <w:jc w:val="both"/>
      </w:pPr>
      <w:r>
        <w:t>Regarding the NHS Leadership Framework, I understood that leadership expands beyond managerial positions and emphasises on impacting positive and ethical modification. Efficient leaders motivate others, endorse creativity, and sustain compassionate value creation within their teams (West et al., 2021). Moreover, leadership in health and social care insists on reinforcing personnel to imply innovative ideas, handle change adequately, and focus on patient wellbeing (NHS Leadership Academy, 2023). Interrelating attitudes like leading with care and inspiring shared purpose with comprehensive and ethical performance, professionals could augment encouragement, loyalty, and cooperation. In general, adjusting to a culture of constant learning and enhancement within healthcare environments (West et al., 2022).</w:t>
      </w:r>
    </w:p>
    <w:p w14:paraId="710F78CA" w14:textId="3D6228D8" w:rsidR="00FD51F8" w:rsidRPr="00FD51F8" w:rsidRDefault="00FD51F8" w:rsidP="00A238C0">
      <w:pPr>
        <w:pStyle w:val="Heading1"/>
        <w:spacing w:line="360" w:lineRule="auto"/>
        <w:jc w:val="both"/>
        <w:rPr>
          <w:rFonts w:eastAsia="Times New Roman"/>
          <w:lang w:eastAsia="en-GB"/>
        </w:rPr>
      </w:pPr>
      <w:bookmarkStart w:id="18" w:name="_Toc212840000"/>
      <w:r w:rsidRPr="00FD51F8">
        <w:rPr>
          <w:rFonts w:eastAsia="Times New Roman"/>
          <w:lang w:eastAsia="en-GB"/>
        </w:rPr>
        <w:t>8 – Self-Reflection Journal Entry</w:t>
      </w:r>
      <w:bookmarkEnd w:id="18"/>
    </w:p>
    <w:p w14:paraId="7999C887" w14:textId="77777777" w:rsidR="00434894" w:rsidRDefault="0045094E" w:rsidP="00CD0A4B">
      <w:pPr>
        <w:pStyle w:val="NormalWeb"/>
        <w:spacing w:line="360" w:lineRule="auto"/>
        <w:jc w:val="both"/>
      </w:pPr>
      <w:r>
        <w:t>Through implying Gibbs’ Reflective Cycle (1988), I was able to assess my personal growth during this module. Firstly, I related creativity to artistic appearance, not professional skill. Nevertheless, via involvement with topics like cognitive bias, convergent and divergent thinking, and value creation, my comprehension became more profound. In addition, I analysed creativity as an essential competence for identifying comprehensive issues within health and social care, adapting to innovation, and enhancing service provision. More specifically, the group discussions improved my appraisal of teamwork and the essence of various aspects in producing new and efficient ideas. As I evaluate my learning phases, currently, I am more confident through implementing creative and analytical problem-solving strategies. Finally, this module has motivated me to adjust towards a reflective vision and to include creative thinking in my further professional career, guaranteeing patient-based, innovative, and value-oriented care within health and social care environments.</w:t>
      </w:r>
    </w:p>
    <w:p w14:paraId="1BAED9A8" w14:textId="77777777" w:rsidR="00DF6EAD" w:rsidRDefault="00DF6EAD" w:rsidP="00CD0A4B">
      <w:pPr>
        <w:pStyle w:val="NormalWeb"/>
        <w:spacing w:line="360" w:lineRule="auto"/>
        <w:jc w:val="both"/>
      </w:pPr>
    </w:p>
    <w:p w14:paraId="1DE0CA31" w14:textId="77777777" w:rsidR="00DF6EAD" w:rsidRDefault="00DF6EAD" w:rsidP="00CD0A4B">
      <w:pPr>
        <w:pStyle w:val="NormalWeb"/>
        <w:spacing w:line="360" w:lineRule="auto"/>
        <w:jc w:val="both"/>
      </w:pPr>
    </w:p>
    <w:p w14:paraId="53B96A34" w14:textId="77777777" w:rsidR="00DF6EAD" w:rsidRDefault="00DF6EAD" w:rsidP="00CD0A4B">
      <w:pPr>
        <w:pStyle w:val="NormalWeb"/>
        <w:spacing w:line="360" w:lineRule="auto"/>
        <w:jc w:val="both"/>
      </w:pPr>
    </w:p>
    <w:p w14:paraId="0B2C33C5" w14:textId="77777777" w:rsidR="00DF6EAD" w:rsidRDefault="00DF6EAD" w:rsidP="00CD0A4B">
      <w:pPr>
        <w:pStyle w:val="NormalWeb"/>
        <w:spacing w:line="360" w:lineRule="auto"/>
        <w:jc w:val="both"/>
      </w:pPr>
    </w:p>
    <w:p w14:paraId="39CACF1A" w14:textId="77777777" w:rsidR="00DF6EAD" w:rsidRDefault="00DF6EAD" w:rsidP="00CD0A4B">
      <w:pPr>
        <w:pStyle w:val="NormalWeb"/>
        <w:spacing w:line="360" w:lineRule="auto"/>
        <w:jc w:val="both"/>
      </w:pPr>
    </w:p>
    <w:p w14:paraId="3477FDAD" w14:textId="77777777" w:rsidR="00DF6EAD" w:rsidRDefault="00DF6EAD" w:rsidP="00CD0A4B">
      <w:pPr>
        <w:pStyle w:val="NormalWeb"/>
        <w:spacing w:line="360" w:lineRule="auto"/>
        <w:jc w:val="both"/>
      </w:pPr>
    </w:p>
    <w:p w14:paraId="7A4B9888" w14:textId="77777777" w:rsidR="00DF6EAD" w:rsidRDefault="00DF6EAD" w:rsidP="00CD0A4B">
      <w:pPr>
        <w:pStyle w:val="NormalWeb"/>
        <w:spacing w:line="360" w:lineRule="auto"/>
        <w:jc w:val="both"/>
      </w:pPr>
    </w:p>
    <w:p w14:paraId="41278C92" w14:textId="77777777" w:rsidR="00DF6EAD" w:rsidRDefault="00DF6EAD" w:rsidP="00CD0A4B">
      <w:pPr>
        <w:pStyle w:val="NormalWeb"/>
        <w:spacing w:line="360" w:lineRule="auto"/>
        <w:jc w:val="both"/>
      </w:pPr>
    </w:p>
    <w:p w14:paraId="25489DEC" w14:textId="77777777" w:rsidR="00DF6EAD" w:rsidRDefault="00DF6EAD" w:rsidP="00CD0A4B">
      <w:pPr>
        <w:pStyle w:val="NormalWeb"/>
        <w:spacing w:line="360" w:lineRule="auto"/>
        <w:jc w:val="both"/>
      </w:pPr>
    </w:p>
    <w:p w14:paraId="6DDF3B40" w14:textId="77777777" w:rsidR="00CD0A4B" w:rsidRDefault="00DF6EAD" w:rsidP="00E75864">
      <w:pPr>
        <w:pStyle w:val="Heading1"/>
        <w:spacing w:line="360" w:lineRule="auto"/>
        <w:jc w:val="both"/>
      </w:pPr>
      <w:bookmarkStart w:id="19" w:name="_Toc212840001"/>
      <w:r>
        <w:t>References</w:t>
      </w:r>
      <w:bookmarkEnd w:id="19"/>
    </w:p>
    <w:p w14:paraId="27F10242" w14:textId="77777777" w:rsidR="00E75864" w:rsidRDefault="00E75864" w:rsidP="00E75864">
      <w:pPr>
        <w:pStyle w:val="NormalWeb"/>
        <w:spacing w:line="360" w:lineRule="auto"/>
        <w:jc w:val="both"/>
      </w:pPr>
      <w:r>
        <w:t>Al-Kahtani, N., Al-Dosari, B., Al-Fayyad, I. and Al-</w:t>
      </w:r>
      <w:proofErr w:type="spellStart"/>
      <w:r>
        <w:t>Dossary</w:t>
      </w:r>
      <w:proofErr w:type="spellEnd"/>
      <w:r>
        <w:t xml:space="preserve">, R. (2021) ‘Impact of electronic health records on healthcare quality: A systematic review’, </w:t>
      </w:r>
      <w:r>
        <w:rPr>
          <w:rStyle w:val="Emphasis"/>
        </w:rPr>
        <w:t>Journal of Medical Systems</w:t>
      </w:r>
      <w:r>
        <w:t>, 45(11), pp. 1–10.</w:t>
      </w:r>
    </w:p>
    <w:p w14:paraId="63F06921" w14:textId="77777777" w:rsidR="00E75864" w:rsidRDefault="00E75864" w:rsidP="00E75864">
      <w:pPr>
        <w:pStyle w:val="NormalWeb"/>
        <w:spacing w:line="360" w:lineRule="auto"/>
        <w:jc w:val="both"/>
      </w:pPr>
      <w:r>
        <w:t xml:space="preserve">Armstrong, M. (2021) </w:t>
      </w:r>
      <w:r>
        <w:rPr>
          <w:rStyle w:val="Emphasis"/>
        </w:rPr>
        <w:t>A handbook of human resource management practice</w:t>
      </w:r>
      <w:r>
        <w:t>. 16th edn. London: Kogan Page.</w:t>
      </w:r>
    </w:p>
    <w:p w14:paraId="18FDF7F3" w14:textId="77777777" w:rsidR="00E75864" w:rsidRDefault="00E75864" w:rsidP="00E75864">
      <w:pPr>
        <w:pStyle w:val="NormalWeb"/>
        <w:spacing w:line="360" w:lineRule="auto"/>
        <w:jc w:val="both"/>
      </w:pPr>
      <w:r>
        <w:t xml:space="preserve">BMA (2023) </w:t>
      </w:r>
      <w:r>
        <w:rPr>
          <w:rStyle w:val="Emphasis"/>
        </w:rPr>
        <w:t>NHS App Evaluation Report 2023</w:t>
      </w:r>
      <w:r>
        <w:t xml:space="preserve">. British Medical Association. Available at: </w:t>
      </w:r>
      <w:hyperlink r:id="rId15" w:tgtFrame="_new" w:history="1">
        <w:r>
          <w:rPr>
            <w:rStyle w:val="Hyperlink"/>
          </w:rPr>
          <w:t>https://www.bma.org.uk</w:t>
        </w:r>
      </w:hyperlink>
      <w:r>
        <w:t xml:space="preserve"> (Accessed: 30 October 2025).</w:t>
      </w:r>
    </w:p>
    <w:p w14:paraId="621DDA66" w14:textId="77777777" w:rsidR="00E75864" w:rsidRDefault="00E75864" w:rsidP="00E75864">
      <w:pPr>
        <w:pStyle w:val="NormalWeb"/>
        <w:spacing w:line="360" w:lineRule="auto"/>
        <w:jc w:val="both"/>
      </w:pPr>
      <w:r>
        <w:t xml:space="preserve">Chen, Y., Lin, Y. and Li, X. (2023) ‘The impact of wearable health devices on chronic disease management: A systematic review’, </w:t>
      </w:r>
      <w:r>
        <w:rPr>
          <w:rStyle w:val="Emphasis"/>
        </w:rPr>
        <w:t>BMC Public Health</w:t>
      </w:r>
      <w:r>
        <w:t>, 23(1), pp. 1–12.</w:t>
      </w:r>
    </w:p>
    <w:p w14:paraId="2E5072F1" w14:textId="77777777" w:rsidR="00E75864" w:rsidRDefault="00E75864" w:rsidP="00E75864">
      <w:pPr>
        <w:pStyle w:val="NormalWeb"/>
        <w:spacing w:line="360" w:lineRule="auto"/>
        <w:jc w:val="both"/>
      </w:pPr>
      <w:r>
        <w:t xml:space="preserve">Gibbs, G. (1988) </w:t>
      </w:r>
      <w:r>
        <w:rPr>
          <w:rStyle w:val="Emphasis"/>
        </w:rPr>
        <w:t>Learning by Doing: A Guide to Teaching and Learning Methods</w:t>
      </w:r>
      <w:r>
        <w:t>. Oxford: Oxford Polytechnic.</w:t>
      </w:r>
    </w:p>
    <w:p w14:paraId="5F565301" w14:textId="77777777" w:rsidR="00E75864" w:rsidRDefault="00E75864" w:rsidP="00E75864">
      <w:pPr>
        <w:pStyle w:val="NormalWeb"/>
        <w:spacing w:line="360" w:lineRule="auto"/>
        <w:jc w:val="both"/>
      </w:pPr>
      <w:r>
        <w:t xml:space="preserve">Greenhalgh, T., </w:t>
      </w:r>
      <w:proofErr w:type="spellStart"/>
      <w:r>
        <w:t>Wherton</w:t>
      </w:r>
      <w:proofErr w:type="spellEnd"/>
      <w:r>
        <w:t xml:space="preserve">, J. and Papoutsi, C. (2023) ‘Digital transformation in healthcare: Addressing complexity’, </w:t>
      </w:r>
      <w:r>
        <w:rPr>
          <w:rStyle w:val="Emphasis"/>
        </w:rPr>
        <w:t>BMJ</w:t>
      </w:r>
      <w:r>
        <w:t>, 380, pp. 1–8.</w:t>
      </w:r>
    </w:p>
    <w:p w14:paraId="0DBB23D5" w14:textId="77777777" w:rsidR="00E75864" w:rsidRDefault="00E75864" w:rsidP="00E75864">
      <w:pPr>
        <w:pStyle w:val="NormalWeb"/>
        <w:spacing w:line="360" w:lineRule="auto"/>
        <w:jc w:val="both"/>
      </w:pPr>
      <w:r>
        <w:t xml:space="preserve">Hall, L.H., Johnson, J. and Watt, I. (2023) ‘Work-related stress and burnout among healthcare professionals: A systematic review’, </w:t>
      </w:r>
      <w:r>
        <w:rPr>
          <w:rStyle w:val="Emphasis"/>
        </w:rPr>
        <w:t>BMC Health Services Research</w:t>
      </w:r>
      <w:r>
        <w:t>, 23(2), pp. 1–13.</w:t>
      </w:r>
    </w:p>
    <w:p w14:paraId="5F5A6D61" w14:textId="77777777" w:rsidR="00E75864" w:rsidRDefault="00E75864" w:rsidP="00E75864">
      <w:pPr>
        <w:pStyle w:val="NormalWeb"/>
        <w:spacing w:line="360" w:lineRule="auto"/>
        <w:jc w:val="both"/>
      </w:pPr>
      <w:r>
        <w:lastRenderedPageBreak/>
        <w:t xml:space="preserve">Jones, L.L. and Estes, Z. (2015) ‘Convergent and divergent thinking in verbal analogy’, </w:t>
      </w:r>
      <w:r>
        <w:rPr>
          <w:rStyle w:val="Emphasis"/>
        </w:rPr>
        <w:t>Thinking &amp; Reasoning</w:t>
      </w:r>
      <w:r>
        <w:t>, 21(4), pp. 473–500.</w:t>
      </w:r>
    </w:p>
    <w:p w14:paraId="2B231BA0" w14:textId="77777777" w:rsidR="00E75864" w:rsidRDefault="00E75864" w:rsidP="00E75864">
      <w:pPr>
        <w:pStyle w:val="NormalWeb"/>
        <w:spacing w:line="360" w:lineRule="auto"/>
        <w:jc w:val="both"/>
      </w:pPr>
      <w:r>
        <w:t xml:space="preserve">Kim, K.H., Cramond, B. and </w:t>
      </w:r>
      <w:proofErr w:type="spellStart"/>
      <w:r>
        <w:t>Bandalos</w:t>
      </w:r>
      <w:proofErr w:type="spellEnd"/>
      <w:r>
        <w:t xml:space="preserve">, D.L. (2006) ‘The latent structure and measurement invariance of scores on the Torrance Tests of Creative Thinking–Figural’, </w:t>
      </w:r>
      <w:r>
        <w:rPr>
          <w:rStyle w:val="Emphasis"/>
        </w:rPr>
        <w:t>Educational and Psychological Measurement</w:t>
      </w:r>
      <w:r>
        <w:t>, 66(3), pp. 459–477.</w:t>
      </w:r>
    </w:p>
    <w:p w14:paraId="7CE7867D" w14:textId="77777777" w:rsidR="00E75864" w:rsidRDefault="00E75864" w:rsidP="00E75864">
      <w:pPr>
        <w:pStyle w:val="NormalWeb"/>
        <w:spacing w:line="360" w:lineRule="auto"/>
        <w:jc w:val="both"/>
      </w:pPr>
      <w:r>
        <w:t xml:space="preserve">Lewin, K. (1951) </w:t>
      </w:r>
      <w:r>
        <w:rPr>
          <w:rStyle w:val="Emphasis"/>
        </w:rPr>
        <w:t>Field Theory in Social Science</w:t>
      </w:r>
      <w:r>
        <w:t>. New York: Harper &amp; Row.</w:t>
      </w:r>
    </w:p>
    <w:p w14:paraId="591F608C" w14:textId="77777777" w:rsidR="00E75864" w:rsidRDefault="00E75864" w:rsidP="00E75864">
      <w:pPr>
        <w:pStyle w:val="NormalWeb"/>
        <w:spacing w:line="360" w:lineRule="auto"/>
        <w:jc w:val="both"/>
      </w:pPr>
      <w:r>
        <w:t xml:space="preserve">NHS Digital (2023) </w:t>
      </w:r>
      <w:r>
        <w:rPr>
          <w:rStyle w:val="Emphasis"/>
        </w:rPr>
        <w:t>NHS App usage statistics and updates 2023</w:t>
      </w:r>
      <w:r>
        <w:t xml:space="preserve">. Available at: </w:t>
      </w:r>
      <w:hyperlink r:id="rId16" w:tgtFrame="_new" w:history="1">
        <w:r>
          <w:rPr>
            <w:rStyle w:val="Hyperlink"/>
          </w:rPr>
          <w:t>https://digital.nhs.uk</w:t>
        </w:r>
      </w:hyperlink>
      <w:r>
        <w:t xml:space="preserve"> (Accessed: 30 October 2025).</w:t>
      </w:r>
    </w:p>
    <w:p w14:paraId="23C7AD82" w14:textId="77777777" w:rsidR="00E75864" w:rsidRDefault="00E75864" w:rsidP="00E75864">
      <w:pPr>
        <w:pStyle w:val="NormalWeb"/>
        <w:spacing w:line="360" w:lineRule="auto"/>
        <w:jc w:val="both"/>
      </w:pPr>
      <w:r>
        <w:t xml:space="preserve">NHS Leadership Academy (2023) </w:t>
      </w:r>
      <w:r>
        <w:rPr>
          <w:rStyle w:val="Emphasis"/>
        </w:rPr>
        <w:t>The Healthcare Leadership Model</w:t>
      </w:r>
      <w:r>
        <w:t xml:space="preserve">. Available at: </w:t>
      </w:r>
      <w:hyperlink r:id="rId17" w:tgtFrame="_new" w:history="1">
        <w:r>
          <w:rPr>
            <w:rStyle w:val="Hyperlink"/>
          </w:rPr>
          <w:t>https://www.leadershipacademy.nhs.uk</w:t>
        </w:r>
      </w:hyperlink>
      <w:r>
        <w:t xml:space="preserve"> (Accessed: 28 October 2025).</w:t>
      </w:r>
    </w:p>
    <w:p w14:paraId="3E58151D" w14:textId="77777777" w:rsidR="00E75864" w:rsidRDefault="00E75864" w:rsidP="00E75864">
      <w:pPr>
        <w:pStyle w:val="NormalWeb"/>
        <w:spacing w:line="360" w:lineRule="auto"/>
        <w:jc w:val="both"/>
      </w:pPr>
      <w:r>
        <w:t xml:space="preserve">Patel, M.S., Asch, D.A. and Volpp, K.G. (2022) ‘Wearable devices as facilitators of health behaviour change: Evidence and future directions’, </w:t>
      </w:r>
      <w:r>
        <w:rPr>
          <w:rStyle w:val="Emphasis"/>
        </w:rPr>
        <w:t>The Lancet Digital Health</w:t>
      </w:r>
      <w:r>
        <w:t>, 4(3), pp. 210–220.</w:t>
      </w:r>
    </w:p>
    <w:p w14:paraId="542EDEEA" w14:textId="77777777" w:rsidR="00E75864" w:rsidRDefault="00E75864" w:rsidP="00E75864">
      <w:pPr>
        <w:pStyle w:val="NormalWeb"/>
        <w:spacing w:line="360" w:lineRule="auto"/>
        <w:jc w:val="both"/>
      </w:pPr>
      <w:r>
        <w:t xml:space="preserve">Porter, M.E. (2010) ‘What is value in health care?’, </w:t>
      </w:r>
      <w:r>
        <w:rPr>
          <w:rStyle w:val="Emphasis"/>
        </w:rPr>
        <w:t>New England Journal of Medicine</w:t>
      </w:r>
      <w:r>
        <w:t>, 363(26), pp. 2477–2481.</w:t>
      </w:r>
    </w:p>
    <w:p w14:paraId="252A87A2" w14:textId="77777777" w:rsidR="00E75864" w:rsidRDefault="00E75864" w:rsidP="00E75864">
      <w:pPr>
        <w:pStyle w:val="NormalWeb"/>
        <w:spacing w:line="360" w:lineRule="auto"/>
        <w:jc w:val="both"/>
      </w:pPr>
      <w:r>
        <w:t xml:space="preserve">Rogers, E.M. (2003) </w:t>
      </w:r>
      <w:r>
        <w:rPr>
          <w:rStyle w:val="Emphasis"/>
        </w:rPr>
        <w:t>Diffusion of Innovations</w:t>
      </w:r>
      <w:r>
        <w:t>. 5th edn. New York: Free Press.</w:t>
      </w:r>
    </w:p>
    <w:p w14:paraId="6BA21669" w14:textId="77777777" w:rsidR="00E75864" w:rsidRDefault="00E75864" w:rsidP="00E75864">
      <w:pPr>
        <w:pStyle w:val="NormalWeb"/>
        <w:spacing w:line="360" w:lineRule="auto"/>
        <w:jc w:val="both"/>
      </w:pPr>
      <w:proofErr w:type="spellStart"/>
      <w:r>
        <w:t>Saposnik</w:t>
      </w:r>
      <w:proofErr w:type="spellEnd"/>
      <w:r>
        <w:t xml:space="preserve">, G., </w:t>
      </w:r>
      <w:proofErr w:type="spellStart"/>
      <w:r>
        <w:t>Redelmeier</w:t>
      </w:r>
      <w:proofErr w:type="spellEnd"/>
      <w:r>
        <w:t xml:space="preserve">, D., Ruff, C.C. and Tobler, P.N. (2016) ‘Cognitive biases associated with medical decisions: A systematic review’, </w:t>
      </w:r>
      <w:r>
        <w:rPr>
          <w:rStyle w:val="Emphasis"/>
        </w:rPr>
        <w:t>BMC Medical Informatics and Decision Making</w:t>
      </w:r>
      <w:r>
        <w:t>, 16(1), pp. 1–14.</w:t>
      </w:r>
    </w:p>
    <w:p w14:paraId="44429BB4" w14:textId="77777777" w:rsidR="00E75864" w:rsidRDefault="00E75864" w:rsidP="00E75864">
      <w:pPr>
        <w:pStyle w:val="NormalWeb"/>
        <w:spacing w:line="360" w:lineRule="auto"/>
        <w:jc w:val="both"/>
      </w:pPr>
      <w:r>
        <w:t xml:space="preserve">Todd, L. (2016) ‘Creativity and convergent thinking: Reflections, connections and practical considerations’, </w:t>
      </w:r>
      <w:proofErr w:type="spellStart"/>
      <w:r>
        <w:rPr>
          <w:rStyle w:val="Emphasis"/>
        </w:rPr>
        <w:t>Vestnik</w:t>
      </w:r>
      <w:proofErr w:type="spellEnd"/>
      <w:r>
        <w:rPr>
          <w:rStyle w:val="Emphasis"/>
        </w:rPr>
        <w:t xml:space="preserve"> RUDN Journal of Psychology and Pedagogics</w:t>
      </w:r>
      <w:r>
        <w:t>, (4), pp. 7–15.</w:t>
      </w:r>
    </w:p>
    <w:p w14:paraId="4A5C0F0C" w14:textId="77777777" w:rsidR="00E75864" w:rsidRDefault="00E75864" w:rsidP="00E75864">
      <w:pPr>
        <w:pStyle w:val="NormalWeb"/>
        <w:spacing w:line="360" w:lineRule="auto"/>
        <w:jc w:val="both"/>
      </w:pPr>
      <w:r>
        <w:t xml:space="preserve">West, M.A., Armit, K. and Loewenthal, L. (2021) </w:t>
      </w:r>
      <w:r>
        <w:rPr>
          <w:rStyle w:val="Emphasis"/>
        </w:rPr>
        <w:t>Leadership for Engagement and Improvement in the NHS</w:t>
      </w:r>
      <w:r>
        <w:t>. London: The King’s Fund.</w:t>
      </w:r>
    </w:p>
    <w:p w14:paraId="48BA2436" w14:textId="77777777" w:rsidR="00E75864" w:rsidRPr="00E75864" w:rsidRDefault="00E75864" w:rsidP="007A3175">
      <w:pPr>
        <w:pStyle w:val="NormalWeb"/>
        <w:spacing w:line="360" w:lineRule="auto"/>
        <w:jc w:val="both"/>
      </w:pPr>
      <w:r>
        <w:t xml:space="preserve">West, M.A., Eckert, R. and Collins, B. (2022) ‘Caring for the caregivers: Preventing staff burnout in the NHS’, </w:t>
      </w:r>
      <w:r>
        <w:rPr>
          <w:rStyle w:val="Emphasis"/>
        </w:rPr>
        <w:t>BMJ Open</w:t>
      </w:r>
      <w:r>
        <w:t>, 12(5), pp. 1–10.</w:t>
      </w:r>
    </w:p>
    <w:sectPr w:rsidR="00E75864" w:rsidRPr="00E7586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D6C4A" w14:textId="77777777" w:rsidR="007A6467" w:rsidRDefault="007A6467" w:rsidP="00E66F5A">
      <w:pPr>
        <w:spacing w:after="0" w:line="240" w:lineRule="auto"/>
      </w:pPr>
      <w:r>
        <w:separator/>
      </w:r>
    </w:p>
  </w:endnote>
  <w:endnote w:type="continuationSeparator" w:id="0">
    <w:p w14:paraId="7C977FB1" w14:textId="77777777" w:rsidR="007A6467" w:rsidRDefault="007A6467" w:rsidP="00E66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79A4A" w14:textId="77777777" w:rsidR="007A6467" w:rsidRDefault="007A6467" w:rsidP="00E66F5A">
      <w:pPr>
        <w:spacing w:after="0" w:line="240" w:lineRule="auto"/>
      </w:pPr>
      <w:r>
        <w:separator/>
      </w:r>
    </w:p>
  </w:footnote>
  <w:footnote w:type="continuationSeparator" w:id="0">
    <w:p w14:paraId="422666A2" w14:textId="77777777" w:rsidR="007A6467" w:rsidRDefault="007A6467" w:rsidP="00E66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b/>
        <w:sz w:val="24"/>
        <w:szCs w:val="24"/>
      </w:rPr>
      <w:id w:val="1730644626"/>
      <w:docPartObj>
        <w:docPartGallery w:val="Page Numbers (Top of Page)"/>
        <w:docPartUnique/>
      </w:docPartObj>
    </w:sdtPr>
    <w:sdtEndPr>
      <w:rPr>
        <w:noProof/>
      </w:rPr>
    </w:sdtEndPr>
    <w:sdtContent>
      <w:p w14:paraId="65521F47" w14:textId="77777777" w:rsidR="00E66F5A" w:rsidRPr="00BF5C71" w:rsidRDefault="00E66F5A" w:rsidP="00E66F5A">
        <w:pPr>
          <w:pStyle w:val="Header"/>
          <w:jc w:val="right"/>
          <w:rPr>
            <w:rFonts w:ascii="Times New Roman" w:hAnsi="Times New Roman" w:cs="Times New Roman"/>
            <w:b/>
            <w:sz w:val="24"/>
            <w:szCs w:val="24"/>
          </w:rPr>
        </w:pPr>
        <w:r w:rsidRPr="00BF5C71">
          <w:rPr>
            <w:rFonts w:ascii="Times New Roman" w:hAnsi="Times New Roman" w:cs="Times New Roman"/>
            <w:b/>
            <w:sz w:val="24"/>
            <w:szCs w:val="24"/>
          </w:rPr>
          <w:fldChar w:fldCharType="begin"/>
        </w:r>
        <w:r w:rsidRPr="00BF5C71">
          <w:rPr>
            <w:rFonts w:ascii="Times New Roman" w:hAnsi="Times New Roman" w:cs="Times New Roman"/>
            <w:b/>
            <w:sz w:val="24"/>
            <w:szCs w:val="24"/>
          </w:rPr>
          <w:instrText xml:space="preserve"> PAGE   \* MERGEFORMAT </w:instrText>
        </w:r>
        <w:r w:rsidRPr="00BF5C71">
          <w:rPr>
            <w:rFonts w:ascii="Times New Roman" w:hAnsi="Times New Roman" w:cs="Times New Roman"/>
            <w:b/>
            <w:sz w:val="24"/>
            <w:szCs w:val="24"/>
          </w:rPr>
          <w:fldChar w:fldCharType="separate"/>
        </w:r>
        <w:r w:rsidR="00F1155D">
          <w:rPr>
            <w:rFonts w:ascii="Times New Roman" w:hAnsi="Times New Roman" w:cs="Times New Roman"/>
            <w:b/>
            <w:noProof/>
            <w:sz w:val="24"/>
            <w:szCs w:val="24"/>
          </w:rPr>
          <w:t>2</w:t>
        </w:r>
        <w:r w:rsidRPr="00BF5C71">
          <w:rPr>
            <w:rFonts w:ascii="Times New Roman" w:hAnsi="Times New Roman" w:cs="Times New Roman"/>
            <w:b/>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0D4005"/>
    <w:multiLevelType w:val="hybridMultilevel"/>
    <w:tmpl w:val="F72623B4"/>
    <w:lvl w:ilvl="0" w:tplc="788272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501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51F8"/>
    <w:rsid w:val="000017E5"/>
    <w:rsid w:val="000252EC"/>
    <w:rsid w:val="000376E0"/>
    <w:rsid w:val="000579BD"/>
    <w:rsid w:val="00084EB3"/>
    <w:rsid w:val="000B395C"/>
    <w:rsid w:val="001102AA"/>
    <w:rsid w:val="00120AA0"/>
    <w:rsid w:val="00120FA5"/>
    <w:rsid w:val="00133541"/>
    <w:rsid w:val="001668F5"/>
    <w:rsid w:val="001C23E1"/>
    <w:rsid w:val="001E6AFA"/>
    <w:rsid w:val="001E79D0"/>
    <w:rsid w:val="001F65E6"/>
    <w:rsid w:val="002163EA"/>
    <w:rsid w:val="00265FD6"/>
    <w:rsid w:val="002806C9"/>
    <w:rsid w:val="0028791C"/>
    <w:rsid w:val="002A051B"/>
    <w:rsid w:val="0032520F"/>
    <w:rsid w:val="00360053"/>
    <w:rsid w:val="003641DC"/>
    <w:rsid w:val="00386794"/>
    <w:rsid w:val="003A3E2E"/>
    <w:rsid w:val="003B2C57"/>
    <w:rsid w:val="003E2281"/>
    <w:rsid w:val="003F2F46"/>
    <w:rsid w:val="003F723D"/>
    <w:rsid w:val="00421E13"/>
    <w:rsid w:val="00426244"/>
    <w:rsid w:val="00434894"/>
    <w:rsid w:val="0045094E"/>
    <w:rsid w:val="00465E2B"/>
    <w:rsid w:val="004C2136"/>
    <w:rsid w:val="004D47B3"/>
    <w:rsid w:val="004E2AA8"/>
    <w:rsid w:val="005127FB"/>
    <w:rsid w:val="005648EC"/>
    <w:rsid w:val="00566B1E"/>
    <w:rsid w:val="00575E38"/>
    <w:rsid w:val="00595C69"/>
    <w:rsid w:val="005A470A"/>
    <w:rsid w:val="005F5FD6"/>
    <w:rsid w:val="00605CCA"/>
    <w:rsid w:val="006114E6"/>
    <w:rsid w:val="006324FA"/>
    <w:rsid w:val="00633565"/>
    <w:rsid w:val="00653BD2"/>
    <w:rsid w:val="00660EB1"/>
    <w:rsid w:val="006771BC"/>
    <w:rsid w:val="00690611"/>
    <w:rsid w:val="006B27B0"/>
    <w:rsid w:val="006C6777"/>
    <w:rsid w:val="006C7A88"/>
    <w:rsid w:val="00714717"/>
    <w:rsid w:val="007250BE"/>
    <w:rsid w:val="00740E12"/>
    <w:rsid w:val="00750CF3"/>
    <w:rsid w:val="00762AE8"/>
    <w:rsid w:val="007A3175"/>
    <w:rsid w:val="007A6467"/>
    <w:rsid w:val="007C7E75"/>
    <w:rsid w:val="007D32AD"/>
    <w:rsid w:val="00800348"/>
    <w:rsid w:val="00802190"/>
    <w:rsid w:val="00825064"/>
    <w:rsid w:val="00850602"/>
    <w:rsid w:val="00875355"/>
    <w:rsid w:val="008F2A1B"/>
    <w:rsid w:val="009022DC"/>
    <w:rsid w:val="009027C0"/>
    <w:rsid w:val="0090398B"/>
    <w:rsid w:val="00916592"/>
    <w:rsid w:val="00965445"/>
    <w:rsid w:val="00992D2F"/>
    <w:rsid w:val="009C4674"/>
    <w:rsid w:val="009C5163"/>
    <w:rsid w:val="009D4121"/>
    <w:rsid w:val="009D78A3"/>
    <w:rsid w:val="009D794A"/>
    <w:rsid w:val="00A02EF5"/>
    <w:rsid w:val="00A16854"/>
    <w:rsid w:val="00A21A25"/>
    <w:rsid w:val="00A238C0"/>
    <w:rsid w:val="00A348C1"/>
    <w:rsid w:val="00A373E1"/>
    <w:rsid w:val="00A9120F"/>
    <w:rsid w:val="00A94B29"/>
    <w:rsid w:val="00A952FC"/>
    <w:rsid w:val="00B04A8E"/>
    <w:rsid w:val="00B116C2"/>
    <w:rsid w:val="00B1794D"/>
    <w:rsid w:val="00B90B47"/>
    <w:rsid w:val="00B91835"/>
    <w:rsid w:val="00BE7EF9"/>
    <w:rsid w:val="00BF5C71"/>
    <w:rsid w:val="00C20028"/>
    <w:rsid w:val="00C2024E"/>
    <w:rsid w:val="00C265AC"/>
    <w:rsid w:val="00C31F36"/>
    <w:rsid w:val="00C43217"/>
    <w:rsid w:val="00C77484"/>
    <w:rsid w:val="00CD0A4B"/>
    <w:rsid w:val="00CD0A94"/>
    <w:rsid w:val="00CD1F77"/>
    <w:rsid w:val="00CE0100"/>
    <w:rsid w:val="00CE370A"/>
    <w:rsid w:val="00D16415"/>
    <w:rsid w:val="00D266EA"/>
    <w:rsid w:val="00D41656"/>
    <w:rsid w:val="00D93252"/>
    <w:rsid w:val="00DD6D0F"/>
    <w:rsid w:val="00DF6EAD"/>
    <w:rsid w:val="00E128BE"/>
    <w:rsid w:val="00E26EBE"/>
    <w:rsid w:val="00E44123"/>
    <w:rsid w:val="00E56BE0"/>
    <w:rsid w:val="00E66F5A"/>
    <w:rsid w:val="00E75864"/>
    <w:rsid w:val="00E94FCA"/>
    <w:rsid w:val="00ED2276"/>
    <w:rsid w:val="00F1155D"/>
    <w:rsid w:val="00F13E95"/>
    <w:rsid w:val="00F3700B"/>
    <w:rsid w:val="00F44600"/>
    <w:rsid w:val="00F84446"/>
    <w:rsid w:val="00F8696A"/>
    <w:rsid w:val="00F87A6E"/>
    <w:rsid w:val="00FB2B8F"/>
    <w:rsid w:val="00FB3576"/>
    <w:rsid w:val="00FB6EFB"/>
    <w:rsid w:val="00FB7A08"/>
    <w:rsid w:val="00FC1926"/>
    <w:rsid w:val="00FC5F55"/>
    <w:rsid w:val="00FD5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4327D"/>
  <w15:chartTrackingRefBased/>
  <w15:docId w15:val="{F3100DFA-13F7-4DF2-A332-AEEB981C5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1F8"/>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D51F8"/>
    <w:pPr>
      <w:keepNext/>
      <w:keepLines/>
      <w:spacing w:before="40" w:after="0"/>
      <w:outlineLvl w:val="1"/>
    </w:pPr>
    <w:rPr>
      <w:rFonts w:ascii="Times New Roman" w:eastAsiaTheme="majorEastAsia" w:hAnsi="Times New Roman" w:cstheme="majorBidi"/>
      <w:b/>
      <w:color w:val="2E74B5" w:themeColor="accent1" w:themeShade="BF"/>
      <w:sz w:val="28"/>
      <w:szCs w:val="26"/>
    </w:rPr>
  </w:style>
  <w:style w:type="paragraph" w:styleId="Heading3">
    <w:name w:val="heading 3"/>
    <w:basedOn w:val="Normal"/>
    <w:link w:val="Heading3Char"/>
    <w:uiPriority w:val="9"/>
    <w:qFormat/>
    <w:rsid w:val="00FD51F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D51F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D51F8"/>
    <w:rPr>
      <w:b/>
      <w:bCs/>
    </w:rPr>
  </w:style>
  <w:style w:type="paragraph" w:styleId="NormalWeb">
    <w:name w:val="Normal (Web)"/>
    <w:basedOn w:val="Normal"/>
    <w:uiPriority w:val="99"/>
    <w:unhideWhenUsed/>
    <w:rsid w:val="00FD51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D51F8"/>
    <w:rPr>
      <w:i/>
      <w:iCs/>
    </w:rPr>
  </w:style>
  <w:style w:type="character" w:customStyle="1" w:styleId="Heading1Char">
    <w:name w:val="Heading 1 Char"/>
    <w:basedOn w:val="DefaultParagraphFont"/>
    <w:link w:val="Heading1"/>
    <w:uiPriority w:val="9"/>
    <w:rsid w:val="00FD51F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FD51F8"/>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BE7EF9"/>
    <w:pPr>
      <w:ind w:left="720"/>
      <w:contextualSpacing/>
    </w:pPr>
  </w:style>
  <w:style w:type="paragraph" w:styleId="TOCHeading">
    <w:name w:val="TOC Heading"/>
    <w:basedOn w:val="Heading1"/>
    <w:next w:val="Normal"/>
    <w:uiPriority w:val="39"/>
    <w:unhideWhenUsed/>
    <w:qFormat/>
    <w:rsid w:val="00ED2276"/>
    <w:pPr>
      <w:outlineLvl w:val="9"/>
    </w:pPr>
    <w:rPr>
      <w:rFonts w:asciiTheme="majorHAnsi" w:hAnsiTheme="majorHAnsi"/>
      <w:b w:val="0"/>
      <w:lang w:val="en-US"/>
    </w:rPr>
  </w:style>
  <w:style w:type="paragraph" w:styleId="TOC1">
    <w:name w:val="toc 1"/>
    <w:basedOn w:val="Normal"/>
    <w:next w:val="Normal"/>
    <w:autoRedefine/>
    <w:uiPriority w:val="39"/>
    <w:unhideWhenUsed/>
    <w:rsid w:val="00ED2276"/>
    <w:pPr>
      <w:spacing w:after="100"/>
    </w:pPr>
  </w:style>
  <w:style w:type="paragraph" w:styleId="TOC2">
    <w:name w:val="toc 2"/>
    <w:basedOn w:val="Normal"/>
    <w:next w:val="Normal"/>
    <w:autoRedefine/>
    <w:uiPriority w:val="39"/>
    <w:unhideWhenUsed/>
    <w:rsid w:val="00ED2276"/>
    <w:pPr>
      <w:spacing w:after="100"/>
      <w:ind w:left="220"/>
    </w:pPr>
  </w:style>
  <w:style w:type="character" w:styleId="Hyperlink">
    <w:name w:val="Hyperlink"/>
    <w:basedOn w:val="DefaultParagraphFont"/>
    <w:uiPriority w:val="99"/>
    <w:unhideWhenUsed/>
    <w:rsid w:val="00ED2276"/>
    <w:rPr>
      <w:color w:val="0563C1" w:themeColor="hyperlink"/>
      <w:u w:val="single"/>
    </w:rPr>
  </w:style>
  <w:style w:type="paragraph" w:styleId="Header">
    <w:name w:val="header"/>
    <w:basedOn w:val="Normal"/>
    <w:link w:val="HeaderChar"/>
    <w:uiPriority w:val="99"/>
    <w:unhideWhenUsed/>
    <w:rsid w:val="00E66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F5A"/>
  </w:style>
  <w:style w:type="paragraph" w:styleId="Footer">
    <w:name w:val="footer"/>
    <w:basedOn w:val="Normal"/>
    <w:link w:val="FooterChar"/>
    <w:uiPriority w:val="99"/>
    <w:unhideWhenUsed/>
    <w:rsid w:val="00E66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F5A"/>
  </w:style>
  <w:style w:type="paragraph" w:styleId="Title">
    <w:name w:val="Title"/>
    <w:basedOn w:val="Normal"/>
    <w:next w:val="Normal"/>
    <w:link w:val="TitleChar"/>
    <w:uiPriority w:val="10"/>
    <w:qFormat/>
    <w:rsid w:val="00265FD6"/>
    <w:pPr>
      <w:spacing w:after="0" w:line="240" w:lineRule="auto"/>
      <w:contextualSpacing/>
    </w:pPr>
    <w:rPr>
      <w:rFonts w:ascii="Times New Roman" w:eastAsiaTheme="majorEastAsia" w:hAnsi="Times New Roman" w:cstheme="majorBidi"/>
      <w:b/>
      <w:color w:val="000000" w:themeColor="text1"/>
      <w:spacing w:val="-10"/>
      <w:kern w:val="28"/>
      <w:sz w:val="52"/>
      <w:szCs w:val="56"/>
    </w:rPr>
  </w:style>
  <w:style w:type="character" w:customStyle="1" w:styleId="TitleChar">
    <w:name w:val="Title Char"/>
    <w:basedOn w:val="DefaultParagraphFont"/>
    <w:link w:val="Title"/>
    <w:uiPriority w:val="10"/>
    <w:rsid w:val="00265FD6"/>
    <w:rPr>
      <w:rFonts w:ascii="Times New Roman" w:eastAsiaTheme="majorEastAsia" w:hAnsi="Times New Roman" w:cstheme="majorBidi"/>
      <w:b/>
      <w:color w:val="000000" w:themeColor="text1"/>
      <w:spacing w:val="-10"/>
      <w:kern w:val="28"/>
      <w:sz w:val="52"/>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40641">
      <w:bodyDiv w:val="1"/>
      <w:marLeft w:val="0"/>
      <w:marRight w:val="0"/>
      <w:marTop w:val="0"/>
      <w:marBottom w:val="0"/>
      <w:divBdr>
        <w:top w:val="none" w:sz="0" w:space="0" w:color="auto"/>
        <w:left w:val="none" w:sz="0" w:space="0" w:color="auto"/>
        <w:bottom w:val="none" w:sz="0" w:space="0" w:color="auto"/>
        <w:right w:val="none" w:sz="0" w:space="0" w:color="auto"/>
      </w:divBdr>
    </w:div>
    <w:div w:id="302545516">
      <w:bodyDiv w:val="1"/>
      <w:marLeft w:val="0"/>
      <w:marRight w:val="0"/>
      <w:marTop w:val="0"/>
      <w:marBottom w:val="0"/>
      <w:divBdr>
        <w:top w:val="none" w:sz="0" w:space="0" w:color="auto"/>
        <w:left w:val="none" w:sz="0" w:space="0" w:color="auto"/>
        <w:bottom w:val="none" w:sz="0" w:space="0" w:color="auto"/>
        <w:right w:val="none" w:sz="0" w:space="0" w:color="auto"/>
      </w:divBdr>
    </w:div>
    <w:div w:id="527107602">
      <w:bodyDiv w:val="1"/>
      <w:marLeft w:val="0"/>
      <w:marRight w:val="0"/>
      <w:marTop w:val="0"/>
      <w:marBottom w:val="0"/>
      <w:divBdr>
        <w:top w:val="none" w:sz="0" w:space="0" w:color="auto"/>
        <w:left w:val="none" w:sz="0" w:space="0" w:color="auto"/>
        <w:bottom w:val="none" w:sz="0" w:space="0" w:color="auto"/>
        <w:right w:val="none" w:sz="0" w:space="0" w:color="auto"/>
      </w:divBdr>
    </w:div>
    <w:div w:id="549154040">
      <w:bodyDiv w:val="1"/>
      <w:marLeft w:val="0"/>
      <w:marRight w:val="0"/>
      <w:marTop w:val="0"/>
      <w:marBottom w:val="0"/>
      <w:divBdr>
        <w:top w:val="none" w:sz="0" w:space="0" w:color="auto"/>
        <w:left w:val="none" w:sz="0" w:space="0" w:color="auto"/>
        <w:bottom w:val="none" w:sz="0" w:space="0" w:color="auto"/>
        <w:right w:val="none" w:sz="0" w:space="0" w:color="auto"/>
      </w:divBdr>
    </w:div>
    <w:div w:id="899824361">
      <w:bodyDiv w:val="1"/>
      <w:marLeft w:val="0"/>
      <w:marRight w:val="0"/>
      <w:marTop w:val="0"/>
      <w:marBottom w:val="0"/>
      <w:divBdr>
        <w:top w:val="none" w:sz="0" w:space="0" w:color="auto"/>
        <w:left w:val="none" w:sz="0" w:space="0" w:color="auto"/>
        <w:bottom w:val="none" w:sz="0" w:space="0" w:color="auto"/>
        <w:right w:val="none" w:sz="0" w:space="0" w:color="auto"/>
      </w:divBdr>
    </w:div>
    <w:div w:id="1045329683">
      <w:bodyDiv w:val="1"/>
      <w:marLeft w:val="0"/>
      <w:marRight w:val="0"/>
      <w:marTop w:val="0"/>
      <w:marBottom w:val="0"/>
      <w:divBdr>
        <w:top w:val="none" w:sz="0" w:space="0" w:color="auto"/>
        <w:left w:val="none" w:sz="0" w:space="0" w:color="auto"/>
        <w:bottom w:val="none" w:sz="0" w:space="0" w:color="auto"/>
        <w:right w:val="none" w:sz="0" w:space="0" w:color="auto"/>
      </w:divBdr>
    </w:div>
    <w:div w:id="1089278003">
      <w:bodyDiv w:val="1"/>
      <w:marLeft w:val="0"/>
      <w:marRight w:val="0"/>
      <w:marTop w:val="0"/>
      <w:marBottom w:val="0"/>
      <w:divBdr>
        <w:top w:val="none" w:sz="0" w:space="0" w:color="auto"/>
        <w:left w:val="none" w:sz="0" w:space="0" w:color="auto"/>
        <w:bottom w:val="none" w:sz="0" w:space="0" w:color="auto"/>
        <w:right w:val="none" w:sz="0" w:space="0" w:color="auto"/>
      </w:divBdr>
    </w:div>
    <w:div w:id="1090737603">
      <w:bodyDiv w:val="1"/>
      <w:marLeft w:val="0"/>
      <w:marRight w:val="0"/>
      <w:marTop w:val="0"/>
      <w:marBottom w:val="0"/>
      <w:divBdr>
        <w:top w:val="none" w:sz="0" w:space="0" w:color="auto"/>
        <w:left w:val="none" w:sz="0" w:space="0" w:color="auto"/>
        <w:bottom w:val="none" w:sz="0" w:space="0" w:color="auto"/>
        <w:right w:val="none" w:sz="0" w:space="0" w:color="auto"/>
      </w:divBdr>
    </w:div>
    <w:div w:id="1148088278">
      <w:bodyDiv w:val="1"/>
      <w:marLeft w:val="0"/>
      <w:marRight w:val="0"/>
      <w:marTop w:val="0"/>
      <w:marBottom w:val="0"/>
      <w:divBdr>
        <w:top w:val="none" w:sz="0" w:space="0" w:color="auto"/>
        <w:left w:val="none" w:sz="0" w:space="0" w:color="auto"/>
        <w:bottom w:val="none" w:sz="0" w:space="0" w:color="auto"/>
        <w:right w:val="none" w:sz="0" w:space="0" w:color="auto"/>
      </w:divBdr>
    </w:div>
    <w:div w:id="1234462362">
      <w:bodyDiv w:val="1"/>
      <w:marLeft w:val="0"/>
      <w:marRight w:val="0"/>
      <w:marTop w:val="0"/>
      <w:marBottom w:val="0"/>
      <w:divBdr>
        <w:top w:val="none" w:sz="0" w:space="0" w:color="auto"/>
        <w:left w:val="none" w:sz="0" w:space="0" w:color="auto"/>
        <w:bottom w:val="none" w:sz="0" w:space="0" w:color="auto"/>
        <w:right w:val="none" w:sz="0" w:space="0" w:color="auto"/>
      </w:divBdr>
    </w:div>
    <w:div w:id="1385258640">
      <w:bodyDiv w:val="1"/>
      <w:marLeft w:val="0"/>
      <w:marRight w:val="0"/>
      <w:marTop w:val="0"/>
      <w:marBottom w:val="0"/>
      <w:divBdr>
        <w:top w:val="none" w:sz="0" w:space="0" w:color="auto"/>
        <w:left w:val="none" w:sz="0" w:space="0" w:color="auto"/>
        <w:bottom w:val="none" w:sz="0" w:space="0" w:color="auto"/>
        <w:right w:val="none" w:sz="0" w:space="0" w:color="auto"/>
      </w:divBdr>
    </w:div>
    <w:div w:id="1403527754">
      <w:bodyDiv w:val="1"/>
      <w:marLeft w:val="0"/>
      <w:marRight w:val="0"/>
      <w:marTop w:val="0"/>
      <w:marBottom w:val="0"/>
      <w:divBdr>
        <w:top w:val="none" w:sz="0" w:space="0" w:color="auto"/>
        <w:left w:val="none" w:sz="0" w:space="0" w:color="auto"/>
        <w:bottom w:val="none" w:sz="0" w:space="0" w:color="auto"/>
        <w:right w:val="none" w:sz="0" w:space="0" w:color="auto"/>
      </w:divBdr>
    </w:div>
    <w:div w:id="1459759599">
      <w:bodyDiv w:val="1"/>
      <w:marLeft w:val="0"/>
      <w:marRight w:val="0"/>
      <w:marTop w:val="0"/>
      <w:marBottom w:val="0"/>
      <w:divBdr>
        <w:top w:val="none" w:sz="0" w:space="0" w:color="auto"/>
        <w:left w:val="none" w:sz="0" w:space="0" w:color="auto"/>
        <w:bottom w:val="none" w:sz="0" w:space="0" w:color="auto"/>
        <w:right w:val="none" w:sz="0" w:space="0" w:color="auto"/>
      </w:divBdr>
    </w:div>
    <w:div w:id="1514956006">
      <w:bodyDiv w:val="1"/>
      <w:marLeft w:val="0"/>
      <w:marRight w:val="0"/>
      <w:marTop w:val="0"/>
      <w:marBottom w:val="0"/>
      <w:divBdr>
        <w:top w:val="none" w:sz="0" w:space="0" w:color="auto"/>
        <w:left w:val="none" w:sz="0" w:space="0" w:color="auto"/>
        <w:bottom w:val="none" w:sz="0" w:space="0" w:color="auto"/>
        <w:right w:val="none" w:sz="0" w:space="0" w:color="auto"/>
      </w:divBdr>
    </w:div>
    <w:div w:id="1703894337">
      <w:bodyDiv w:val="1"/>
      <w:marLeft w:val="0"/>
      <w:marRight w:val="0"/>
      <w:marTop w:val="0"/>
      <w:marBottom w:val="0"/>
      <w:divBdr>
        <w:top w:val="none" w:sz="0" w:space="0" w:color="auto"/>
        <w:left w:val="none" w:sz="0" w:space="0" w:color="auto"/>
        <w:bottom w:val="none" w:sz="0" w:space="0" w:color="auto"/>
        <w:right w:val="none" w:sz="0" w:space="0" w:color="auto"/>
      </w:divBdr>
    </w:div>
    <w:div w:id="1802651797">
      <w:bodyDiv w:val="1"/>
      <w:marLeft w:val="0"/>
      <w:marRight w:val="0"/>
      <w:marTop w:val="0"/>
      <w:marBottom w:val="0"/>
      <w:divBdr>
        <w:top w:val="none" w:sz="0" w:space="0" w:color="auto"/>
        <w:left w:val="none" w:sz="0" w:space="0" w:color="auto"/>
        <w:bottom w:val="none" w:sz="0" w:space="0" w:color="auto"/>
        <w:right w:val="none" w:sz="0" w:space="0" w:color="auto"/>
      </w:divBdr>
    </w:div>
    <w:div w:id="1860654480">
      <w:bodyDiv w:val="1"/>
      <w:marLeft w:val="0"/>
      <w:marRight w:val="0"/>
      <w:marTop w:val="0"/>
      <w:marBottom w:val="0"/>
      <w:divBdr>
        <w:top w:val="none" w:sz="0" w:space="0" w:color="auto"/>
        <w:left w:val="none" w:sz="0" w:space="0" w:color="auto"/>
        <w:bottom w:val="none" w:sz="0" w:space="0" w:color="auto"/>
        <w:right w:val="none" w:sz="0" w:space="0" w:color="auto"/>
      </w:divBdr>
    </w:div>
    <w:div w:id="1971549179">
      <w:bodyDiv w:val="1"/>
      <w:marLeft w:val="0"/>
      <w:marRight w:val="0"/>
      <w:marTop w:val="0"/>
      <w:marBottom w:val="0"/>
      <w:divBdr>
        <w:top w:val="none" w:sz="0" w:space="0" w:color="auto"/>
        <w:left w:val="none" w:sz="0" w:space="0" w:color="auto"/>
        <w:bottom w:val="none" w:sz="0" w:space="0" w:color="auto"/>
        <w:right w:val="none" w:sz="0" w:space="0" w:color="auto"/>
      </w:divBdr>
    </w:div>
    <w:div w:id="214056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leadershipacademy.nhs.uk" TargetMode="External"/><Relationship Id="rId2" Type="http://schemas.openxmlformats.org/officeDocument/2006/relationships/numbering" Target="numbering.xml"/><Relationship Id="rId16" Type="http://schemas.openxmlformats.org/officeDocument/2006/relationships/hyperlink" Target="https://digital.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ma.org.u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biancasanfilippo/Library/Group%20Containers/UBF8T346G9.ms/WebArchiveCopyPasteTempFiles/com.microsoft.Word/UWTSD-Logo.jp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248D7-7643-4E94-9769-046F7C603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2970</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Vilma Dias Rodrigues (2336478)</cp:lastModifiedBy>
  <cp:revision>2</cp:revision>
  <dcterms:created xsi:type="dcterms:W3CDTF">2025-12-04T10:55:00Z</dcterms:created>
  <dcterms:modified xsi:type="dcterms:W3CDTF">2025-12-04T10:55:00Z</dcterms:modified>
</cp:coreProperties>
</file>