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BADAF" w14:textId="5D1C7FF8" w:rsidR="00EF6F0C" w:rsidRPr="00B477FC" w:rsidRDefault="00EF6F0C" w:rsidP="00EF6F0C">
      <w:pPr>
        <w:spacing w:line="360" w:lineRule="auto"/>
        <w:jc w:val="both"/>
        <w:rPr>
          <w:rFonts w:ascii="Arial" w:eastAsia="Arial" w:hAnsi="Arial" w:cs="Arial"/>
          <w:b/>
          <w:bCs/>
          <w:sz w:val="28"/>
          <w:szCs w:val="28"/>
        </w:rPr>
      </w:pPr>
      <w:r w:rsidRPr="00B477FC">
        <w:rPr>
          <w:rFonts w:ascii="Arial" w:eastAsia="Arial" w:hAnsi="Arial" w:cs="Arial"/>
          <w:b/>
          <w:bCs/>
          <w:sz w:val="28"/>
          <w:szCs w:val="28"/>
        </w:rPr>
        <w:t>SERVICE IMPROVEMENT REPORT</w:t>
      </w:r>
    </w:p>
    <w:p w14:paraId="634CD5A0" w14:textId="5CAFDD89" w:rsidR="00EF6F0C" w:rsidRPr="00B477FC" w:rsidRDefault="00EF6F0C" w:rsidP="00EF6F0C">
      <w:pPr>
        <w:spacing w:line="360" w:lineRule="auto"/>
        <w:jc w:val="both"/>
        <w:rPr>
          <w:rFonts w:ascii="Arial" w:eastAsia="Arial" w:hAnsi="Arial" w:cs="Arial"/>
          <w:b/>
          <w:bCs/>
          <w:sz w:val="24"/>
          <w:szCs w:val="24"/>
        </w:rPr>
      </w:pPr>
      <w:r w:rsidRPr="00B477FC">
        <w:rPr>
          <w:rFonts w:ascii="Arial" w:eastAsia="Arial" w:hAnsi="Arial" w:cs="Arial"/>
          <w:b/>
          <w:bCs/>
          <w:sz w:val="24"/>
          <w:szCs w:val="24"/>
        </w:rPr>
        <w:t xml:space="preserve">Quality Failures in Stroke Care at Blackpool Victoria Hospital (2014–2018) </w:t>
      </w:r>
    </w:p>
    <w:p w14:paraId="593AE64E" w14:textId="59EE24F5" w:rsidR="00C642FC" w:rsidRDefault="00AB1E4C" w:rsidP="00FC63E5">
      <w:pPr>
        <w:spacing w:line="360" w:lineRule="auto"/>
        <w:jc w:val="both"/>
        <w:rPr>
          <w:rFonts w:ascii="Arial" w:eastAsia="Arial" w:hAnsi="Arial" w:cs="Arial"/>
          <w:b/>
          <w:bCs/>
        </w:rPr>
      </w:pPr>
      <w:r w:rsidRPr="00AB1E4C">
        <w:rPr>
          <w:rFonts w:ascii="Arial" w:eastAsia="Arial" w:hAnsi="Arial" w:cs="Arial"/>
          <w:b/>
          <w:bCs/>
        </w:rPr>
        <w:t> </w:t>
      </w:r>
      <w:r w:rsidRPr="00AB1E4C">
        <w:rPr>
          <w:rFonts w:ascii="Arial" w:eastAsia="Arial" w:hAnsi="Arial" w:cs="Arial"/>
          <w:b/>
          <w:bCs/>
        </w:rPr>
        <w:drawing>
          <wp:inline distT="0" distB="0" distL="0" distR="0" wp14:anchorId="7E687624" wp14:editId="6BB40702">
            <wp:extent cx="5731510" cy="3814176"/>
            <wp:effectExtent l="133350" t="114300" r="135890" b="167640"/>
            <wp:docPr id="743463811" name="Picture 17" descr="Front entrance of Blackpool Victoria Hospital showing the sign which reads: 'Welcome to Blackpool Victoria Hosp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ront entrance of Blackpool Victoria Hospital showing the sign which reads: 'Welcome to Blackpool Victoria Hospit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5156" cy="38232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F009E8" w14:textId="77777777" w:rsidR="00B477FC" w:rsidRDefault="00B477FC" w:rsidP="00AB1E4C">
      <w:pPr>
        <w:spacing w:line="360" w:lineRule="auto"/>
        <w:jc w:val="both"/>
        <w:rPr>
          <w:rFonts w:ascii="Arial" w:eastAsia="Arial" w:hAnsi="Arial" w:cs="Arial"/>
          <w:b/>
          <w:bCs/>
        </w:rPr>
      </w:pPr>
    </w:p>
    <w:p w14:paraId="561854B5" w14:textId="29EED863" w:rsidR="00AB1E4C" w:rsidRPr="00AB1E4C" w:rsidRDefault="00AB1E4C" w:rsidP="00AB1E4C">
      <w:pPr>
        <w:spacing w:line="360" w:lineRule="auto"/>
        <w:jc w:val="both"/>
        <w:rPr>
          <w:rFonts w:ascii="Arial" w:eastAsia="Arial" w:hAnsi="Arial" w:cs="Arial"/>
          <w:b/>
          <w:bCs/>
        </w:rPr>
      </w:pPr>
      <w:r w:rsidRPr="00AB1E4C">
        <w:rPr>
          <w:rFonts w:ascii="Arial" w:eastAsia="Arial" w:hAnsi="Arial" w:cs="Arial"/>
          <w:b/>
          <w:bCs/>
        </w:rPr>
        <w:t xml:space="preserve">Name:                       </w:t>
      </w:r>
      <w:r w:rsidRPr="00AB1E4C">
        <w:rPr>
          <w:rFonts w:ascii="Arial" w:eastAsia="Arial" w:hAnsi="Arial" w:cs="Arial"/>
        </w:rPr>
        <w:t>Razia Begum</w:t>
      </w:r>
      <w:r w:rsidRPr="00AB1E4C">
        <w:rPr>
          <w:rFonts w:ascii="Arial" w:eastAsia="Arial" w:hAnsi="Arial" w:cs="Arial"/>
          <w:b/>
          <w:bCs/>
        </w:rPr>
        <w:t xml:space="preserve"> </w:t>
      </w:r>
    </w:p>
    <w:p w14:paraId="7E768CCD" w14:textId="670C2BF2" w:rsidR="00AB1E4C" w:rsidRPr="00AB1E4C" w:rsidRDefault="00AB1E4C" w:rsidP="00AB1E4C">
      <w:pPr>
        <w:spacing w:line="360" w:lineRule="auto"/>
        <w:jc w:val="both"/>
        <w:rPr>
          <w:rFonts w:ascii="Arial" w:eastAsia="Arial" w:hAnsi="Arial" w:cs="Arial"/>
          <w:b/>
          <w:bCs/>
        </w:rPr>
      </w:pPr>
      <w:r w:rsidRPr="00AB1E4C">
        <w:rPr>
          <w:rFonts w:ascii="Arial" w:eastAsia="Arial" w:hAnsi="Arial" w:cs="Arial"/>
          <w:b/>
          <w:bCs/>
        </w:rPr>
        <w:t xml:space="preserve">Student Number:      </w:t>
      </w:r>
      <w:r w:rsidRPr="00AB1E4C">
        <w:rPr>
          <w:rFonts w:ascii="Arial" w:eastAsia="Arial" w:hAnsi="Arial" w:cs="Arial"/>
        </w:rPr>
        <w:t>2217307</w:t>
      </w:r>
    </w:p>
    <w:p w14:paraId="250487A4" w14:textId="77777777" w:rsidR="00AB1E4C" w:rsidRPr="00AB1E4C" w:rsidRDefault="00AB1E4C" w:rsidP="00AB1E4C">
      <w:pPr>
        <w:spacing w:line="360" w:lineRule="auto"/>
        <w:jc w:val="both"/>
        <w:rPr>
          <w:rFonts w:ascii="Arial" w:eastAsia="Arial" w:hAnsi="Arial" w:cs="Arial"/>
          <w:b/>
          <w:bCs/>
        </w:rPr>
      </w:pPr>
      <w:r w:rsidRPr="00AB1E4C">
        <w:rPr>
          <w:rFonts w:ascii="Arial" w:eastAsia="Arial" w:hAnsi="Arial" w:cs="Arial"/>
          <w:b/>
          <w:bCs/>
        </w:rPr>
        <w:t>Programme:</w:t>
      </w:r>
      <w:r w:rsidRPr="00AB1E4C">
        <w:rPr>
          <w:rFonts w:ascii="Arial" w:eastAsia="Arial" w:hAnsi="Arial" w:cs="Arial"/>
          <w:b/>
          <w:bCs/>
        </w:rPr>
        <w:tab/>
        <w:t xml:space="preserve">           </w:t>
      </w:r>
      <w:r w:rsidRPr="00AB1E4C">
        <w:rPr>
          <w:rFonts w:ascii="Arial" w:eastAsia="Arial" w:hAnsi="Arial" w:cs="Arial"/>
        </w:rPr>
        <w:t>MSc Public Health and Social Care in Practice</w:t>
      </w:r>
    </w:p>
    <w:p w14:paraId="39D45919" w14:textId="77777777" w:rsidR="00AB1E4C" w:rsidRPr="00AB1E4C" w:rsidRDefault="00AB1E4C" w:rsidP="00AB1E4C">
      <w:pPr>
        <w:spacing w:line="360" w:lineRule="auto"/>
        <w:jc w:val="both"/>
        <w:rPr>
          <w:rFonts w:ascii="Arial" w:eastAsia="Arial" w:hAnsi="Arial" w:cs="Arial"/>
        </w:rPr>
      </w:pPr>
      <w:r w:rsidRPr="00AB1E4C">
        <w:rPr>
          <w:rFonts w:ascii="Arial" w:eastAsia="Arial" w:hAnsi="Arial" w:cs="Arial"/>
          <w:b/>
          <w:bCs/>
        </w:rPr>
        <w:t>Module:</w:t>
      </w:r>
      <w:r w:rsidRPr="00AB1E4C">
        <w:rPr>
          <w:rFonts w:ascii="Arial" w:eastAsia="Arial" w:hAnsi="Arial" w:cs="Arial"/>
          <w:b/>
          <w:bCs/>
        </w:rPr>
        <w:tab/>
        <w:t xml:space="preserve">           </w:t>
      </w:r>
      <w:r w:rsidRPr="00AB1E4C">
        <w:rPr>
          <w:rFonts w:ascii="Arial" w:eastAsia="Arial" w:hAnsi="Arial" w:cs="Arial"/>
        </w:rPr>
        <w:t>Quality Assurance and Service Improvements</w:t>
      </w:r>
    </w:p>
    <w:p w14:paraId="226AE89A" w14:textId="77777777" w:rsidR="00AB1E4C" w:rsidRPr="00AB1E4C" w:rsidRDefault="00AB1E4C" w:rsidP="00AB1E4C">
      <w:pPr>
        <w:spacing w:line="360" w:lineRule="auto"/>
        <w:jc w:val="both"/>
        <w:rPr>
          <w:rFonts w:ascii="Arial" w:eastAsia="Arial" w:hAnsi="Arial" w:cs="Arial"/>
          <w:b/>
          <w:bCs/>
        </w:rPr>
      </w:pPr>
      <w:r w:rsidRPr="00AB1E4C">
        <w:rPr>
          <w:rFonts w:ascii="Arial" w:eastAsia="Arial" w:hAnsi="Arial" w:cs="Arial"/>
          <w:b/>
          <w:bCs/>
        </w:rPr>
        <w:t>Module code:</w:t>
      </w:r>
      <w:r w:rsidRPr="00AB1E4C">
        <w:rPr>
          <w:rFonts w:ascii="Arial" w:eastAsia="Arial" w:hAnsi="Arial" w:cs="Arial"/>
          <w:b/>
          <w:bCs/>
        </w:rPr>
        <w:tab/>
        <w:t xml:space="preserve">           </w:t>
      </w:r>
      <w:r w:rsidRPr="00AB1E4C">
        <w:rPr>
          <w:rFonts w:ascii="Arial" w:eastAsia="Arial" w:hAnsi="Arial" w:cs="Arial"/>
        </w:rPr>
        <w:t>LCHS7006</w:t>
      </w:r>
    </w:p>
    <w:p w14:paraId="7A6A3196" w14:textId="77777777" w:rsidR="00AB1E4C" w:rsidRPr="00AB1E4C" w:rsidRDefault="00AB1E4C" w:rsidP="00AB1E4C">
      <w:pPr>
        <w:spacing w:line="360" w:lineRule="auto"/>
        <w:jc w:val="both"/>
        <w:rPr>
          <w:rFonts w:ascii="Arial" w:eastAsia="Arial" w:hAnsi="Arial" w:cs="Arial"/>
          <w:b/>
          <w:bCs/>
        </w:rPr>
      </w:pPr>
      <w:r w:rsidRPr="00AB1E4C">
        <w:rPr>
          <w:rFonts w:ascii="Arial" w:eastAsia="Arial" w:hAnsi="Arial" w:cs="Arial"/>
          <w:b/>
          <w:bCs/>
        </w:rPr>
        <w:t>Lecturer:</w:t>
      </w:r>
      <w:r w:rsidRPr="00AB1E4C">
        <w:rPr>
          <w:rFonts w:ascii="Arial" w:eastAsia="Arial" w:hAnsi="Arial" w:cs="Arial"/>
          <w:b/>
          <w:bCs/>
        </w:rPr>
        <w:tab/>
        <w:t xml:space="preserve">           </w:t>
      </w:r>
      <w:r w:rsidRPr="00AB1E4C">
        <w:rPr>
          <w:rFonts w:ascii="Arial" w:eastAsia="Arial" w:hAnsi="Arial" w:cs="Arial"/>
        </w:rPr>
        <w:t>Dr Fahad Khan</w:t>
      </w:r>
    </w:p>
    <w:p w14:paraId="3C470ADD" w14:textId="75023F27" w:rsidR="00C642FC" w:rsidRDefault="00AB1E4C" w:rsidP="00AB1E4C">
      <w:pPr>
        <w:spacing w:line="360" w:lineRule="auto"/>
        <w:jc w:val="both"/>
        <w:rPr>
          <w:rFonts w:ascii="Arial" w:eastAsia="Arial" w:hAnsi="Arial" w:cs="Arial"/>
          <w:b/>
          <w:bCs/>
        </w:rPr>
      </w:pPr>
      <w:r w:rsidRPr="00AB1E4C">
        <w:rPr>
          <w:rFonts w:ascii="Arial" w:eastAsia="Arial" w:hAnsi="Arial" w:cs="Arial"/>
          <w:b/>
          <w:bCs/>
        </w:rPr>
        <w:t xml:space="preserve">Assignment Title:     </w:t>
      </w:r>
      <w:r w:rsidRPr="00AB1E4C">
        <w:rPr>
          <w:rFonts w:ascii="Arial" w:eastAsia="Arial" w:hAnsi="Arial" w:cs="Arial"/>
        </w:rPr>
        <w:t>Component 2 Service Improvement Report</w:t>
      </w:r>
    </w:p>
    <w:p w14:paraId="0BC2F806" w14:textId="77777777" w:rsidR="00C642FC" w:rsidRDefault="00C642FC" w:rsidP="00FC63E5">
      <w:pPr>
        <w:spacing w:line="360" w:lineRule="auto"/>
        <w:jc w:val="both"/>
        <w:rPr>
          <w:rFonts w:ascii="Arial" w:eastAsia="Arial" w:hAnsi="Arial" w:cs="Arial"/>
          <w:b/>
          <w:bCs/>
        </w:rPr>
      </w:pPr>
    </w:p>
    <w:p w14:paraId="26F9A2BA" w14:textId="77777777" w:rsidR="00C642FC" w:rsidRDefault="00C642FC" w:rsidP="00FC63E5">
      <w:pPr>
        <w:spacing w:line="360" w:lineRule="auto"/>
        <w:jc w:val="both"/>
        <w:rPr>
          <w:rFonts w:ascii="Arial" w:eastAsia="Arial" w:hAnsi="Arial" w:cs="Arial"/>
          <w:b/>
          <w:bCs/>
        </w:rPr>
      </w:pPr>
    </w:p>
    <w:p w14:paraId="0A61306B" w14:textId="77777777" w:rsidR="00D66B77" w:rsidRDefault="00D66B77" w:rsidP="004644AD">
      <w:pPr>
        <w:spacing w:line="360" w:lineRule="auto"/>
        <w:jc w:val="both"/>
        <w:rPr>
          <w:rFonts w:ascii="Arial" w:eastAsia="Arial" w:hAnsi="Arial" w:cs="Arial"/>
          <w:b/>
          <w:bCs/>
        </w:rPr>
      </w:pPr>
    </w:p>
    <w:p w14:paraId="6F5C4210" w14:textId="1AB8CE0C" w:rsidR="00D66B77" w:rsidRPr="00F6739F" w:rsidRDefault="00214F48" w:rsidP="00D60231">
      <w:pPr>
        <w:spacing w:line="360" w:lineRule="auto"/>
        <w:rPr>
          <w:rFonts w:ascii="Arial" w:eastAsia="Arial" w:hAnsi="Arial" w:cs="Arial"/>
          <w:b/>
          <w:bCs/>
          <w:sz w:val="24"/>
          <w:szCs w:val="24"/>
        </w:rPr>
      </w:pPr>
      <w:r w:rsidRPr="00F6739F">
        <w:rPr>
          <w:rFonts w:ascii="Arial" w:eastAsia="Arial" w:hAnsi="Arial" w:cs="Arial"/>
          <w:b/>
          <w:bCs/>
          <w:sz w:val="24"/>
          <w:szCs w:val="24"/>
        </w:rPr>
        <w:t xml:space="preserve">Content Page </w:t>
      </w:r>
    </w:p>
    <w:p w14:paraId="02FD9408" w14:textId="77777777" w:rsidR="00F6739F" w:rsidRDefault="00F6739F" w:rsidP="00D60231">
      <w:pPr>
        <w:spacing w:line="360" w:lineRule="auto"/>
        <w:rPr>
          <w:rFonts w:ascii="Arial" w:eastAsia="Arial" w:hAnsi="Arial" w:cs="Arial"/>
          <w:b/>
          <w:bCs/>
        </w:rPr>
      </w:pPr>
    </w:p>
    <w:p w14:paraId="77FA58B1" w14:textId="1A6A81AD" w:rsidR="001577FA" w:rsidRPr="001577FA" w:rsidRDefault="001577FA" w:rsidP="00D60231">
      <w:pPr>
        <w:spacing w:line="360" w:lineRule="auto"/>
        <w:rPr>
          <w:rFonts w:ascii="Arial" w:eastAsia="Arial" w:hAnsi="Arial" w:cs="Arial"/>
        </w:rPr>
      </w:pPr>
      <w:r w:rsidRPr="00CA388E">
        <w:rPr>
          <w:rFonts w:ascii="Arial" w:eastAsia="Arial" w:hAnsi="Arial" w:cs="Arial"/>
          <w:b/>
          <w:bCs/>
        </w:rPr>
        <w:t>Executive Summary</w:t>
      </w:r>
      <w:r>
        <w:rPr>
          <w:rFonts w:ascii="Arial" w:eastAsia="Arial" w:hAnsi="Arial" w:cs="Arial"/>
        </w:rPr>
        <w:t>……………………………</w:t>
      </w:r>
      <w:r w:rsidR="004C77EA">
        <w:rPr>
          <w:rFonts w:ascii="Arial" w:eastAsia="Arial" w:hAnsi="Arial" w:cs="Arial"/>
        </w:rPr>
        <w:t>….</w:t>
      </w:r>
      <w:r>
        <w:rPr>
          <w:rFonts w:ascii="Arial" w:eastAsia="Arial" w:hAnsi="Arial" w:cs="Arial"/>
        </w:rPr>
        <w:t>………………………3</w:t>
      </w:r>
    </w:p>
    <w:p w14:paraId="4B423580" w14:textId="6BD2F956" w:rsidR="00D64304" w:rsidRPr="00D64304" w:rsidRDefault="00CA388E" w:rsidP="00D60231">
      <w:pPr>
        <w:spacing w:line="360" w:lineRule="auto"/>
        <w:rPr>
          <w:rFonts w:ascii="Arial" w:eastAsia="Arial" w:hAnsi="Arial" w:cs="Arial"/>
        </w:rPr>
      </w:pPr>
      <w:r>
        <w:rPr>
          <w:rFonts w:ascii="Arial" w:eastAsia="Arial" w:hAnsi="Arial" w:cs="Arial"/>
          <w:b/>
          <w:bCs/>
        </w:rPr>
        <w:t xml:space="preserve">1. </w:t>
      </w:r>
      <w:r w:rsidR="00D64304" w:rsidRPr="00CA388E">
        <w:rPr>
          <w:rFonts w:ascii="Arial" w:eastAsia="Arial" w:hAnsi="Arial" w:cs="Arial"/>
          <w:b/>
          <w:bCs/>
        </w:rPr>
        <w:t>I</w:t>
      </w:r>
      <w:r w:rsidR="00D64304" w:rsidRPr="00CA388E">
        <w:rPr>
          <w:rFonts w:ascii="Arial" w:eastAsia="Arial" w:hAnsi="Arial" w:cs="Arial"/>
          <w:b/>
          <w:bCs/>
        </w:rPr>
        <w:t>ntroduction…</w:t>
      </w:r>
      <w:r w:rsidR="00D64304" w:rsidRPr="00D64304">
        <w:rPr>
          <w:rFonts w:ascii="Arial" w:eastAsia="Arial" w:hAnsi="Arial" w:cs="Arial"/>
        </w:rPr>
        <w:t>………………………………………………………</w:t>
      </w:r>
      <w:r w:rsidR="00F17B5D">
        <w:rPr>
          <w:rFonts w:ascii="Arial" w:eastAsia="Arial" w:hAnsi="Arial" w:cs="Arial"/>
        </w:rPr>
        <w:t>.</w:t>
      </w:r>
      <w:r w:rsidR="00D64304" w:rsidRPr="00D64304">
        <w:rPr>
          <w:rFonts w:ascii="Arial" w:eastAsia="Arial" w:hAnsi="Arial" w:cs="Arial"/>
        </w:rPr>
        <w:t>...3</w:t>
      </w:r>
      <w:r w:rsidR="005C694E">
        <w:rPr>
          <w:rFonts w:ascii="Arial" w:eastAsia="Arial" w:hAnsi="Arial" w:cs="Arial"/>
        </w:rPr>
        <w:t>-4</w:t>
      </w:r>
    </w:p>
    <w:p w14:paraId="7C9E2F19" w14:textId="7F6E891A" w:rsidR="00DC56DE" w:rsidRPr="005E5227" w:rsidRDefault="00DC56DE" w:rsidP="00D60231">
      <w:pPr>
        <w:spacing w:line="360" w:lineRule="auto"/>
        <w:rPr>
          <w:rFonts w:ascii="Arial" w:eastAsia="Arial" w:hAnsi="Arial" w:cs="Arial"/>
          <w:b/>
          <w:bCs/>
        </w:rPr>
      </w:pPr>
      <w:r w:rsidRPr="005E5227">
        <w:rPr>
          <w:rFonts w:ascii="Arial" w:eastAsia="Arial" w:hAnsi="Arial" w:cs="Arial"/>
          <w:b/>
          <w:bCs/>
        </w:rPr>
        <w:t>2.</w:t>
      </w:r>
      <w:r w:rsidR="00534586">
        <w:rPr>
          <w:rFonts w:ascii="Arial" w:eastAsia="Arial" w:hAnsi="Arial" w:cs="Arial"/>
          <w:b/>
          <w:bCs/>
        </w:rPr>
        <w:t xml:space="preserve"> </w:t>
      </w:r>
      <w:r w:rsidRPr="005E5227">
        <w:rPr>
          <w:rFonts w:ascii="Arial" w:eastAsia="Arial" w:hAnsi="Arial" w:cs="Arial"/>
          <w:b/>
          <w:bCs/>
        </w:rPr>
        <w:t>Root Cause Analysis</w:t>
      </w:r>
    </w:p>
    <w:p w14:paraId="460B41C5" w14:textId="32360717" w:rsidR="00D64304" w:rsidRDefault="005E5227" w:rsidP="00D60231">
      <w:pPr>
        <w:spacing w:line="360" w:lineRule="auto"/>
        <w:rPr>
          <w:rFonts w:ascii="Arial" w:eastAsia="Arial" w:hAnsi="Arial" w:cs="Arial"/>
        </w:rPr>
      </w:pPr>
      <w:r>
        <w:rPr>
          <w:rFonts w:ascii="Arial" w:eastAsia="Arial" w:hAnsi="Arial" w:cs="Arial"/>
        </w:rPr>
        <w:t xml:space="preserve">       2.1 </w:t>
      </w:r>
      <w:r w:rsidR="00DC56DE">
        <w:rPr>
          <w:rFonts w:ascii="Arial" w:eastAsia="Arial" w:hAnsi="Arial" w:cs="Arial"/>
        </w:rPr>
        <w:t>T</w:t>
      </w:r>
      <w:r w:rsidR="00D64304" w:rsidRPr="00D64304">
        <w:rPr>
          <w:rFonts w:ascii="Arial" w:eastAsia="Arial" w:hAnsi="Arial" w:cs="Arial"/>
        </w:rPr>
        <w:t>he Fishbone Diagram…………</w:t>
      </w:r>
      <w:r w:rsidR="008C0C83">
        <w:rPr>
          <w:rFonts w:ascii="Arial" w:eastAsia="Arial" w:hAnsi="Arial" w:cs="Arial"/>
        </w:rPr>
        <w:t>………………</w:t>
      </w:r>
      <w:r w:rsidR="00D64304" w:rsidRPr="00D64304">
        <w:rPr>
          <w:rFonts w:ascii="Arial" w:eastAsia="Arial" w:hAnsi="Arial" w:cs="Arial"/>
        </w:rPr>
        <w:t>……………....5</w:t>
      </w:r>
      <w:r w:rsidR="008C0C83">
        <w:rPr>
          <w:rFonts w:ascii="Arial" w:eastAsia="Arial" w:hAnsi="Arial" w:cs="Arial"/>
        </w:rPr>
        <w:t>-6</w:t>
      </w:r>
    </w:p>
    <w:p w14:paraId="624DD739" w14:textId="5524A3A3" w:rsidR="00D93F3C" w:rsidRDefault="00D93F3C" w:rsidP="00D60231">
      <w:pPr>
        <w:spacing w:line="360" w:lineRule="auto"/>
        <w:rPr>
          <w:rFonts w:ascii="Arial" w:eastAsia="Arial" w:hAnsi="Arial" w:cs="Arial"/>
        </w:rPr>
      </w:pPr>
      <w:r>
        <w:rPr>
          <w:rFonts w:ascii="Arial" w:eastAsia="Arial" w:hAnsi="Arial" w:cs="Arial"/>
        </w:rPr>
        <w:t xml:space="preserve">       </w:t>
      </w:r>
      <w:r w:rsidR="00F6739F">
        <w:rPr>
          <w:rFonts w:ascii="Arial" w:eastAsia="Arial" w:hAnsi="Arial" w:cs="Arial"/>
        </w:rPr>
        <w:t xml:space="preserve"> </w:t>
      </w:r>
      <w:r>
        <w:rPr>
          <w:rFonts w:ascii="Arial" w:eastAsia="Arial" w:hAnsi="Arial" w:cs="Arial"/>
        </w:rPr>
        <w:t>2.2</w:t>
      </w:r>
      <w:r w:rsidR="00C86DCA">
        <w:rPr>
          <w:rFonts w:ascii="Arial" w:eastAsia="Arial" w:hAnsi="Arial" w:cs="Arial"/>
        </w:rPr>
        <w:t xml:space="preserve"> </w:t>
      </w:r>
      <w:r w:rsidR="00C86DCA" w:rsidRPr="00C86DCA">
        <w:rPr>
          <w:rFonts w:ascii="Arial" w:eastAsia="Arial" w:hAnsi="Arial" w:cs="Arial"/>
        </w:rPr>
        <w:t>The 5 Whys</w:t>
      </w:r>
      <w:r w:rsidR="00C86DCA">
        <w:rPr>
          <w:rFonts w:ascii="Arial" w:eastAsia="Arial" w:hAnsi="Arial" w:cs="Arial"/>
        </w:rPr>
        <w:t xml:space="preserve"> </w:t>
      </w:r>
      <w:r w:rsidR="00C86DCA" w:rsidRPr="00C86DCA">
        <w:rPr>
          <w:rFonts w:ascii="Arial" w:eastAsia="Arial" w:hAnsi="Arial" w:cs="Arial"/>
        </w:rPr>
        <w:t>Analysis</w:t>
      </w:r>
      <w:r w:rsidR="00032FD7">
        <w:rPr>
          <w:rFonts w:ascii="Arial" w:eastAsia="Arial" w:hAnsi="Arial" w:cs="Arial"/>
        </w:rPr>
        <w:t>……………………………</w:t>
      </w:r>
      <w:r w:rsidR="008C0C83">
        <w:rPr>
          <w:rFonts w:ascii="Arial" w:eastAsia="Arial" w:hAnsi="Arial" w:cs="Arial"/>
        </w:rPr>
        <w:t>……………</w:t>
      </w:r>
      <w:r w:rsidR="00032FD7">
        <w:rPr>
          <w:rFonts w:ascii="Arial" w:eastAsia="Arial" w:hAnsi="Arial" w:cs="Arial"/>
        </w:rPr>
        <w:t>…</w:t>
      </w:r>
      <w:r w:rsidR="00067200">
        <w:rPr>
          <w:rFonts w:ascii="Arial" w:eastAsia="Arial" w:hAnsi="Arial" w:cs="Arial"/>
        </w:rPr>
        <w:t>.</w:t>
      </w:r>
      <w:r w:rsidR="00F56BC3">
        <w:rPr>
          <w:rFonts w:ascii="Arial" w:eastAsia="Arial" w:hAnsi="Arial" w:cs="Arial"/>
        </w:rPr>
        <w:t>6-7</w:t>
      </w:r>
    </w:p>
    <w:p w14:paraId="3F4AFDD2" w14:textId="5AFD179F" w:rsidR="00D64304" w:rsidRPr="00D64304" w:rsidRDefault="00032FD7" w:rsidP="00D60231">
      <w:pPr>
        <w:spacing w:line="360" w:lineRule="auto"/>
        <w:rPr>
          <w:rFonts w:ascii="Arial" w:eastAsia="Arial" w:hAnsi="Arial" w:cs="Arial"/>
        </w:rPr>
      </w:pPr>
      <w:r>
        <w:rPr>
          <w:rFonts w:ascii="Arial" w:eastAsia="Arial" w:hAnsi="Arial" w:cs="Arial"/>
        </w:rPr>
        <w:t xml:space="preserve">      </w:t>
      </w:r>
      <w:r w:rsidR="00F6739F">
        <w:rPr>
          <w:rFonts w:ascii="Arial" w:eastAsia="Arial" w:hAnsi="Arial" w:cs="Arial"/>
        </w:rPr>
        <w:t xml:space="preserve"> </w:t>
      </w:r>
      <w:r>
        <w:rPr>
          <w:rFonts w:ascii="Arial" w:eastAsia="Arial" w:hAnsi="Arial" w:cs="Arial"/>
        </w:rPr>
        <w:t xml:space="preserve"> 2.3 </w:t>
      </w:r>
      <w:r w:rsidR="00D64304" w:rsidRPr="00D64304">
        <w:rPr>
          <w:rFonts w:ascii="Arial" w:eastAsia="Arial" w:hAnsi="Arial" w:cs="Arial"/>
        </w:rPr>
        <w:t>Application of the Donabedian Model………………………….</w:t>
      </w:r>
      <w:r w:rsidR="00F56BC3">
        <w:rPr>
          <w:rFonts w:ascii="Arial" w:eastAsia="Arial" w:hAnsi="Arial" w:cs="Arial"/>
        </w:rPr>
        <w:t>8-9</w:t>
      </w:r>
      <w:r w:rsidR="00D64304" w:rsidRPr="00D64304">
        <w:rPr>
          <w:rFonts w:ascii="Arial" w:eastAsia="Arial" w:hAnsi="Arial" w:cs="Arial"/>
        </w:rPr>
        <w:t xml:space="preserve"> </w:t>
      </w:r>
    </w:p>
    <w:p w14:paraId="76722023" w14:textId="276AF66C" w:rsidR="00D64304" w:rsidRPr="00D64304" w:rsidRDefault="00F55C18" w:rsidP="00D60231">
      <w:pPr>
        <w:spacing w:line="360" w:lineRule="auto"/>
        <w:rPr>
          <w:rFonts w:ascii="Arial" w:eastAsia="Arial" w:hAnsi="Arial" w:cs="Arial"/>
        </w:rPr>
      </w:pPr>
      <w:r>
        <w:rPr>
          <w:rFonts w:ascii="Arial" w:eastAsia="Arial" w:hAnsi="Arial" w:cs="Arial"/>
        </w:rPr>
        <w:t xml:space="preserve">     </w:t>
      </w:r>
      <w:r w:rsidR="00926EBB">
        <w:rPr>
          <w:rFonts w:ascii="Arial" w:eastAsia="Arial" w:hAnsi="Arial" w:cs="Arial"/>
        </w:rPr>
        <w:t xml:space="preserve">  </w:t>
      </w:r>
      <w:r>
        <w:rPr>
          <w:rFonts w:ascii="Arial" w:eastAsia="Arial" w:hAnsi="Arial" w:cs="Arial"/>
        </w:rPr>
        <w:t xml:space="preserve"> 2.4 </w:t>
      </w:r>
      <w:r w:rsidR="00D64304" w:rsidRPr="00D64304">
        <w:rPr>
          <w:rFonts w:ascii="Arial" w:eastAsia="Arial" w:hAnsi="Arial" w:cs="Arial"/>
        </w:rPr>
        <w:t>SWOT Analysis……………………………………………</w:t>
      </w:r>
      <w:r w:rsidR="00F17B5D">
        <w:rPr>
          <w:rFonts w:ascii="Arial" w:eastAsia="Arial" w:hAnsi="Arial" w:cs="Arial"/>
        </w:rPr>
        <w:t>.</w:t>
      </w:r>
      <w:r w:rsidR="00D64304" w:rsidRPr="00D64304">
        <w:rPr>
          <w:rFonts w:ascii="Arial" w:eastAsia="Arial" w:hAnsi="Arial" w:cs="Arial"/>
        </w:rPr>
        <w:t>……</w:t>
      </w:r>
      <w:r w:rsidR="00F17B5D">
        <w:rPr>
          <w:rFonts w:ascii="Arial" w:eastAsia="Arial" w:hAnsi="Arial" w:cs="Arial"/>
        </w:rPr>
        <w:t>9-10</w:t>
      </w:r>
      <w:r w:rsidR="00D64304" w:rsidRPr="00D64304">
        <w:rPr>
          <w:rFonts w:ascii="Arial" w:eastAsia="Arial" w:hAnsi="Arial" w:cs="Arial"/>
        </w:rPr>
        <w:t xml:space="preserve"> </w:t>
      </w:r>
    </w:p>
    <w:p w14:paraId="1347D6FA" w14:textId="575906E8" w:rsidR="00D64304" w:rsidRPr="00F55C18" w:rsidRDefault="00F55C18" w:rsidP="00D60231">
      <w:pPr>
        <w:spacing w:line="360" w:lineRule="auto"/>
        <w:rPr>
          <w:rFonts w:ascii="Arial" w:eastAsia="Arial" w:hAnsi="Arial" w:cs="Arial"/>
          <w:b/>
          <w:bCs/>
        </w:rPr>
      </w:pPr>
      <w:r w:rsidRPr="00F55C18">
        <w:rPr>
          <w:rFonts w:ascii="Arial" w:eastAsia="Arial" w:hAnsi="Arial" w:cs="Arial"/>
          <w:b/>
          <w:bCs/>
        </w:rPr>
        <w:t>3</w:t>
      </w:r>
      <w:r w:rsidR="00534586">
        <w:rPr>
          <w:rFonts w:ascii="Arial" w:eastAsia="Arial" w:hAnsi="Arial" w:cs="Arial"/>
          <w:b/>
          <w:bCs/>
        </w:rPr>
        <w:t xml:space="preserve">. </w:t>
      </w:r>
      <w:r w:rsidRPr="00F55C18">
        <w:rPr>
          <w:rFonts w:ascii="Arial" w:eastAsia="Arial" w:hAnsi="Arial" w:cs="Arial"/>
          <w:b/>
          <w:bCs/>
        </w:rPr>
        <w:t>Quality Improvement</w:t>
      </w:r>
      <w:r w:rsidR="00CA388E">
        <w:rPr>
          <w:rFonts w:ascii="Arial" w:eastAsia="Arial" w:hAnsi="Arial" w:cs="Arial"/>
          <w:b/>
          <w:bCs/>
        </w:rPr>
        <w:t xml:space="preserve"> Analysis</w:t>
      </w:r>
    </w:p>
    <w:p w14:paraId="460EFCD4" w14:textId="38547808" w:rsidR="00D64304" w:rsidRPr="00D64304" w:rsidRDefault="00F55C18" w:rsidP="00D60231">
      <w:pPr>
        <w:spacing w:line="360" w:lineRule="auto"/>
        <w:rPr>
          <w:rFonts w:ascii="Arial" w:eastAsia="Arial" w:hAnsi="Arial" w:cs="Arial"/>
        </w:rPr>
      </w:pPr>
      <w:r>
        <w:rPr>
          <w:rFonts w:ascii="Arial" w:eastAsia="Arial" w:hAnsi="Arial" w:cs="Arial"/>
        </w:rPr>
        <w:t xml:space="preserve">      </w:t>
      </w:r>
      <w:r w:rsidR="00926EBB">
        <w:rPr>
          <w:rFonts w:ascii="Arial" w:eastAsia="Arial" w:hAnsi="Arial" w:cs="Arial"/>
        </w:rPr>
        <w:t xml:space="preserve">  </w:t>
      </w:r>
      <w:r>
        <w:rPr>
          <w:rFonts w:ascii="Arial" w:eastAsia="Arial" w:hAnsi="Arial" w:cs="Arial"/>
        </w:rPr>
        <w:t>3.1</w:t>
      </w:r>
      <w:r w:rsidR="00F17B5D">
        <w:rPr>
          <w:rFonts w:ascii="Arial" w:eastAsia="Arial" w:hAnsi="Arial" w:cs="Arial"/>
        </w:rPr>
        <w:t xml:space="preserve"> </w:t>
      </w:r>
      <w:r w:rsidR="00D64304" w:rsidRPr="00D64304">
        <w:rPr>
          <w:rFonts w:ascii="Arial" w:eastAsia="Arial" w:hAnsi="Arial" w:cs="Arial"/>
        </w:rPr>
        <w:t>PDSA Cycle………………………………………………</w:t>
      </w:r>
      <w:r w:rsidR="00067200">
        <w:rPr>
          <w:rFonts w:ascii="Arial" w:eastAsia="Arial" w:hAnsi="Arial" w:cs="Arial"/>
        </w:rPr>
        <w:t>……</w:t>
      </w:r>
      <w:r w:rsidR="00D64304" w:rsidRPr="00D64304">
        <w:rPr>
          <w:rFonts w:ascii="Arial" w:eastAsia="Arial" w:hAnsi="Arial" w:cs="Arial"/>
        </w:rPr>
        <w:t>…</w:t>
      </w:r>
      <w:r w:rsidR="00F17B5D">
        <w:rPr>
          <w:rFonts w:ascii="Arial" w:eastAsia="Arial" w:hAnsi="Arial" w:cs="Arial"/>
        </w:rPr>
        <w:t>.</w:t>
      </w:r>
      <w:r w:rsidR="00DA61A2">
        <w:rPr>
          <w:rFonts w:ascii="Arial" w:eastAsia="Arial" w:hAnsi="Arial" w:cs="Arial"/>
        </w:rPr>
        <w:t>10-11</w:t>
      </w:r>
    </w:p>
    <w:p w14:paraId="2D1A6297" w14:textId="264D1E33" w:rsidR="00D64304" w:rsidRPr="00D64304" w:rsidRDefault="00534586" w:rsidP="00D60231">
      <w:pPr>
        <w:spacing w:line="360" w:lineRule="auto"/>
        <w:rPr>
          <w:rFonts w:ascii="Arial" w:eastAsia="Arial" w:hAnsi="Arial" w:cs="Arial"/>
        </w:rPr>
      </w:pPr>
      <w:r>
        <w:rPr>
          <w:rFonts w:ascii="Arial" w:eastAsia="Arial" w:hAnsi="Arial" w:cs="Arial"/>
        </w:rPr>
        <w:t xml:space="preserve">      </w:t>
      </w:r>
      <w:r w:rsidR="00926EBB">
        <w:rPr>
          <w:rFonts w:ascii="Arial" w:eastAsia="Arial" w:hAnsi="Arial" w:cs="Arial"/>
        </w:rPr>
        <w:t xml:space="preserve"> </w:t>
      </w:r>
      <w:r>
        <w:rPr>
          <w:rFonts w:ascii="Arial" w:eastAsia="Arial" w:hAnsi="Arial" w:cs="Arial"/>
        </w:rPr>
        <w:t xml:space="preserve"> </w:t>
      </w:r>
      <w:r w:rsidRPr="00534586">
        <w:rPr>
          <w:rFonts w:ascii="Arial" w:eastAsia="Arial" w:hAnsi="Arial" w:cs="Arial"/>
        </w:rPr>
        <w:t xml:space="preserve">3.2. Kotter’s 8-Step Change Model </w:t>
      </w:r>
      <w:r w:rsidR="00D64304" w:rsidRPr="00D64304">
        <w:rPr>
          <w:rFonts w:ascii="Arial" w:eastAsia="Arial" w:hAnsi="Arial" w:cs="Arial"/>
        </w:rPr>
        <w:t>……………………………</w:t>
      </w:r>
      <w:r w:rsidR="001B0EE1" w:rsidRPr="00D64304">
        <w:rPr>
          <w:rFonts w:ascii="Arial" w:eastAsia="Arial" w:hAnsi="Arial" w:cs="Arial"/>
        </w:rPr>
        <w:t>…</w:t>
      </w:r>
      <w:r w:rsidR="001B0EE1">
        <w:rPr>
          <w:rFonts w:ascii="Arial" w:eastAsia="Arial" w:hAnsi="Arial" w:cs="Arial"/>
        </w:rPr>
        <w:t>.</w:t>
      </w:r>
      <w:r w:rsidR="00DA61A2">
        <w:rPr>
          <w:rFonts w:ascii="Arial" w:eastAsia="Arial" w:hAnsi="Arial" w:cs="Arial"/>
        </w:rPr>
        <w:t>11-13</w:t>
      </w:r>
    </w:p>
    <w:p w14:paraId="58DC6FBA" w14:textId="76CC2211" w:rsidR="00D64304" w:rsidRPr="00D64304" w:rsidRDefault="00534586" w:rsidP="00D60231">
      <w:pPr>
        <w:spacing w:line="360" w:lineRule="auto"/>
        <w:rPr>
          <w:rFonts w:ascii="Arial" w:eastAsia="Arial" w:hAnsi="Arial" w:cs="Arial"/>
        </w:rPr>
      </w:pPr>
      <w:r w:rsidRPr="00534586">
        <w:rPr>
          <w:rFonts w:ascii="Arial" w:eastAsia="Arial" w:hAnsi="Arial" w:cs="Arial"/>
          <w:b/>
          <w:bCs/>
        </w:rPr>
        <w:t>4.</w:t>
      </w:r>
      <w:r>
        <w:rPr>
          <w:rFonts w:ascii="Arial" w:eastAsia="Arial" w:hAnsi="Arial" w:cs="Arial"/>
          <w:b/>
          <w:bCs/>
        </w:rPr>
        <w:t xml:space="preserve"> </w:t>
      </w:r>
      <w:r w:rsidR="00D64304" w:rsidRPr="00534586">
        <w:rPr>
          <w:rFonts w:ascii="Arial" w:eastAsia="Arial" w:hAnsi="Arial" w:cs="Arial"/>
          <w:b/>
          <w:bCs/>
        </w:rPr>
        <w:t>Recommendations</w:t>
      </w:r>
      <w:r w:rsidR="00D64304" w:rsidRPr="00D64304">
        <w:rPr>
          <w:rFonts w:ascii="Arial" w:eastAsia="Arial" w:hAnsi="Arial" w:cs="Arial"/>
        </w:rPr>
        <w:t>……………………………………………………</w:t>
      </w:r>
      <w:r w:rsidR="00C52A3F">
        <w:rPr>
          <w:rFonts w:ascii="Arial" w:eastAsia="Arial" w:hAnsi="Arial" w:cs="Arial"/>
        </w:rPr>
        <w:t>.</w:t>
      </w:r>
      <w:r w:rsidR="00F75C2D">
        <w:rPr>
          <w:rFonts w:ascii="Arial" w:eastAsia="Arial" w:hAnsi="Arial" w:cs="Arial"/>
        </w:rPr>
        <w:t>13-15</w:t>
      </w:r>
    </w:p>
    <w:p w14:paraId="5B9FC492" w14:textId="23941E72" w:rsidR="00D64304" w:rsidRPr="00D64304" w:rsidRDefault="00534586" w:rsidP="00D60231">
      <w:pPr>
        <w:spacing w:line="360" w:lineRule="auto"/>
        <w:rPr>
          <w:rFonts w:ascii="Arial" w:eastAsia="Arial" w:hAnsi="Arial" w:cs="Arial"/>
        </w:rPr>
      </w:pPr>
      <w:r>
        <w:rPr>
          <w:rFonts w:ascii="Arial" w:eastAsia="Arial" w:hAnsi="Arial" w:cs="Arial"/>
          <w:b/>
          <w:bCs/>
        </w:rPr>
        <w:t xml:space="preserve">5. </w:t>
      </w:r>
      <w:r w:rsidR="00D64304" w:rsidRPr="00534586">
        <w:rPr>
          <w:rFonts w:ascii="Arial" w:eastAsia="Arial" w:hAnsi="Arial" w:cs="Arial"/>
          <w:b/>
          <w:bCs/>
        </w:rPr>
        <w:t>Benchmarking</w:t>
      </w:r>
      <w:r w:rsidR="00D64304" w:rsidRPr="00D64304">
        <w:rPr>
          <w:rFonts w:ascii="Arial" w:eastAsia="Arial" w:hAnsi="Arial" w:cs="Arial"/>
        </w:rPr>
        <w:t>………………………………………………………</w:t>
      </w:r>
      <w:r w:rsidR="00067200">
        <w:rPr>
          <w:rFonts w:ascii="Arial" w:eastAsia="Arial" w:hAnsi="Arial" w:cs="Arial"/>
        </w:rPr>
        <w:t>…</w:t>
      </w:r>
      <w:r w:rsidR="00C52A3F">
        <w:rPr>
          <w:rFonts w:ascii="Arial" w:eastAsia="Arial" w:hAnsi="Arial" w:cs="Arial"/>
        </w:rPr>
        <w:t>….</w:t>
      </w:r>
      <w:r w:rsidR="00F05F11">
        <w:rPr>
          <w:rFonts w:ascii="Arial" w:eastAsia="Arial" w:hAnsi="Arial" w:cs="Arial"/>
        </w:rPr>
        <w:t>16</w:t>
      </w:r>
    </w:p>
    <w:p w14:paraId="3ED7BC0C" w14:textId="759100D0" w:rsidR="00D64304" w:rsidRPr="00D64304" w:rsidRDefault="00534586" w:rsidP="00D60231">
      <w:pPr>
        <w:spacing w:line="360" w:lineRule="auto"/>
        <w:rPr>
          <w:rFonts w:ascii="Arial" w:eastAsia="Arial" w:hAnsi="Arial" w:cs="Arial"/>
        </w:rPr>
      </w:pPr>
      <w:r>
        <w:rPr>
          <w:rFonts w:ascii="Arial" w:eastAsia="Arial" w:hAnsi="Arial" w:cs="Arial"/>
          <w:b/>
          <w:bCs/>
        </w:rPr>
        <w:t xml:space="preserve">6. </w:t>
      </w:r>
      <w:r w:rsidR="00D64304" w:rsidRPr="00534586">
        <w:rPr>
          <w:rFonts w:ascii="Arial" w:eastAsia="Arial" w:hAnsi="Arial" w:cs="Arial"/>
          <w:b/>
          <w:bCs/>
        </w:rPr>
        <w:t>C</w:t>
      </w:r>
      <w:r w:rsidR="00D64304" w:rsidRPr="00534586">
        <w:rPr>
          <w:rFonts w:ascii="Arial" w:eastAsia="Arial" w:hAnsi="Arial" w:cs="Arial"/>
          <w:b/>
          <w:bCs/>
        </w:rPr>
        <w:t>onclusion</w:t>
      </w:r>
      <w:r w:rsidR="00D64304" w:rsidRPr="00D64304">
        <w:rPr>
          <w:rFonts w:ascii="Arial" w:eastAsia="Arial" w:hAnsi="Arial" w:cs="Arial"/>
        </w:rPr>
        <w:t>……………………………………………………………</w:t>
      </w:r>
      <w:r w:rsidR="00D60231">
        <w:rPr>
          <w:rFonts w:ascii="Arial" w:eastAsia="Arial" w:hAnsi="Arial" w:cs="Arial"/>
        </w:rPr>
        <w:t>.</w:t>
      </w:r>
      <w:r w:rsidR="00C52A3F">
        <w:rPr>
          <w:rFonts w:ascii="Arial" w:eastAsia="Arial" w:hAnsi="Arial" w:cs="Arial"/>
        </w:rPr>
        <w:t>.</w:t>
      </w:r>
      <w:r w:rsidR="00F05F11">
        <w:rPr>
          <w:rFonts w:ascii="Arial" w:eastAsia="Arial" w:hAnsi="Arial" w:cs="Arial"/>
        </w:rPr>
        <w:t>.</w:t>
      </w:r>
      <w:r w:rsidR="00D64304" w:rsidRPr="00D64304">
        <w:rPr>
          <w:rFonts w:ascii="Arial" w:eastAsia="Arial" w:hAnsi="Arial" w:cs="Arial"/>
        </w:rPr>
        <w:t>1</w:t>
      </w:r>
      <w:r w:rsidR="00F05F11">
        <w:rPr>
          <w:rFonts w:ascii="Arial" w:eastAsia="Arial" w:hAnsi="Arial" w:cs="Arial"/>
        </w:rPr>
        <w:t>6-17</w:t>
      </w:r>
      <w:r w:rsidR="00D64304" w:rsidRPr="00D64304">
        <w:rPr>
          <w:rFonts w:ascii="Arial" w:eastAsia="Arial" w:hAnsi="Arial" w:cs="Arial"/>
        </w:rPr>
        <w:t xml:space="preserve"> </w:t>
      </w:r>
    </w:p>
    <w:p w14:paraId="7555F9B0" w14:textId="16E5EDF4" w:rsidR="00D64304" w:rsidRPr="00D64304" w:rsidRDefault="00D64304" w:rsidP="00D60231">
      <w:pPr>
        <w:spacing w:line="360" w:lineRule="auto"/>
        <w:rPr>
          <w:rFonts w:ascii="Arial" w:eastAsia="Arial" w:hAnsi="Arial" w:cs="Arial"/>
        </w:rPr>
      </w:pPr>
      <w:r w:rsidRPr="001478BB">
        <w:rPr>
          <w:rFonts w:ascii="Arial" w:eastAsia="Arial" w:hAnsi="Arial" w:cs="Arial"/>
          <w:b/>
          <w:bCs/>
        </w:rPr>
        <w:t>Reference List</w:t>
      </w:r>
      <w:r w:rsidRPr="00D64304">
        <w:rPr>
          <w:rFonts w:ascii="Arial" w:eastAsia="Arial" w:hAnsi="Arial" w:cs="Arial"/>
        </w:rPr>
        <w:t>…………………………………………………………</w:t>
      </w:r>
      <w:r w:rsidR="001B0EE1" w:rsidRPr="00D64304">
        <w:rPr>
          <w:rFonts w:ascii="Arial" w:eastAsia="Arial" w:hAnsi="Arial" w:cs="Arial"/>
        </w:rPr>
        <w:t>…</w:t>
      </w:r>
      <w:r w:rsidR="001B0EE1">
        <w:rPr>
          <w:rFonts w:ascii="Arial" w:eastAsia="Arial" w:hAnsi="Arial" w:cs="Arial"/>
        </w:rPr>
        <w:t>.</w:t>
      </w:r>
      <w:r w:rsidR="00F05F11">
        <w:rPr>
          <w:rFonts w:ascii="Arial" w:eastAsia="Arial" w:hAnsi="Arial" w:cs="Arial"/>
        </w:rPr>
        <w:t>18-</w:t>
      </w:r>
      <w:r w:rsidR="00C52A3F">
        <w:rPr>
          <w:rFonts w:ascii="Arial" w:eastAsia="Arial" w:hAnsi="Arial" w:cs="Arial"/>
        </w:rPr>
        <w:t>2</w:t>
      </w:r>
      <w:r w:rsidR="001B0EE1">
        <w:rPr>
          <w:rFonts w:ascii="Arial" w:eastAsia="Arial" w:hAnsi="Arial" w:cs="Arial"/>
        </w:rPr>
        <w:t>4</w:t>
      </w:r>
      <w:r w:rsidRPr="00D64304">
        <w:rPr>
          <w:rFonts w:ascii="Arial" w:eastAsia="Arial" w:hAnsi="Arial" w:cs="Arial"/>
        </w:rPr>
        <w:t xml:space="preserve"> </w:t>
      </w:r>
    </w:p>
    <w:p w14:paraId="7E58D343" w14:textId="77777777" w:rsidR="00D64304" w:rsidRPr="00D64304" w:rsidRDefault="00D64304" w:rsidP="00D60231">
      <w:pPr>
        <w:spacing w:line="360" w:lineRule="auto"/>
        <w:rPr>
          <w:rFonts w:ascii="Arial" w:eastAsia="Arial" w:hAnsi="Arial" w:cs="Arial"/>
        </w:rPr>
      </w:pPr>
    </w:p>
    <w:p w14:paraId="7F5E5460" w14:textId="77777777" w:rsidR="00D66B77" w:rsidRPr="00D64304" w:rsidRDefault="00D66B77" w:rsidP="004644AD">
      <w:pPr>
        <w:spacing w:line="360" w:lineRule="auto"/>
        <w:jc w:val="both"/>
        <w:rPr>
          <w:rFonts w:ascii="Arial" w:eastAsia="Arial" w:hAnsi="Arial" w:cs="Arial"/>
        </w:rPr>
      </w:pPr>
    </w:p>
    <w:p w14:paraId="57414B25" w14:textId="77777777" w:rsidR="00D66B77" w:rsidRDefault="00D66B77" w:rsidP="004644AD">
      <w:pPr>
        <w:spacing w:line="360" w:lineRule="auto"/>
        <w:jc w:val="both"/>
        <w:rPr>
          <w:rFonts w:ascii="Arial" w:eastAsia="Arial" w:hAnsi="Arial" w:cs="Arial"/>
          <w:b/>
          <w:bCs/>
        </w:rPr>
      </w:pPr>
    </w:p>
    <w:p w14:paraId="0E7849B3" w14:textId="77777777" w:rsidR="00D66B77" w:rsidRDefault="00D66B77" w:rsidP="004644AD">
      <w:pPr>
        <w:spacing w:line="360" w:lineRule="auto"/>
        <w:jc w:val="both"/>
        <w:rPr>
          <w:rFonts w:ascii="Arial" w:eastAsia="Arial" w:hAnsi="Arial" w:cs="Arial"/>
          <w:b/>
          <w:bCs/>
        </w:rPr>
      </w:pPr>
    </w:p>
    <w:p w14:paraId="2894FDC3" w14:textId="77777777" w:rsidR="001577FA" w:rsidRDefault="001577FA" w:rsidP="004644AD">
      <w:pPr>
        <w:spacing w:line="360" w:lineRule="auto"/>
        <w:jc w:val="both"/>
        <w:rPr>
          <w:rFonts w:ascii="Arial" w:eastAsia="Arial" w:hAnsi="Arial" w:cs="Arial"/>
          <w:b/>
          <w:bCs/>
        </w:rPr>
      </w:pPr>
    </w:p>
    <w:p w14:paraId="0B63154E" w14:textId="77777777" w:rsidR="00414297" w:rsidRDefault="00414297" w:rsidP="004644AD">
      <w:pPr>
        <w:spacing w:line="360" w:lineRule="auto"/>
        <w:jc w:val="both"/>
        <w:rPr>
          <w:rFonts w:ascii="Arial" w:eastAsia="Arial" w:hAnsi="Arial" w:cs="Arial"/>
          <w:b/>
          <w:bCs/>
        </w:rPr>
      </w:pPr>
    </w:p>
    <w:p w14:paraId="55EF1B3F" w14:textId="77777777" w:rsidR="00414297" w:rsidRDefault="00414297" w:rsidP="004644AD">
      <w:pPr>
        <w:spacing w:line="360" w:lineRule="auto"/>
        <w:jc w:val="both"/>
        <w:rPr>
          <w:rFonts w:ascii="Arial" w:eastAsia="Arial" w:hAnsi="Arial" w:cs="Arial"/>
          <w:b/>
          <w:bCs/>
        </w:rPr>
      </w:pPr>
    </w:p>
    <w:p w14:paraId="6A161621" w14:textId="77777777" w:rsidR="00414297" w:rsidRDefault="00414297" w:rsidP="004644AD">
      <w:pPr>
        <w:spacing w:line="360" w:lineRule="auto"/>
        <w:jc w:val="both"/>
        <w:rPr>
          <w:rFonts w:ascii="Arial" w:eastAsia="Arial" w:hAnsi="Arial" w:cs="Arial"/>
          <w:b/>
          <w:bCs/>
        </w:rPr>
      </w:pPr>
    </w:p>
    <w:p w14:paraId="5AC8B6CC" w14:textId="77777777" w:rsidR="00414297" w:rsidRDefault="00414297" w:rsidP="004644AD">
      <w:pPr>
        <w:spacing w:line="360" w:lineRule="auto"/>
        <w:jc w:val="both"/>
        <w:rPr>
          <w:rFonts w:ascii="Arial" w:eastAsia="Arial" w:hAnsi="Arial" w:cs="Arial"/>
          <w:b/>
          <w:bCs/>
        </w:rPr>
      </w:pPr>
    </w:p>
    <w:p w14:paraId="7BD59072" w14:textId="25114CE1" w:rsidR="004644AD" w:rsidRPr="00C612CC" w:rsidRDefault="00C612CC" w:rsidP="00FC63E5">
      <w:pPr>
        <w:spacing w:line="360" w:lineRule="auto"/>
        <w:jc w:val="both"/>
        <w:rPr>
          <w:rFonts w:ascii="Arial" w:eastAsia="Arial" w:hAnsi="Arial" w:cs="Arial"/>
          <w:b/>
          <w:bCs/>
          <w:sz w:val="24"/>
          <w:szCs w:val="24"/>
        </w:rPr>
      </w:pPr>
      <w:r w:rsidRPr="00C612CC">
        <w:rPr>
          <w:rFonts w:ascii="Arial" w:eastAsia="Arial" w:hAnsi="Arial" w:cs="Arial"/>
          <w:b/>
          <w:bCs/>
          <w:sz w:val="24"/>
          <w:szCs w:val="24"/>
        </w:rPr>
        <w:lastRenderedPageBreak/>
        <w:t>Executive Summary</w:t>
      </w:r>
    </w:p>
    <w:p w14:paraId="71FFFEF6" w14:textId="38C076DB" w:rsidR="00A501B3" w:rsidRPr="00A501B3" w:rsidRDefault="00A501B3" w:rsidP="00A501B3">
      <w:pPr>
        <w:spacing w:line="360" w:lineRule="auto"/>
        <w:jc w:val="both"/>
        <w:rPr>
          <w:rFonts w:ascii="Arial" w:eastAsia="Arial" w:hAnsi="Arial" w:cs="Arial"/>
        </w:rPr>
      </w:pPr>
      <w:r w:rsidRPr="00A501B3">
        <w:rPr>
          <w:rFonts w:ascii="Arial" w:eastAsia="Arial" w:hAnsi="Arial" w:cs="Arial"/>
        </w:rPr>
        <w:t>This report critically examines persistent quality failures within Blackpool Victoria Hospital’s Stroke Unit from 2014 to 2018. Regulatory inspections, whistleblowing reports, and internal reviews all identified systemic deficiencies. These include issues in triage, communication, imaging, care pathways, and clinical supervision (CQC, 2017; Dummigan, 2025; Blackpool Teaching Hospitals NHS Foundation Trust, 2018). The unit repeatedly failed to meet national Sentinel Stroke National Audit Programme (SSNAP) benchmarks. CT imaging rates remained below expected standards, resulting in delayed diagnoses, prolonged door-to-needle times, and avoidable patient harm. Four diagnostic frameworks were applied to determine root causes. The Fishbone Diagram (Ishikawa, 1986) and the 5 Whys technique (Dyson, 2004) identified failures across staffing, governance, and clinical processes. The Donabedian Model (Donabedian, 2005) highlighted critical weaknesses in structure, process, and outcomes. SWOT analysis noted key internal barriers and external improvement opportunities. Together, these approaches show that failures were systemic and organisational, not isolated incidents (CQC, 2019; NHS England, 2019c).</w:t>
      </w:r>
    </w:p>
    <w:p w14:paraId="6398808C" w14:textId="3915DB2E" w:rsidR="00A501B3" w:rsidRPr="00A501B3" w:rsidRDefault="00A501B3" w:rsidP="00A501B3">
      <w:pPr>
        <w:spacing w:line="360" w:lineRule="auto"/>
        <w:jc w:val="both"/>
        <w:rPr>
          <w:rFonts w:ascii="Arial" w:eastAsia="Arial" w:hAnsi="Arial" w:cs="Arial"/>
        </w:rPr>
      </w:pPr>
      <w:r w:rsidRPr="00A501B3">
        <w:rPr>
          <w:rFonts w:ascii="Arial" w:eastAsia="Arial" w:hAnsi="Arial" w:cs="Arial"/>
        </w:rPr>
        <w:t xml:space="preserve">In response, </w:t>
      </w:r>
      <w:r w:rsidR="00405053">
        <w:rPr>
          <w:rFonts w:ascii="Arial" w:eastAsia="Arial" w:hAnsi="Arial" w:cs="Arial"/>
        </w:rPr>
        <w:t>six</w:t>
      </w:r>
      <w:r w:rsidRPr="00A501B3">
        <w:rPr>
          <w:rFonts w:ascii="Arial" w:eastAsia="Arial" w:hAnsi="Arial" w:cs="Arial"/>
        </w:rPr>
        <w:t xml:space="preserve"> evidence-based recommendations are proposed: standardising triage using the FAST (Face, Arm, Speech, Time) and ROSIER (Recognition of Stroke in the Emergency Room) tools aligned with NICE NG128 (NICE, 2019; Middleton et al., 2016); implementing rapid-access CT (computed tomography) pathways (Meretoja et al., 2013; RCP, 2020); mandating SBAR (Situation, Background, Assessment, Recommendation) communication across multidisciplinary teams (RCP, 2016); strengthening clinical supervision and workforce stability (Buchan et al., 2019; Health Education England, 2018); and embedding continuous quality improvement through PDSA (Plan-Do-Study-Act) cycles and SSNAP (Sentinel Stroke National Audit Programme) benchmarking (Taylor et al., 2014; RCP, 2024).</w:t>
      </w:r>
    </w:p>
    <w:p w14:paraId="6C88579E" w14:textId="77777777" w:rsidR="00A501B3" w:rsidRPr="00A501B3" w:rsidRDefault="00A501B3" w:rsidP="00A501B3">
      <w:pPr>
        <w:spacing w:line="360" w:lineRule="auto"/>
        <w:jc w:val="both"/>
        <w:rPr>
          <w:rFonts w:ascii="Arial" w:eastAsia="Arial" w:hAnsi="Arial" w:cs="Arial"/>
        </w:rPr>
      </w:pPr>
      <w:r w:rsidRPr="00A501B3">
        <w:rPr>
          <w:rFonts w:ascii="Arial" w:eastAsia="Arial" w:hAnsi="Arial" w:cs="Arial"/>
        </w:rPr>
        <w:t>Implementation is guided by Kotter’s 8-Step Change Model (Kotter, 1996). This model emphasises leadership, cultural transformation, and sustained evaluation. Long-term improvement depends on organisational commitment, adequate resourcing, and continuous monitoring. This is needed to ensure safe, timely, and effective stroke care (Vincent et al., 2017; Robertson et al., 2017).</w:t>
      </w:r>
    </w:p>
    <w:p w14:paraId="459643A8" w14:textId="77777777" w:rsidR="00A501B3" w:rsidRPr="00A501B3" w:rsidRDefault="00A501B3" w:rsidP="00A501B3">
      <w:pPr>
        <w:spacing w:line="360" w:lineRule="auto"/>
        <w:jc w:val="both"/>
        <w:rPr>
          <w:rFonts w:ascii="Arial" w:eastAsia="Arial" w:hAnsi="Arial" w:cs="Arial"/>
          <w:b/>
          <w:bCs/>
        </w:rPr>
      </w:pPr>
    </w:p>
    <w:p w14:paraId="41FD64F1" w14:textId="77777777" w:rsidR="00383892" w:rsidRDefault="00383892" w:rsidP="00FC63E5">
      <w:pPr>
        <w:spacing w:line="360" w:lineRule="auto"/>
        <w:jc w:val="both"/>
        <w:rPr>
          <w:rFonts w:ascii="Arial" w:eastAsia="Arial" w:hAnsi="Arial" w:cs="Arial"/>
          <w:b/>
          <w:bCs/>
        </w:rPr>
      </w:pPr>
    </w:p>
    <w:p w14:paraId="3FBBA879" w14:textId="77777777" w:rsidR="00383892" w:rsidRDefault="00383892" w:rsidP="00FC63E5">
      <w:pPr>
        <w:spacing w:line="360" w:lineRule="auto"/>
        <w:jc w:val="both"/>
        <w:rPr>
          <w:rFonts w:ascii="Arial" w:eastAsia="Arial" w:hAnsi="Arial" w:cs="Arial"/>
          <w:b/>
          <w:bCs/>
        </w:rPr>
      </w:pPr>
    </w:p>
    <w:p w14:paraId="75FEF291" w14:textId="77777777" w:rsidR="00F15E57" w:rsidRDefault="00F15E57" w:rsidP="00FC63E5">
      <w:pPr>
        <w:spacing w:line="360" w:lineRule="auto"/>
        <w:jc w:val="both"/>
        <w:rPr>
          <w:rFonts w:ascii="Arial" w:eastAsia="Arial" w:hAnsi="Arial" w:cs="Arial"/>
          <w:b/>
          <w:bCs/>
        </w:rPr>
      </w:pPr>
    </w:p>
    <w:p w14:paraId="15AC4ED1" w14:textId="1C013946" w:rsidR="00EF6F0C" w:rsidRPr="00C612CC" w:rsidRDefault="00EF6F0C" w:rsidP="00FC63E5">
      <w:pPr>
        <w:spacing w:line="360" w:lineRule="auto"/>
        <w:jc w:val="both"/>
        <w:rPr>
          <w:rFonts w:ascii="Arial" w:eastAsia="Arial" w:hAnsi="Arial" w:cs="Arial"/>
          <w:b/>
          <w:bCs/>
        </w:rPr>
      </w:pPr>
      <w:r w:rsidRPr="00C612CC">
        <w:rPr>
          <w:rFonts w:ascii="Arial" w:eastAsia="Arial" w:hAnsi="Arial" w:cs="Arial"/>
          <w:b/>
          <w:bCs/>
        </w:rPr>
        <w:lastRenderedPageBreak/>
        <w:t>1. Introduction</w:t>
      </w:r>
    </w:p>
    <w:p w14:paraId="3E8E107E" w14:textId="629B39B5" w:rsidR="009A6A1C" w:rsidRPr="009A6A1C" w:rsidRDefault="009A6A1C" w:rsidP="009A6A1C">
      <w:pPr>
        <w:spacing w:line="360" w:lineRule="auto"/>
        <w:jc w:val="both"/>
        <w:rPr>
          <w:rFonts w:ascii="Arial" w:eastAsia="Arial" w:hAnsi="Arial" w:cs="Arial"/>
        </w:rPr>
      </w:pPr>
      <w:r w:rsidRPr="009A6A1C">
        <w:rPr>
          <w:rFonts w:ascii="Arial" w:eastAsia="Arial" w:hAnsi="Arial" w:cs="Arial"/>
        </w:rPr>
        <w:t>Stroke is a major health challenge in the UK. It ranks among the leading causes of death and long-term disability, with around 100,000 people experiencing a stroke each year (Stroke Association, 2023; Feigin et al., 2022). The importance of addressing stroke care is underscored by the growing demands placed on the NHS, escalating health inequalities, and an ageing population. In recent years, policymakers and clinicians have placed increasing emphasis on improving acute stroke care pathways to reduce mortality and disability, with national reporting highlighting persistent gaps in timely treatment and workforce capacity across acute services (Robertson et al., 2017; NHS England, 2025). There are significant regional differences in outcomes, particularly associated with socioeconomic status and access to care (Strong et al., 2007). High-quality care requires rapid triage, timely scans, effective teamwork, and adherence to evidence-based pathways. These are outlined in NICE NG128 and the National Stroke Strategy, which form the basis for national and local service improvement initiatives (Feigin et al., 2023; Strong et al., 2007; NHS England, 2024). Failures at any point in the delivery of stroke care can cause preventable harm and compromise patient outcomes. Acute stroke service quality is critical, especially in hospitals serving deprived populations, where stroke rates and severity are higher (Boehme et al., 2017; Rudd et al., 2020). However, evaluating and improving local stroke services are vital to addressing both clinical effectiveness and health equity.</w:t>
      </w:r>
    </w:p>
    <w:p w14:paraId="2008AA0E" w14:textId="6EF56815" w:rsidR="009A6A1C" w:rsidRPr="009A6A1C" w:rsidRDefault="009A6A1C" w:rsidP="009A6A1C">
      <w:pPr>
        <w:spacing w:line="360" w:lineRule="auto"/>
        <w:jc w:val="both"/>
        <w:rPr>
          <w:rFonts w:ascii="Arial" w:eastAsia="Arial" w:hAnsi="Arial" w:cs="Arial"/>
        </w:rPr>
      </w:pPr>
      <w:r w:rsidRPr="009A6A1C">
        <w:rPr>
          <w:rFonts w:ascii="Arial" w:eastAsia="Arial" w:hAnsi="Arial" w:cs="Arial"/>
        </w:rPr>
        <w:t>From 2014–2018, Blackpool Victoria Hospital’s Stroke Unit faced scrutiny. Staff, patients, and regulatory bodies raised concerns. The Care Quality Commission (CQC), whistleblowers, and internal reviewers identified systemic failures, including poor triage, bad communication, inconsistent imaging, broken care pathways, and weak supervision (CQC, 2017; NHS England, 2019a; Blackpool Teaching Hospitals NHS Foundation Trust, 2018; Dummigan, 2025; Gentleman, 2026). Deeper organisational problems caused these issues and put patient safety at risk. The Stroke Unit often underperformed against national SSNAP benchmarks, especially in door-to-needle time, CT scanning, and access to specialist care (SSNAP, 2015; SSNAP, 2018). However, similarly resourced stroke units in other regions demonstrated that targeted interventions, such as multidisciplinary rapid response teams and structured clinical governance, can significantly improve performance in challenging environments (RCP, 2020; Middleton et al., 2016). These examples show that, while Blackpool faced systemic barriers, comparable settings achieved better outcomes when teams implemented robust improvement strategies (NHS England, 2021).</w:t>
      </w:r>
    </w:p>
    <w:p w14:paraId="46C0A98B" w14:textId="0770A532" w:rsidR="009A6A1C" w:rsidRDefault="009A6A1C" w:rsidP="009A6A1C">
      <w:pPr>
        <w:spacing w:line="360" w:lineRule="auto"/>
        <w:jc w:val="both"/>
        <w:rPr>
          <w:rFonts w:ascii="Arial" w:eastAsia="Arial" w:hAnsi="Arial" w:cs="Arial"/>
        </w:rPr>
      </w:pPr>
      <w:r w:rsidRPr="009A6A1C">
        <w:rPr>
          <w:rFonts w:ascii="Arial" w:eastAsia="Arial" w:hAnsi="Arial" w:cs="Arial"/>
        </w:rPr>
        <w:t xml:space="preserve">This report adopts a structured, multi-framework approach to analyse the root causes of these failures. The Donabedian Model examines relationships between structure, process, and </w:t>
      </w:r>
      <w:r w:rsidRPr="009A6A1C">
        <w:rPr>
          <w:rFonts w:ascii="Arial" w:eastAsia="Arial" w:hAnsi="Arial" w:cs="Arial"/>
        </w:rPr>
        <w:lastRenderedPageBreak/>
        <w:t>outcomes, while the Fishbone Diagram and 5 Whys probe underlying service deficiencies. SWOT analysis further assesses organisational readiness and external pressures. These insights inform evidence-based recommendations, supported by quality improvement methodologies such as the PDSA cycle and Kotter’s change management model. This integrated approach ensures that proposed improvements remain systematic, contextually relevant, and aligned with national standards.</w:t>
      </w:r>
    </w:p>
    <w:p w14:paraId="277C19A6" w14:textId="497C75D1" w:rsidR="008D1F97" w:rsidRPr="00FC63E5" w:rsidRDefault="00F7271A" w:rsidP="00FC63E5">
      <w:pPr>
        <w:spacing w:line="360" w:lineRule="auto"/>
        <w:jc w:val="both"/>
        <w:rPr>
          <w:rFonts w:ascii="Arial" w:eastAsia="Arial" w:hAnsi="Arial" w:cs="Arial"/>
          <w:b/>
          <w:bCs/>
        </w:rPr>
      </w:pPr>
      <w:r w:rsidRPr="00FC63E5">
        <w:rPr>
          <w:rFonts w:ascii="Arial" w:eastAsia="Arial" w:hAnsi="Arial" w:cs="Arial"/>
          <w:b/>
          <w:bCs/>
        </w:rPr>
        <w:t>2.</w:t>
      </w:r>
      <w:r w:rsidRPr="00FC63E5">
        <w:rPr>
          <w:rFonts w:ascii="Arial" w:eastAsia="Arial" w:hAnsi="Arial" w:cs="Arial"/>
          <w:b/>
          <w:bCs/>
        </w:rPr>
        <w:t>Root Cause Analysis</w:t>
      </w:r>
    </w:p>
    <w:p w14:paraId="606D4580" w14:textId="5E34B6AB" w:rsidR="00620C42" w:rsidRDefault="00620C42" w:rsidP="00FC63E5">
      <w:pPr>
        <w:spacing w:line="360" w:lineRule="auto"/>
        <w:jc w:val="both"/>
        <w:rPr>
          <w:rFonts w:ascii="Arial" w:eastAsia="Arial" w:hAnsi="Arial" w:cs="Arial"/>
        </w:rPr>
      </w:pPr>
      <w:r w:rsidRPr="00620C42">
        <w:rPr>
          <w:rFonts w:ascii="Arial" w:eastAsia="Arial" w:hAnsi="Arial" w:cs="Arial"/>
        </w:rPr>
        <w:t xml:space="preserve">This section uses complementary diagnostic </w:t>
      </w:r>
      <w:r w:rsidR="00477BB2" w:rsidRPr="00620C42">
        <w:rPr>
          <w:rFonts w:ascii="Arial" w:eastAsia="Arial" w:hAnsi="Arial" w:cs="Arial"/>
        </w:rPr>
        <w:t>model’s</w:t>
      </w:r>
      <w:r w:rsidR="0076595F">
        <w:rPr>
          <w:rFonts w:ascii="Arial" w:eastAsia="Arial" w:hAnsi="Arial" w:cs="Arial"/>
        </w:rPr>
        <w:t xml:space="preserve"> </w:t>
      </w:r>
      <w:r w:rsidRPr="00620C42">
        <w:rPr>
          <w:rFonts w:ascii="Arial" w:eastAsia="Arial" w:hAnsi="Arial" w:cs="Arial"/>
        </w:rPr>
        <w:t>systematic approaches that help analyse and identify the underlying causes of these failures.</w:t>
      </w:r>
    </w:p>
    <w:p w14:paraId="4FAC61C7" w14:textId="09C4DD5F" w:rsidR="007128DD" w:rsidRPr="00FC63E5" w:rsidRDefault="0E3A931F" w:rsidP="00FC63E5">
      <w:pPr>
        <w:spacing w:line="360" w:lineRule="auto"/>
        <w:jc w:val="both"/>
        <w:rPr>
          <w:rFonts w:ascii="Arial" w:hAnsi="Arial" w:cs="Arial"/>
          <w:b/>
          <w:bCs/>
        </w:rPr>
      </w:pPr>
      <w:r w:rsidRPr="00FC63E5">
        <w:rPr>
          <w:rFonts w:ascii="Arial" w:hAnsi="Arial" w:cs="Arial"/>
          <w:b/>
          <w:bCs/>
        </w:rPr>
        <w:t>2.</w:t>
      </w:r>
      <w:r w:rsidR="00F7271A" w:rsidRPr="00FC63E5">
        <w:rPr>
          <w:rFonts w:ascii="Arial" w:hAnsi="Arial" w:cs="Arial"/>
          <w:b/>
          <w:bCs/>
        </w:rPr>
        <w:t>1</w:t>
      </w:r>
      <w:r w:rsidRPr="00FC63E5">
        <w:rPr>
          <w:rFonts w:ascii="Arial" w:hAnsi="Arial" w:cs="Arial"/>
          <w:b/>
          <w:bCs/>
        </w:rPr>
        <w:t xml:space="preserve"> Fishbone Model</w:t>
      </w:r>
      <w:r w:rsidR="004011D0">
        <w:rPr>
          <w:rFonts w:ascii="Arial" w:hAnsi="Arial" w:cs="Arial"/>
          <w:b/>
          <w:bCs/>
        </w:rPr>
        <w:t xml:space="preserve"> (Diagram 1)</w:t>
      </w:r>
    </w:p>
    <w:p w14:paraId="2E617433" w14:textId="5A0D9829" w:rsidR="007128DD" w:rsidRPr="00FC63E5" w:rsidRDefault="43C3823C" w:rsidP="00FC63E5">
      <w:pPr>
        <w:spacing w:line="360" w:lineRule="auto"/>
        <w:jc w:val="both"/>
        <w:rPr>
          <w:rFonts w:ascii="Arial" w:hAnsi="Arial" w:cs="Arial"/>
        </w:rPr>
      </w:pPr>
      <w:r w:rsidRPr="00FC63E5">
        <w:rPr>
          <w:rFonts w:ascii="Arial" w:hAnsi="Arial" w:cs="Arial"/>
          <w:noProof/>
        </w:rPr>
        <w:drawing>
          <wp:inline distT="0" distB="0" distL="0" distR="0" wp14:anchorId="4E3954A3" wp14:editId="1C97E294">
            <wp:extent cx="5577840" cy="3116580"/>
            <wp:effectExtent l="76200" t="76200" r="137160" b="140970"/>
            <wp:docPr id="5707930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793077" name="Picture 570793077"/>
                    <pic:cNvPicPr/>
                  </pic:nvPicPr>
                  <pic:blipFill>
                    <a:blip r:embed="rId10">
                      <a:extLst>
                        <a:ext uri="{28A0092B-C50C-407E-A947-70E740481C1C}">
                          <a14:useLocalDpi xmlns:a14="http://schemas.microsoft.com/office/drawing/2010/main"/>
                        </a:ext>
                      </a:extLst>
                    </a:blip>
                    <a:stretch>
                      <a:fillRect/>
                    </a:stretch>
                  </pic:blipFill>
                  <pic:spPr>
                    <a:xfrm>
                      <a:off x="0" y="0"/>
                      <a:ext cx="5578766" cy="31170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126D23" w14:textId="3AF88350" w:rsidR="009F3ABC" w:rsidRPr="009F3ABC" w:rsidRDefault="009F3ABC" w:rsidP="009F3ABC">
      <w:pPr>
        <w:spacing w:before="120" w:after="120" w:line="360" w:lineRule="auto"/>
        <w:jc w:val="both"/>
        <w:rPr>
          <w:rFonts w:ascii="Arial" w:eastAsia="Arial" w:hAnsi="Arial" w:cs="Arial"/>
        </w:rPr>
      </w:pPr>
      <w:r w:rsidRPr="009F3ABC">
        <w:rPr>
          <w:rFonts w:ascii="Arial" w:eastAsia="Arial" w:hAnsi="Arial" w:cs="Arial"/>
        </w:rPr>
        <w:t xml:space="preserve">The Fishbone Diagram (Ishikawa, 1986) provides a systematic framework for identifying root causes of quality failures in Blackpool Victoria Hospital’s Stroke Unit, as shown in diagram 1 above. The central spine represents compromised quality of stroke care. The model groups contributory factors as People, Processes, Policies, Equipment, and Environment. In the People domain, staffing shortages, low morale, and limited psychological safety caused poor communication and inconsistent supervision. Process failures, such as triage delays and fragmented care pathways, undermined timely assessment and treatment. Outdated protocols and weak governance led to inconsistent decision-making and non-compliance with NICE NG128 standards (NICE, 2019; RCP, 2020). Equipment constraints, especially limited CT imaging, determined stroke outcomes (RCP, 2020; SSNAP, 2022). Overcrowding and high </w:t>
      </w:r>
      <w:r w:rsidRPr="009F3ABC">
        <w:rPr>
          <w:rFonts w:ascii="Arial" w:eastAsia="Arial" w:hAnsi="Arial" w:cs="Arial"/>
        </w:rPr>
        <w:lastRenderedPageBreak/>
        <w:t>patient demand worsened inefficiencies in the care pathway (NHS England, 2019c). This analysis shows that failures from 2014 to 2018 were systemic, interdependent, and rooted in organisational conditions rather than isolated incidents (SSNAP, 2022; NHS England, 2019c).</w:t>
      </w:r>
    </w:p>
    <w:p w14:paraId="1D000EDA" w14:textId="02F1B95A" w:rsidR="009F3ABC" w:rsidRDefault="009F3ABC" w:rsidP="009F3ABC">
      <w:pPr>
        <w:spacing w:before="120" w:after="120" w:line="360" w:lineRule="auto"/>
        <w:jc w:val="both"/>
        <w:rPr>
          <w:rFonts w:ascii="Arial" w:eastAsia="Arial" w:hAnsi="Arial" w:cs="Arial"/>
        </w:rPr>
      </w:pPr>
      <w:r w:rsidRPr="009F3ABC">
        <w:rPr>
          <w:rFonts w:ascii="Arial" w:eastAsia="Arial" w:hAnsi="Arial" w:cs="Arial"/>
        </w:rPr>
        <w:t>The Fishbone Diagram was selected over the Five Whys method because it examines multiple causal factors across organisational domains. The Five Whys provides depth through sequential questioning but is less effective in complex healthcare settings with interacting variables (Dyson, 2004; Bergman and Klefsjö, 2010). The Fishbone Diagram supports a structured and comprehensive analysis of contributory factors. However, it does not clarify direct cause-and-effect relationships or the evolving interplay among variables over time, which may limit its ability to fully capture system dynamics. For this reason, it should be used alongside other analytical tools.</w:t>
      </w:r>
    </w:p>
    <w:p w14:paraId="0CC454EF" w14:textId="77777777" w:rsidR="007A236B" w:rsidRDefault="007A236B" w:rsidP="00FC63E5">
      <w:pPr>
        <w:spacing w:before="120" w:after="120" w:line="360" w:lineRule="auto"/>
        <w:jc w:val="both"/>
        <w:rPr>
          <w:rFonts w:ascii="Arial" w:eastAsia="Arial" w:hAnsi="Arial" w:cs="Arial"/>
        </w:rPr>
      </w:pPr>
    </w:p>
    <w:p w14:paraId="685789DD" w14:textId="2C572A0C" w:rsidR="00AC29EE" w:rsidRDefault="005B04AA" w:rsidP="00FC63E5">
      <w:pPr>
        <w:spacing w:before="120" w:after="120" w:line="360" w:lineRule="auto"/>
        <w:jc w:val="both"/>
        <w:rPr>
          <w:rFonts w:ascii="Arial" w:hAnsi="Arial" w:cs="Arial"/>
        </w:rPr>
      </w:pPr>
      <w:r w:rsidRPr="00FC63E5">
        <w:rPr>
          <w:rFonts w:ascii="Arial" w:eastAsia="Arial" w:hAnsi="Arial" w:cs="Arial"/>
          <w:b/>
          <w:bCs/>
        </w:rPr>
        <w:t>2.</w:t>
      </w:r>
      <w:r w:rsidR="009F3ABC">
        <w:rPr>
          <w:rFonts w:ascii="Arial" w:eastAsia="Arial" w:hAnsi="Arial" w:cs="Arial"/>
          <w:b/>
          <w:bCs/>
        </w:rPr>
        <w:t>2</w:t>
      </w:r>
      <w:r w:rsidRPr="00FC63E5">
        <w:rPr>
          <w:rFonts w:ascii="Arial" w:eastAsia="Arial" w:hAnsi="Arial" w:cs="Arial"/>
          <w:b/>
          <w:bCs/>
        </w:rPr>
        <w:t xml:space="preserve"> The 5 Whys</w:t>
      </w:r>
      <w:r w:rsidR="000147B6">
        <w:rPr>
          <w:rFonts w:ascii="Arial" w:eastAsia="Arial" w:hAnsi="Arial" w:cs="Arial"/>
          <w:b/>
          <w:bCs/>
        </w:rPr>
        <w:t xml:space="preserve"> </w:t>
      </w:r>
      <w:r w:rsidR="006814C4">
        <w:rPr>
          <w:rFonts w:ascii="Arial" w:eastAsia="Arial" w:hAnsi="Arial" w:cs="Arial"/>
          <w:b/>
          <w:bCs/>
        </w:rPr>
        <w:t>Analysis</w:t>
      </w:r>
      <w:r w:rsidR="004011D0">
        <w:rPr>
          <w:rFonts w:ascii="Arial" w:eastAsia="Arial" w:hAnsi="Arial" w:cs="Arial"/>
          <w:b/>
          <w:bCs/>
        </w:rPr>
        <w:t xml:space="preserve"> (Diagram 2)</w:t>
      </w:r>
      <w:r w:rsidR="00B54F11" w:rsidRPr="00B54F11">
        <w:rPr>
          <w:rFonts w:ascii="Arial" w:hAnsi="Arial" w:cs="Arial"/>
        </w:rPr>
        <w:t xml:space="preserve"> </w:t>
      </w:r>
      <w:r w:rsidR="00006AF9" w:rsidRPr="00B9369D">
        <w:rPr>
          <w:rFonts w:ascii="Arial" w:eastAsia="Times New Roman" w:hAnsi="Arial" w:cs="Arial"/>
          <w:noProof/>
          <w:kern w:val="0"/>
          <w:lang w:eastAsia="en-GB"/>
          <w14:ligatures w14:val="none"/>
        </w:rPr>
        <mc:AlternateContent>
          <mc:Choice Requires="wps">
            <w:drawing>
              <wp:anchor distT="45720" distB="45720" distL="114300" distR="114300" simplePos="0" relativeHeight="251659264" behindDoc="0" locked="0" layoutInCell="1" allowOverlap="1" wp14:anchorId="629C4309" wp14:editId="5584CD57">
                <wp:simplePos x="0" y="0"/>
                <wp:positionH relativeFrom="margin">
                  <wp:posOffset>3167380</wp:posOffset>
                </wp:positionH>
                <wp:positionV relativeFrom="paragraph">
                  <wp:posOffset>469265</wp:posOffset>
                </wp:positionV>
                <wp:extent cx="2780665" cy="4017010"/>
                <wp:effectExtent l="0" t="0" r="1968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0665" cy="4017010"/>
                        </a:xfrm>
                        <a:prstGeom prst="rect">
                          <a:avLst/>
                        </a:prstGeom>
                        <a:solidFill>
                          <a:srgbClr val="FFFFFF"/>
                        </a:solidFill>
                        <a:ln w="9525">
                          <a:solidFill>
                            <a:srgbClr val="000000"/>
                          </a:solidFill>
                          <a:miter lim="800000"/>
                          <a:headEnd/>
                          <a:tailEnd/>
                        </a:ln>
                      </wps:spPr>
                      <wps:txbx>
                        <w:txbxContent>
                          <w:p w14:paraId="0081B33D" w14:textId="28C572A5" w:rsidR="00B9369D" w:rsidRDefault="00B9369D">
                            <w:r w:rsidRPr="00B9369D">
                              <w:drawing>
                                <wp:inline distT="0" distB="0" distL="0" distR="0" wp14:anchorId="3780BE0D" wp14:editId="20170FDC">
                                  <wp:extent cx="2642911" cy="3875405"/>
                                  <wp:effectExtent l="0" t="0" r="5080" b="0"/>
                                  <wp:docPr id="3591591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9414" cy="388494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9C4309" id="_x0000_t202" coordsize="21600,21600" o:spt="202" path="m,l,21600r21600,l21600,xe">
                <v:stroke joinstyle="miter"/>
                <v:path gradientshapeok="t" o:connecttype="rect"/>
              </v:shapetype>
              <v:shape id="Text Box 2" o:spid="_x0000_s1026" type="#_x0000_t202" style="position:absolute;left:0;text-align:left;margin-left:249.4pt;margin-top:36.95pt;width:218.95pt;height:316.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">
                <v:textbox>
                  <w:txbxContent>
                    <w:p w14:paraId="0081B33D" w14:textId="28C572A5" w:rsidR="00B9369D" w:rsidRDefault="00B9369D">
                      <w:r w:rsidRPr="00B9369D">
                        <w:drawing>
                          <wp:inline distT="0" distB="0" distL="0" distR="0" wp14:anchorId="3780BE0D" wp14:editId="20170FDC">
                            <wp:extent cx="2642911" cy="3875405"/>
                            <wp:effectExtent l="0" t="0" r="5080" b="0"/>
                            <wp:docPr id="3591591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9414" cy="3884941"/>
                                    </a:xfrm>
                                    <a:prstGeom prst="rect">
                                      <a:avLst/>
                                    </a:prstGeom>
                                    <a:noFill/>
                                    <a:ln>
                                      <a:noFill/>
                                    </a:ln>
                                  </pic:spPr>
                                </pic:pic>
                              </a:graphicData>
                            </a:graphic>
                          </wp:inline>
                        </w:drawing>
                      </w:r>
                    </w:p>
                  </w:txbxContent>
                </v:textbox>
                <w10:wrap type="square" anchorx="margin"/>
              </v:shape>
            </w:pict>
          </mc:Fallback>
        </mc:AlternateContent>
      </w:r>
      <w:r w:rsidR="00006AF9" w:rsidRPr="00AC29EE">
        <w:rPr>
          <w:rFonts w:ascii="Arial" w:eastAsia="Times New Roman" w:hAnsi="Arial" w:cs="Arial"/>
          <w:noProof/>
          <w:kern w:val="0"/>
          <w:lang w:eastAsia="en-GB"/>
          <w14:ligatures w14:val="none"/>
        </w:rPr>
        <mc:AlternateContent>
          <mc:Choice Requires="wps">
            <w:drawing>
              <wp:anchor distT="45720" distB="45720" distL="114300" distR="114300" simplePos="0" relativeHeight="251661312" behindDoc="0" locked="0" layoutInCell="1" allowOverlap="1" wp14:anchorId="10785CA2" wp14:editId="459F613E">
                <wp:simplePos x="0" y="0"/>
                <wp:positionH relativeFrom="column">
                  <wp:posOffset>-100330</wp:posOffset>
                </wp:positionH>
                <wp:positionV relativeFrom="paragraph">
                  <wp:posOffset>475615</wp:posOffset>
                </wp:positionV>
                <wp:extent cx="2903220" cy="4046855"/>
                <wp:effectExtent l="0" t="0" r="11430" b="10795"/>
                <wp:wrapSquare wrapText="bothSides"/>
                <wp:docPr id="1482396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3220" cy="4046855"/>
                        </a:xfrm>
                        <a:prstGeom prst="rect">
                          <a:avLst/>
                        </a:prstGeom>
                        <a:solidFill>
                          <a:srgbClr val="FFFFFF"/>
                        </a:solidFill>
                        <a:ln w="9525">
                          <a:solidFill>
                            <a:srgbClr val="000000"/>
                          </a:solidFill>
                          <a:miter lim="800000"/>
                          <a:headEnd/>
                          <a:tailEnd/>
                        </a:ln>
                      </wps:spPr>
                      <wps:txbx>
                        <w:txbxContent>
                          <w:p w14:paraId="6AA8782F" w14:textId="3F4C184E" w:rsidR="00AC29EE" w:rsidRDefault="0007289D">
                            <w:r w:rsidRPr="0007289D">
                              <w:drawing>
                                <wp:inline distT="0" distB="0" distL="0" distR="0" wp14:anchorId="6DA812B1" wp14:editId="382B8EC8">
                                  <wp:extent cx="2764155" cy="3940769"/>
                                  <wp:effectExtent l="0" t="0" r="0" b="3175"/>
                                  <wp:docPr id="13744474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9718" cy="396295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85CA2" id="_x0000_s1027" type="#_x0000_t202" style="position:absolute;left:0;text-align:left;margin-left:-7.9pt;margin-top:37.45pt;width:228.6pt;height:318.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">
                <v:textbox>
                  <w:txbxContent>
                    <w:p w14:paraId="6AA8782F" w14:textId="3F4C184E" w:rsidR="00AC29EE" w:rsidRDefault="0007289D">
                      <w:r w:rsidRPr="0007289D">
                        <w:drawing>
                          <wp:inline distT="0" distB="0" distL="0" distR="0" wp14:anchorId="6DA812B1" wp14:editId="382B8EC8">
                            <wp:extent cx="2764155" cy="3940769"/>
                            <wp:effectExtent l="0" t="0" r="0" b="3175"/>
                            <wp:docPr id="13744474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9718" cy="3962956"/>
                                    </a:xfrm>
                                    <a:prstGeom prst="rect">
                                      <a:avLst/>
                                    </a:prstGeom>
                                    <a:noFill/>
                                    <a:ln>
                                      <a:noFill/>
                                    </a:ln>
                                  </pic:spPr>
                                </pic:pic>
                              </a:graphicData>
                            </a:graphic>
                          </wp:inline>
                        </w:drawing>
                      </w:r>
                    </w:p>
                  </w:txbxContent>
                </v:textbox>
                <w10:wrap type="square"/>
              </v:shape>
            </w:pict>
          </mc:Fallback>
        </mc:AlternateContent>
      </w:r>
    </w:p>
    <w:p w14:paraId="15A47610" w14:textId="03EEFFBE" w:rsidR="00AC29EE" w:rsidRDefault="00AC29EE" w:rsidP="00FC63E5">
      <w:pPr>
        <w:spacing w:before="120" w:after="120" w:line="360" w:lineRule="auto"/>
        <w:jc w:val="both"/>
        <w:rPr>
          <w:rFonts w:ascii="Arial" w:hAnsi="Arial" w:cs="Arial"/>
        </w:rPr>
      </w:pPr>
    </w:p>
    <w:p w14:paraId="28102CC9" w14:textId="0CBAB3F5" w:rsidR="00BC0D46" w:rsidRPr="00FC63E5" w:rsidRDefault="00BC0D46" w:rsidP="00FC63E5">
      <w:pPr>
        <w:spacing w:line="360" w:lineRule="auto"/>
        <w:jc w:val="both"/>
        <w:rPr>
          <w:rFonts w:ascii="Arial" w:hAnsi="Arial" w:cs="Arial"/>
        </w:rPr>
      </w:pPr>
      <w:r w:rsidRPr="00FC63E5">
        <w:rPr>
          <w:rFonts w:ascii="Arial" w:eastAsia="Times New Roman" w:hAnsi="Arial" w:cs="Arial"/>
          <w:kern w:val="0"/>
          <w:lang w:eastAsia="en-GB"/>
          <w14:ligatures w14:val="none"/>
        </w:rPr>
        <w:t xml:space="preserve"> </w:t>
      </w:r>
    </w:p>
    <w:p w14:paraId="2A94F744" w14:textId="2F63ABA0" w:rsidR="0033763C" w:rsidRPr="0033763C" w:rsidRDefault="0033763C" w:rsidP="0033763C">
      <w:pPr>
        <w:spacing w:line="360" w:lineRule="auto"/>
        <w:jc w:val="both"/>
        <w:rPr>
          <w:rFonts w:ascii="Arial" w:hAnsi="Arial" w:cs="Arial"/>
        </w:rPr>
      </w:pPr>
      <w:r w:rsidRPr="000E1A1D">
        <w:rPr>
          <w:rFonts w:ascii="Arial" w:hAnsi="Arial" w:cs="Arial"/>
          <w:noProof/>
        </w:rPr>
        <w:lastRenderedPageBreak/>
        <mc:AlternateContent>
          <mc:Choice Requires="wps">
            <w:drawing>
              <wp:anchor distT="45720" distB="45720" distL="114300" distR="114300" simplePos="0" relativeHeight="251663360" behindDoc="0" locked="0" layoutInCell="1" allowOverlap="1" wp14:anchorId="23720718" wp14:editId="2F7A68B5">
                <wp:simplePos x="0" y="0"/>
                <wp:positionH relativeFrom="margin">
                  <wp:align>left</wp:align>
                </wp:positionH>
                <wp:positionV relativeFrom="paragraph">
                  <wp:posOffset>3810</wp:posOffset>
                </wp:positionV>
                <wp:extent cx="2790190" cy="3474720"/>
                <wp:effectExtent l="0" t="0" r="10160" b="11430"/>
                <wp:wrapSquare wrapText="bothSides"/>
                <wp:docPr id="1592913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395" cy="3474720"/>
                        </a:xfrm>
                        <a:prstGeom prst="rect">
                          <a:avLst/>
                        </a:prstGeom>
                        <a:solidFill>
                          <a:srgbClr val="FFFFFF"/>
                        </a:solidFill>
                        <a:ln w="9525">
                          <a:solidFill>
                            <a:srgbClr val="000000"/>
                          </a:solidFill>
                          <a:miter lim="800000"/>
                          <a:headEnd/>
                          <a:tailEnd/>
                        </a:ln>
                      </wps:spPr>
                      <wps:txbx>
                        <w:txbxContent>
                          <w:p w14:paraId="03CAB697" w14:textId="06FA0F02" w:rsidR="000E1A1D" w:rsidRDefault="000E1A1D">
                            <w:r w:rsidRPr="000E1A1D">
                              <w:drawing>
                                <wp:inline distT="0" distB="0" distL="0" distR="0" wp14:anchorId="47DC82E9" wp14:editId="032D0CC3">
                                  <wp:extent cx="2607515" cy="3279775"/>
                                  <wp:effectExtent l="0" t="0" r="2540" b="0"/>
                                  <wp:docPr id="6483333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6077" cy="330312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720718" id="_x0000_s1028" type="#_x0000_t202" style="position:absolute;left:0;text-align:left;margin-left:0;margin-top:.3pt;width:219.7pt;height:273.6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">
                <v:textbox>
                  <w:txbxContent>
                    <w:p w14:paraId="03CAB697" w14:textId="06FA0F02" w:rsidR="000E1A1D" w:rsidRDefault="000E1A1D">
                      <w:r w:rsidRPr="000E1A1D">
                        <w:drawing>
                          <wp:inline distT="0" distB="0" distL="0" distR="0" wp14:anchorId="47DC82E9" wp14:editId="032D0CC3">
                            <wp:extent cx="2607515" cy="3279775"/>
                            <wp:effectExtent l="0" t="0" r="2540" b="0"/>
                            <wp:docPr id="6483333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6077" cy="3303123"/>
                                    </a:xfrm>
                                    <a:prstGeom prst="rect">
                                      <a:avLst/>
                                    </a:prstGeom>
                                    <a:noFill/>
                                    <a:ln>
                                      <a:noFill/>
                                    </a:ln>
                                  </pic:spPr>
                                </pic:pic>
                              </a:graphicData>
                            </a:graphic>
                          </wp:inline>
                        </w:drawing>
                      </w:r>
                    </w:p>
                  </w:txbxContent>
                </v:textbox>
                <w10:wrap type="square" anchorx="margin"/>
              </v:shape>
            </w:pict>
          </mc:Fallback>
        </mc:AlternateContent>
      </w:r>
      <w:r w:rsidRPr="0033763C">
        <w:rPr>
          <w:rFonts w:ascii="Arial" w:hAnsi="Arial" w:cs="Arial"/>
        </w:rPr>
        <w:t>Applying the 5 Whys methodology across five key domains triage, communication, imaging, treatment pathways, and clinical supervision reveals distinct yet interconnected causal chains within the Blackpool Victoria Hospital Stroke Unit. Insufficient stroke prioritisation and non-standardised triage processes led to delays in CT imaging, both of which were underpinned by absent protocols, governance deficiencies, and a culture marked by low accountability (CQC, 2022; NHS England, 2019c). Inadequate training and limited psychological safety caused communication failures by restricting staff's willingness to escalate concerns (Edmondson, 2018). Persistent staffing shortages and slow radiology reporting compounded treatment delays (RCP, 2023), while rota gaps and high staff turnover caused deficits in clinical supervision (NHS England, 2019c).</w:t>
      </w:r>
    </w:p>
    <w:p w14:paraId="2673B425" w14:textId="44B7707D" w:rsidR="0033763C" w:rsidRPr="00E37E9E" w:rsidRDefault="0033763C" w:rsidP="0033763C">
      <w:pPr>
        <w:spacing w:line="360" w:lineRule="auto"/>
        <w:jc w:val="both"/>
        <w:rPr>
          <w:rFonts w:ascii="Arial" w:hAnsi="Arial" w:cs="Arial"/>
        </w:rPr>
      </w:pPr>
      <w:r w:rsidRPr="0033763C">
        <w:rPr>
          <w:rFonts w:ascii="Arial" w:hAnsi="Arial" w:cs="Arial"/>
        </w:rPr>
        <w:t>Across these domains, the 5 Whys analysis demonstrates that, although each issue follows a distinct causal pathway, overarching systemic challenges, weak management structures, insufficient workforce capacity, and a resistant organisational culture drive most outcomes. When paired with the Fishbone Diagram, the 5 Whys clarifies causal links by actively distinguishing deeper drivers (root causes) from surface symptoms (effects) (Ishikawa, 1986). The Fishbone Diagram organises possible contributing factors, while the 5 Whys sequentially investigates these factors to reveal underlying mechanisms, as diagram 2 illustrates. However, the linear structure of the 5 Whys may oversimplify complex, multifactorial problems and can expose the process to subjective interpretation or incomplete data (Bergman and Klefsjö, 2010). Using both the Fishbone Diagram and 5 Whys together expands the breadth and depth of causal analysis, highlighting the value of multi-method approaches to address complex healthcare quality failures.</w:t>
      </w:r>
    </w:p>
    <w:p w14:paraId="3FD2BD24" w14:textId="5DEAD436" w:rsidR="00E37E9E" w:rsidRPr="00E37E9E" w:rsidRDefault="00E37E9E" w:rsidP="00E37E9E">
      <w:pPr>
        <w:spacing w:line="360" w:lineRule="auto"/>
        <w:jc w:val="both"/>
        <w:rPr>
          <w:rFonts w:ascii="Arial" w:hAnsi="Arial" w:cs="Arial"/>
        </w:rPr>
      </w:pPr>
      <w:r w:rsidRPr="00E37E9E">
        <w:rPr>
          <w:rFonts w:ascii="Arial" w:hAnsi="Arial" w:cs="Arial"/>
        </w:rPr>
        <w:t>.</w:t>
      </w:r>
    </w:p>
    <w:p w14:paraId="12AEF5C8" w14:textId="77777777" w:rsidR="00E37E9E" w:rsidRPr="00E37E9E" w:rsidRDefault="00E37E9E" w:rsidP="00E37E9E">
      <w:pPr>
        <w:spacing w:line="360" w:lineRule="auto"/>
        <w:jc w:val="both"/>
        <w:rPr>
          <w:rFonts w:ascii="Arial" w:hAnsi="Arial" w:cs="Arial"/>
          <w:b/>
          <w:bCs/>
        </w:rPr>
      </w:pPr>
    </w:p>
    <w:p w14:paraId="11A621A4" w14:textId="77777777" w:rsidR="00E37E9E" w:rsidRDefault="00E37E9E" w:rsidP="00FC63E5">
      <w:pPr>
        <w:spacing w:line="360" w:lineRule="auto"/>
        <w:jc w:val="both"/>
        <w:rPr>
          <w:rFonts w:ascii="Arial" w:hAnsi="Arial" w:cs="Arial"/>
          <w:b/>
          <w:bCs/>
        </w:rPr>
      </w:pPr>
    </w:p>
    <w:p w14:paraId="7EBDE121" w14:textId="77777777" w:rsidR="00B77820" w:rsidRDefault="00B77820" w:rsidP="00FC63E5">
      <w:pPr>
        <w:spacing w:line="360" w:lineRule="auto"/>
        <w:jc w:val="both"/>
        <w:rPr>
          <w:rFonts w:ascii="Arial" w:hAnsi="Arial" w:cs="Arial"/>
          <w:b/>
          <w:bCs/>
        </w:rPr>
      </w:pPr>
    </w:p>
    <w:p w14:paraId="679E591D" w14:textId="444DBADD" w:rsidR="007128DD" w:rsidRPr="00FC63E5" w:rsidRDefault="7084FA51" w:rsidP="00FC63E5">
      <w:pPr>
        <w:spacing w:line="360" w:lineRule="auto"/>
        <w:jc w:val="both"/>
        <w:rPr>
          <w:rFonts w:ascii="Arial" w:hAnsi="Arial" w:cs="Arial"/>
          <w:b/>
          <w:bCs/>
        </w:rPr>
      </w:pPr>
      <w:r w:rsidRPr="00FC63E5">
        <w:rPr>
          <w:rFonts w:ascii="Arial" w:hAnsi="Arial" w:cs="Arial"/>
          <w:b/>
          <w:bCs/>
        </w:rPr>
        <w:lastRenderedPageBreak/>
        <w:t>2.</w:t>
      </w:r>
      <w:r w:rsidR="00006AF9">
        <w:rPr>
          <w:rFonts w:ascii="Arial" w:hAnsi="Arial" w:cs="Arial"/>
          <w:b/>
          <w:bCs/>
        </w:rPr>
        <w:t xml:space="preserve">3 </w:t>
      </w:r>
      <w:r w:rsidR="001F6991" w:rsidRPr="001F6991">
        <w:rPr>
          <w:rFonts w:ascii="Arial" w:hAnsi="Arial" w:cs="Arial"/>
          <w:b/>
          <w:bCs/>
        </w:rPr>
        <w:t>Application</w:t>
      </w:r>
      <w:r w:rsidR="001F6991" w:rsidRPr="001F6991">
        <w:rPr>
          <w:rFonts w:ascii="Arial" w:hAnsi="Arial" w:cs="Arial"/>
          <w:b/>
          <w:bCs/>
        </w:rPr>
        <w:t xml:space="preserve"> </w:t>
      </w:r>
      <w:r w:rsidR="001F6991">
        <w:rPr>
          <w:rFonts w:ascii="Arial" w:hAnsi="Arial" w:cs="Arial"/>
          <w:b/>
          <w:bCs/>
        </w:rPr>
        <w:t xml:space="preserve">of the </w:t>
      </w:r>
      <w:r w:rsidRPr="00FC63E5">
        <w:rPr>
          <w:rFonts w:ascii="Arial" w:hAnsi="Arial" w:cs="Arial"/>
          <w:b/>
          <w:bCs/>
        </w:rPr>
        <w:t>Donabedian model</w:t>
      </w:r>
      <w:r w:rsidR="00955EF1">
        <w:rPr>
          <w:rFonts w:ascii="Arial" w:hAnsi="Arial" w:cs="Arial"/>
          <w:b/>
          <w:bCs/>
        </w:rPr>
        <w:t xml:space="preserve"> (D</w:t>
      </w:r>
      <w:r w:rsidR="00457197">
        <w:rPr>
          <w:rFonts w:ascii="Arial" w:hAnsi="Arial" w:cs="Arial"/>
          <w:b/>
          <w:bCs/>
        </w:rPr>
        <w:t>iagram 3)</w:t>
      </w:r>
    </w:p>
    <w:p w14:paraId="7898C403" w14:textId="3B8DAA91" w:rsidR="00BE2599" w:rsidRDefault="00BE2599" w:rsidP="00627C19">
      <w:pPr>
        <w:spacing w:line="360" w:lineRule="auto"/>
        <w:jc w:val="both"/>
        <w:rPr>
          <w:rFonts w:ascii="Arial" w:hAnsi="Arial" w:cs="Arial"/>
        </w:rPr>
      </w:pPr>
    </w:p>
    <w:p w14:paraId="6331F4A4" w14:textId="77777777" w:rsidR="006B298D" w:rsidRPr="006B298D" w:rsidRDefault="00BE2599" w:rsidP="006B298D">
      <w:pPr>
        <w:spacing w:line="360" w:lineRule="auto"/>
        <w:jc w:val="both"/>
        <w:rPr>
          <w:rFonts w:ascii="Arial" w:eastAsia="Arial" w:hAnsi="Arial" w:cs="Arial"/>
          <w:lang w:val="en-US"/>
        </w:rPr>
      </w:pPr>
      <w:r w:rsidRPr="001A3FC0">
        <w:rPr>
          <w:rFonts w:ascii="Arial" w:hAnsi="Arial" w:cs="Arial"/>
          <w:noProof/>
        </w:rPr>
        <mc:AlternateContent>
          <mc:Choice Requires="wps">
            <w:drawing>
              <wp:anchor distT="45720" distB="45720" distL="114300" distR="114300" simplePos="0" relativeHeight="251665408" behindDoc="0" locked="0" layoutInCell="1" allowOverlap="1" wp14:anchorId="5493DE8C" wp14:editId="466AC2E0">
                <wp:simplePos x="0" y="0"/>
                <wp:positionH relativeFrom="margin">
                  <wp:align>left</wp:align>
                </wp:positionH>
                <wp:positionV relativeFrom="paragraph">
                  <wp:posOffset>5715</wp:posOffset>
                </wp:positionV>
                <wp:extent cx="3553460" cy="5273040"/>
                <wp:effectExtent l="0" t="0" r="27940" b="22860"/>
                <wp:wrapSquare wrapText="bothSides"/>
                <wp:docPr id="7011836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3460" cy="5273040"/>
                        </a:xfrm>
                        <a:prstGeom prst="rect">
                          <a:avLst/>
                        </a:prstGeom>
                        <a:solidFill>
                          <a:srgbClr val="FFFFFF"/>
                        </a:solidFill>
                        <a:ln w="9525">
                          <a:solidFill>
                            <a:srgbClr val="000000"/>
                          </a:solidFill>
                          <a:miter lim="800000"/>
                          <a:headEnd/>
                          <a:tailEnd/>
                        </a:ln>
                      </wps:spPr>
                      <wps:txbx>
                        <w:txbxContent>
                          <w:p w14:paraId="5A4E14E6" w14:textId="1F8643C2" w:rsidR="001A3FC0" w:rsidRDefault="001A3FC0">
                            <w:r w:rsidRPr="001A3FC0">
                              <w:drawing>
                                <wp:inline distT="0" distB="0" distL="0" distR="0" wp14:anchorId="6B51A0A1" wp14:editId="70156BF2">
                                  <wp:extent cx="3321685" cy="5047488"/>
                                  <wp:effectExtent l="0" t="0" r="0" b="1270"/>
                                  <wp:docPr id="2109299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2269" cy="5093962"/>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3DE8C" id="_x0000_s1029" type="#_x0000_t202" style="position:absolute;left:0;text-align:left;margin-left:0;margin-top:.45pt;width:279.8pt;height:415.2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">
                <v:textbox>
                  <w:txbxContent>
                    <w:p w14:paraId="5A4E14E6" w14:textId="1F8643C2" w:rsidR="001A3FC0" w:rsidRDefault="001A3FC0">
                      <w:r w:rsidRPr="001A3FC0">
                        <w:drawing>
                          <wp:inline distT="0" distB="0" distL="0" distR="0" wp14:anchorId="6B51A0A1" wp14:editId="70156BF2">
                            <wp:extent cx="3321685" cy="5047488"/>
                            <wp:effectExtent l="0" t="0" r="0" b="1270"/>
                            <wp:docPr id="2109299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2269" cy="5093962"/>
                                    </a:xfrm>
                                    <a:prstGeom prst="rect">
                                      <a:avLst/>
                                    </a:prstGeom>
                                    <a:noFill/>
                                    <a:ln>
                                      <a:noFill/>
                                    </a:ln>
                                  </pic:spPr>
                                </pic:pic>
                              </a:graphicData>
                            </a:graphic>
                          </wp:inline>
                        </w:drawing>
                      </w:r>
                    </w:p>
                  </w:txbxContent>
                </v:textbox>
                <w10:wrap type="square" anchorx="margin"/>
              </v:shape>
            </w:pict>
          </mc:Fallback>
        </mc:AlternateContent>
      </w:r>
      <w:r w:rsidR="00627C19" w:rsidRPr="00627C19">
        <w:rPr>
          <w:rFonts w:ascii="Arial" w:eastAsia="Arial" w:hAnsi="Arial" w:cs="Arial"/>
          <w:lang w:val="en-US"/>
        </w:rPr>
        <w:t xml:space="preserve"> </w:t>
      </w:r>
      <w:r w:rsidR="006B298D" w:rsidRPr="006B298D">
        <w:rPr>
          <w:rFonts w:ascii="Arial" w:eastAsia="Arial" w:hAnsi="Arial" w:cs="Arial"/>
          <w:lang w:val="en-US"/>
        </w:rPr>
        <w:t>The Donabedian Model (Donabedian, 2005) offers a definitive, structured framework for evaluating healthcare quality by rigorously assessing structure, process, and outcomes. Applying this model to the Blackpool Victoria Hospital Stroke Unit reveals systemic weaknesses across every domain, as highlighted in diagram 3.</w:t>
      </w:r>
    </w:p>
    <w:p w14:paraId="0E832188" w14:textId="77777777" w:rsidR="006B298D" w:rsidRPr="006B298D" w:rsidRDefault="006B298D" w:rsidP="006B298D">
      <w:pPr>
        <w:spacing w:line="360" w:lineRule="auto"/>
        <w:jc w:val="both"/>
        <w:rPr>
          <w:rFonts w:ascii="Arial" w:eastAsia="Arial" w:hAnsi="Arial" w:cs="Arial"/>
          <w:lang w:val="en-US"/>
        </w:rPr>
      </w:pPr>
    </w:p>
    <w:p w14:paraId="314C7463" w14:textId="472FFEEC" w:rsidR="006B298D" w:rsidRPr="006B298D" w:rsidRDefault="006B298D" w:rsidP="006B298D">
      <w:pPr>
        <w:spacing w:line="360" w:lineRule="auto"/>
        <w:jc w:val="both"/>
        <w:rPr>
          <w:rFonts w:ascii="Arial" w:eastAsia="Arial" w:hAnsi="Arial" w:cs="Arial"/>
          <w:lang w:val="en-US"/>
        </w:rPr>
      </w:pPr>
      <w:r w:rsidRPr="006B298D">
        <w:rPr>
          <w:rFonts w:ascii="Arial" w:eastAsia="Arial" w:hAnsi="Arial" w:cs="Arial"/>
          <w:lang w:val="en-US"/>
        </w:rPr>
        <w:t>Critical structural deficiencies persist, including insufficient specialist staff, ongoing reliance on agency personnel, limited availability of CT scanners, inadequate clinical supervision, and unstable leadership and governance (CQC, 2017; NHS England, 2019a).</w:t>
      </w:r>
    </w:p>
    <w:p w14:paraId="43CB0CE7" w14:textId="0F4EC5F2" w:rsidR="006B298D" w:rsidRPr="006B298D" w:rsidRDefault="006B298D" w:rsidP="006B298D">
      <w:pPr>
        <w:spacing w:line="360" w:lineRule="auto"/>
        <w:jc w:val="both"/>
        <w:rPr>
          <w:rFonts w:ascii="Arial" w:eastAsia="Arial" w:hAnsi="Arial" w:cs="Arial"/>
          <w:lang w:val="en-US"/>
        </w:rPr>
      </w:pPr>
      <w:r w:rsidRPr="006B298D">
        <w:rPr>
          <w:rFonts w:ascii="Arial" w:eastAsia="Arial" w:hAnsi="Arial" w:cs="Arial"/>
          <w:lang w:val="en-US"/>
        </w:rPr>
        <w:t>Process-related challenges create critical delays in triage and stroke recognition, breakdowns in interdepartmental communication, failures in escalation procedures, sluggish prioritisation of imaging, and dangerous variability in treatment pathways, including thrombolysis (an emergency medicine to dissolve blood clots) (RCP, 2019; Dyson, 2004).</w:t>
      </w:r>
    </w:p>
    <w:p w14:paraId="1E62FF41" w14:textId="7E65241F" w:rsidR="006B298D" w:rsidRPr="006B298D" w:rsidRDefault="006B298D" w:rsidP="006B298D">
      <w:pPr>
        <w:spacing w:line="360" w:lineRule="auto"/>
        <w:jc w:val="both"/>
        <w:rPr>
          <w:rFonts w:ascii="Arial" w:eastAsia="Arial" w:hAnsi="Arial" w:cs="Arial"/>
          <w:lang w:val="en-US"/>
        </w:rPr>
      </w:pPr>
      <w:r w:rsidRPr="006B298D">
        <w:rPr>
          <w:rFonts w:ascii="Arial" w:eastAsia="Arial" w:hAnsi="Arial" w:cs="Arial"/>
          <w:lang w:val="en-US"/>
        </w:rPr>
        <w:t>Outcome measures reveal critical delays in CT imaging, prolonged door-to-needle times, escalating patient safety incidents and avoidable harm, declining SSNAP performance, extended hospital stays, and severely decreased patient satisfaction (RCP, 2019; GBD 2016 Stroke Collaborators, 2019).</w:t>
      </w:r>
    </w:p>
    <w:p w14:paraId="66804584" w14:textId="32E2B74F" w:rsidR="00432A91" w:rsidRDefault="00092047" w:rsidP="006B298D">
      <w:pPr>
        <w:spacing w:line="360" w:lineRule="auto"/>
        <w:jc w:val="both"/>
        <w:rPr>
          <w:rFonts w:ascii="Arial" w:eastAsia="Arial" w:hAnsi="Arial" w:cs="Arial"/>
          <w:lang w:val="en-US"/>
        </w:rPr>
      </w:pPr>
      <w:r w:rsidRPr="00092047">
        <w:rPr>
          <w:rFonts w:ascii="Arial" w:eastAsia="Arial" w:hAnsi="Arial" w:cs="Arial"/>
          <w:lang w:val="en-US"/>
        </w:rPr>
        <w:t xml:space="preserve">These structural and process failures have directly led to poor outcomes, including increased patient safety incidents, extended hospital stays, and declining patient satisfaction (RCP, </w:t>
      </w:r>
      <w:r w:rsidRPr="00092047">
        <w:rPr>
          <w:rFonts w:ascii="Arial" w:eastAsia="Arial" w:hAnsi="Arial" w:cs="Arial"/>
          <w:lang w:val="en-US"/>
        </w:rPr>
        <w:lastRenderedPageBreak/>
        <w:t>2019; GBD 2016 Stroke Collaborators, 2019). The Donabedian Model makes clear that these are systemic failings requiring urgent, organisation-wide interventions to stabilise structures and fundamentally improve clinical processes (Lloyd, 2019; Donabedian, 2005). The diagram illustrates the direct relationship between weak structures and poor outcomes. Achieving high-quality care is only possible if structural resources and care processes are immediately realigned and reinforced (Lloyd, 2019).</w:t>
      </w:r>
    </w:p>
    <w:p w14:paraId="7BA06D38" w14:textId="6932FB2E" w:rsidR="00432A91" w:rsidRPr="00BE2599" w:rsidRDefault="00F55C18" w:rsidP="002325F8">
      <w:pPr>
        <w:spacing w:after="200" w:line="360" w:lineRule="auto"/>
        <w:jc w:val="both"/>
        <w:rPr>
          <w:rFonts w:ascii="Arial" w:eastAsia="Arial" w:hAnsi="Arial" w:cs="Arial"/>
          <w:b/>
          <w:bCs/>
          <w:lang w:val="en-US"/>
        </w:rPr>
      </w:pPr>
      <w:r>
        <w:rPr>
          <w:rFonts w:ascii="Arial" w:eastAsia="Arial" w:hAnsi="Arial" w:cs="Arial"/>
          <w:b/>
          <w:bCs/>
          <w:lang w:val="en-US"/>
        </w:rPr>
        <w:t>2.4</w:t>
      </w:r>
      <w:r w:rsidR="00F253D8" w:rsidRPr="00FC63E5">
        <w:rPr>
          <w:rFonts w:ascii="Arial" w:eastAsia="Arial" w:hAnsi="Arial" w:cs="Arial"/>
          <w:b/>
          <w:bCs/>
          <w:lang w:val="en-US"/>
        </w:rPr>
        <w:t xml:space="preserve"> </w:t>
      </w:r>
      <w:r w:rsidR="727121C6" w:rsidRPr="00FC63E5">
        <w:rPr>
          <w:rFonts w:ascii="Arial" w:eastAsia="Arial" w:hAnsi="Arial" w:cs="Arial"/>
          <w:b/>
          <w:bCs/>
          <w:lang w:val="en-US"/>
        </w:rPr>
        <w:t>SWOT Analysis</w:t>
      </w:r>
      <w:r w:rsidR="00162B58">
        <w:rPr>
          <w:rFonts w:ascii="Arial" w:eastAsia="Arial" w:hAnsi="Arial" w:cs="Arial"/>
          <w:b/>
          <w:bCs/>
          <w:lang w:val="en-US"/>
        </w:rPr>
        <w:t xml:space="preserve"> (Diagram </w:t>
      </w:r>
      <w:r w:rsidR="00D8332D">
        <w:rPr>
          <w:rFonts w:ascii="Arial" w:eastAsia="Arial" w:hAnsi="Arial" w:cs="Arial"/>
          <w:b/>
          <w:bCs/>
          <w:lang w:val="en-US"/>
        </w:rPr>
        <w:t>4)</w:t>
      </w:r>
    </w:p>
    <w:tbl>
      <w:tblPr>
        <w:tblW w:w="0" w:type="auto"/>
        <w:tblLook w:val="04A0" w:firstRow="1" w:lastRow="0" w:firstColumn="1" w:lastColumn="0" w:noHBand="0" w:noVBand="1"/>
      </w:tblPr>
      <w:tblGrid>
        <w:gridCol w:w="4320"/>
        <w:gridCol w:w="4320"/>
      </w:tblGrid>
      <w:tr w:rsidR="15C27D4E" w:rsidRPr="00FC63E5" w14:paraId="7969CA3D" w14:textId="77777777" w:rsidTr="15C27D4E">
        <w:trPr>
          <w:trHeight w:val="300"/>
        </w:trPr>
        <w:tc>
          <w:tcPr>
            <w:tcW w:w="4320" w:type="dxa"/>
            <w:shd w:val="clear" w:color="auto" w:fill="C6EFCE"/>
            <w:tcMar>
              <w:left w:w="108" w:type="dxa"/>
              <w:right w:w="108" w:type="dxa"/>
            </w:tcMar>
          </w:tcPr>
          <w:p w14:paraId="6C3E3E0F" w14:textId="5BD1F426" w:rsidR="15C27D4E" w:rsidRPr="00FC63E5" w:rsidRDefault="15C27D4E" w:rsidP="00FC63E5">
            <w:pPr>
              <w:spacing w:after="200" w:line="360" w:lineRule="auto"/>
              <w:jc w:val="both"/>
              <w:rPr>
                <w:rFonts w:ascii="Arial" w:hAnsi="Arial" w:cs="Arial"/>
              </w:rPr>
            </w:pPr>
            <w:r w:rsidRPr="00FC63E5">
              <w:rPr>
                <w:rFonts w:ascii="Arial" w:eastAsia="Arial" w:hAnsi="Arial" w:cs="Arial"/>
                <w:color w:val="000000" w:themeColor="text1"/>
                <w:lang w:val="en-US"/>
              </w:rPr>
              <w:t>STRENGTHS</w:t>
            </w:r>
            <w:r w:rsidRPr="00FC63E5">
              <w:rPr>
                <w:rFonts w:ascii="Arial" w:hAnsi="Arial" w:cs="Arial"/>
              </w:rPr>
              <w:br/>
            </w:r>
            <w:r w:rsidRPr="00FC63E5">
              <w:rPr>
                <w:rFonts w:ascii="Arial" w:eastAsia="Arial" w:hAnsi="Arial" w:cs="Arial"/>
                <w:color w:val="000000" w:themeColor="text1"/>
                <w:lang w:val="en-US"/>
              </w:rPr>
              <w:t xml:space="preserve"> </w:t>
            </w:r>
            <w:r w:rsidRPr="00FC63E5">
              <w:rPr>
                <w:rFonts w:ascii="Arial" w:hAnsi="Arial" w:cs="Arial"/>
              </w:rPr>
              <w:br/>
            </w:r>
            <w:r w:rsidRPr="00FC63E5">
              <w:rPr>
                <w:rFonts w:ascii="Arial" w:eastAsia="Arial" w:hAnsi="Arial" w:cs="Arial"/>
                <w:color w:val="000000" w:themeColor="text1"/>
                <w:lang w:val="en-US"/>
              </w:rPr>
              <w:t>• Dedicated stroke clinicians (RCP, 2023)</w:t>
            </w:r>
            <w:r w:rsidRPr="00FC63E5">
              <w:rPr>
                <w:rFonts w:ascii="Arial" w:hAnsi="Arial" w:cs="Arial"/>
              </w:rPr>
              <w:br/>
            </w:r>
            <w:r w:rsidRPr="00FC63E5">
              <w:rPr>
                <w:rFonts w:ascii="Arial" w:eastAsia="Arial" w:hAnsi="Arial" w:cs="Arial"/>
                <w:color w:val="000000" w:themeColor="text1"/>
                <w:lang w:val="en-US"/>
              </w:rPr>
              <w:t xml:space="preserve"> • On-site CT imaging (NICE, 2023)</w:t>
            </w:r>
            <w:r w:rsidRPr="00FC63E5">
              <w:rPr>
                <w:rFonts w:ascii="Arial" w:hAnsi="Arial" w:cs="Arial"/>
              </w:rPr>
              <w:br/>
            </w:r>
            <w:r w:rsidRPr="00FC63E5">
              <w:rPr>
                <w:rFonts w:ascii="Arial" w:eastAsia="Arial" w:hAnsi="Arial" w:cs="Arial"/>
                <w:color w:val="000000" w:themeColor="text1"/>
                <w:lang w:val="en-US"/>
              </w:rPr>
              <w:t xml:space="preserve"> • Commitment to improvement following inspection (CQC, 2022)</w:t>
            </w:r>
          </w:p>
        </w:tc>
        <w:tc>
          <w:tcPr>
            <w:tcW w:w="4320" w:type="dxa"/>
            <w:shd w:val="clear" w:color="auto" w:fill="FFC7CE"/>
            <w:tcMar>
              <w:left w:w="108" w:type="dxa"/>
              <w:right w:w="108" w:type="dxa"/>
            </w:tcMar>
          </w:tcPr>
          <w:p w14:paraId="5FE76FD8" w14:textId="39991671" w:rsidR="15C27D4E" w:rsidRPr="00FC63E5" w:rsidRDefault="15C27D4E" w:rsidP="00FC63E5">
            <w:pPr>
              <w:spacing w:after="200" w:line="360" w:lineRule="auto"/>
              <w:jc w:val="both"/>
              <w:rPr>
                <w:rFonts w:ascii="Arial" w:hAnsi="Arial" w:cs="Arial"/>
              </w:rPr>
            </w:pPr>
            <w:r w:rsidRPr="00FC63E5">
              <w:rPr>
                <w:rFonts w:ascii="Arial" w:eastAsia="Arial" w:hAnsi="Arial" w:cs="Arial"/>
                <w:color w:val="000000" w:themeColor="text1"/>
                <w:lang w:val="en-US"/>
              </w:rPr>
              <w:t>WEAKNESSES</w:t>
            </w:r>
            <w:r w:rsidRPr="00FC63E5">
              <w:rPr>
                <w:rFonts w:ascii="Arial" w:hAnsi="Arial" w:cs="Arial"/>
              </w:rPr>
              <w:br/>
            </w:r>
            <w:r w:rsidRPr="00FC63E5">
              <w:rPr>
                <w:rFonts w:ascii="Arial" w:eastAsia="Arial" w:hAnsi="Arial" w:cs="Arial"/>
                <w:color w:val="000000" w:themeColor="text1"/>
                <w:lang w:val="en-US"/>
              </w:rPr>
              <w:t xml:space="preserve"> </w:t>
            </w:r>
            <w:r w:rsidRPr="00FC63E5">
              <w:rPr>
                <w:rFonts w:ascii="Arial" w:hAnsi="Arial" w:cs="Arial"/>
              </w:rPr>
              <w:br/>
            </w:r>
            <w:r w:rsidRPr="00FC63E5">
              <w:rPr>
                <w:rFonts w:ascii="Arial" w:eastAsia="Arial" w:hAnsi="Arial" w:cs="Arial"/>
                <w:color w:val="000000" w:themeColor="text1"/>
                <w:lang w:val="en-US"/>
              </w:rPr>
              <w:t>• Poor communication (CQC, 2022)</w:t>
            </w:r>
            <w:r w:rsidRPr="00FC63E5">
              <w:rPr>
                <w:rFonts w:ascii="Arial" w:hAnsi="Arial" w:cs="Arial"/>
              </w:rPr>
              <w:br/>
            </w:r>
            <w:r w:rsidRPr="00FC63E5">
              <w:rPr>
                <w:rFonts w:ascii="Arial" w:eastAsia="Arial" w:hAnsi="Arial" w:cs="Arial"/>
                <w:color w:val="000000" w:themeColor="text1"/>
                <w:lang w:val="en-US"/>
              </w:rPr>
              <w:t xml:space="preserve"> • Staffing shortages (NHS England, 2023)</w:t>
            </w:r>
            <w:r w:rsidRPr="00FC63E5">
              <w:rPr>
                <w:rFonts w:ascii="Arial" w:hAnsi="Arial" w:cs="Arial"/>
              </w:rPr>
              <w:br/>
            </w:r>
            <w:r w:rsidRPr="00FC63E5">
              <w:rPr>
                <w:rFonts w:ascii="Arial" w:eastAsia="Arial" w:hAnsi="Arial" w:cs="Arial"/>
                <w:color w:val="000000" w:themeColor="text1"/>
                <w:lang w:val="en-US"/>
              </w:rPr>
              <w:t xml:space="preserve"> • Inconsistent protocols (NICE, 2023)</w:t>
            </w:r>
            <w:r w:rsidRPr="00FC63E5">
              <w:rPr>
                <w:rFonts w:ascii="Arial" w:hAnsi="Arial" w:cs="Arial"/>
              </w:rPr>
              <w:br/>
            </w:r>
            <w:r w:rsidRPr="00FC63E5">
              <w:rPr>
                <w:rFonts w:ascii="Arial" w:eastAsia="Arial" w:hAnsi="Arial" w:cs="Arial"/>
                <w:color w:val="000000" w:themeColor="text1"/>
                <w:lang w:val="en-US"/>
              </w:rPr>
              <w:t xml:space="preserve"> • Weak governance (CQC, 2022)</w:t>
            </w:r>
          </w:p>
        </w:tc>
      </w:tr>
      <w:tr w:rsidR="15C27D4E" w:rsidRPr="00FC63E5" w14:paraId="3F2A906C" w14:textId="77777777" w:rsidTr="15C27D4E">
        <w:trPr>
          <w:trHeight w:val="300"/>
        </w:trPr>
        <w:tc>
          <w:tcPr>
            <w:tcW w:w="4320" w:type="dxa"/>
            <w:shd w:val="clear" w:color="auto" w:fill="BDD7EE"/>
            <w:tcMar>
              <w:left w:w="108" w:type="dxa"/>
              <w:right w:w="108" w:type="dxa"/>
            </w:tcMar>
          </w:tcPr>
          <w:p w14:paraId="661EA51C" w14:textId="3C7C5E57" w:rsidR="15C27D4E" w:rsidRPr="00FC63E5" w:rsidRDefault="15C27D4E" w:rsidP="00FC63E5">
            <w:pPr>
              <w:spacing w:after="200" w:line="360" w:lineRule="auto"/>
              <w:jc w:val="both"/>
              <w:rPr>
                <w:rFonts w:ascii="Arial" w:hAnsi="Arial" w:cs="Arial"/>
              </w:rPr>
            </w:pPr>
            <w:r w:rsidRPr="00FC63E5">
              <w:rPr>
                <w:rFonts w:ascii="Arial" w:eastAsia="Arial" w:hAnsi="Arial" w:cs="Arial"/>
                <w:color w:val="000000" w:themeColor="text1"/>
                <w:lang w:val="en-US"/>
              </w:rPr>
              <w:t>OPPORTUNITIES</w:t>
            </w:r>
            <w:r w:rsidRPr="00FC63E5">
              <w:rPr>
                <w:rFonts w:ascii="Arial" w:hAnsi="Arial" w:cs="Arial"/>
              </w:rPr>
              <w:br/>
            </w:r>
            <w:r w:rsidRPr="00FC63E5">
              <w:rPr>
                <w:rFonts w:ascii="Arial" w:eastAsia="Arial" w:hAnsi="Arial" w:cs="Arial"/>
                <w:color w:val="000000" w:themeColor="text1"/>
                <w:lang w:val="en-US"/>
              </w:rPr>
              <w:t xml:space="preserve"> </w:t>
            </w:r>
            <w:r w:rsidRPr="00FC63E5">
              <w:rPr>
                <w:rFonts w:ascii="Arial" w:hAnsi="Arial" w:cs="Arial"/>
              </w:rPr>
              <w:br/>
            </w:r>
            <w:r w:rsidRPr="00FC63E5">
              <w:rPr>
                <w:rFonts w:ascii="Arial" w:eastAsia="Arial" w:hAnsi="Arial" w:cs="Arial"/>
                <w:color w:val="000000" w:themeColor="text1"/>
                <w:lang w:val="en-US"/>
              </w:rPr>
              <w:t>• National stroke initiatives (NHS England, 2023)</w:t>
            </w:r>
            <w:r w:rsidRPr="00FC63E5">
              <w:rPr>
                <w:rFonts w:ascii="Arial" w:hAnsi="Arial" w:cs="Arial"/>
              </w:rPr>
              <w:br/>
            </w:r>
            <w:r w:rsidRPr="00FC63E5">
              <w:rPr>
                <w:rFonts w:ascii="Arial" w:eastAsia="Arial" w:hAnsi="Arial" w:cs="Arial"/>
                <w:color w:val="000000" w:themeColor="text1"/>
                <w:lang w:val="en-US"/>
              </w:rPr>
              <w:t xml:space="preserve"> • Workforce development funding (NHS England, 2023)</w:t>
            </w:r>
            <w:r w:rsidRPr="00FC63E5">
              <w:rPr>
                <w:rFonts w:ascii="Arial" w:hAnsi="Arial" w:cs="Arial"/>
              </w:rPr>
              <w:br/>
            </w:r>
            <w:r w:rsidRPr="00FC63E5">
              <w:rPr>
                <w:rFonts w:ascii="Arial" w:eastAsia="Arial" w:hAnsi="Arial" w:cs="Arial"/>
                <w:color w:val="000000" w:themeColor="text1"/>
                <w:lang w:val="en-US"/>
              </w:rPr>
              <w:t xml:space="preserve"> • SSNAP benchmarking (RCP, 2023)</w:t>
            </w:r>
          </w:p>
        </w:tc>
        <w:tc>
          <w:tcPr>
            <w:tcW w:w="4320" w:type="dxa"/>
            <w:shd w:val="clear" w:color="auto" w:fill="FCE4D6"/>
            <w:tcMar>
              <w:left w:w="108" w:type="dxa"/>
              <w:right w:w="108" w:type="dxa"/>
            </w:tcMar>
          </w:tcPr>
          <w:p w14:paraId="40EAA0AB" w14:textId="3DC12A26" w:rsidR="15C27D4E" w:rsidRPr="00FC63E5" w:rsidRDefault="15C27D4E" w:rsidP="00FC63E5">
            <w:pPr>
              <w:spacing w:after="200" w:line="360" w:lineRule="auto"/>
              <w:jc w:val="both"/>
              <w:rPr>
                <w:rFonts w:ascii="Arial" w:hAnsi="Arial" w:cs="Arial"/>
              </w:rPr>
            </w:pPr>
            <w:r w:rsidRPr="00FC63E5">
              <w:rPr>
                <w:rFonts w:ascii="Arial" w:eastAsia="Arial" w:hAnsi="Arial" w:cs="Arial"/>
                <w:color w:val="000000" w:themeColor="text1"/>
                <w:lang w:val="en-US"/>
              </w:rPr>
              <w:t>THREATS</w:t>
            </w:r>
            <w:r w:rsidRPr="00FC63E5">
              <w:rPr>
                <w:rFonts w:ascii="Arial" w:hAnsi="Arial" w:cs="Arial"/>
              </w:rPr>
              <w:br/>
            </w:r>
            <w:r w:rsidRPr="00FC63E5">
              <w:rPr>
                <w:rFonts w:ascii="Arial" w:eastAsia="Arial" w:hAnsi="Arial" w:cs="Arial"/>
                <w:color w:val="000000" w:themeColor="text1"/>
                <w:lang w:val="en-US"/>
              </w:rPr>
              <w:t xml:space="preserve"> </w:t>
            </w:r>
            <w:r w:rsidRPr="00FC63E5">
              <w:rPr>
                <w:rFonts w:ascii="Arial" w:hAnsi="Arial" w:cs="Arial"/>
              </w:rPr>
              <w:br/>
            </w:r>
            <w:r w:rsidRPr="00FC63E5">
              <w:rPr>
                <w:rFonts w:ascii="Arial" w:eastAsia="Arial" w:hAnsi="Arial" w:cs="Arial"/>
                <w:color w:val="000000" w:themeColor="text1"/>
                <w:lang w:val="en-US"/>
              </w:rPr>
              <w:t>• High patient demand (RCP, 2023)</w:t>
            </w:r>
            <w:r w:rsidRPr="00FC63E5">
              <w:rPr>
                <w:rFonts w:ascii="Arial" w:hAnsi="Arial" w:cs="Arial"/>
              </w:rPr>
              <w:br/>
            </w:r>
            <w:r w:rsidRPr="00FC63E5">
              <w:rPr>
                <w:rFonts w:ascii="Arial" w:eastAsia="Arial" w:hAnsi="Arial" w:cs="Arial"/>
                <w:color w:val="000000" w:themeColor="text1"/>
                <w:lang w:val="en-US"/>
              </w:rPr>
              <w:t xml:space="preserve"> • Recruitment challenges (NHS England, 2023)</w:t>
            </w:r>
            <w:r w:rsidRPr="00FC63E5">
              <w:rPr>
                <w:rFonts w:ascii="Arial" w:hAnsi="Arial" w:cs="Arial"/>
              </w:rPr>
              <w:br/>
            </w:r>
            <w:r w:rsidRPr="00FC63E5">
              <w:rPr>
                <w:rFonts w:ascii="Arial" w:eastAsia="Arial" w:hAnsi="Arial" w:cs="Arial"/>
                <w:color w:val="000000" w:themeColor="text1"/>
                <w:lang w:val="en-US"/>
              </w:rPr>
              <w:t xml:space="preserve"> • Reputational risk following inspections (CQC, 2022)</w:t>
            </w:r>
          </w:p>
        </w:tc>
      </w:tr>
    </w:tbl>
    <w:p w14:paraId="3C449EDE" w14:textId="77777777" w:rsidR="00A758F5" w:rsidRDefault="00A758F5" w:rsidP="00090F54">
      <w:pPr>
        <w:spacing w:before="120" w:after="120" w:line="360" w:lineRule="auto"/>
        <w:jc w:val="both"/>
        <w:rPr>
          <w:rFonts w:ascii="Arial" w:eastAsia="Arial" w:hAnsi="Arial" w:cs="Arial"/>
        </w:rPr>
      </w:pPr>
    </w:p>
    <w:p w14:paraId="1BD06504" w14:textId="7A196BAC" w:rsidR="00090F54" w:rsidRPr="00090F54" w:rsidRDefault="00090F54" w:rsidP="00090F54">
      <w:pPr>
        <w:spacing w:before="120" w:after="120" w:line="360" w:lineRule="auto"/>
        <w:jc w:val="both"/>
        <w:rPr>
          <w:rFonts w:ascii="Arial" w:eastAsia="Arial" w:hAnsi="Arial" w:cs="Arial"/>
        </w:rPr>
      </w:pPr>
      <w:r w:rsidRPr="00090F54">
        <w:rPr>
          <w:rFonts w:ascii="Arial" w:eastAsia="Arial" w:hAnsi="Arial" w:cs="Arial"/>
        </w:rPr>
        <w:t>A SWOT analysis was chosen for this case study because it provides a systematic framework for evaluating internal capabilities and external pressures that influence service improvement within the stroke unit. Strengths, such as dedicated clinicians and on-site CT imaging, are resources that facilitate pathway redesign and workforce development (CQC, 2017). Weaknesses include poor communication, staffing shortages, and inconsistent protocols. These reveal internal barriers to sustainable improvement (NHS England, 2019c). Opportunities, such as national stroke initiatives and SSNAP benchmarking, serve as external drivers. These initiatives align local practice with national standards (NICE, 2019). Threats include high patient demand, recruitment challenges, and reputational risk, as illustrated in diagram 4. These pressures may hinder implementation (SSNAP, 2022).</w:t>
      </w:r>
    </w:p>
    <w:p w14:paraId="24C0043A" w14:textId="77777777" w:rsidR="00090F54" w:rsidRPr="00090F54" w:rsidRDefault="00090F54" w:rsidP="00090F54">
      <w:pPr>
        <w:spacing w:before="120" w:after="120" w:line="360" w:lineRule="auto"/>
        <w:jc w:val="both"/>
        <w:rPr>
          <w:rFonts w:ascii="Arial" w:eastAsia="Arial" w:hAnsi="Arial" w:cs="Arial"/>
        </w:rPr>
      </w:pPr>
    </w:p>
    <w:p w14:paraId="38B8618F" w14:textId="386D255D" w:rsidR="00090F54" w:rsidRPr="00090F54" w:rsidRDefault="00090F54" w:rsidP="00090F54">
      <w:pPr>
        <w:spacing w:before="120" w:after="120" w:line="360" w:lineRule="auto"/>
        <w:jc w:val="both"/>
        <w:rPr>
          <w:rFonts w:ascii="Arial" w:eastAsia="Arial" w:hAnsi="Arial" w:cs="Arial"/>
        </w:rPr>
      </w:pPr>
      <w:r w:rsidRPr="00090F54">
        <w:rPr>
          <w:rFonts w:ascii="Arial" w:eastAsia="Arial" w:hAnsi="Arial" w:cs="Arial"/>
        </w:rPr>
        <w:lastRenderedPageBreak/>
        <w:t>In practice, SWOT analysis supports strategic planning. It enables leaders to prioritise interventions, allocate resources, and design actions that leverage strengths while addressing weaknesses. However, the tool is subject to individual interpretation. SWOT may oversimplify complex issues and does not independently generate solutions (Dyson, 2004). Therefore, it is recommended to use SWOT alongside models such as the Donabedian Model and Fishbone Diagram. This ensures a comprehensive, evidence-based improvement strategy.</w:t>
      </w:r>
    </w:p>
    <w:p w14:paraId="6D241511" w14:textId="1B2D6899" w:rsidR="00090F54" w:rsidRDefault="00090F54" w:rsidP="00FC63E5">
      <w:pPr>
        <w:spacing w:before="120" w:after="120" w:line="360" w:lineRule="auto"/>
        <w:jc w:val="both"/>
        <w:rPr>
          <w:rFonts w:ascii="Arial" w:eastAsia="Arial" w:hAnsi="Arial" w:cs="Arial"/>
        </w:rPr>
      </w:pPr>
      <w:r w:rsidRPr="00090F54">
        <w:rPr>
          <w:rFonts w:ascii="Arial" w:eastAsia="Arial" w:hAnsi="Arial" w:cs="Arial"/>
        </w:rPr>
        <w:t>A SWOT analysis was selected over a PESTLE analysis because the main barriers in the stroke unit were internal. These are related to workforce, communication, governance, and clinical processes. External political or economic factors, better addressed by PESTLE, were not the primary concern. PESTLE examines broader, macro-level policy or system-wide issues. In contrast, SWOT focuses on organisational readiness and internal operational constraints (Dyson, 2004). Given the urgent need to address internal failures in the stroke pathway, SWOT was the more practical and context-specific tool for guiding actionable, multi-level quality improvement interventions (NICE, 2019; RCP, 2020).</w:t>
      </w:r>
    </w:p>
    <w:p w14:paraId="347300A6" w14:textId="75752007" w:rsidR="003602C2" w:rsidRPr="00A41EC9" w:rsidRDefault="00C744A9" w:rsidP="00FC63E5">
      <w:pPr>
        <w:spacing w:before="120" w:after="120" w:line="360" w:lineRule="auto"/>
        <w:jc w:val="both"/>
        <w:rPr>
          <w:rFonts w:ascii="Arial" w:eastAsia="Arial" w:hAnsi="Arial" w:cs="Arial"/>
          <w:b/>
          <w:bCs/>
          <w:sz w:val="24"/>
          <w:szCs w:val="24"/>
        </w:rPr>
      </w:pPr>
      <w:r w:rsidRPr="00A41EC9">
        <w:rPr>
          <w:rFonts w:ascii="Arial" w:eastAsia="Arial" w:hAnsi="Arial" w:cs="Arial"/>
          <w:b/>
          <w:bCs/>
          <w:sz w:val="24"/>
          <w:szCs w:val="24"/>
        </w:rPr>
        <w:t>3.</w:t>
      </w:r>
      <w:r w:rsidRPr="00A41EC9">
        <w:rPr>
          <w:rFonts w:ascii="Arial" w:eastAsia="Arial" w:hAnsi="Arial" w:cs="Arial"/>
          <w:b/>
          <w:bCs/>
          <w:sz w:val="24"/>
          <w:szCs w:val="24"/>
        </w:rPr>
        <w:t>Quality Improvement</w:t>
      </w:r>
      <w:r w:rsidR="008D5666">
        <w:rPr>
          <w:rFonts w:ascii="Arial" w:eastAsia="Arial" w:hAnsi="Arial" w:cs="Arial"/>
          <w:b/>
          <w:bCs/>
          <w:sz w:val="24"/>
          <w:szCs w:val="24"/>
        </w:rPr>
        <w:t xml:space="preserve"> </w:t>
      </w:r>
      <w:proofErr w:type="spellStart"/>
      <w:r w:rsidR="008D5666">
        <w:rPr>
          <w:rFonts w:ascii="Arial" w:eastAsia="Arial" w:hAnsi="Arial" w:cs="Arial"/>
          <w:b/>
          <w:bCs/>
          <w:sz w:val="24"/>
          <w:szCs w:val="24"/>
        </w:rPr>
        <w:t>Ana</w:t>
      </w:r>
      <w:r w:rsidR="00A15911">
        <w:rPr>
          <w:rFonts w:ascii="Arial" w:eastAsia="Arial" w:hAnsi="Arial" w:cs="Arial"/>
          <w:b/>
          <w:bCs/>
          <w:sz w:val="24"/>
          <w:szCs w:val="24"/>
        </w:rPr>
        <w:t>ylsis</w:t>
      </w:r>
      <w:proofErr w:type="spellEnd"/>
    </w:p>
    <w:p w14:paraId="45EBA118" w14:textId="166870B7" w:rsidR="00E836A5" w:rsidRPr="00BE2599" w:rsidRDefault="00926D6B" w:rsidP="00FC63E5">
      <w:pPr>
        <w:spacing w:before="120" w:after="120" w:line="360" w:lineRule="auto"/>
        <w:jc w:val="both"/>
        <w:rPr>
          <w:rFonts w:ascii="Arial" w:eastAsia="Arial" w:hAnsi="Arial" w:cs="Arial"/>
        </w:rPr>
      </w:pPr>
      <w:r w:rsidRPr="00926D6B">
        <w:rPr>
          <w:rFonts w:ascii="Arial" w:eastAsia="Arial" w:hAnsi="Arial" w:cs="Arial"/>
        </w:rPr>
        <w:t>Building on the identified root causes, the following section outlines structured approaches to implementing sustainable quality improvement</w:t>
      </w:r>
      <w:r>
        <w:rPr>
          <w:rFonts w:ascii="Arial" w:eastAsia="Arial" w:hAnsi="Arial" w:cs="Arial"/>
        </w:rPr>
        <w:t>.</w:t>
      </w:r>
    </w:p>
    <w:p w14:paraId="44D97254" w14:textId="5E055700" w:rsidR="00A93C15" w:rsidRDefault="00C744A9" w:rsidP="00A93C15">
      <w:pPr>
        <w:spacing w:before="120" w:after="120" w:line="360" w:lineRule="auto"/>
        <w:jc w:val="both"/>
        <w:rPr>
          <w:rFonts w:ascii="Arial" w:eastAsia="Arial" w:hAnsi="Arial" w:cs="Arial"/>
          <w:b/>
          <w:bCs/>
        </w:rPr>
      </w:pPr>
      <w:r w:rsidRPr="00FC63E5">
        <w:rPr>
          <w:rFonts w:ascii="Arial" w:eastAsia="Arial" w:hAnsi="Arial" w:cs="Arial"/>
          <w:b/>
          <w:bCs/>
        </w:rPr>
        <w:t>3.1 PDSA</w:t>
      </w:r>
      <w:r w:rsidR="00AD34C9">
        <w:rPr>
          <w:rFonts w:ascii="Arial" w:eastAsia="Arial" w:hAnsi="Arial" w:cs="Arial"/>
          <w:b/>
          <w:bCs/>
        </w:rPr>
        <w:t xml:space="preserve"> </w:t>
      </w:r>
      <w:r w:rsidR="006814C4">
        <w:rPr>
          <w:rFonts w:ascii="Arial" w:eastAsia="Arial" w:hAnsi="Arial" w:cs="Arial"/>
          <w:b/>
          <w:bCs/>
        </w:rPr>
        <w:t xml:space="preserve"> Cycle </w:t>
      </w:r>
      <w:r w:rsidR="00AD34C9">
        <w:rPr>
          <w:rFonts w:ascii="Arial" w:eastAsia="Arial" w:hAnsi="Arial" w:cs="Arial"/>
          <w:b/>
          <w:bCs/>
        </w:rPr>
        <w:t>(Diagram 5)</w:t>
      </w:r>
    </w:p>
    <w:p w14:paraId="330B72B8" w14:textId="63D27AB2" w:rsidR="00B14D37" w:rsidRPr="00B14D37" w:rsidRDefault="00B36C38" w:rsidP="00B14D37">
      <w:pPr>
        <w:spacing w:before="120" w:after="120" w:line="360" w:lineRule="auto"/>
        <w:jc w:val="both"/>
        <w:rPr>
          <w:rFonts w:ascii="Arial" w:hAnsi="Arial" w:cs="Arial"/>
        </w:rPr>
      </w:pPr>
      <w:r w:rsidRPr="00A41EC9">
        <w:rPr>
          <w:rFonts w:ascii="Arial" w:hAnsi="Arial" w:cs="Arial"/>
          <w:noProof/>
        </w:rPr>
        <mc:AlternateContent>
          <mc:Choice Requires="wps">
            <w:drawing>
              <wp:anchor distT="45720" distB="45720" distL="114300" distR="114300" simplePos="0" relativeHeight="251667456" behindDoc="0" locked="0" layoutInCell="1" allowOverlap="1" wp14:anchorId="1DC9F0CD" wp14:editId="707945AE">
                <wp:simplePos x="0" y="0"/>
                <wp:positionH relativeFrom="column">
                  <wp:posOffset>57785</wp:posOffset>
                </wp:positionH>
                <wp:positionV relativeFrom="paragraph">
                  <wp:posOffset>5080</wp:posOffset>
                </wp:positionV>
                <wp:extent cx="3535680" cy="4096385"/>
                <wp:effectExtent l="0" t="0" r="26670" b="18415"/>
                <wp:wrapSquare wrapText="bothSides"/>
                <wp:docPr id="568249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5680" cy="4096385"/>
                        </a:xfrm>
                        <a:prstGeom prst="rect">
                          <a:avLst/>
                        </a:prstGeom>
                        <a:solidFill>
                          <a:srgbClr val="FFFFFF"/>
                        </a:solidFill>
                        <a:ln w="9525">
                          <a:solidFill>
                            <a:srgbClr val="000000"/>
                          </a:solidFill>
                          <a:miter lim="800000"/>
                          <a:headEnd/>
                          <a:tailEnd/>
                        </a:ln>
                      </wps:spPr>
                      <wps:txbx>
                        <w:txbxContent>
                          <w:p w14:paraId="6CC2EE46" w14:textId="364392D5" w:rsidR="00A41EC9" w:rsidRDefault="00A41EC9">
                            <w:r w:rsidRPr="00A41EC9">
                              <w:drawing>
                                <wp:inline distT="0" distB="0" distL="0" distR="0" wp14:anchorId="40B6CB41" wp14:editId="66CA00FE">
                                  <wp:extent cx="3362445" cy="4112260"/>
                                  <wp:effectExtent l="0" t="0" r="9525" b="2540"/>
                                  <wp:docPr id="16581489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3924" cy="411406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9F0CD" id="_x0000_s1030" type="#_x0000_t202" style="position:absolute;left:0;text-align:left;margin-left:4.55pt;margin-top:.4pt;width:278.4pt;height:322.5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">
                <v:textbox>
                  <w:txbxContent>
                    <w:p w14:paraId="6CC2EE46" w14:textId="364392D5" w:rsidR="00A41EC9" w:rsidRDefault="00A41EC9">
                      <w:r w:rsidRPr="00A41EC9">
                        <w:drawing>
                          <wp:inline distT="0" distB="0" distL="0" distR="0" wp14:anchorId="40B6CB41" wp14:editId="66CA00FE">
                            <wp:extent cx="3362445" cy="4112260"/>
                            <wp:effectExtent l="0" t="0" r="9525" b="2540"/>
                            <wp:docPr id="16581489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3924" cy="4114069"/>
                                    </a:xfrm>
                                    <a:prstGeom prst="rect">
                                      <a:avLst/>
                                    </a:prstGeom>
                                    <a:noFill/>
                                    <a:ln>
                                      <a:noFill/>
                                    </a:ln>
                                  </pic:spPr>
                                </pic:pic>
                              </a:graphicData>
                            </a:graphic>
                          </wp:inline>
                        </w:drawing>
                      </w:r>
                    </w:p>
                  </w:txbxContent>
                </v:textbox>
                <w10:wrap type="square"/>
              </v:shape>
            </w:pict>
          </mc:Fallback>
        </mc:AlternateContent>
      </w:r>
      <w:r w:rsidR="00A93C15" w:rsidRPr="00A93C15">
        <w:rPr>
          <w:rFonts w:ascii="Arial" w:hAnsi="Arial" w:cs="Arial"/>
        </w:rPr>
        <w:t xml:space="preserve"> </w:t>
      </w:r>
      <w:r w:rsidR="00B14D37" w:rsidRPr="00B14D37">
        <w:rPr>
          <w:rFonts w:ascii="Arial" w:hAnsi="Arial" w:cs="Arial"/>
        </w:rPr>
        <w:t xml:space="preserve">This quality-improvement cycle uses the Plan–Do–Study–Act (PDSA) methodology to increase the reliability and timeliness of acute stroke pathways at Blackpool Victoria Hospital. In the Plan phase, interventions are based on national guidance. This includes standardised stroke triage protocols (NICE, 2019), the SBAR communication framework (RCP, 2016), rapid-access CT pathways (RCP, 2020), and strengthened senior clinical oversight (CQC, 2017). These directly address failures </w:t>
      </w:r>
      <w:r w:rsidR="00B14D37" w:rsidRPr="00B14D37">
        <w:rPr>
          <w:rFonts w:ascii="Arial" w:hAnsi="Arial" w:cs="Arial"/>
        </w:rPr>
        <w:lastRenderedPageBreak/>
        <w:t>in triage, communication, and imaging. The Do phase implements these interventions with a four-week emergency department pilot. This is supported by multidisciplinary training and the prospective collection of data on door-to-CT times and handover quality. During the Study phase, performance is benchmarked against SSNAP standards (SSNAP, 2022). This evaluates delays, escalation failures, and staff experience. The Act phase focuses on refining protocols, addressing workforce or process gaps, and spreading effective changes across the organisation. This is supported by ongoing audit and governance mechanisms (NHS England, 2019c).</w:t>
      </w:r>
    </w:p>
    <w:p w14:paraId="7C2D5BDD" w14:textId="7974766D" w:rsidR="00B850BB" w:rsidRPr="00F15E57" w:rsidRDefault="00B14D37" w:rsidP="00B14D37">
      <w:pPr>
        <w:spacing w:before="120" w:after="120" w:line="360" w:lineRule="auto"/>
        <w:jc w:val="both"/>
        <w:rPr>
          <w:rFonts w:ascii="Arial" w:hAnsi="Arial" w:cs="Arial"/>
        </w:rPr>
      </w:pPr>
      <w:r w:rsidRPr="00B14D37">
        <w:rPr>
          <w:rFonts w:ascii="Arial" w:hAnsi="Arial" w:cs="Arial"/>
        </w:rPr>
        <w:t>PDSA was chosen over PDCA, Lean, and Six Sigma for its flexibility. It suits complex clinical environments that need iterative testing and real-time learning. Lean and Six Sigma require stable systems and large datasets. In contrast, PDSA supports small-scale experimentation in dynamic, high-risk settings like acute stroke care. This follows Total Quality Management principles of continuous improvement and systematic problem-solving (Martínez-Lorente et al., 1998). However, PDSA’s impact relies on rigorous data collection, consistent use, and strong organisational engagement. Poor implementation may yield only superficial or short-term improvements.</w:t>
      </w:r>
    </w:p>
    <w:p w14:paraId="17538E95" w14:textId="6D15E634" w:rsidR="00A93C15" w:rsidRDefault="00C744A9" w:rsidP="00B14D37">
      <w:pPr>
        <w:spacing w:before="120" w:after="120" w:line="360" w:lineRule="auto"/>
        <w:jc w:val="both"/>
        <w:rPr>
          <w:rFonts w:ascii="Arial" w:hAnsi="Arial" w:cs="Arial"/>
          <w:b/>
          <w:bCs/>
        </w:rPr>
      </w:pPr>
      <w:r w:rsidRPr="00FC63E5">
        <w:rPr>
          <w:rFonts w:ascii="Arial" w:hAnsi="Arial" w:cs="Arial"/>
          <w:b/>
          <w:bCs/>
        </w:rPr>
        <w:t>3.2</w:t>
      </w:r>
      <w:r w:rsidR="00B60530" w:rsidRPr="00FC63E5">
        <w:rPr>
          <w:rFonts w:ascii="Arial" w:hAnsi="Arial" w:cs="Arial"/>
          <w:b/>
          <w:bCs/>
        </w:rPr>
        <w:t xml:space="preserve">. </w:t>
      </w:r>
      <w:r w:rsidR="00A54883" w:rsidRPr="00FC63E5">
        <w:rPr>
          <w:rFonts w:ascii="Arial" w:hAnsi="Arial" w:cs="Arial"/>
          <w:b/>
          <w:bCs/>
        </w:rPr>
        <w:t xml:space="preserve">Kotter’s 8-Step Change Model </w:t>
      </w:r>
    </w:p>
    <w:p w14:paraId="314B86C0" w14:textId="77777777" w:rsidR="00B850BB" w:rsidRPr="00FC63E5" w:rsidRDefault="00B850BB" w:rsidP="00B14D37">
      <w:pPr>
        <w:spacing w:before="120" w:after="120" w:line="360" w:lineRule="auto"/>
        <w:jc w:val="both"/>
        <w:rPr>
          <w:rFonts w:ascii="Arial" w:hAnsi="Arial" w:cs="Arial"/>
          <w:b/>
          <w:bCs/>
        </w:rPr>
      </w:pPr>
    </w:p>
    <w:p w14:paraId="7435D3A5" w14:textId="0DDB8FDE" w:rsidR="00967921" w:rsidRPr="00967921" w:rsidRDefault="00967921" w:rsidP="00FC63E5">
      <w:pPr>
        <w:spacing w:line="360" w:lineRule="auto"/>
        <w:jc w:val="both"/>
        <w:rPr>
          <w:rFonts w:ascii="Arial" w:hAnsi="Arial" w:cs="Arial"/>
        </w:rPr>
      </w:pPr>
      <w:r w:rsidRPr="00FC63E5">
        <w:rPr>
          <w:rFonts w:ascii="Arial" w:hAnsi="Arial" w:cs="Arial"/>
        </w:rPr>
        <w:drawing>
          <wp:inline distT="0" distB="0" distL="0" distR="0" wp14:anchorId="68CBF9AA" wp14:editId="727421D5">
            <wp:extent cx="5607050" cy="3251200"/>
            <wp:effectExtent l="76200" t="76200" r="127000" b="139700"/>
            <wp:docPr id="18166292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2172" b="14908"/>
                    <a:stretch>
                      <a:fillRect/>
                    </a:stretch>
                  </pic:blipFill>
                  <pic:spPr bwMode="auto">
                    <a:xfrm>
                      <a:off x="0" y="0"/>
                      <a:ext cx="5607050" cy="325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A9F1A0" w14:textId="2F6F75DB" w:rsidR="00B850BB" w:rsidRPr="00B850BB" w:rsidRDefault="00B850BB" w:rsidP="00B850BB">
      <w:pPr>
        <w:spacing w:line="360" w:lineRule="auto"/>
        <w:jc w:val="both"/>
        <w:rPr>
          <w:rFonts w:ascii="Arial" w:hAnsi="Arial" w:cs="Arial"/>
        </w:rPr>
      </w:pPr>
      <w:r w:rsidRPr="00B850BB">
        <w:rPr>
          <w:rFonts w:ascii="Arial" w:hAnsi="Arial" w:cs="Arial"/>
        </w:rPr>
        <w:t xml:space="preserve">Kotter’s 8-Step Change Model (Kotter, 1996) is particularly appropriate for addressing the scale and complexity of quality improvement within the Blackpool Victoria Hospital stroke unit, </w:t>
      </w:r>
      <w:r w:rsidRPr="00B850BB">
        <w:rPr>
          <w:rFonts w:ascii="Arial" w:hAnsi="Arial" w:cs="Arial"/>
        </w:rPr>
        <w:lastRenderedPageBreak/>
        <w:t>as it offers a structured, organisation-wide framework, encourages staff engagement, and provides clear, incremental steps for implementing and sustaining change. In contrast, Lewin’s three-stage model (Lewin, 1947), which describes the sequential process of Unfreeze, Change, and Refreeze, was deemed less suitable. The linear, simplified structure of Lewin’s model may not adequately address the dynamic, multi-level nature of change required in acute stroke services (Burnes, 2007).</w:t>
      </w:r>
    </w:p>
    <w:p w14:paraId="4300A3C2" w14:textId="6C38954A" w:rsidR="00B850BB" w:rsidRPr="00B850BB" w:rsidRDefault="00BD33A4" w:rsidP="00B850BB">
      <w:pPr>
        <w:spacing w:line="360" w:lineRule="auto"/>
        <w:jc w:val="both"/>
        <w:rPr>
          <w:rFonts w:ascii="Arial" w:hAnsi="Arial" w:cs="Arial"/>
        </w:rPr>
      </w:pPr>
      <w:r>
        <w:rPr>
          <w:rFonts w:ascii="Arial" w:hAnsi="Arial" w:cs="Arial"/>
        </w:rPr>
        <w:t>1</w:t>
      </w:r>
      <w:r w:rsidR="006D094B">
        <w:rPr>
          <w:rFonts w:ascii="Arial" w:hAnsi="Arial" w:cs="Arial"/>
        </w:rPr>
        <w:t>:</w:t>
      </w:r>
      <w:r w:rsidR="00B850BB" w:rsidRPr="00B850BB">
        <w:rPr>
          <w:rFonts w:ascii="Arial" w:hAnsi="Arial" w:cs="Arial"/>
        </w:rPr>
        <w:t>The first step, creating a sense of urgency, is critical given the documented delays in stroke care and poor SSNAP performance between 2014 and 2018 (RCP, 2019). Communicating audit data, patient safety incidents, and the clinical consequences of delayed thrombolysis can help build staff awareness and readiness for change (CQC, 2017). This ensures stakeholders recognise the immediate need for improvement.</w:t>
      </w:r>
    </w:p>
    <w:p w14:paraId="1CE34B1F" w14:textId="1EE84C75" w:rsidR="00B850BB" w:rsidRDefault="006D094B" w:rsidP="00B850BB">
      <w:pPr>
        <w:spacing w:line="360" w:lineRule="auto"/>
        <w:jc w:val="both"/>
        <w:rPr>
          <w:rFonts w:ascii="Arial" w:hAnsi="Arial" w:cs="Arial"/>
        </w:rPr>
      </w:pPr>
      <w:r>
        <w:rPr>
          <w:rFonts w:ascii="Arial" w:hAnsi="Arial" w:cs="Arial"/>
        </w:rPr>
        <w:t>2:</w:t>
      </w:r>
      <w:r w:rsidR="00B850BB" w:rsidRPr="00B850BB">
        <w:rPr>
          <w:rFonts w:ascii="Arial" w:hAnsi="Arial" w:cs="Arial"/>
        </w:rPr>
        <w:t>Following this, the second step involves building a guiding coalition comprising stroke consultants, emergency department leads, radiology staff, senior nurses, and hospital management. A multidisciplinary leadership team is essential to coordinate action across departments and address the communication failures identified in the case study (NHS England, 2019a).</w:t>
      </w:r>
    </w:p>
    <w:p w14:paraId="72111B0E" w14:textId="010F51D5" w:rsidR="00B850BB" w:rsidRPr="00B850BB" w:rsidRDefault="00BD33A4" w:rsidP="00B850BB">
      <w:pPr>
        <w:spacing w:line="360" w:lineRule="auto"/>
        <w:jc w:val="both"/>
        <w:rPr>
          <w:rFonts w:ascii="Arial" w:hAnsi="Arial" w:cs="Arial"/>
        </w:rPr>
      </w:pPr>
      <w:r>
        <w:rPr>
          <w:rFonts w:ascii="Arial" w:hAnsi="Arial" w:cs="Arial"/>
        </w:rPr>
        <w:t>3</w:t>
      </w:r>
      <w:r w:rsidR="006D094B">
        <w:rPr>
          <w:rFonts w:ascii="Arial" w:hAnsi="Arial" w:cs="Arial"/>
        </w:rPr>
        <w:t>:</w:t>
      </w:r>
      <w:r w:rsidR="00B850BB" w:rsidRPr="00B850BB">
        <w:rPr>
          <w:rFonts w:ascii="Arial" w:hAnsi="Arial" w:cs="Arial"/>
        </w:rPr>
        <w:t>Building on this coalition, the third step is to develop a clear vision and strategy to deliver timely, evidence-based stroke care aligned with NICE NG128 guidelines, particularly by improving door-to-CT and door-to-needle times (NICE, 2019). This vision must be supported by measurable objectives to ensure accountability and clarity.</w:t>
      </w:r>
    </w:p>
    <w:p w14:paraId="014B605B" w14:textId="23F595B1" w:rsidR="00B850BB" w:rsidRPr="00B850BB" w:rsidRDefault="006D094B" w:rsidP="00B850BB">
      <w:pPr>
        <w:spacing w:line="360" w:lineRule="auto"/>
        <w:jc w:val="both"/>
        <w:rPr>
          <w:rFonts w:ascii="Arial" w:hAnsi="Arial" w:cs="Arial"/>
        </w:rPr>
      </w:pPr>
      <w:r>
        <w:rPr>
          <w:rFonts w:ascii="Arial" w:hAnsi="Arial" w:cs="Arial"/>
        </w:rPr>
        <w:t>4:</w:t>
      </w:r>
      <w:r w:rsidR="00B850BB" w:rsidRPr="00B850BB">
        <w:rPr>
          <w:rFonts w:ascii="Arial" w:hAnsi="Arial" w:cs="Arial"/>
        </w:rPr>
        <w:t>Once the vision is in place, the fourth step is to communicate it with consistent, sustained messaging at all organisational levels. Tools such as SBAR, staff briefings, and targeted training sessions can reinforce expectations and improve interdepartmental communication (RCP, 2016).</w:t>
      </w:r>
    </w:p>
    <w:p w14:paraId="2887804C" w14:textId="16CE24C2" w:rsidR="00B850BB" w:rsidRPr="00B850BB" w:rsidRDefault="006D094B" w:rsidP="00B850BB">
      <w:pPr>
        <w:spacing w:line="360" w:lineRule="auto"/>
        <w:jc w:val="both"/>
        <w:rPr>
          <w:rFonts w:ascii="Arial" w:hAnsi="Arial" w:cs="Arial"/>
        </w:rPr>
      </w:pPr>
      <w:r>
        <w:rPr>
          <w:rFonts w:ascii="Arial" w:hAnsi="Arial" w:cs="Arial"/>
        </w:rPr>
        <w:t>5:</w:t>
      </w:r>
      <w:r w:rsidR="00B850BB" w:rsidRPr="00B850BB">
        <w:rPr>
          <w:rFonts w:ascii="Arial" w:hAnsi="Arial" w:cs="Arial"/>
        </w:rPr>
        <w:t>Subsequently, empowering staff to act on the vision involves removing barriers such as unclear protocols, limited access to CT imaging, and insufficient clinical supervision. Providing training, resources, and clear escalation pathways enables staff to implement improvements effectively (RCP, 2020).</w:t>
      </w:r>
    </w:p>
    <w:p w14:paraId="627434C8" w14:textId="6597C8BE" w:rsidR="00B850BB" w:rsidRPr="00B850BB" w:rsidRDefault="006D094B" w:rsidP="00B850BB">
      <w:pPr>
        <w:spacing w:line="360" w:lineRule="auto"/>
        <w:jc w:val="both"/>
        <w:rPr>
          <w:rFonts w:ascii="Arial" w:hAnsi="Arial" w:cs="Arial"/>
        </w:rPr>
      </w:pPr>
      <w:r>
        <w:rPr>
          <w:rFonts w:ascii="Arial" w:hAnsi="Arial" w:cs="Arial"/>
        </w:rPr>
        <w:t>6:</w:t>
      </w:r>
      <w:r w:rsidR="00B850BB" w:rsidRPr="00B850BB">
        <w:rPr>
          <w:rFonts w:ascii="Arial" w:hAnsi="Arial" w:cs="Arial"/>
        </w:rPr>
        <w:t>The sixth step focuses on generating short-term wins, such as measurable reductions in CT scan delays within pilot areas. Demonstrating early success is essential to building momentum, reinforcing engagement, and increasing staff confidence (Kotter, 1996).</w:t>
      </w:r>
    </w:p>
    <w:p w14:paraId="3CE1C51D" w14:textId="0782296F" w:rsidR="00B850BB" w:rsidRPr="00B850BB" w:rsidRDefault="006D094B" w:rsidP="00B850BB">
      <w:pPr>
        <w:spacing w:line="360" w:lineRule="auto"/>
        <w:jc w:val="both"/>
        <w:rPr>
          <w:rFonts w:ascii="Arial" w:hAnsi="Arial" w:cs="Arial"/>
        </w:rPr>
      </w:pPr>
      <w:r>
        <w:rPr>
          <w:rFonts w:ascii="Arial" w:hAnsi="Arial" w:cs="Arial"/>
        </w:rPr>
        <w:t>7:</w:t>
      </w:r>
      <w:r w:rsidR="00B850BB" w:rsidRPr="00B850BB">
        <w:rPr>
          <w:rFonts w:ascii="Arial" w:hAnsi="Arial" w:cs="Arial"/>
        </w:rPr>
        <w:t>To maintain progress, sustaining acceleration is the seventh step, requiring the scaling of successful interventions across the organisation, supported by continuous monitoring through SSNAP data and internal audits (SSNAP, 2022).</w:t>
      </w:r>
    </w:p>
    <w:p w14:paraId="73C8D390" w14:textId="6DC96349" w:rsidR="00B850BB" w:rsidRPr="00B850BB" w:rsidRDefault="006D094B" w:rsidP="00B850BB">
      <w:pPr>
        <w:spacing w:line="360" w:lineRule="auto"/>
        <w:jc w:val="both"/>
        <w:rPr>
          <w:rFonts w:ascii="Arial" w:hAnsi="Arial" w:cs="Arial"/>
        </w:rPr>
      </w:pPr>
      <w:r>
        <w:rPr>
          <w:rFonts w:ascii="Arial" w:hAnsi="Arial" w:cs="Arial"/>
        </w:rPr>
        <w:lastRenderedPageBreak/>
        <w:t>8:</w:t>
      </w:r>
      <w:r w:rsidR="00B850BB" w:rsidRPr="00B850BB">
        <w:rPr>
          <w:rFonts w:ascii="Arial" w:hAnsi="Arial" w:cs="Arial"/>
        </w:rPr>
        <w:t>Finally, anchoring change within organisational culture ensures long-term sustainability. This involves embedding protocols into routine practice, strengthening governance structures, and reinforcing accountability with sustained leadership support (NHS England, 2019a).</w:t>
      </w:r>
    </w:p>
    <w:p w14:paraId="6E9B3A7D" w14:textId="781B80B8" w:rsidR="00B850BB" w:rsidRDefault="00B850BB" w:rsidP="00FC63E5">
      <w:pPr>
        <w:spacing w:line="360" w:lineRule="auto"/>
        <w:jc w:val="both"/>
        <w:rPr>
          <w:rFonts w:ascii="Arial" w:hAnsi="Arial" w:cs="Arial"/>
        </w:rPr>
      </w:pPr>
      <w:r w:rsidRPr="00B850BB">
        <w:rPr>
          <w:rFonts w:ascii="Arial" w:hAnsi="Arial" w:cs="Arial"/>
        </w:rPr>
        <w:t>However, resistance to change may arise from workload pressures, staffing shortages, and an entrenched organisational culture. Addressing these challenges requires strong leadership, continuous engagement, and clear communication. While Kotter’s model provides a comprehensive framework, it may be resource-intensive and time-consuming in high-pressure healthcare environments. In contrast, the PDSA (Plan-Do-Study-Act) cycle, though more flexible and rapid, may not effectively address deep-rooted organisational issues or support large-scale transformation in acute stroke care. Nevertheless, Kotter’s structured, systematic approach is highly effective for managing complex, system-wide change in acute stroke care.</w:t>
      </w:r>
    </w:p>
    <w:p w14:paraId="1DCE1521" w14:textId="0E30C3BB" w:rsidR="00F95F94" w:rsidRPr="00FE34C9" w:rsidRDefault="001F1FF5" w:rsidP="00FC63E5">
      <w:pPr>
        <w:spacing w:line="360" w:lineRule="auto"/>
        <w:jc w:val="both"/>
        <w:rPr>
          <w:rFonts w:ascii="Arial" w:hAnsi="Arial" w:cs="Arial"/>
          <w:b/>
          <w:bCs/>
          <w:sz w:val="24"/>
          <w:szCs w:val="24"/>
        </w:rPr>
      </w:pPr>
      <w:r w:rsidRPr="00FE34C9">
        <w:rPr>
          <w:rFonts w:ascii="Arial" w:hAnsi="Arial" w:cs="Arial"/>
          <w:b/>
          <w:bCs/>
          <w:sz w:val="24"/>
          <w:szCs w:val="24"/>
        </w:rPr>
        <w:t xml:space="preserve">4. </w:t>
      </w:r>
      <w:r w:rsidR="00854B5A" w:rsidRPr="00FE34C9">
        <w:rPr>
          <w:rFonts w:ascii="Arial" w:hAnsi="Arial" w:cs="Arial"/>
          <w:b/>
          <w:bCs/>
          <w:sz w:val="24"/>
          <w:szCs w:val="24"/>
        </w:rPr>
        <w:t>Recommendation</w:t>
      </w:r>
    </w:p>
    <w:p w14:paraId="45F6392C" w14:textId="48661EE6" w:rsidR="00F95F94" w:rsidRPr="00FC63E5" w:rsidRDefault="00B243E3" w:rsidP="00FC63E5">
      <w:pPr>
        <w:spacing w:line="360" w:lineRule="auto"/>
        <w:jc w:val="both"/>
        <w:rPr>
          <w:rFonts w:ascii="Arial" w:hAnsi="Arial" w:cs="Arial"/>
        </w:rPr>
      </w:pPr>
      <w:r w:rsidRPr="00FC63E5">
        <w:rPr>
          <w:rFonts w:ascii="Arial" w:hAnsi="Arial" w:cs="Arial"/>
        </w:rPr>
        <w:t>Drawing on the findings from the diagnostic and improvement models, the following recommendations propose targeted, system-wide interventions.</w:t>
      </w:r>
    </w:p>
    <w:p w14:paraId="53F71EB0" w14:textId="34C83E03" w:rsidR="00ED2E1D" w:rsidRPr="00FE34C9" w:rsidRDefault="00985423" w:rsidP="00FC63E5">
      <w:pPr>
        <w:spacing w:line="360" w:lineRule="auto"/>
        <w:jc w:val="both"/>
        <w:rPr>
          <w:rFonts w:ascii="Arial" w:hAnsi="Arial" w:cs="Arial"/>
        </w:rPr>
      </w:pPr>
      <w:r w:rsidRPr="00FC63E5">
        <w:rPr>
          <w:rFonts w:ascii="Arial" w:hAnsi="Arial" w:cs="Arial"/>
        </w:rPr>
        <w:t>Table 1. Summary of Key Recommendations Mapped to Diagnostic Findings</w:t>
      </w:r>
    </w:p>
    <w:p w14:paraId="0CB09416" w14:textId="2F4BB9A7" w:rsidR="00ED2E1D" w:rsidRPr="00FC63E5" w:rsidRDefault="00ED2E1D" w:rsidP="00FC63E5">
      <w:pPr>
        <w:spacing w:line="360" w:lineRule="auto"/>
        <w:jc w:val="both"/>
        <w:rPr>
          <w:rFonts w:ascii="Arial" w:hAnsi="Arial" w:cs="Arial"/>
          <w:b/>
          <w:bCs/>
        </w:rPr>
      </w:pPr>
      <w:r w:rsidRPr="00FC63E5">
        <w:rPr>
          <w:rFonts w:ascii="Arial" w:hAnsi="Arial" w:cs="Arial"/>
          <w:b/>
          <w:bCs/>
        </w:rPr>
        <w:drawing>
          <wp:inline distT="0" distB="0" distL="0" distR="0" wp14:anchorId="071E0CD2" wp14:editId="03AE2083">
            <wp:extent cx="5731510" cy="3086100"/>
            <wp:effectExtent l="76200" t="76200" r="135890" b="133350"/>
            <wp:docPr id="1869355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355363" name=""/>
                    <pic:cNvPicPr/>
                  </pic:nvPicPr>
                  <pic:blipFill>
                    <a:blip r:embed="rId17"/>
                    <a:stretch>
                      <a:fillRect/>
                    </a:stretch>
                  </pic:blipFill>
                  <pic:spPr>
                    <a:xfrm>
                      <a:off x="0" y="0"/>
                      <a:ext cx="5731510" cy="3086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136350" w14:textId="024E2082" w:rsidR="007349D3" w:rsidRPr="005015BC" w:rsidRDefault="00F95F94" w:rsidP="001918BA">
      <w:pPr>
        <w:spacing w:line="360" w:lineRule="auto"/>
        <w:jc w:val="both"/>
        <w:rPr>
          <w:rFonts w:ascii="Arial" w:hAnsi="Arial" w:cs="Arial"/>
        </w:rPr>
      </w:pPr>
      <w:r w:rsidRPr="00FC63E5">
        <w:rPr>
          <w:rFonts w:ascii="Arial" w:hAnsi="Arial" w:cs="Arial"/>
        </w:rPr>
        <w:t>This table ensures recommendations are transparent, evidence</w:t>
      </w:r>
      <w:r w:rsidRPr="00FC63E5">
        <w:rPr>
          <w:rFonts w:ascii="Cambria Math" w:hAnsi="Cambria Math" w:cs="Cambria Math"/>
        </w:rPr>
        <w:t>‑</w:t>
      </w:r>
      <w:r w:rsidRPr="00FC63E5">
        <w:rPr>
          <w:rFonts w:ascii="Arial" w:hAnsi="Arial" w:cs="Arial"/>
        </w:rPr>
        <w:t>based, and clearly linked to diagnostic insights, supporting prioritisation and implementation planning.</w:t>
      </w:r>
    </w:p>
    <w:p w14:paraId="19200BD5" w14:textId="77777777" w:rsidR="00F15E57" w:rsidRDefault="00F15E57" w:rsidP="007349D3">
      <w:pPr>
        <w:spacing w:line="360" w:lineRule="auto"/>
        <w:jc w:val="both"/>
        <w:rPr>
          <w:rFonts w:ascii="Arial" w:hAnsi="Arial" w:cs="Arial"/>
          <w:b/>
          <w:bCs/>
        </w:rPr>
      </w:pPr>
    </w:p>
    <w:p w14:paraId="35771A2F" w14:textId="77777777" w:rsidR="00F15E57" w:rsidRDefault="00F15E57" w:rsidP="007349D3">
      <w:pPr>
        <w:spacing w:line="360" w:lineRule="auto"/>
        <w:jc w:val="both"/>
        <w:rPr>
          <w:rFonts w:ascii="Arial" w:hAnsi="Arial" w:cs="Arial"/>
          <w:b/>
          <w:bCs/>
        </w:rPr>
      </w:pPr>
    </w:p>
    <w:p w14:paraId="15AFC629" w14:textId="7D72BAD9" w:rsidR="007349D3" w:rsidRPr="007349D3" w:rsidRDefault="007349D3" w:rsidP="007349D3">
      <w:pPr>
        <w:spacing w:line="360" w:lineRule="auto"/>
        <w:jc w:val="both"/>
        <w:rPr>
          <w:rFonts w:ascii="Arial" w:hAnsi="Arial" w:cs="Arial"/>
          <w:b/>
          <w:bCs/>
        </w:rPr>
      </w:pPr>
      <w:r w:rsidRPr="007349D3">
        <w:rPr>
          <w:rFonts w:ascii="Arial" w:hAnsi="Arial" w:cs="Arial"/>
          <w:b/>
          <w:bCs/>
        </w:rPr>
        <w:lastRenderedPageBreak/>
        <w:t xml:space="preserve">4.1 Strengthen Triage and Early Stroke Recognition </w:t>
      </w:r>
    </w:p>
    <w:p w14:paraId="19550B50" w14:textId="4CB6492F" w:rsidR="006841AB" w:rsidRPr="005015BC" w:rsidRDefault="006841AB" w:rsidP="006841AB">
      <w:pPr>
        <w:spacing w:line="360" w:lineRule="auto"/>
        <w:jc w:val="both"/>
        <w:rPr>
          <w:rFonts w:ascii="Arial" w:hAnsi="Arial" w:cs="Arial"/>
        </w:rPr>
      </w:pPr>
      <w:r w:rsidRPr="005015BC">
        <w:rPr>
          <w:rFonts w:ascii="Arial" w:hAnsi="Arial" w:cs="Arial"/>
        </w:rPr>
        <w:t>The Fishbone Diagram and 5 Whys analyses identified inconsistent triage and delayed stroke recognition as key contributors to imaging delays (Middleton et al., 2016). Implementing a standardised triage protocol aligned with NICE NG128 (NICE, 2019) is essential. The process should incorporate validated tools such as FAST and ROSIER, using clear escalation pathways. Standardisation reduces variation and improves time-critical decision-making (Middleton et al., 2016; RCP, 2020). Integration into electronic systems can help minimise human error and promote consistency (NHS England, 2019c). Implementation requires mandatory training for emergency and ambulance staff. Six-monthly competency assessments should support this training (CQC, 2019). Simulation-based training can further enhance team coordination and address communication challenges found in the SWOT analysis (Ogrinc et al., 2003).</w:t>
      </w:r>
    </w:p>
    <w:p w14:paraId="004EC51A" w14:textId="4B331889" w:rsidR="006841AB" w:rsidRPr="00FA4B67" w:rsidRDefault="00FA4B67" w:rsidP="006841AB">
      <w:pPr>
        <w:spacing w:line="360" w:lineRule="auto"/>
        <w:jc w:val="both"/>
        <w:rPr>
          <w:rFonts w:ascii="Arial" w:hAnsi="Arial" w:cs="Arial"/>
          <w:b/>
          <w:bCs/>
        </w:rPr>
      </w:pPr>
      <w:r w:rsidRPr="00FA4B67">
        <w:rPr>
          <w:rFonts w:ascii="Arial" w:hAnsi="Arial" w:cs="Arial"/>
          <w:b/>
          <w:bCs/>
        </w:rPr>
        <w:t>4.2 Improve Access to Timely CT Imaging</w:t>
      </w:r>
    </w:p>
    <w:p w14:paraId="44C6AECA" w14:textId="57F2808D" w:rsidR="006841AB" w:rsidRPr="005015BC" w:rsidRDefault="006841AB" w:rsidP="006841AB">
      <w:pPr>
        <w:spacing w:line="360" w:lineRule="auto"/>
        <w:jc w:val="both"/>
        <w:rPr>
          <w:rFonts w:ascii="Arial" w:hAnsi="Arial" w:cs="Arial"/>
        </w:rPr>
      </w:pPr>
      <w:r w:rsidRPr="005015BC">
        <w:rPr>
          <w:rFonts w:ascii="Arial" w:hAnsi="Arial" w:cs="Arial"/>
        </w:rPr>
        <w:t>Delayed CT imaging was identified consistently across diagnostic models (Donabedian, 2005; Ishikawa, 1986). Establishing a rapid-access CT pathway is essential to ensure imaging within one hour. This approach aligns with SSNAP and RCP standards (RCP, 2020). It requires prioritising stroke patients and allocating dedicated CT capacity. Strengthening ED–radiology communication is also needed (RCP, 2016). Evidence from high-performing centres shows that co-locating CT scanners reduces door-to-CT times (Meretoja et al., 2013). Structural changes need long-term investment. However, short-term improvements are possible through clearer escalation protocols, real-time dashboards, and targeted workforce adjustments. These interventions address process inefficiencies highlighted in the Fishbone Diagram and Donabedian analyses.</w:t>
      </w:r>
    </w:p>
    <w:p w14:paraId="62666B03" w14:textId="100C70C2" w:rsidR="006841AB" w:rsidRPr="00FA4B67" w:rsidRDefault="006841AB" w:rsidP="006841AB">
      <w:pPr>
        <w:spacing w:line="360" w:lineRule="auto"/>
        <w:jc w:val="both"/>
        <w:rPr>
          <w:rFonts w:ascii="Arial" w:hAnsi="Arial" w:cs="Arial"/>
          <w:b/>
          <w:bCs/>
        </w:rPr>
      </w:pPr>
      <w:r w:rsidRPr="00FA4B67">
        <w:rPr>
          <w:rFonts w:ascii="Arial" w:hAnsi="Arial" w:cs="Arial"/>
          <w:b/>
          <w:bCs/>
        </w:rPr>
        <w:t>4.3 Strengthen Multidisciplinary Communication</w:t>
      </w:r>
    </w:p>
    <w:p w14:paraId="20EEEA82" w14:textId="2BA6ADFA" w:rsidR="006841AB" w:rsidRPr="005015BC" w:rsidRDefault="006841AB" w:rsidP="006841AB">
      <w:pPr>
        <w:spacing w:line="360" w:lineRule="auto"/>
        <w:jc w:val="both"/>
        <w:rPr>
          <w:rFonts w:ascii="Arial" w:hAnsi="Arial" w:cs="Arial"/>
        </w:rPr>
      </w:pPr>
      <w:r w:rsidRPr="005015BC">
        <w:rPr>
          <w:rFonts w:ascii="Arial" w:hAnsi="Arial" w:cs="Arial"/>
        </w:rPr>
        <w:t>Communication failures were identified in the Fishbone Diagram, 5 Whys, and SWOT analyses (Ishikawa, 1986; Dyson, 2004). The SBAR tool should be mandated as the standard communication method for emergency, radiology, and stroke teams to standardise information exchange and reduce errors (RCP, 2016). Ongoing training, supervision, and regular audits are necessary to reinforce this practice (CQC, 2019; NHS England, 2019c). Daily multidisciplinary huddles can enhance situational awareness, address workflow bottlenecks, and facilitate shared decision-making (Provost and Murray, 2011). Structured huddles have been shown to improve team coordination and reduce delays in acute care (Provost and Murray, 2011; Ovretveit and Gustafson, 2002). These interventions directly address the cultural and communication gaps identified in the diagnostic analyses.</w:t>
      </w:r>
    </w:p>
    <w:p w14:paraId="1473D37E" w14:textId="71893D18" w:rsidR="006841AB" w:rsidRPr="00FA4B67" w:rsidRDefault="006841AB" w:rsidP="006841AB">
      <w:pPr>
        <w:spacing w:line="360" w:lineRule="auto"/>
        <w:jc w:val="both"/>
        <w:rPr>
          <w:rFonts w:ascii="Arial" w:hAnsi="Arial" w:cs="Arial"/>
          <w:b/>
          <w:bCs/>
        </w:rPr>
      </w:pPr>
      <w:r w:rsidRPr="00FA4B67">
        <w:rPr>
          <w:rFonts w:ascii="Arial" w:hAnsi="Arial" w:cs="Arial"/>
          <w:b/>
          <w:bCs/>
        </w:rPr>
        <w:lastRenderedPageBreak/>
        <w:t>4.4 Strengthen Clinical Supervision and Workforce Stability</w:t>
      </w:r>
    </w:p>
    <w:p w14:paraId="7E6BB4B8" w14:textId="6CCE3984" w:rsidR="00FA4B67" w:rsidRPr="00F15E57" w:rsidRDefault="006841AB" w:rsidP="006841AB">
      <w:pPr>
        <w:spacing w:line="360" w:lineRule="auto"/>
        <w:jc w:val="both"/>
        <w:rPr>
          <w:rFonts w:ascii="Arial" w:hAnsi="Arial" w:cs="Arial"/>
        </w:rPr>
      </w:pPr>
      <w:r w:rsidRPr="005015BC">
        <w:rPr>
          <w:rFonts w:ascii="Arial" w:hAnsi="Arial" w:cs="Arial"/>
        </w:rPr>
        <w:t xml:space="preserve"> The Donabedian analysis identified inadequate supervision and staffing instability as barriers to quality care (Donabedian, 2005; CQC, 2016). Establishing a rota that provides 24/7 access to stroke-trained clinicians aligns with CQC recommendations and national standards (CQC, 2019; RCP, 2020). Workforce development funding should be utilised to support staff training, reduce reliance on agency personnel, and improve retention (Buchan et al., 2019; Robertson et al., 2017; Health Education England, 2018). Fostering a psychologically safe culture enables staff to escalate concerns and supports sustained improvement (Edmondson, 2018). These measures address the structural and cultural challenges identified in the SWOT and Donabedian analyses (Donabedian, 2005).</w:t>
      </w:r>
    </w:p>
    <w:p w14:paraId="49E5398A" w14:textId="0A2667E0" w:rsidR="00FA4B67" w:rsidRDefault="006841AB" w:rsidP="006841AB">
      <w:pPr>
        <w:spacing w:line="360" w:lineRule="auto"/>
        <w:jc w:val="both"/>
        <w:rPr>
          <w:rFonts w:ascii="Arial" w:hAnsi="Arial" w:cs="Arial"/>
          <w:b/>
          <w:bCs/>
        </w:rPr>
      </w:pPr>
      <w:r w:rsidRPr="00FA4B67">
        <w:rPr>
          <w:rFonts w:ascii="Arial" w:hAnsi="Arial" w:cs="Arial"/>
          <w:b/>
          <w:bCs/>
        </w:rPr>
        <w:t>4.5 Embed Continuous Quality Improvement</w:t>
      </w:r>
    </w:p>
    <w:p w14:paraId="0E6B6AA5" w14:textId="6EBB37E8" w:rsidR="006841AB" w:rsidRPr="00FA4B67" w:rsidRDefault="006841AB" w:rsidP="006841AB">
      <w:pPr>
        <w:spacing w:line="360" w:lineRule="auto"/>
        <w:jc w:val="both"/>
        <w:rPr>
          <w:rFonts w:ascii="Arial" w:hAnsi="Arial" w:cs="Arial"/>
          <w:b/>
          <w:bCs/>
        </w:rPr>
      </w:pPr>
      <w:r w:rsidRPr="005015BC">
        <w:rPr>
          <w:rFonts w:ascii="Arial" w:hAnsi="Arial" w:cs="Arial"/>
        </w:rPr>
        <w:t>To ensure sustainability, the hospital should implement continuous monitoring through SSNAP benchmarking (SSNAP, 2018; RCP, 2024), regular audits, and Plan-Do-Study-Act (PDSA) cycles (Taylor et al., 2014). This approach aligns with PDSA’s emphasis on reflective learning (Ogrinc et al., 2003) and Kotter’s principles for sustaining progress (Kotter, 1996). A stroke improvement dashboard should be developed to display real-time performance on key indicators, including door-to-CT time, thrombolysis rates, and specialist review. Employing continuous improvement processes addresses systemic failures identified across all diagnostic models.</w:t>
      </w:r>
    </w:p>
    <w:p w14:paraId="3DDA3241" w14:textId="5E62D5D0" w:rsidR="006841AB" w:rsidRPr="00FA4B67" w:rsidRDefault="006841AB" w:rsidP="006841AB">
      <w:pPr>
        <w:spacing w:line="360" w:lineRule="auto"/>
        <w:jc w:val="both"/>
        <w:rPr>
          <w:rFonts w:ascii="Arial" w:hAnsi="Arial" w:cs="Arial"/>
          <w:b/>
          <w:bCs/>
        </w:rPr>
      </w:pPr>
      <w:r w:rsidRPr="00FA4B67">
        <w:rPr>
          <w:rFonts w:ascii="Arial" w:hAnsi="Arial" w:cs="Arial"/>
          <w:b/>
          <w:bCs/>
        </w:rPr>
        <w:t>4.6 Implement Organisational Change Using Kotter’s Model</w:t>
      </w:r>
    </w:p>
    <w:p w14:paraId="383A3FCA" w14:textId="4FCDC71D" w:rsidR="00F15E57" w:rsidRPr="005015BC" w:rsidRDefault="006841AB" w:rsidP="006841AB">
      <w:pPr>
        <w:spacing w:line="360" w:lineRule="auto"/>
        <w:jc w:val="both"/>
        <w:rPr>
          <w:rFonts w:ascii="Arial" w:hAnsi="Arial" w:cs="Arial"/>
        </w:rPr>
      </w:pPr>
      <w:r w:rsidRPr="005015BC">
        <w:rPr>
          <w:rFonts w:ascii="Arial" w:hAnsi="Arial" w:cs="Arial"/>
        </w:rPr>
        <w:t>Kotter’s 8-Step Model is a structured framework for delivering cultural and behavioural change in the stroke pathway (Kotter, 1996). Creating urgency through transparent SSNAP reporting can mobilise staff and highlight performance gaps (SSNAP, 2018; RCP, 2024). A multidisciplinary guiding coalition ensures coordinated action across emergency, radiology, and stroke services (Kotter, 1996). A clear vision aligned with NICE guidance supports consistent, evidence-based practice. This is reinforced by removing barriers, such as unclear protocols and limited supervision (NHS England, 2021; NICE, 2019). Generating short-term wins, such as improved CT turnaround times, builds momentum (Meretoja et al., 2013). Embedding changes within organisational culture ensures sustainability (Kotter, 1996). However, success depends on sustained leadership and adequate resourcing (Robertson et al., 2017; Buchan et al., 2019). Continuous evaluation is essential, as isolated interventions rarely achieve lasting improvement in complex healthcare systems (Vincent et al., 2017; Reason, 2000).</w:t>
      </w:r>
    </w:p>
    <w:p w14:paraId="03F9AF57" w14:textId="77777777" w:rsidR="00F15E57" w:rsidRDefault="00F15E57" w:rsidP="00FC63E5">
      <w:pPr>
        <w:spacing w:line="360" w:lineRule="auto"/>
        <w:jc w:val="both"/>
        <w:rPr>
          <w:rFonts w:ascii="Arial" w:hAnsi="Arial" w:cs="Arial"/>
          <w:b/>
          <w:bCs/>
        </w:rPr>
      </w:pPr>
    </w:p>
    <w:p w14:paraId="4A15AAF9" w14:textId="43CF0CA1" w:rsidR="00F15E57" w:rsidRPr="00FC63E5" w:rsidRDefault="00D23955" w:rsidP="00FC63E5">
      <w:pPr>
        <w:spacing w:line="360" w:lineRule="auto"/>
        <w:jc w:val="both"/>
        <w:rPr>
          <w:rFonts w:ascii="Arial" w:hAnsi="Arial" w:cs="Arial"/>
          <w:b/>
          <w:bCs/>
        </w:rPr>
      </w:pPr>
      <w:r w:rsidRPr="00FC63E5">
        <w:rPr>
          <w:rFonts w:ascii="Arial" w:hAnsi="Arial" w:cs="Arial"/>
          <w:b/>
          <w:bCs/>
        </w:rPr>
        <w:lastRenderedPageBreak/>
        <w:t>5. Benchmarking Table</w:t>
      </w:r>
    </w:p>
    <w:p w14:paraId="6F73BD6E" w14:textId="041D698A" w:rsidR="00F15E57" w:rsidRPr="00F15E57" w:rsidRDefault="00F7271A" w:rsidP="00FC63E5">
      <w:pPr>
        <w:spacing w:line="360" w:lineRule="auto"/>
        <w:jc w:val="both"/>
        <w:rPr>
          <w:rFonts w:ascii="Arial" w:hAnsi="Arial" w:cs="Arial"/>
          <w:b/>
          <w:bCs/>
        </w:rPr>
      </w:pPr>
      <w:r w:rsidRPr="00FC63E5">
        <w:rPr>
          <w:rFonts w:ascii="Arial" w:hAnsi="Arial" w:cs="Arial"/>
          <w:b/>
          <w:bCs/>
        </w:rPr>
        <w:drawing>
          <wp:inline distT="0" distB="0" distL="0" distR="0" wp14:anchorId="4637419D" wp14:editId="47B45B3C">
            <wp:extent cx="5503545" cy="2937878"/>
            <wp:effectExtent l="76200" t="76200" r="135255" b="129540"/>
            <wp:docPr id="950222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22017" name=""/>
                    <pic:cNvPicPr/>
                  </pic:nvPicPr>
                  <pic:blipFill rotWithShape="1">
                    <a:blip r:embed="rId18"/>
                    <a:srcRect l="1330" t="3955" r="841"/>
                    <a:stretch>
                      <a:fillRect/>
                    </a:stretch>
                  </pic:blipFill>
                  <pic:spPr bwMode="auto">
                    <a:xfrm>
                      <a:off x="0" y="0"/>
                      <a:ext cx="5575167" cy="29761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0296C9E" w14:textId="336E1378" w:rsidR="00F15E57" w:rsidRPr="007349D3" w:rsidRDefault="0097725A" w:rsidP="00FC63E5">
      <w:pPr>
        <w:spacing w:line="360" w:lineRule="auto"/>
        <w:jc w:val="both"/>
        <w:rPr>
          <w:rFonts w:ascii="Arial" w:hAnsi="Arial" w:cs="Arial"/>
        </w:rPr>
      </w:pPr>
      <w:r w:rsidRPr="0097725A">
        <w:rPr>
          <w:rFonts w:ascii="Arial" w:hAnsi="Arial" w:cs="Arial"/>
        </w:rPr>
        <w:t xml:space="preserve">Benchmarking data demonstrate that Blackpool Victoria Hospital’s Stroke Unit unequivocally underperformed against national standards, particularly SSNAP indicators for CT imaging and thrombolysis (SSNAP, 2015; SSNAP, 2018; SSNAP, 2022; RCP, 2020). Local CT imaging rates routinely remained below 70%, falling short of the national benchmark of 90% and directly resulting in delays in diagnosis and treatment initiation. High-performing stroke centres prove that rapid imaging pathways and coordinated multidisciplinary care are achievable within NHS settings (RCP, 2024; Russell, 2024). The proposed improvements directly address these benchmarks by mandating triage standardisation, increasing CT access, and streamlining communication processes. Benchmarking will ensure ongoing monitoring through SSNAP reporting and audit cycles (SSNAP/HQIP, 2025). </w:t>
      </w:r>
      <w:r w:rsidR="005C0282">
        <w:rPr>
          <w:rFonts w:ascii="Arial" w:hAnsi="Arial" w:cs="Arial"/>
        </w:rPr>
        <w:t>However</w:t>
      </w:r>
      <w:r w:rsidRPr="0097725A">
        <w:rPr>
          <w:rFonts w:ascii="Arial" w:hAnsi="Arial" w:cs="Arial"/>
        </w:rPr>
        <w:t>, interpreting comparisons requires vigilance, as organisational context, resource constraints, and patient demographics inevitably affect performance (CQC, 2023).</w:t>
      </w:r>
    </w:p>
    <w:p w14:paraId="4E6CFF86" w14:textId="46615AF7" w:rsidR="00C744A9" w:rsidRPr="00FC63E5" w:rsidRDefault="001F1FF5" w:rsidP="00FC63E5">
      <w:pPr>
        <w:spacing w:line="360" w:lineRule="auto"/>
        <w:jc w:val="both"/>
        <w:rPr>
          <w:rFonts w:ascii="Arial" w:hAnsi="Arial" w:cs="Arial"/>
          <w:b/>
          <w:bCs/>
        </w:rPr>
      </w:pPr>
      <w:r w:rsidRPr="00FC63E5">
        <w:rPr>
          <w:rFonts w:ascii="Arial" w:hAnsi="Arial" w:cs="Arial"/>
          <w:b/>
          <w:bCs/>
        </w:rPr>
        <w:t>6.</w:t>
      </w:r>
      <w:r w:rsidR="005E37A4" w:rsidRPr="00FC63E5">
        <w:rPr>
          <w:rFonts w:ascii="Arial" w:hAnsi="Arial" w:cs="Arial"/>
          <w:b/>
          <w:bCs/>
        </w:rPr>
        <w:t xml:space="preserve">Conclusion </w:t>
      </w:r>
    </w:p>
    <w:p w14:paraId="2EBE9B98" w14:textId="043CF324" w:rsidR="006400AD" w:rsidRPr="006400AD" w:rsidRDefault="006400AD" w:rsidP="006400AD">
      <w:pPr>
        <w:spacing w:line="360" w:lineRule="auto"/>
        <w:jc w:val="both"/>
        <w:rPr>
          <w:rFonts w:ascii="Arial" w:hAnsi="Arial" w:cs="Arial"/>
        </w:rPr>
      </w:pPr>
      <w:r w:rsidRPr="006400AD">
        <w:rPr>
          <w:rFonts w:ascii="Arial" w:hAnsi="Arial" w:cs="Arial"/>
        </w:rPr>
        <w:t>In summary, this report critically analysed the systemic factors underlying quality failures within Blackpool Victoria Hospital’s Stroke Unit between 2014 and 2018. Multiple diagnostic frameworks</w:t>
      </w:r>
      <w:r>
        <w:rPr>
          <w:rFonts w:ascii="Arial" w:hAnsi="Arial" w:cs="Arial"/>
        </w:rPr>
        <w:t xml:space="preserve"> </w:t>
      </w:r>
      <w:r w:rsidRPr="006400AD">
        <w:rPr>
          <w:rFonts w:ascii="Arial" w:hAnsi="Arial" w:cs="Arial"/>
        </w:rPr>
        <w:t>including the Fishbone Model (Ishikawa, 1986), 5 Whys (Dyson, 2004), Donabedian Model (Donabedian, 2005), and SWOT analysis</w:t>
      </w:r>
      <w:r>
        <w:rPr>
          <w:rFonts w:ascii="Arial" w:hAnsi="Arial" w:cs="Arial"/>
        </w:rPr>
        <w:t xml:space="preserve"> </w:t>
      </w:r>
      <w:r w:rsidRPr="006400AD">
        <w:rPr>
          <w:rFonts w:ascii="Arial" w:hAnsi="Arial" w:cs="Arial"/>
        </w:rPr>
        <w:t xml:space="preserve">showed that these failures were not isolated. Instead, they reflected interconnected weaknesses in organisational structures, clinical processes, and culture. Key issues included inconsistent triage (Middleton et al., 2016), delayed CT imaging (Meretoja et al., 2013), ineffective communication (RCP, 2016), inadequate clinical supervision, and unstable governance (CQC, 2016; CQC, 2019). Together, </w:t>
      </w:r>
      <w:r w:rsidRPr="006400AD">
        <w:rPr>
          <w:rFonts w:ascii="Arial" w:hAnsi="Arial" w:cs="Arial"/>
        </w:rPr>
        <w:lastRenderedPageBreak/>
        <w:t>these factors contributed to suboptimal SSNAP performance (SSNAP, 2018) and avoidable patient harm.</w:t>
      </w:r>
    </w:p>
    <w:p w14:paraId="5247FDC2" w14:textId="096F8D8E" w:rsidR="006400AD" w:rsidRPr="006400AD" w:rsidRDefault="006400AD" w:rsidP="006400AD">
      <w:pPr>
        <w:spacing w:line="360" w:lineRule="auto"/>
        <w:jc w:val="both"/>
        <w:rPr>
          <w:rFonts w:ascii="Arial" w:hAnsi="Arial" w:cs="Arial"/>
        </w:rPr>
      </w:pPr>
      <w:r w:rsidRPr="006400AD">
        <w:rPr>
          <w:rFonts w:ascii="Arial" w:hAnsi="Arial" w:cs="Arial"/>
        </w:rPr>
        <w:t>The integration of quality improvement and change management approaches, specifically the PDSA cycle (Taylor et al., 2014) and Kotter’s 8-Step Model (Kotter, 1996), provided a structured, evidence-based strategy to address these challenges. PDSA supports iterative, data-driven improvement within complex clinical environments (Ogrinc et al., 2003). Kotter’s model facilitates the cultural and organisational transformation required to sustain change. Benchmarking data further underscored the extent of underperformance relative to national standards (RCP, 2024; SSNAP/HQIP, 2025). This highlighted the urgency of a system-wide intervention.</w:t>
      </w:r>
    </w:p>
    <w:p w14:paraId="38CA40FC" w14:textId="76243F3E" w:rsidR="001F1FF5" w:rsidRPr="001F1FF5" w:rsidRDefault="006400AD" w:rsidP="006400AD">
      <w:pPr>
        <w:spacing w:line="360" w:lineRule="auto"/>
        <w:jc w:val="both"/>
        <w:rPr>
          <w:rFonts w:ascii="Arial" w:hAnsi="Arial" w:cs="Arial"/>
        </w:rPr>
      </w:pPr>
      <w:r w:rsidRPr="006400AD">
        <w:rPr>
          <w:rFonts w:ascii="Arial" w:hAnsi="Arial" w:cs="Arial"/>
        </w:rPr>
        <w:t>The proposed recommendations</w:t>
      </w:r>
      <w:r w:rsidR="007349D3">
        <w:rPr>
          <w:rFonts w:ascii="Arial" w:hAnsi="Arial" w:cs="Arial"/>
        </w:rPr>
        <w:t xml:space="preserve"> </w:t>
      </w:r>
      <w:r w:rsidRPr="006400AD">
        <w:rPr>
          <w:rFonts w:ascii="Arial" w:hAnsi="Arial" w:cs="Arial"/>
        </w:rPr>
        <w:t>standardising triage protocols (NICE, 2019; Middleton et al., 2016), improving access to CT imaging (Meretoja et al., 2013), strengthening multidisciplinary communication (RCP, 2016), enhancing clinical supervision (CQC, 2019), and embedding continuous quality improvement (Taylor et al., 2014)</w:t>
      </w:r>
      <w:r>
        <w:rPr>
          <w:rFonts w:ascii="Arial" w:hAnsi="Arial" w:cs="Arial"/>
        </w:rPr>
        <w:t xml:space="preserve"> </w:t>
      </w:r>
      <w:r w:rsidRPr="006400AD">
        <w:rPr>
          <w:rFonts w:ascii="Arial" w:hAnsi="Arial" w:cs="Arial"/>
        </w:rPr>
        <w:t>are directly informed by diagnostic findings and aligned with national policy (NHS England, 2021; RCP, 2016). However, their success depends on sustained leadership and adequate resourcing (Robertson et al., 2017; Buchan et al., 2019). The ability to address complex organisational challenges is also key. These findings provide a transferable framework for improving stroke care across similar healthcare settings.</w:t>
      </w:r>
    </w:p>
    <w:p w14:paraId="250A50F8" w14:textId="77777777" w:rsidR="001F1FF5" w:rsidRDefault="001F1FF5" w:rsidP="00EB7D96">
      <w:pPr>
        <w:rPr>
          <w:rFonts w:ascii="Arial" w:hAnsi="Arial" w:cs="Arial"/>
          <w:b/>
          <w:bCs/>
        </w:rPr>
      </w:pPr>
    </w:p>
    <w:p w14:paraId="4A1093D8" w14:textId="77777777" w:rsidR="001F1FF5" w:rsidRDefault="001F1FF5" w:rsidP="00EB7D96">
      <w:pPr>
        <w:rPr>
          <w:rFonts w:ascii="Arial" w:hAnsi="Arial" w:cs="Arial"/>
          <w:b/>
          <w:bCs/>
        </w:rPr>
      </w:pPr>
    </w:p>
    <w:p w14:paraId="3EF9470C" w14:textId="77777777" w:rsidR="001F1FF5" w:rsidRDefault="001F1FF5" w:rsidP="00EB7D96">
      <w:pPr>
        <w:rPr>
          <w:rFonts w:ascii="Arial" w:hAnsi="Arial" w:cs="Arial"/>
          <w:b/>
          <w:bCs/>
        </w:rPr>
      </w:pPr>
    </w:p>
    <w:p w14:paraId="100C04C1" w14:textId="77777777" w:rsidR="001F1FF5" w:rsidRDefault="001F1FF5" w:rsidP="00EB7D96">
      <w:pPr>
        <w:rPr>
          <w:rFonts w:ascii="Arial" w:hAnsi="Arial" w:cs="Arial"/>
          <w:b/>
          <w:bCs/>
        </w:rPr>
      </w:pPr>
    </w:p>
    <w:p w14:paraId="1CDD46E8" w14:textId="77777777" w:rsidR="001F1FF5" w:rsidRDefault="001F1FF5" w:rsidP="00EB7D96">
      <w:pPr>
        <w:rPr>
          <w:rFonts w:ascii="Arial" w:hAnsi="Arial" w:cs="Arial"/>
          <w:b/>
          <w:bCs/>
        </w:rPr>
      </w:pPr>
    </w:p>
    <w:p w14:paraId="4A78B2BF" w14:textId="77777777" w:rsidR="001F1FF5" w:rsidRDefault="001F1FF5" w:rsidP="00EB7D96">
      <w:pPr>
        <w:rPr>
          <w:rFonts w:ascii="Arial" w:hAnsi="Arial" w:cs="Arial"/>
          <w:b/>
          <w:bCs/>
        </w:rPr>
      </w:pPr>
    </w:p>
    <w:p w14:paraId="660F8832" w14:textId="77777777" w:rsidR="00FA4B67" w:rsidRDefault="00FA4B67" w:rsidP="00915E56">
      <w:pPr>
        <w:rPr>
          <w:rFonts w:ascii="Arial" w:hAnsi="Arial" w:cs="Arial"/>
          <w:b/>
          <w:bCs/>
        </w:rPr>
      </w:pPr>
    </w:p>
    <w:p w14:paraId="09B8A56A" w14:textId="77777777" w:rsidR="00FA4B67" w:rsidRDefault="00FA4B67" w:rsidP="00915E56">
      <w:pPr>
        <w:rPr>
          <w:rFonts w:ascii="Arial" w:hAnsi="Arial" w:cs="Arial"/>
          <w:b/>
          <w:bCs/>
        </w:rPr>
      </w:pPr>
    </w:p>
    <w:p w14:paraId="447FA08F" w14:textId="77777777" w:rsidR="00FA4B67" w:rsidRDefault="00FA4B67" w:rsidP="00915E56">
      <w:pPr>
        <w:rPr>
          <w:rFonts w:ascii="Arial" w:hAnsi="Arial" w:cs="Arial"/>
          <w:b/>
          <w:bCs/>
        </w:rPr>
      </w:pPr>
    </w:p>
    <w:p w14:paraId="6FA2B4DC" w14:textId="77777777" w:rsidR="00FA4B67" w:rsidRDefault="00FA4B67" w:rsidP="00915E56">
      <w:pPr>
        <w:rPr>
          <w:rFonts w:ascii="Arial" w:hAnsi="Arial" w:cs="Arial"/>
          <w:b/>
          <w:bCs/>
        </w:rPr>
      </w:pPr>
    </w:p>
    <w:p w14:paraId="5F66074D" w14:textId="77777777" w:rsidR="00FA4B67" w:rsidRDefault="00FA4B67" w:rsidP="00915E56">
      <w:pPr>
        <w:rPr>
          <w:rFonts w:ascii="Arial" w:hAnsi="Arial" w:cs="Arial"/>
          <w:b/>
          <w:bCs/>
        </w:rPr>
      </w:pPr>
    </w:p>
    <w:p w14:paraId="0798755D" w14:textId="77777777" w:rsidR="00FA4B67" w:rsidRDefault="00FA4B67" w:rsidP="00915E56">
      <w:pPr>
        <w:rPr>
          <w:rFonts w:ascii="Arial" w:hAnsi="Arial" w:cs="Arial"/>
          <w:b/>
          <w:bCs/>
        </w:rPr>
      </w:pPr>
    </w:p>
    <w:p w14:paraId="390AC481" w14:textId="77777777" w:rsidR="00FA4B67" w:rsidRDefault="00FA4B67" w:rsidP="00915E56">
      <w:pPr>
        <w:rPr>
          <w:rFonts w:ascii="Arial" w:hAnsi="Arial" w:cs="Arial"/>
          <w:b/>
          <w:bCs/>
        </w:rPr>
      </w:pPr>
    </w:p>
    <w:p w14:paraId="369AB8BC" w14:textId="77777777" w:rsidR="00A758F5" w:rsidRDefault="00A758F5" w:rsidP="00915E56">
      <w:pPr>
        <w:rPr>
          <w:rFonts w:ascii="Arial" w:hAnsi="Arial" w:cs="Arial"/>
          <w:b/>
          <w:bCs/>
        </w:rPr>
      </w:pPr>
    </w:p>
    <w:p w14:paraId="30840080" w14:textId="0411B6B4" w:rsidR="00915E56" w:rsidRPr="002C059C" w:rsidRDefault="00915E56" w:rsidP="00915E56">
      <w:pPr>
        <w:rPr>
          <w:rFonts w:ascii="Arial" w:hAnsi="Arial" w:cs="Arial"/>
          <w:b/>
          <w:bCs/>
        </w:rPr>
      </w:pPr>
      <w:r w:rsidRPr="002C059C">
        <w:rPr>
          <w:rFonts w:ascii="Arial" w:hAnsi="Arial" w:cs="Arial"/>
          <w:b/>
          <w:bCs/>
        </w:rPr>
        <w:lastRenderedPageBreak/>
        <w:t xml:space="preserve">Reference List </w:t>
      </w:r>
    </w:p>
    <w:p w14:paraId="5313FC0D" w14:textId="77777777" w:rsidR="00915E56" w:rsidRPr="00DA151C" w:rsidRDefault="00915E56" w:rsidP="00915E56">
      <w:pPr>
        <w:rPr>
          <w:rFonts w:ascii="Arial" w:hAnsi="Arial" w:cs="Arial"/>
        </w:rPr>
      </w:pPr>
    </w:p>
    <w:p w14:paraId="3C5B97F2"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Bergman, B. and Klefsjö, B. (2010) Quality from Customer Needs to Customer Satisfaction. 3rd edn. Available at: </w:t>
      </w:r>
      <w:hyperlink r:id="rId19" w:history="1">
        <w:r w:rsidRPr="00A81876">
          <w:rPr>
            <w:rFonts w:ascii="Arial" w:eastAsia="Times New Roman" w:hAnsi="Arial" w:cs="Arial"/>
            <w:color w:val="0000FF"/>
            <w:kern w:val="0"/>
            <w:u w:val="single"/>
            <w:lang w:eastAsia="en-GB"/>
            <w14:ligatures w14:val="none"/>
          </w:rPr>
          <w:t>https://research.chalmers.se/en/publication/130168</w:t>
        </w:r>
      </w:hyperlink>
      <w:r w:rsidRPr="00A81876">
        <w:rPr>
          <w:rFonts w:ascii="Arial" w:eastAsia="Times New Roman" w:hAnsi="Arial" w:cs="Arial"/>
          <w:kern w:val="0"/>
          <w:lang w:eastAsia="en-GB"/>
          <w14:ligatures w14:val="none"/>
        </w:rPr>
        <w:t xml:space="preserve"> (Accessed: 26 March 2026).</w:t>
      </w:r>
    </w:p>
    <w:p w14:paraId="7412229B"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20E0FB27"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Blackpool Teaching Hospitals NHS Foundation Trust (2018) Annual report and accounts 2017/18. Available at: </w:t>
      </w:r>
      <w:hyperlink r:id="rId20" w:history="1">
        <w:r w:rsidRPr="00A81876">
          <w:rPr>
            <w:rFonts w:ascii="Arial" w:eastAsia="Times New Roman" w:hAnsi="Arial" w:cs="Arial"/>
            <w:color w:val="0000FF"/>
            <w:kern w:val="0"/>
            <w:u w:val="single"/>
            <w:lang w:eastAsia="en-GB"/>
            <w14:ligatures w14:val="none"/>
          </w:rPr>
          <w:t>https://www.england.nhs.uk/wp-content/uploads/2019/09/Blackpool_Teaching_Hospitals_NHS_FT_-_annual_report_and_accounts_2017-18.pdf</w:t>
        </w:r>
      </w:hyperlink>
      <w:r w:rsidRPr="00A81876">
        <w:rPr>
          <w:rFonts w:ascii="Arial" w:eastAsia="Times New Roman" w:hAnsi="Arial" w:cs="Arial"/>
          <w:kern w:val="0"/>
          <w:lang w:eastAsia="en-GB"/>
          <w14:ligatures w14:val="none"/>
        </w:rPr>
        <w:t xml:space="preserve"> (Accessed:16 February 2026).</w:t>
      </w:r>
    </w:p>
    <w:p w14:paraId="33DC95A1"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720FD1A5"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Boehme, A.K., Esenwa, C. and Elkind, M.S.V. (2017) ‘Stroke risk factors, genetics, and prevention’, Circulation Research, 120(3), pp. 472–495.Available at: </w:t>
      </w:r>
      <w:hyperlink r:id="rId21" w:history="1">
        <w:r w:rsidRPr="00A81876">
          <w:rPr>
            <w:rFonts w:ascii="Arial" w:eastAsia="Times New Roman" w:hAnsi="Arial" w:cs="Arial"/>
            <w:color w:val="0000FF"/>
            <w:kern w:val="0"/>
            <w:u w:val="single"/>
            <w:lang w:eastAsia="en-GB"/>
            <w14:ligatures w14:val="none"/>
          </w:rPr>
          <w:t>https://pubmed.ncbi.nlm.nih.gov/28154098/</w:t>
        </w:r>
      </w:hyperlink>
      <w:r w:rsidRPr="00A81876">
        <w:rPr>
          <w:rFonts w:ascii="Arial" w:eastAsia="Times New Roman" w:hAnsi="Arial" w:cs="Arial"/>
          <w:kern w:val="0"/>
          <w:lang w:eastAsia="en-GB"/>
          <w14:ligatures w14:val="none"/>
        </w:rPr>
        <w:t xml:space="preserve">  (Accessed: 20 March 2026).</w:t>
      </w:r>
    </w:p>
    <w:p w14:paraId="2E1062A4"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63EA95E9"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Buchan, J., Charlesworth, A., Gershlick, B. and Seccombe, I.  (2019) Falling short: the NHS workforce challenge. The Health Foundation. Available at: </w:t>
      </w:r>
      <w:hyperlink r:id="rId22" w:history="1">
        <w:r w:rsidRPr="00A81876">
          <w:rPr>
            <w:rFonts w:ascii="Arial" w:eastAsia="Times New Roman" w:hAnsi="Arial" w:cs="Arial"/>
            <w:color w:val="0000FF"/>
            <w:kern w:val="0"/>
            <w:u w:val="single"/>
            <w:lang w:eastAsia="en-GB"/>
            <w14:ligatures w14:val="none"/>
          </w:rPr>
          <w:t>https://www.health.org.uk/sites/default/files/upload/publications/2019/S05_Falling%20short_The%20NHS%20workforce%20challenge.pdf</w:t>
        </w:r>
      </w:hyperlink>
      <w:r w:rsidRPr="00A81876">
        <w:rPr>
          <w:rFonts w:ascii="Arial" w:eastAsia="Times New Roman" w:hAnsi="Arial" w:cs="Arial"/>
          <w:kern w:val="0"/>
          <w:lang w:eastAsia="en-GB"/>
          <w14:ligatures w14:val="none"/>
        </w:rPr>
        <w:t xml:space="preserve"> (Accessed: 27 March 2026).</w:t>
      </w:r>
    </w:p>
    <w:p w14:paraId="6793201C"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3985E5EF"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Burnes, B. (2007) 'Kurt Lewin and the Harwood Studies,</w:t>
      </w:r>
      <w:r w:rsidRPr="00A81876">
        <w:rPr>
          <w:rFonts w:ascii="Arial" w:eastAsia="Times New Roman" w:hAnsi="Arial" w:cs="Arial"/>
          <w:i/>
          <w:iCs/>
          <w:kern w:val="0"/>
          <w:lang w:eastAsia="en-GB"/>
          <w14:ligatures w14:val="none"/>
        </w:rPr>
        <w:t xml:space="preserve">' The Journal of Applied Behavioural Science, </w:t>
      </w:r>
      <w:r w:rsidRPr="00A81876">
        <w:rPr>
          <w:rFonts w:ascii="Arial" w:eastAsia="Times New Roman" w:hAnsi="Arial" w:cs="Arial"/>
          <w:kern w:val="0"/>
          <w:lang w:eastAsia="en-GB"/>
          <w14:ligatures w14:val="none"/>
        </w:rPr>
        <w:t xml:space="preserve">43(2), pp. 213–231. Available at: </w:t>
      </w:r>
      <w:hyperlink r:id="rId23" w:history="1">
        <w:r w:rsidRPr="00A81876">
          <w:rPr>
            <w:rFonts w:ascii="Arial" w:eastAsia="Times New Roman" w:hAnsi="Arial" w:cs="Arial"/>
            <w:color w:val="0000FF"/>
            <w:kern w:val="0"/>
            <w:u w:val="single"/>
            <w:lang w:eastAsia="en-GB"/>
            <w14:ligatures w14:val="none"/>
          </w:rPr>
          <w:t>https://journals.sagepub.com/doi/10.1177/0021886306297004</w:t>
        </w:r>
      </w:hyperlink>
      <w:r w:rsidRPr="00A81876">
        <w:rPr>
          <w:rFonts w:ascii="Arial" w:eastAsia="Times New Roman" w:hAnsi="Arial" w:cs="Arial"/>
          <w:kern w:val="0"/>
          <w:lang w:eastAsia="en-GB"/>
          <w14:ligatures w14:val="none"/>
        </w:rPr>
        <w:t xml:space="preserve"> (Accessed: 23 March 2026).</w:t>
      </w:r>
    </w:p>
    <w:p w14:paraId="4BE82135"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60D2D6F1"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Care Quality Commission (CQC) (2016) </w:t>
      </w:r>
      <w:r w:rsidRPr="00A81876">
        <w:rPr>
          <w:rFonts w:ascii="Arial" w:eastAsia="Times New Roman" w:hAnsi="Arial" w:cs="Arial"/>
          <w:i/>
          <w:iCs/>
          <w:kern w:val="0"/>
          <w:lang w:eastAsia="en-GB"/>
          <w14:ligatures w14:val="none"/>
        </w:rPr>
        <w:t>Blackpool Victoria Hospital quality report</w:t>
      </w:r>
      <w:r w:rsidRPr="00A81876">
        <w:rPr>
          <w:rFonts w:ascii="Arial" w:eastAsia="Times New Roman" w:hAnsi="Arial" w:cs="Arial"/>
          <w:kern w:val="0"/>
          <w:lang w:eastAsia="en-GB"/>
          <w14:ligatures w14:val="none"/>
        </w:rPr>
        <w:t>. Available at:  </w:t>
      </w:r>
      <w:hyperlink r:id="rId24" w:history="1">
        <w:r w:rsidRPr="00A81876">
          <w:rPr>
            <w:rFonts w:ascii="Arial" w:eastAsia="Times New Roman" w:hAnsi="Arial" w:cs="Arial"/>
            <w:color w:val="0000FF"/>
            <w:kern w:val="0"/>
            <w:u w:val="single"/>
            <w:lang w:eastAsia="en-GB"/>
            <w14:ligatures w14:val="none"/>
          </w:rPr>
          <w:t>https://www.cqc.org.uk/location/RXL01/reports</w:t>
        </w:r>
      </w:hyperlink>
      <w:r w:rsidRPr="00A81876">
        <w:rPr>
          <w:rFonts w:ascii="Arial" w:eastAsia="Times New Roman" w:hAnsi="Arial" w:cs="Arial"/>
          <w:kern w:val="0"/>
          <w:lang w:eastAsia="en-GB"/>
          <w14:ligatures w14:val="none"/>
        </w:rPr>
        <w:t xml:space="preserve"> (Accessed: 26 February 2026).</w:t>
      </w:r>
    </w:p>
    <w:p w14:paraId="1F176123"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138CC295"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Care Quality Commission (CQC) (2017) </w:t>
      </w:r>
      <w:r w:rsidRPr="00A81876">
        <w:rPr>
          <w:rFonts w:ascii="Arial" w:eastAsia="Times New Roman" w:hAnsi="Arial" w:cs="Arial"/>
          <w:i/>
          <w:iCs/>
          <w:kern w:val="0"/>
          <w:lang w:eastAsia="en-GB"/>
          <w14:ligatures w14:val="none"/>
        </w:rPr>
        <w:t>Inspection Report: Blackpool Teaching Hospitals NHS Foundation Trust.</w:t>
      </w:r>
      <w:r w:rsidRPr="00A81876">
        <w:rPr>
          <w:rFonts w:ascii="Arial" w:eastAsia="Times New Roman" w:hAnsi="Arial" w:cs="Arial"/>
          <w:kern w:val="0"/>
          <w:lang w:eastAsia="en-GB"/>
          <w14:ligatures w14:val="none"/>
        </w:rPr>
        <w:t xml:space="preserve"> Available at: </w:t>
      </w:r>
      <w:hyperlink r:id="rId25" w:history="1">
        <w:r w:rsidRPr="00A81876">
          <w:rPr>
            <w:rFonts w:ascii="Arial" w:eastAsia="Times New Roman" w:hAnsi="Arial" w:cs="Arial"/>
            <w:color w:val="0000FF"/>
            <w:kern w:val="0"/>
            <w:u w:val="single"/>
            <w:lang w:eastAsia="en-GB"/>
            <w14:ligatures w14:val="none"/>
          </w:rPr>
          <w:t>https://api.cqc.org.uk/public/v1/reports/f7f3bd69-1186-4910-804c-b6d8ed23809e?20210112182710</w:t>
        </w:r>
      </w:hyperlink>
      <w:r w:rsidRPr="00A81876">
        <w:rPr>
          <w:rFonts w:ascii="Arial" w:eastAsia="Times New Roman" w:hAnsi="Arial" w:cs="Arial"/>
          <w:kern w:val="0"/>
          <w:lang w:eastAsia="en-GB"/>
          <w14:ligatures w14:val="none"/>
        </w:rPr>
        <w:t xml:space="preserve"> (Accessed: 22 March 2026).</w:t>
      </w:r>
    </w:p>
    <w:p w14:paraId="26D62CF5"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1A11783E" w14:textId="77777777" w:rsidR="00A81876" w:rsidRP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Care Quality Commission (CQC) (2019) </w:t>
      </w:r>
      <w:r w:rsidRPr="00A81876">
        <w:rPr>
          <w:rFonts w:ascii="Arial" w:eastAsia="Times New Roman" w:hAnsi="Arial" w:cs="Arial"/>
          <w:i/>
          <w:iCs/>
          <w:kern w:val="0"/>
          <w:lang w:eastAsia="en-GB"/>
          <w14:ligatures w14:val="none"/>
        </w:rPr>
        <w:t>CQC publishes findings from inspection at Blackpool Victoria Hospita</w:t>
      </w:r>
      <w:r w:rsidRPr="00A81876">
        <w:rPr>
          <w:rFonts w:ascii="Arial" w:eastAsia="Times New Roman" w:hAnsi="Arial" w:cs="Arial"/>
          <w:kern w:val="0"/>
          <w:lang w:eastAsia="en-GB"/>
          <w14:ligatures w14:val="none"/>
        </w:rPr>
        <w:t xml:space="preserve">l. Available at: </w:t>
      </w:r>
      <w:hyperlink r:id="rId26" w:history="1">
        <w:r w:rsidRPr="00A81876">
          <w:rPr>
            <w:rFonts w:ascii="Arial" w:eastAsia="Times New Roman" w:hAnsi="Arial" w:cs="Arial"/>
            <w:color w:val="0000FF"/>
            <w:kern w:val="0"/>
            <w:u w:val="single"/>
            <w:lang w:eastAsia="en-GB"/>
            <w14:ligatures w14:val="none"/>
          </w:rPr>
          <w:t>https://www.cqc.org.uk/news/releases/cqc-publishes-findings-inspection-blackpool-victoria-hospital</w:t>
        </w:r>
      </w:hyperlink>
      <w:r w:rsidRPr="00A81876">
        <w:rPr>
          <w:rFonts w:ascii="Arial" w:eastAsia="Times New Roman" w:hAnsi="Arial" w:cs="Arial"/>
          <w:kern w:val="0"/>
          <w:lang w:eastAsia="en-GB"/>
          <w14:ligatures w14:val="none"/>
        </w:rPr>
        <w:t xml:space="preserve"> (Accessed: 27 February 2026).</w:t>
      </w:r>
    </w:p>
    <w:p w14:paraId="2B3E9926"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lastRenderedPageBreak/>
        <w:t xml:space="preserve">Care Quality Commission (CQC) (2022) </w:t>
      </w:r>
      <w:r w:rsidRPr="00A81876">
        <w:rPr>
          <w:rFonts w:ascii="Arial" w:eastAsia="Times New Roman" w:hAnsi="Arial" w:cs="Arial"/>
          <w:i/>
          <w:iCs/>
          <w:kern w:val="0"/>
          <w:lang w:eastAsia="en-GB"/>
          <w14:ligatures w14:val="none"/>
        </w:rPr>
        <w:t>All inspections: Blackpool Teaching Hospitals NHS Foundation Trust.</w:t>
      </w:r>
      <w:r w:rsidRPr="00A81876">
        <w:rPr>
          <w:rFonts w:ascii="Arial" w:eastAsia="Times New Roman" w:hAnsi="Arial" w:cs="Arial"/>
          <w:kern w:val="0"/>
          <w:lang w:eastAsia="en-GB"/>
          <w14:ligatures w14:val="none"/>
        </w:rPr>
        <w:t xml:space="preserve"> Available at: </w:t>
      </w:r>
      <w:hyperlink r:id="rId27" w:history="1">
        <w:r w:rsidRPr="00A81876">
          <w:rPr>
            <w:rFonts w:ascii="Arial" w:eastAsia="Times New Roman" w:hAnsi="Arial" w:cs="Arial"/>
            <w:color w:val="0000FF"/>
            <w:kern w:val="0"/>
            <w:u w:val="single"/>
            <w:lang w:eastAsia="en-GB"/>
            <w14:ligatures w14:val="none"/>
          </w:rPr>
          <w:t>https://www.cqc.org.uk/provider/RXL/reports</w:t>
        </w:r>
      </w:hyperlink>
      <w:r w:rsidRPr="00A81876">
        <w:rPr>
          <w:rFonts w:ascii="Arial" w:eastAsia="Times New Roman" w:hAnsi="Arial" w:cs="Arial"/>
          <w:kern w:val="0"/>
          <w:lang w:eastAsia="en-GB"/>
          <w14:ligatures w14:val="none"/>
        </w:rPr>
        <w:t xml:space="preserve"> (Accessed: 18 March 2026).</w:t>
      </w:r>
    </w:p>
    <w:p w14:paraId="430307E4"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1B860A3E"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Care Quality Commission (CQC) (2023) </w:t>
      </w:r>
      <w:r w:rsidRPr="00A81876">
        <w:rPr>
          <w:rFonts w:ascii="Arial" w:eastAsia="Times New Roman" w:hAnsi="Arial" w:cs="Arial"/>
          <w:i/>
          <w:iCs/>
          <w:kern w:val="0"/>
          <w:lang w:eastAsia="en-GB"/>
          <w14:ligatures w14:val="none"/>
        </w:rPr>
        <w:t>State of Care 2022/23.</w:t>
      </w:r>
      <w:r w:rsidRPr="00A81876">
        <w:rPr>
          <w:rFonts w:ascii="Arial" w:eastAsia="Times New Roman" w:hAnsi="Arial" w:cs="Arial"/>
          <w:kern w:val="0"/>
          <w:lang w:eastAsia="en-GB"/>
          <w14:ligatures w14:val="none"/>
        </w:rPr>
        <w:t xml:space="preserve"> Available at: </w:t>
      </w:r>
      <w:hyperlink r:id="rId28" w:history="1">
        <w:r w:rsidRPr="00A81876">
          <w:rPr>
            <w:rFonts w:ascii="Arial" w:eastAsia="Times New Roman" w:hAnsi="Arial" w:cs="Arial"/>
            <w:color w:val="0000FF"/>
            <w:kern w:val="0"/>
            <w:u w:val="single"/>
            <w:lang w:eastAsia="en-GB"/>
            <w14:ligatures w14:val="none"/>
          </w:rPr>
          <w:t>https://www.cqc.org.uk/publications/major-report/state-care/2022-2023</w:t>
        </w:r>
      </w:hyperlink>
      <w:r w:rsidRPr="00A81876">
        <w:rPr>
          <w:rFonts w:ascii="Arial" w:eastAsia="Times New Roman" w:hAnsi="Arial" w:cs="Arial"/>
          <w:kern w:val="0"/>
          <w:lang w:eastAsia="en-GB"/>
          <w14:ligatures w14:val="none"/>
        </w:rPr>
        <w:t xml:space="preserve"> (Accessed: 17 February 2026).</w:t>
      </w:r>
    </w:p>
    <w:p w14:paraId="062B099C"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0043B249"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Donabedian, A. (2005) ‘Evaluating the quality of medical care’, </w:t>
      </w:r>
      <w:r w:rsidRPr="00A81876">
        <w:rPr>
          <w:rFonts w:ascii="Arial" w:eastAsia="Times New Roman" w:hAnsi="Arial" w:cs="Arial"/>
          <w:i/>
          <w:iCs/>
          <w:kern w:val="0"/>
          <w:lang w:eastAsia="en-GB"/>
          <w14:ligatures w14:val="none"/>
        </w:rPr>
        <w:t xml:space="preserve">The Milbank Quarterly, </w:t>
      </w:r>
      <w:r w:rsidRPr="00A81876">
        <w:rPr>
          <w:rFonts w:ascii="Arial" w:eastAsia="Times New Roman" w:hAnsi="Arial" w:cs="Arial"/>
          <w:kern w:val="0"/>
          <w:lang w:eastAsia="en-GB"/>
          <w14:ligatures w14:val="none"/>
        </w:rPr>
        <w:t xml:space="preserve">83(4), pp. 691–729. Available at: </w:t>
      </w:r>
      <w:hyperlink r:id="rId29" w:history="1">
        <w:r w:rsidRPr="00A81876">
          <w:rPr>
            <w:rFonts w:ascii="Arial" w:eastAsia="Times New Roman" w:hAnsi="Arial" w:cs="Arial"/>
            <w:color w:val="0000FF"/>
            <w:kern w:val="0"/>
            <w:u w:val="single"/>
            <w:lang w:eastAsia="en-GB"/>
            <w14:ligatures w14:val="none"/>
          </w:rPr>
          <w:t>https://pmc.ncbi.nlm.nih.gov/articles/PMC2690293/</w:t>
        </w:r>
      </w:hyperlink>
      <w:r w:rsidRPr="00A81876">
        <w:rPr>
          <w:rFonts w:ascii="Arial" w:eastAsia="Times New Roman" w:hAnsi="Arial" w:cs="Arial"/>
          <w:kern w:val="0"/>
          <w:lang w:eastAsia="en-GB"/>
          <w14:ligatures w14:val="none"/>
        </w:rPr>
        <w:t xml:space="preserve"> (Accessed: 29 March 2026).</w:t>
      </w:r>
    </w:p>
    <w:p w14:paraId="25A08379"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401B521E"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Dummigan, G. (2025) ‘</w:t>
      </w:r>
      <w:r w:rsidRPr="00A81876">
        <w:rPr>
          <w:rFonts w:ascii="Arial" w:eastAsia="Times New Roman" w:hAnsi="Arial" w:cs="Arial"/>
          <w:i/>
          <w:iCs/>
          <w:kern w:val="0"/>
          <w:lang w:eastAsia="en-GB"/>
          <w14:ligatures w14:val="none"/>
        </w:rPr>
        <w:t>Blackpool police investigation into troubled stroke unit’</w:t>
      </w:r>
      <w:r w:rsidRPr="00A81876">
        <w:rPr>
          <w:rFonts w:ascii="Arial" w:eastAsia="Times New Roman" w:hAnsi="Arial" w:cs="Arial"/>
          <w:kern w:val="0"/>
          <w:lang w:eastAsia="en-GB"/>
          <w14:ligatures w14:val="none"/>
        </w:rPr>
        <w:t xml:space="preserve">, BBC News . Available at: </w:t>
      </w:r>
      <w:hyperlink r:id="rId30" w:history="1">
        <w:r w:rsidRPr="00A81876">
          <w:rPr>
            <w:rFonts w:ascii="Arial" w:eastAsia="Times New Roman" w:hAnsi="Arial" w:cs="Arial"/>
            <w:color w:val="0000FF"/>
            <w:kern w:val="0"/>
            <w:u w:val="single"/>
            <w:lang w:eastAsia="en-GB"/>
            <w14:ligatures w14:val="none"/>
          </w:rPr>
          <w:t>https://www.bbc.co.uk/news/articles/c5ygv5x9l1mo</w:t>
        </w:r>
      </w:hyperlink>
      <w:r w:rsidRPr="00A81876">
        <w:rPr>
          <w:rFonts w:ascii="Arial" w:eastAsia="Times New Roman" w:hAnsi="Arial" w:cs="Arial"/>
          <w:kern w:val="0"/>
          <w:lang w:eastAsia="en-GB"/>
          <w14:ligatures w14:val="none"/>
        </w:rPr>
        <w:t xml:space="preserve">  (Accessed: 24 March 2026).</w:t>
      </w:r>
    </w:p>
    <w:p w14:paraId="525C081B"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732A1A32"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Dyson, R.G. (2004) ‘Strategic development and SWOT analysis at the University of Warwick’, </w:t>
      </w:r>
      <w:r w:rsidRPr="00A81876">
        <w:rPr>
          <w:rFonts w:ascii="Arial" w:eastAsia="Times New Roman" w:hAnsi="Arial" w:cs="Arial"/>
          <w:i/>
          <w:iCs/>
          <w:kern w:val="0"/>
          <w:lang w:eastAsia="en-GB"/>
          <w14:ligatures w14:val="none"/>
        </w:rPr>
        <w:t>European Journal of Operational Research</w:t>
      </w:r>
      <w:r w:rsidRPr="00A81876">
        <w:rPr>
          <w:rFonts w:ascii="Arial" w:eastAsia="Times New Roman" w:hAnsi="Arial" w:cs="Arial"/>
          <w:kern w:val="0"/>
          <w:lang w:eastAsia="en-GB"/>
          <w14:ligatures w14:val="none"/>
        </w:rPr>
        <w:t xml:space="preserve">, 152(3), pp. 631–640. Available at: </w:t>
      </w:r>
      <w:hyperlink r:id="rId31" w:history="1">
        <w:r w:rsidRPr="00A81876">
          <w:rPr>
            <w:rFonts w:ascii="Arial" w:eastAsia="Times New Roman" w:hAnsi="Arial" w:cs="Arial"/>
            <w:color w:val="0000FF"/>
            <w:kern w:val="0"/>
            <w:u w:val="single"/>
            <w:lang w:eastAsia="en-GB"/>
            <w14:ligatures w14:val="none"/>
          </w:rPr>
          <w:t>https://www.sciencedirect.com/science/article/abs/pii/S0377221703000626</w:t>
        </w:r>
      </w:hyperlink>
      <w:r w:rsidRPr="00A81876">
        <w:rPr>
          <w:rFonts w:ascii="Arial" w:eastAsia="Times New Roman" w:hAnsi="Arial" w:cs="Arial"/>
          <w:kern w:val="0"/>
          <w:lang w:eastAsia="en-GB"/>
          <w14:ligatures w14:val="none"/>
        </w:rPr>
        <w:t xml:space="preserve"> (Accessed: 25 March 2026).</w:t>
      </w:r>
    </w:p>
    <w:p w14:paraId="08F22E24"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313BDB76" w14:textId="77777777" w:rsidR="00A81876" w:rsidRP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Edmondson, A.C. (2018) The Fearless Organization: Creating Psychological Safety in the Workplace for Learning, Innovation, and Growth. Hoboken, NJ: John Wiley &amp; Sons.</w:t>
      </w:r>
    </w:p>
    <w:p w14:paraId="1E7A2B75" w14:textId="1C1F292D" w:rsidR="000E2640"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Feigin, V.L. et al. (2022) ‘World Stroke Organisation: global stroke fact sheet 2022’, International Journal of Stroke, 17(1), pp. 18–29. Available at: https://journals.sagepub.com/doi/10.1177/17474930211065917 (Accessed: 20 March 2026).</w:t>
      </w:r>
    </w:p>
    <w:p w14:paraId="4491CD0F"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0D70F4DE" w14:textId="27E89FDE"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Feigin, V.L., Owolabi, M.O. and World Stroke Organisation–Lancet Neurology Commission Stroke Collaboration Group (2023) ‘Pragmatic solutions to reduce the global burden of stroke: a World Stroke Organization–Lancet Neurology Commission’, The Lancet Neurology, 22, pp. 1160–1206. Available at: https://www.thelancet.com/journals/laneur/article/PIIS1474-4422(23)00277-6/fulltext (Accessed: 15 March 2026).</w:t>
      </w:r>
    </w:p>
    <w:p w14:paraId="1C0B87D3"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4CCF9921" w14:textId="7774AE2C"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GBD 2016 Stroke Collaborators (2019) ‘Global, regional, and national burden of stroke, 1990–2016: a systematic analysis for the Global Burden of Disease Study 2016’, Lancet Neurology, 18(5), pp. 439–458. Available at: </w:t>
      </w:r>
      <w:r w:rsidRPr="00A81876">
        <w:rPr>
          <w:rFonts w:ascii="Arial" w:eastAsia="Times New Roman" w:hAnsi="Arial" w:cs="Arial"/>
          <w:kern w:val="0"/>
          <w:lang w:eastAsia="en-GB"/>
          <w14:ligatures w14:val="none"/>
        </w:rPr>
        <w:lastRenderedPageBreak/>
        <w:t>https://www.thelancet.com/journals/laneur/article/PIIS1474-4422(19)30034-1/fulltext (Accessed: 27 March 2026).</w:t>
      </w:r>
    </w:p>
    <w:p w14:paraId="4F79E7E0"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53327655"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Gentleman, A. (2026) ‘Leaked report reveals culture of bullying and harassment at scandal-hit NHS hospital’, The Guardian, 2 January. Available at: </w:t>
      </w:r>
      <w:hyperlink r:id="rId32" w:history="1">
        <w:r w:rsidRPr="00A81876">
          <w:rPr>
            <w:rFonts w:ascii="Arial" w:eastAsia="Times New Roman" w:hAnsi="Arial" w:cs="Arial"/>
            <w:color w:val="0000FF"/>
            <w:kern w:val="0"/>
            <w:u w:val="single"/>
            <w:lang w:eastAsia="en-GB"/>
            <w14:ligatures w14:val="none"/>
          </w:rPr>
          <w:t>https://www.theguardian.com/society/2025/dec/03/culture-of-bullying-and-harassment-found-at-scandal-hit-blackpool-victoria-nhs-hospital</w:t>
        </w:r>
      </w:hyperlink>
      <w:r w:rsidRPr="00A81876">
        <w:rPr>
          <w:rFonts w:ascii="Arial" w:eastAsia="Times New Roman" w:hAnsi="Arial" w:cs="Arial"/>
          <w:kern w:val="0"/>
          <w:lang w:eastAsia="en-GB"/>
          <w14:ligatures w14:val="none"/>
        </w:rPr>
        <w:t xml:space="preserve"> (Accessed: 28 February 2026).</w:t>
      </w:r>
    </w:p>
    <w:p w14:paraId="1E297837"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26FF3C55" w14:textId="25B9857C" w:rsidR="000E2640"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Health Education England (2018) The Topol Review interim report: a call for evidence. Available at: https://www.hee.nhs.uk/sites/default/files/documents/Topol%20Review%20interim%20report_0.pdf (Accessed: 6 March 2026).</w:t>
      </w:r>
    </w:p>
    <w:p w14:paraId="61CF5D5D"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5CFBCDF2"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Ishikawa, K. (1986) Guide to Quality Control. 2nd edn. Tokyo: Asian Productivity Organisation.</w:t>
      </w:r>
    </w:p>
    <w:p w14:paraId="14C18AC1"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243C1AAE" w14:textId="03B08489"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Kotter, J.P. (1996) Leading Change. Boston, MA: Harvard Business School Press.</w:t>
      </w:r>
    </w:p>
    <w:p w14:paraId="36F7B5BA"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30D84B6C"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Lewin, K. (1947) ‘Frontiers in group dynamics: concept, method and reality in social science; social equilibria and social change’, Human Relations, 1(1), pp. 5–41. Available at: https://journals.sagepub.com/doi/10.1177/001872674700100103 (Accessed: 23 March 2026).</w:t>
      </w:r>
    </w:p>
    <w:p w14:paraId="4F73A455"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74D22946"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Martínez</w:t>
      </w:r>
      <w:r w:rsidRPr="00A81876">
        <w:rPr>
          <w:rFonts w:ascii="Cambria Math" w:eastAsia="Times New Roman" w:hAnsi="Cambria Math" w:cs="Cambria Math"/>
          <w:kern w:val="0"/>
          <w:lang w:eastAsia="en-GB"/>
          <w14:ligatures w14:val="none"/>
        </w:rPr>
        <w:t>‐</w:t>
      </w:r>
      <w:r w:rsidRPr="00A81876">
        <w:rPr>
          <w:rFonts w:ascii="Arial" w:eastAsia="Times New Roman" w:hAnsi="Arial" w:cs="Arial"/>
          <w:kern w:val="0"/>
          <w:lang w:eastAsia="en-GB"/>
          <w14:ligatures w14:val="none"/>
        </w:rPr>
        <w:t>Lorente, A.R., Dewhurst, F. and Dale, B.G. (1998) ‘Total quality management: origins and evolution of the term’, The TQM Magazine, 10(5), pp. 378–386. Available at: https://www.emerald.com/tqm/article-abstract/10/5/378/376988/Total-quality-management-origins-and-evolution-of?redirectedFrom=fulltext (Accessed: 15 March 2026).</w:t>
      </w:r>
    </w:p>
    <w:p w14:paraId="5E389F46"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3D8667BA"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Lloyd, R.C. and Institute for Healthcare Improvement (2019) Quality Health Care: A Guide to Developing and Using Indicators. 2nd edn. Jones &amp; Bartlett Learning. Available at: </w:t>
      </w:r>
      <w:hyperlink r:id="rId33" w:history="1">
        <w:r w:rsidRPr="00A81876">
          <w:rPr>
            <w:rFonts w:ascii="Arial" w:eastAsia="Times New Roman" w:hAnsi="Arial" w:cs="Arial"/>
            <w:color w:val="0000FF"/>
            <w:kern w:val="0"/>
            <w:u w:val="single"/>
            <w:lang w:eastAsia="en-GB"/>
            <w14:ligatures w14:val="none"/>
          </w:rPr>
          <w:t>https://samples.jblearning.com/9781284023077/Front_Matter.pdf</w:t>
        </w:r>
      </w:hyperlink>
      <w:r w:rsidRPr="00A81876">
        <w:rPr>
          <w:rFonts w:ascii="Arial" w:eastAsia="Times New Roman" w:hAnsi="Arial" w:cs="Arial"/>
          <w:kern w:val="0"/>
          <w:lang w:eastAsia="en-GB"/>
          <w14:ligatures w14:val="none"/>
        </w:rPr>
        <w:t xml:space="preserve"> (Accessed: 26 March 2026).</w:t>
      </w:r>
    </w:p>
    <w:p w14:paraId="522B5C8C"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684629CD" w14:textId="77777777" w:rsidR="00A81876" w:rsidRP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Meretoja, A., Weir, L., Ugalde, M., Yassi, N., Yan, B., Hand, P., Truesdale, M., Davis, S.M. and Campbell, B.C. (2013) ‘Helsinki model cut stroke thrombolysis delays to 25 minutes in Melbourne in only 4 months’, </w:t>
      </w:r>
      <w:r w:rsidRPr="00A81876">
        <w:rPr>
          <w:rFonts w:ascii="Arial" w:eastAsia="Times New Roman" w:hAnsi="Arial" w:cs="Arial"/>
          <w:i/>
          <w:iCs/>
          <w:kern w:val="0"/>
          <w:lang w:eastAsia="en-GB"/>
          <w14:ligatures w14:val="none"/>
        </w:rPr>
        <w:t>Neurology,</w:t>
      </w:r>
      <w:r w:rsidRPr="00A81876">
        <w:rPr>
          <w:rFonts w:ascii="Arial" w:eastAsia="Times New Roman" w:hAnsi="Arial" w:cs="Arial"/>
          <w:kern w:val="0"/>
          <w:lang w:eastAsia="en-GB"/>
          <w14:ligatures w14:val="none"/>
        </w:rPr>
        <w:t xml:space="preserve"> 81(12), pp. 1071–1076. Available at: </w:t>
      </w:r>
      <w:hyperlink r:id="rId34" w:history="1">
        <w:r w:rsidRPr="00A81876">
          <w:rPr>
            <w:rFonts w:ascii="Arial" w:eastAsia="Times New Roman" w:hAnsi="Arial" w:cs="Arial"/>
            <w:color w:val="0000FF"/>
            <w:kern w:val="0"/>
            <w:u w:val="single"/>
            <w:lang w:eastAsia="en-GB"/>
            <w14:ligatures w14:val="none"/>
          </w:rPr>
          <w:t>https://pubmed.ncbi.nlm.nih.gov/23946303/</w:t>
        </w:r>
      </w:hyperlink>
      <w:r w:rsidRPr="00A81876">
        <w:rPr>
          <w:rFonts w:ascii="Arial" w:eastAsia="Times New Roman" w:hAnsi="Arial" w:cs="Arial"/>
          <w:kern w:val="0"/>
          <w:lang w:eastAsia="en-GB"/>
          <w14:ligatures w14:val="none"/>
        </w:rPr>
        <w:t xml:space="preserve"> (Accessed: 29 March 2026).</w:t>
      </w:r>
    </w:p>
    <w:p w14:paraId="66BE9881"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lastRenderedPageBreak/>
        <w:t xml:space="preserve">Middleton, S., Levi, C., Dale, S., Cheung, N.W., McInnes, E., Considine, J., </w:t>
      </w:r>
      <w:proofErr w:type="spellStart"/>
      <w:r w:rsidRPr="00A81876">
        <w:rPr>
          <w:rFonts w:ascii="Arial" w:eastAsia="Times New Roman" w:hAnsi="Arial" w:cs="Arial"/>
          <w:kern w:val="0"/>
          <w:lang w:eastAsia="en-GB"/>
          <w14:ligatures w14:val="none"/>
        </w:rPr>
        <w:t>D'Este</w:t>
      </w:r>
      <w:proofErr w:type="spellEnd"/>
      <w:r w:rsidRPr="00A81876">
        <w:rPr>
          <w:rFonts w:ascii="Arial" w:eastAsia="Times New Roman" w:hAnsi="Arial" w:cs="Arial"/>
          <w:kern w:val="0"/>
          <w:lang w:eastAsia="en-GB"/>
          <w14:ligatures w14:val="none"/>
        </w:rPr>
        <w:t xml:space="preserve">, C., Cadilhac, D.A., Grimshaw, J., Gerraty, R., Craig, L., </w:t>
      </w:r>
      <w:proofErr w:type="spellStart"/>
      <w:r w:rsidRPr="00A81876">
        <w:rPr>
          <w:rFonts w:ascii="Arial" w:eastAsia="Times New Roman" w:hAnsi="Arial" w:cs="Arial"/>
          <w:kern w:val="0"/>
          <w:lang w:eastAsia="en-GB"/>
          <w14:ligatures w14:val="none"/>
        </w:rPr>
        <w:t>Schadewaldt</w:t>
      </w:r>
      <w:proofErr w:type="spellEnd"/>
      <w:r w:rsidRPr="00A81876">
        <w:rPr>
          <w:rFonts w:ascii="Arial" w:eastAsia="Times New Roman" w:hAnsi="Arial" w:cs="Arial"/>
          <w:kern w:val="0"/>
          <w:lang w:eastAsia="en-GB"/>
          <w14:ligatures w14:val="none"/>
        </w:rPr>
        <w:t xml:space="preserve">, V., McElduff, P., Fitzgerald, M., Quinn, C., Cadigan, G., Denisenko, S., Longworth, M., Ward, J. and T3 Trialist Collaborators (2016) 'Triage, treatment and transfer of patients with stroke in emergency department trial (the T3 Trial): a cluster randomised trial protocol', Implementation Science, 11(1), p. 139. Available at: </w:t>
      </w:r>
      <w:hyperlink r:id="rId35" w:history="1">
        <w:r w:rsidRPr="00A81876">
          <w:rPr>
            <w:rFonts w:ascii="Arial" w:eastAsia="Times New Roman" w:hAnsi="Arial" w:cs="Arial"/>
            <w:color w:val="0000FF"/>
            <w:kern w:val="0"/>
            <w:u w:val="single"/>
            <w:lang w:eastAsia="en-GB"/>
            <w14:ligatures w14:val="none"/>
          </w:rPr>
          <w:t>https://pmc.ncbi.nlm.nih.gov/articles/PMC5069775/</w:t>
        </w:r>
      </w:hyperlink>
      <w:r w:rsidRPr="00A81876">
        <w:rPr>
          <w:rFonts w:ascii="Arial" w:eastAsia="Times New Roman" w:hAnsi="Arial" w:cs="Arial"/>
          <w:kern w:val="0"/>
          <w:lang w:eastAsia="en-GB"/>
          <w14:ligatures w14:val="none"/>
        </w:rPr>
        <w:t xml:space="preserve"> (Accessed: 27 March 2026).</w:t>
      </w:r>
    </w:p>
    <w:p w14:paraId="29B5441C"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38ED7072" w14:textId="77777777" w:rsidR="00A81876" w:rsidRP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National Institute for Health and Care Excellence (NICE) (2019) </w:t>
      </w:r>
      <w:r w:rsidRPr="00A81876">
        <w:rPr>
          <w:rFonts w:ascii="Arial" w:eastAsia="Times New Roman" w:hAnsi="Arial" w:cs="Arial"/>
          <w:i/>
          <w:iCs/>
          <w:kern w:val="0"/>
          <w:lang w:eastAsia="en-GB"/>
          <w14:ligatures w14:val="none"/>
        </w:rPr>
        <w:t xml:space="preserve">Stroke and transient ischaemic attack in over 16s: diagnosis and initial management. </w:t>
      </w:r>
      <w:r w:rsidRPr="00A81876">
        <w:rPr>
          <w:rFonts w:ascii="Arial" w:eastAsia="Times New Roman" w:hAnsi="Arial" w:cs="Arial"/>
          <w:kern w:val="0"/>
          <w:lang w:eastAsia="en-GB"/>
          <w14:ligatures w14:val="none"/>
        </w:rPr>
        <w:t xml:space="preserve">NICE Guideline NG128.  Available at: </w:t>
      </w:r>
      <w:hyperlink r:id="rId36" w:history="1">
        <w:r w:rsidRPr="00A81876">
          <w:rPr>
            <w:rFonts w:ascii="Arial" w:eastAsia="Times New Roman" w:hAnsi="Arial" w:cs="Arial"/>
            <w:color w:val="0000FF"/>
            <w:kern w:val="0"/>
            <w:u w:val="single"/>
            <w:lang w:eastAsia="en-GB"/>
            <w14:ligatures w14:val="none"/>
          </w:rPr>
          <w:t>https://www.nice.org.uk/guidance/ng128</w:t>
        </w:r>
      </w:hyperlink>
      <w:r w:rsidRPr="00A81876">
        <w:rPr>
          <w:rFonts w:ascii="Arial" w:eastAsia="Times New Roman" w:hAnsi="Arial" w:cs="Arial"/>
          <w:kern w:val="0"/>
          <w:lang w:eastAsia="en-GB"/>
          <w14:ligatures w14:val="none"/>
        </w:rPr>
        <w:t xml:space="preserve"> (Accessed: 22 March 2026).</w:t>
      </w:r>
    </w:p>
    <w:p w14:paraId="07FF8841"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NHS England (2019a) The NHS Long Term Plan. Available at: </w:t>
      </w:r>
      <w:hyperlink r:id="rId37" w:history="1">
        <w:r w:rsidRPr="00A81876">
          <w:rPr>
            <w:rFonts w:ascii="Arial" w:eastAsia="Times New Roman" w:hAnsi="Arial" w:cs="Arial"/>
            <w:color w:val="0000FF"/>
            <w:kern w:val="0"/>
            <w:u w:val="single"/>
            <w:lang w:eastAsia="en-GB"/>
            <w14:ligatures w14:val="none"/>
          </w:rPr>
          <w:t>https://www.longtermplan.nhs.uk/</w:t>
        </w:r>
      </w:hyperlink>
      <w:r w:rsidRPr="00A81876">
        <w:rPr>
          <w:rFonts w:ascii="Arial" w:eastAsia="Times New Roman" w:hAnsi="Arial" w:cs="Arial"/>
          <w:kern w:val="0"/>
          <w:lang w:eastAsia="en-GB"/>
          <w14:ligatures w14:val="none"/>
        </w:rPr>
        <w:t xml:space="preserve">  (Accessed: 31 March 2026).</w:t>
      </w:r>
    </w:p>
    <w:p w14:paraId="46144A31"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711AD9FC"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NHS England (2019b) NHS</w:t>
      </w:r>
      <w:r w:rsidRPr="00A81876">
        <w:rPr>
          <w:rFonts w:ascii="Arial" w:eastAsia="Times New Roman" w:hAnsi="Arial" w:cs="Arial"/>
          <w:i/>
          <w:iCs/>
          <w:kern w:val="0"/>
          <w:lang w:eastAsia="en-GB"/>
          <w14:ligatures w14:val="none"/>
        </w:rPr>
        <w:t xml:space="preserve"> England’s work on stroke</w:t>
      </w:r>
      <w:r w:rsidRPr="00A81876">
        <w:rPr>
          <w:rFonts w:ascii="Arial" w:eastAsia="Times New Roman" w:hAnsi="Arial" w:cs="Arial"/>
          <w:kern w:val="0"/>
          <w:lang w:eastAsia="en-GB"/>
          <w14:ligatures w14:val="none"/>
        </w:rPr>
        <w:t xml:space="preserve">. Available at: </w:t>
      </w:r>
      <w:hyperlink r:id="rId38" w:history="1">
        <w:r w:rsidRPr="00A81876">
          <w:rPr>
            <w:rFonts w:ascii="Arial" w:eastAsia="Times New Roman" w:hAnsi="Arial" w:cs="Arial"/>
            <w:color w:val="0000FF"/>
            <w:kern w:val="0"/>
            <w:u w:val="single"/>
            <w:lang w:eastAsia="en-GB"/>
            <w14:ligatures w14:val="none"/>
          </w:rPr>
          <w:t>https://www.england.nhs.uk/ourwork/clinical-policy/stroke/</w:t>
        </w:r>
      </w:hyperlink>
      <w:r w:rsidRPr="00A81876">
        <w:rPr>
          <w:rFonts w:ascii="Arial" w:eastAsia="Times New Roman" w:hAnsi="Arial" w:cs="Arial"/>
          <w:kern w:val="0"/>
          <w:lang w:eastAsia="en-GB"/>
          <w14:ligatures w14:val="none"/>
        </w:rPr>
        <w:t xml:space="preserve"> (Accessed: 30 March 2026).</w:t>
      </w:r>
    </w:p>
    <w:p w14:paraId="2A312B25"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2E29977A"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NHS England (2019c) </w:t>
      </w:r>
      <w:r w:rsidRPr="00A81876">
        <w:rPr>
          <w:rFonts w:ascii="Arial" w:eastAsia="Times New Roman" w:hAnsi="Arial" w:cs="Arial"/>
          <w:i/>
          <w:iCs/>
          <w:kern w:val="0"/>
          <w:lang w:eastAsia="en-GB"/>
          <w14:ligatures w14:val="none"/>
        </w:rPr>
        <w:t>Governance, patient safety and quality</w:t>
      </w:r>
      <w:r w:rsidRPr="00A81876">
        <w:rPr>
          <w:rFonts w:ascii="Arial" w:eastAsia="Times New Roman" w:hAnsi="Arial" w:cs="Arial"/>
          <w:kern w:val="0"/>
          <w:lang w:eastAsia="en-GB"/>
          <w14:ligatures w14:val="none"/>
        </w:rPr>
        <w:t xml:space="preserve">. Available at: </w:t>
      </w:r>
      <w:hyperlink r:id="rId39" w:history="1">
        <w:r w:rsidRPr="00A81876">
          <w:rPr>
            <w:rFonts w:ascii="Arial" w:eastAsia="Times New Roman" w:hAnsi="Arial" w:cs="Arial"/>
            <w:color w:val="0000FF"/>
            <w:kern w:val="0"/>
            <w:u w:val="single"/>
            <w:lang w:eastAsia="en-GB"/>
            <w14:ligatures w14:val="none"/>
          </w:rPr>
          <w:t>https://www.england.nhs.uk/mat-transformation/matrons-handbook/governance-patient-safety-and-quality/</w:t>
        </w:r>
      </w:hyperlink>
      <w:r w:rsidRPr="00A81876">
        <w:rPr>
          <w:rFonts w:ascii="Arial" w:eastAsia="Times New Roman" w:hAnsi="Arial" w:cs="Arial"/>
          <w:kern w:val="0"/>
          <w:lang w:eastAsia="en-GB"/>
          <w14:ligatures w14:val="none"/>
        </w:rPr>
        <w:t xml:space="preserve"> (Accessed: 26 March 2026).</w:t>
      </w:r>
    </w:p>
    <w:p w14:paraId="2B2CF1B7"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0CA4F1C6"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NHS England (2021) </w:t>
      </w:r>
      <w:r w:rsidRPr="00A81876">
        <w:rPr>
          <w:rFonts w:ascii="Arial" w:eastAsia="Times New Roman" w:hAnsi="Arial" w:cs="Arial"/>
          <w:i/>
          <w:iCs/>
          <w:kern w:val="0"/>
          <w:lang w:eastAsia="en-GB"/>
          <w14:ligatures w14:val="none"/>
        </w:rPr>
        <w:t>National stroke service model</w:t>
      </w:r>
      <w:r w:rsidRPr="00A81876">
        <w:rPr>
          <w:rFonts w:ascii="Arial" w:eastAsia="Times New Roman" w:hAnsi="Arial" w:cs="Arial"/>
          <w:kern w:val="0"/>
          <w:lang w:eastAsia="en-GB"/>
          <w14:ligatures w14:val="none"/>
        </w:rPr>
        <w:t xml:space="preserve">. Available at: </w:t>
      </w:r>
      <w:hyperlink r:id="rId40" w:history="1">
        <w:r w:rsidRPr="00A81876">
          <w:rPr>
            <w:rFonts w:ascii="Arial" w:eastAsia="Times New Roman" w:hAnsi="Arial" w:cs="Arial"/>
            <w:color w:val="0000FF"/>
            <w:kern w:val="0"/>
            <w:u w:val="single"/>
            <w:lang w:eastAsia="en-GB"/>
            <w14:ligatures w14:val="none"/>
          </w:rPr>
          <w:t>https://www.england.nhs.uk/ourwork/clinical-policy/stroke/national-stroke-service-model/</w:t>
        </w:r>
      </w:hyperlink>
      <w:r w:rsidRPr="00A81876">
        <w:rPr>
          <w:rFonts w:ascii="Arial" w:eastAsia="Times New Roman" w:hAnsi="Arial" w:cs="Arial"/>
          <w:kern w:val="0"/>
          <w:lang w:eastAsia="en-GB"/>
          <w14:ligatures w14:val="none"/>
        </w:rPr>
        <w:t xml:space="preserve">  (Accessed: 16 March 2026).</w:t>
      </w:r>
    </w:p>
    <w:p w14:paraId="51587BE2"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2EDBF33A"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NHS England (2024) </w:t>
      </w:r>
      <w:r w:rsidRPr="00A81876">
        <w:rPr>
          <w:rFonts w:ascii="Arial" w:eastAsia="Times New Roman" w:hAnsi="Arial" w:cs="Arial"/>
          <w:i/>
          <w:iCs/>
          <w:kern w:val="0"/>
          <w:lang w:eastAsia="en-GB"/>
          <w14:ligatures w14:val="none"/>
        </w:rPr>
        <w:t>NHS launches major new stroke campaign as thousands delay calling 999 by nearly 90 minutes.</w:t>
      </w:r>
      <w:r w:rsidRPr="00A81876">
        <w:rPr>
          <w:rFonts w:ascii="Arial" w:eastAsia="Times New Roman" w:hAnsi="Arial" w:cs="Arial"/>
          <w:kern w:val="0"/>
          <w:lang w:eastAsia="en-GB"/>
          <w14:ligatures w14:val="none"/>
        </w:rPr>
        <w:t xml:space="preserve"> Available at: </w:t>
      </w:r>
      <w:hyperlink r:id="rId41" w:history="1">
        <w:r w:rsidRPr="00A81876">
          <w:rPr>
            <w:rFonts w:ascii="Arial" w:eastAsia="Times New Roman" w:hAnsi="Arial" w:cs="Arial"/>
            <w:color w:val="0000FF"/>
            <w:kern w:val="0"/>
            <w:u w:val="single"/>
            <w:lang w:eastAsia="en-GB"/>
            <w14:ligatures w14:val="none"/>
          </w:rPr>
          <w:t>https://www.england.nhs.uk/2024/11/nhs-launches-major-new-stroke-campaign-as-thousands-delay-calling-999-by-nearly-90-minutes/</w:t>
        </w:r>
      </w:hyperlink>
      <w:r w:rsidRPr="00A81876">
        <w:rPr>
          <w:rFonts w:ascii="Arial" w:eastAsia="Times New Roman" w:hAnsi="Arial" w:cs="Arial"/>
          <w:kern w:val="0"/>
          <w:lang w:eastAsia="en-GB"/>
          <w14:ligatures w14:val="none"/>
        </w:rPr>
        <w:t xml:space="preserve">  (Accessed: 27 February 2026).</w:t>
      </w:r>
    </w:p>
    <w:p w14:paraId="5ECF11EA"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1AA99695" w14:textId="7743FF45"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NHS England (2025</w:t>
      </w:r>
      <w:r w:rsidRPr="00A81876">
        <w:rPr>
          <w:rFonts w:ascii="Arial" w:eastAsia="Times New Roman" w:hAnsi="Arial" w:cs="Arial"/>
          <w:i/>
          <w:iCs/>
          <w:kern w:val="0"/>
          <w:lang w:eastAsia="en-GB"/>
          <w14:ligatures w14:val="none"/>
        </w:rPr>
        <w:t>) Annual Report and Accounts 2024/25</w:t>
      </w:r>
      <w:r w:rsidRPr="00A81876">
        <w:rPr>
          <w:rFonts w:ascii="Arial" w:eastAsia="Times New Roman" w:hAnsi="Arial" w:cs="Arial"/>
          <w:kern w:val="0"/>
          <w:lang w:eastAsia="en-GB"/>
          <w14:ligatures w14:val="none"/>
        </w:rPr>
        <w:t xml:space="preserve">. Available at: </w:t>
      </w:r>
      <w:hyperlink r:id="rId42" w:history="1">
        <w:r w:rsidRPr="00A81876">
          <w:rPr>
            <w:rFonts w:ascii="Arial" w:eastAsia="Times New Roman" w:hAnsi="Arial" w:cs="Arial"/>
            <w:color w:val="0000FF"/>
            <w:kern w:val="0"/>
            <w:u w:val="single"/>
            <w:lang w:eastAsia="en-GB"/>
            <w14:ligatures w14:val="none"/>
          </w:rPr>
          <w:t>https://assets.publishing.service.gov.uk/media/69036ef05c84b1206832a86f/nhs-england-annual-report-and-accounts-2024-to-2025.pdf</w:t>
        </w:r>
      </w:hyperlink>
      <w:r w:rsidRPr="00A81876">
        <w:rPr>
          <w:rFonts w:ascii="Arial" w:eastAsia="Times New Roman" w:hAnsi="Arial" w:cs="Arial"/>
          <w:kern w:val="0"/>
          <w:lang w:eastAsia="en-GB"/>
          <w14:ligatures w14:val="none"/>
        </w:rPr>
        <w:t xml:space="preserve"> (Accessed: 18 March 2026).</w:t>
      </w:r>
    </w:p>
    <w:p w14:paraId="187565DE"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77029C15"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Ogrinc, G., Headrick, L.A., Mutha, S., Coleman, M.T., O'Donnell, J. and Miles, P.V. (2003) 'A framework for teaching medical students and residents about practice-based learning and </w:t>
      </w:r>
      <w:r w:rsidRPr="00A81876">
        <w:rPr>
          <w:rFonts w:ascii="Arial" w:eastAsia="Times New Roman" w:hAnsi="Arial" w:cs="Arial"/>
          <w:kern w:val="0"/>
          <w:lang w:eastAsia="en-GB"/>
          <w14:ligatures w14:val="none"/>
        </w:rPr>
        <w:lastRenderedPageBreak/>
        <w:t xml:space="preserve">improvement, synthesised from a literature review', </w:t>
      </w:r>
      <w:r w:rsidRPr="00A81876">
        <w:rPr>
          <w:rFonts w:ascii="Arial" w:eastAsia="Times New Roman" w:hAnsi="Arial" w:cs="Arial"/>
          <w:i/>
          <w:iCs/>
          <w:kern w:val="0"/>
          <w:lang w:eastAsia="en-GB"/>
          <w14:ligatures w14:val="none"/>
        </w:rPr>
        <w:t>Academic Medicine, 78(7), pp.</w:t>
      </w:r>
      <w:r w:rsidRPr="00A81876">
        <w:rPr>
          <w:rFonts w:ascii="Arial" w:eastAsia="Times New Roman" w:hAnsi="Arial" w:cs="Arial"/>
          <w:kern w:val="0"/>
          <w:lang w:eastAsia="en-GB"/>
          <w14:ligatures w14:val="none"/>
        </w:rPr>
        <w:t xml:space="preserve"> 748–756. Available at: </w:t>
      </w:r>
      <w:hyperlink r:id="rId43" w:history="1">
        <w:r w:rsidRPr="00A81876">
          <w:rPr>
            <w:rFonts w:ascii="Arial" w:eastAsia="Times New Roman" w:hAnsi="Arial" w:cs="Arial"/>
            <w:color w:val="0000FF"/>
            <w:kern w:val="0"/>
            <w:u w:val="single"/>
            <w:lang w:eastAsia="en-GB"/>
            <w14:ligatures w14:val="none"/>
          </w:rPr>
          <w:t>https://pubmed.ncbi.nlm.nih.gov/12857698/</w:t>
        </w:r>
      </w:hyperlink>
      <w:r w:rsidRPr="00A81876">
        <w:rPr>
          <w:rFonts w:ascii="Arial" w:eastAsia="Times New Roman" w:hAnsi="Arial" w:cs="Arial"/>
          <w:kern w:val="0"/>
          <w:lang w:eastAsia="en-GB"/>
          <w14:ligatures w14:val="none"/>
        </w:rPr>
        <w:t xml:space="preserve"> (Accessed: 25 March 2026).</w:t>
      </w:r>
    </w:p>
    <w:p w14:paraId="0A296D17"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139BF9ED" w14:textId="5E4F0A88"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Ovretveit, J. and Gustafson, D. (2002) ‘Evaluation of quality improvement programmes’, </w:t>
      </w:r>
      <w:r w:rsidRPr="00A81876">
        <w:rPr>
          <w:rFonts w:ascii="Arial" w:eastAsia="Times New Roman" w:hAnsi="Arial" w:cs="Arial"/>
          <w:i/>
          <w:iCs/>
          <w:kern w:val="0"/>
          <w:lang w:eastAsia="en-GB"/>
          <w14:ligatures w14:val="none"/>
        </w:rPr>
        <w:t>Quality and Safety in Health Care,</w:t>
      </w:r>
      <w:r w:rsidRPr="00A81876">
        <w:rPr>
          <w:rFonts w:ascii="Arial" w:eastAsia="Times New Roman" w:hAnsi="Arial" w:cs="Arial"/>
          <w:kern w:val="0"/>
          <w:lang w:eastAsia="en-GB"/>
          <w14:ligatures w14:val="none"/>
        </w:rPr>
        <w:t xml:space="preserve"> 11(3), pp. 270–275.Available at: </w:t>
      </w:r>
      <w:hyperlink r:id="rId44" w:history="1">
        <w:r w:rsidRPr="00A81876">
          <w:rPr>
            <w:rFonts w:ascii="Arial" w:eastAsia="Times New Roman" w:hAnsi="Arial" w:cs="Arial"/>
            <w:color w:val="0000FF"/>
            <w:kern w:val="0"/>
            <w:u w:val="single"/>
            <w:lang w:eastAsia="en-GB"/>
            <w14:ligatures w14:val="none"/>
          </w:rPr>
          <w:t>https://pubmed.ncbi.nlm.nih.gov/12486994/</w:t>
        </w:r>
      </w:hyperlink>
      <w:r w:rsidRPr="00A81876">
        <w:rPr>
          <w:rFonts w:ascii="Arial" w:eastAsia="Times New Roman" w:hAnsi="Arial" w:cs="Arial"/>
          <w:kern w:val="0"/>
          <w:lang w:eastAsia="en-GB"/>
          <w14:ligatures w14:val="none"/>
        </w:rPr>
        <w:t xml:space="preserve"> (Accessed: 20 March 2026).</w:t>
      </w:r>
    </w:p>
    <w:p w14:paraId="3AAFAA39"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61CFAC32"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Provost, L.P. and Murray, S.K. (2011) The Health Care Data Guide: </w:t>
      </w:r>
      <w:r w:rsidRPr="00A81876">
        <w:rPr>
          <w:rFonts w:ascii="Arial" w:eastAsia="Times New Roman" w:hAnsi="Arial" w:cs="Arial"/>
          <w:i/>
          <w:iCs/>
          <w:kern w:val="0"/>
          <w:lang w:eastAsia="en-GB"/>
          <w14:ligatures w14:val="none"/>
        </w:rPr>
        <w:t>Learning from Data for Improvement</w:t>
      </w:r>
      <w:r w:rsidRPr="00A81876">
        <w:rPr>
          <w:rFonts w:ascii="Arial" w:eastAsia="Times New Roman" w:hAnsi="Arial" w:cs="Arial"/>
          <w:kern w:val="0"/>
          <w:lang w:eastAsia="en-GB"/>
          <w14:ligatures w14:val="none"/>
        </w:rPr>
        <w:t>. San Francisco, CA: Jossey</w:t>
      </w:r>
      <w:r w:rsidRPr="00A81876">
        <w:rPr>
          <w:rFonts w:ascii="Arial" w:eastAsia="Times New Roman" w:hAnsi="Arial" w:cs="Arial"/>
          <w:kern w:val="0"/>
          <w:lang w:eastAsia="en-GB"/>
          <w14:ligatures w14:val="none"/>
        </w:rPr>
        <w:noBreakHyphen/>
        <w:t xml:space="preserve">Bass. Available at: </w:t>
      </w:r>
      <w:hyperlink r:id="rId45" w:history="1">
        <w:r w:rsidRPr="00A81876">
          <w:rPr>
            <w:rFonts w:ascii="Arial" w:eastAsia="Times New Roman" w:hAnsi="Arial" w:cs="Arial"/>
            <w:color w:val="0000FF"/>
            <w:kern w:val="0"/>
            <w:u w:val="single"/>
            <w:lang w:eastAsia="en-GB"/>
            <w14:ligatures w14:val="none"/>
          </w:rPr>
          <w:t>https://catalog.nlm.nih.gov/discovery/fulldisplay/alma9915628703406676/01NLM_INST:01NLM_INST</w:t>
        </w:r>
      </w:hyperlink>
      <w:r w:rsidRPr="00A81876">
        <w:rPr>
          <w:rFonts w:ascii="Arial" w:eastAsia="Times New Roman" w:hAnsi="Arial" w:cs="Arial"/>
          <w:kern w:val="0"/>
          <w:lang w:eastAsia="en-GB"/>
          <w14:ligatures w14:val="none"/>
        </w:rPr>
        <w:t xml:space="preserve"> (Accessed: 27 March 2026).</w:t>
      </w:r>
    </w:p>
    <w:p w14:paraId="358A446F" w14:textId="77777777" w:rsidR="005170CA" w:rsidRPr="00A81876" w:rsidRDefault="005170CA" w:rsidP="00A81876">
      <w:pPr>
        <w:spacing w:after="0" w:line="360" w:lineRule="auto"/>
        <w:rPr>
          <w:rFonts w:ascii="Arial" w:eastAsia="Times New Roman" w:hAnsi="Arial" w:cs="Arial"/>
          <w:kern w:val="0"/>
          <w:lang w:eastAsia="en-GB"/>
          <w14:ligatures w14:val="none"/>
        </w:rPr>
      </w:pPr>
    </w:p>
    <w:p w14:paraId="770DF5B8"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Reason, J. (2000) ‘Human error: models and management’, </w:t>
      </w:r>
      <w:r w:rsidRPr="00A81876">
        <w:rPr>
          <w:rFonts w:ascii="Arial" w:eastAsia="Times New Roman" w:hAnsi="Arial" w:cs="Arial"/>
          <w:i/>
          <w:iCs/>
          <w:kern w:val="0"/>
          <w:lang w:eastAsia="en-GB"/>
          <w14:ligatures w14:val="none"/>
        </w:rPr>
        <w:t>BMJ</w:t>
      </w:r>
      <w:r w:rsidRPr="00A81876">
        <w:rPr>
          <w:rFonts w:ascii="Arial" w:eastAsia="Times New Roman" w:hAnsi="Arial" w:cs="Arial"/>
          <w:kern w:val="0"/>
          <w:lang w:eastAsia="en-GB"/>
          <w14:ligatures w14:val="none"/>
        </w:rPr>
        <w:t xml:space="preserve">, 320(7237), pp. 768–770. Available at: doi: </w:t>
      </w:r>
      <w:hyperlink r:id="rId46" w:history="1">
        <w:r w:rsidRPr="00A81876">
          <w:rPr>
            <w:rFonts w:ascii="Arial" w:eastAsia="Times New Roman" w:hAnsi="Arial" w:cs="Arial"/>
            <w:color w:val="0000FF"/>
            <w:kern w:val="0"/>
            <w:u w:val="single"/>
            <w:lang w:eastAsia="en-GB"/>
            <w14:ligatures w14:val="none"/>
          </w:rPr>
          <w:t>https://doi.org/10.1136/bmj.320.7237.768</w:t>
        </w:r>
      </w:hyperlink>
      <w:r w:rsidRPr="00A81876">
        <w:rPr>
          <w:rFonts w:ascii="Arial" w:eastAsia="Times New Roman" w:hAnsi="Arial" w:cs="Arial"/>
          <w:kern w:val="0"/>
          <w:lang w:eastAsia="en-GB"/>
          <w14:ligatures w14:val="none"/>
        </w:rPr>
        <w:t xml:space="preserve"> (Accessed: 26 March 2026).</w:t>
      </w:r>
    </w:p>
    <w:p w14:paraId="4955EDF0"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6D9881D6"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Robertson, R., Wenzel, L., Thompson, J. and Charlesworth, A. (2017) Understanding NHS financial pressures: how are they affecting patient care? London: The King’s Fund. Available at: </w:t>
      </w:r>
      <w:hyperlink r:id="rId47" w:history="1">
        <w:r w:rsidRPr="00A81876">
          <w:rPr>
            <w:rFonts w:ascii="Arial" w:eastAsia="Times New Roman" w:hAnsi="Arial" w:cs="Arial"/>
            <w:color w:val="0000FF"/>
            <w:kern w:val="0"/>
            <w:u w:val="single"/>
            <w:lang w:eastAsia="en-GB"/>
            <w14:ligatures w14:val="none"/>
          </w:rPr>
          <w:t>https://assets.kingsfund.org.uk/f/256914/x/b866c0a98e/understanding_nhs_financial_pressures_2017.pdf</w:t>
        </w:r>
      </w:hyperlink>
      <w:r w:rsidRPr="00A81876">
        <w:rPr>
          <w:rFonts w:ascii="Arial" w:eastAsia="Times New Roman" w:hAnsi="Arial" w:cs="Arial"/>
          <w:kern w:val="0"/>
          <w:lang w:eastAsia="en-GB"/>
          <w14:ligatures w14:val="none"/>
        </w:rPr>
        <w:t xml:space="preserve"> (Accessed: 26 February 2026).</w:t>
      </w:r>
    </w:p>
    <w:p w14:paraId="10545655"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0EB9E176"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Royal College of Physicians (2016</w:t>
      </w:r>
      <w:r w:rsidRPr="00A81876">
        <w:rPr>
          <w:rFonts w:ascii="Arial" w:eastAsia="Times New Roman" w:hAnsi="Arial" w:cs="Arial"/>
          <w:i/>
          <w:iCs/>
          <w:kern w:val="0"/>
          <w:lang w:eastAsia="en-GB"/>
          <w14:ligatures w14:val="none"/>
        </w:rPr>
        <w:t>) National Clinical Guideline for Stroke</w:t>
      </w:r>
      <w:r w:rsidRPr="00A81876">
        <w:rPr>
          <w:rFonts w:ascii="Arial" w:eastAsia="Times New Roman" w:hAnsi="Arial" w:cs="Arial"/>
          <w:kern w:val="0"/>
          <w:lang w:eastAsia="en-GB"/>
          <w14:ligatures w14:val="none"/>
        </w:rPr>
        <w:t xml:space="preserve">. 5th edn. London: RCP. Available at: </w:t>
      </w:r>
      <w:hyperlink r:id="rId48" w:history="1">
        <w:r w:rsidRPr="00A81876">
          <w:rPr>
            <w:rFonts w:ascii="Arial" w:eastAsia="Times New Roman" w:hAnsi="Arial" w:cs="Arial"/>
            <w:color w:val="0000FF"/>
            <w:kern w:val="0"/>
            <w:u w:val="single"/>
            <w:lang w:eastAsia="en-GB"/>
            <w14:ligatures w14:val="none"/>
          </w:rPr>
          <w:t>https://www.strokeguideline.org</w:t>
        </w:r>
      </w:hyperlink>
      <w:r w:rsidRPr="00A81876">
        <w:rPr>
          <w:rFonts w:ascii="Arial" w:eastAsia="Times New Roman" w:hAnsi="Arial" w:cs="Arial"/>
          <w:kern w:val="0"/>
          <w:lang w:eastAsia="en-GB"/>
          <w14:ligatures w14:val="none"/>
        </w:rPr>
        <w:t xml:space="preserve"> (Accessed: 25 March 2026).</w:t>
      </w:r>
    </w:p>
    <w:p w14:paraId="7BBBBE90"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0C0B22F1"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Royal College of Physicians (2019) Sentinel Stroke National Audit Programme (SSNAP) Annual Report 2019. London: RCP. Available at: </w:t>
      </w:r>
      <w:hyperlink r:id="rId49" w:history="1">
        <w:r w:rsidRPr="00A81876">
          <w:rPr>
            <w:rFonts w:ascii="Arial" w:eastAsia="Times New Roman" w:hAnsi="Arial" w:cs="Arial"/>
            <w:color w:val="0000FF"/>
            <w:kern w:val="0"/>
            <w:u w:val="single"/>
            <w:lang w:eastAsia="en-GB"/>
            <w14:ligatures w14:val="none"/>
          </w:rPr>
          <w:t>https://www.strokeaudit.org</w:t>
        </w:r>
      </w:hyperlink>
      <w:r w:rsidRPr="00A81876">
        <w:rPr>
          <w:rFonts w:ascii="Arial" w:eastAsia="Times New Roman" w:hAnsi="Arial" w:cs="Arial"/>
          <w:kern w:val="0"/>
          <w:lang w:eastAsia="en-GB"/>
          <w14:ligatures w14:val="none"/>
        </w:rPr>
        <w:t xml:space="preserve"> (Accessed: 22 March 2026).</w:t>
      </w:r>
    </w:p>
    <w:p w14:paraId="1AAE8EBE"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22483E6F"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Royal College of Physicians (2020) </w:t>
      </w:r>
      <w:r w:rsidRPr="00A81876">
        <w:rPr>
          <w:rFonts w:ascii="Arial" w:eastAsia="Times New Roman" w:hAnsi="Arial" w:cs="Arial"/>
          <w:i/>
          <w:iCs/>
          <w:kern w:val="0"/>
          <w:lang w:eastAsia="en-GB"/>
          <w14:ligatures w14:val="none"/>
        </w:rPr>
        <w:t>Sentinel Stroke National Audit Programme (SSNAP) Annual Results 2019/20</w:t>
      </w:r>
      <w:r w:rsidRPr="00A81876">
        <w:rPr>
          <w:rFonts w:ascii="Arial" w:eastAsia="Times New Roman" w:hAnsi="Arial" w:cs="Arial"/>
          <w:kern w:val="0"/>
          <w:lang w:eastAsia="en-GB"/>
          <w14:ligatures w14:val="none"/>
        </w:rPr>
        <w:t xml:space="preserve">. London: RCP. Available at: </w:t>
      </w:r>
      <w:hyperlink r:id="rId50" w:history="1">
        <w:r w:rsidRPr="00A81876">
          <w:rPr>
            <w:rFonts w:ascii="Arial" w:eastAsia="Times New Roman" w:hAnsi="Arial" w:cs="Arial"/>
            <w:color w:val="0000FF"/>
            <w:kern w:val="0"/>
            <w:u w:val="single"/>
            <w:lang w:eastAsia="en-GB"/>
            <w14:ligatures w14:val="none"/>
          </w:rPr>
          <w:t>https://www.strokeaudit.org</w:t>
        </w:r>
      </w:hyperlink>
      <w:r w:rsidRPr="00A81876">
        <w:rPr>
          <w:rFonts w:ascii="Arial" w:eastAsia="Times New Roman" w:hAnsi="Arial" w:cs="Arial"/>
          <w:kern w:val="0"/>
          <w:lang w:eastAsia="en-GB"/>
          <w14:ligatures w14:val="none"/>
        </w:rPr>
        <w:t xml:space="preserve"> (Accessed: 23 March 2026).</w:t>
      </w:r>
    </w:p>
    <w:p w14:paraId="59133F16"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488FFBB8" w14:textId="77777777" w:rsidR="00A81876" w:rsidRP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Royal College of Physicians (2023) Sentinel Stroke National Audit Programme (SSNAP) Quarterly Report 2023. London: RCP. Available at: </w:t>
      </w:r>
      <w:hyperlink r:id="rId51" w:history="1">
        <w:r w:rsidRPr="00A81876">
          <w:rPr>
            <w:rFonts w:ascii="Arial" w:eastAsia="Times New Roman" w:hAnsi="Arial" w:cs="Arial"/>
            <w:color w:val="0000FF"/>
            <w:kern w:val="0"/>
            <w:u w:val="single"/>
            <w:lang w:eastAsia="en-GB"/>
            <w14:ligatures w14:val="none"/>
          </w:rPr>
          <w:t>https://www.strokeaudit.org</w:t>
        </w:r>
      </w:hyperlink>
      <w:r w:rsidRPr="00A81876">
        <w:rPr>
          <w:rFonts w:ascii="Arial" w:eastAsia="Times New Roman" w:hAnsi="Arial" w:cs="Arial"/>
          <w:kern w:val="0"/>
          <w:lang w:eastAsia="en-GB"/>
          <w14:ligatures w14:val="none"/>
        </w:rPr>
        <w:t xml:space="preserve"> (Accessed: 23 March 2026).</w:t>
      </w:r>
    </w:p>
    <w:p w14:paraId="56B8A20D"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lastRenderedPageBreak/>
        <w:t xml:space="preserve">Royal College of Physicians (2024) </w:t>
      </w:r>
      <w:r w:rsidRPr="00A81876">
        <w:rPr>
          <w:rFonts w:ascii="Arial" w:eastAsia="Times New Roman" w:hAnsi="Arial" w:cs="Arial"/>
          <w:i/>
          <w:iCs/>
          <w:kern w:val="0"/>
          <w:lang w:eastAsia="en-GB"/>
          <w14:ligatures w14:val="none"/>
        </w:rPr>
        <w:t>Sentinel Stroke National Audit Programme (SSNAP) Annual Results Portfolio</w:t>
      </w:r>
      <w:r w:rsidRPr="00A81876">
        <w:rPr>
          <w:rFonts w:ascii="Arial" w:eastAsia="Times New Roman" w:hAnsi="Arial" w:cs="Arial"/>
          <w:kern w:val="0"/>
          <w:lang w:eastAsia="en-GB"/>
          <w14:ligatures w14:val="none"/>
        </w:rPr>
        <w:t xml:space="preserve"> 2024. London: RCP. Available at: </w:t>
      </w:r>
      <w:hyperlink r:id="rId52" w:history="1">
        <w:r w:rsidRPr="00A81876">
          <w:rPr>
            <w:rFonts w:ascii="Arial" w:eastAsia="Times New Roman" w:hAnsi="Arial" w:cs="Arial"/>
            <w:color w:val="0000FF"/>
            <w:kern w:val="0"/>
            <w:u w:val="single"/>
            <w:lang w:eastAsia="en-GB"/>
            <w14:ligatures w14:val="none"/>
          </w:rPr>
          <w:t>https://www.strokeaudit.org</w:t>
        </w:r>
      </w:hyperlink>
      <w:r w:rsidRPr="00A81876">
        <w:rPr>
          <w:rFonts w:ascii="Arial" w:eastAsia="Times New Roman" w:hAnsi="Arial" w:cs="Arial"/>
          <w:kern w:val="0"/>
          <w:lang w:eastAsia="en-GB"/>
          <w14:ligatures w14:val="none"/>
        </w:rPr>
        <w:t xml:space="preserve"> (Accessed: 24 March 2026).</w:t>
      </w:r>
    </w:p>
    <w:p w14:paraId="7C8F2064"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042DAF42"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Rudd, A.G., Bowen, A., Young, G.R., James, M.A., Wolfe, C.D.A. and the Intercollegiate Stroke Working Party (2020) ‘Trends in stroke incidence and mortality in England’</w:t>
      </w:r>
      <w:r w:rsidRPr="00A81876">
        <w:rPr>
          <w:rFonts w:ascii="Arial" w:eastAsia="Times New Roman" w:hAnsi="Arial" w:cs="Arial"/>
          <w:i/>
          <w:iCs/>
          <w:kern w:val="0"/>
          <w:lang w:eastAsia="en-GB"/>
          <w14:ligatures w14:val="none"/>
        </w:rPr>
        <w:t>, Journal of Neurology, Neurosurgery &amp; Psychiatry</w:t>
      </w:r>
      <w:r w:rsidRPr="00A81876">
        <w:rPr>
          <w:rFonts w:ascii="Arial" w:eastAsia="Times New Roman" w:hAnsi="Arial" w:cs="Arial"/>
          <w:kern w:val="0"/>
          <w:lang w:eastAsia="en-GB"/>
          <w14:ligatures w14:val="none"/>
        </w:rPr>
        <w:t xml:space="preserve">, 91(7), pp. 695–700. Available at: </w:t>
      </w:r>
      <w:hyperlink r:id="rId53" w:history="1">
        <w:r w:rsidRPr="00A81876">
          <w:rPr>
            <w:rFonts w:ascii="Arial" w:eastAsia="Times New Roman" w:hAnsi="Arial" w:cs="Arial"/>
            <w:color w:val="0000FF"/>
            <w:kern w:val="0"/>
            <w:u w:val="single"/>
            <w:lang w:eastAsia="en-GB"/>
            <w14:ligatures w14:val="none"/>
          </w:rPr>
          <w:t>https://doi.org/10.1136/jnnp-2019-322428</w:t>
        </w:r>
      </w:hyperlink>
      <w:r w:rsidRPr="00A81876">
        <w:rPr>
          <w:rFonts w:ascii="Arial" w:eastAsia="Times New Roman" w:hAnsi="Arial" w:cs="Arial"/>
          <w:kern w:val="0"/>
          <w:lang w:eastAsia="en-GB"/>
          <w14:ligatures w14:val="none"/>
        </w:rPr>
        <w:t xml:space="preserve"> (Accessed: 23 March 2026).</w:t>
      </w:r>
    </w:p>
    <w:p w14:paraId="73661722"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67A924FB"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Russell, L., </w:t>
      </w:r>
      <w:proofErr w:type="spellStart"/>
      <w:r w:rsidRPr="00A81876">
        <w:rPr>
          <w:rFonts w:ascii="Arial" w:eastAsia="Times New Roman" w:hAnsi="Arial" w:cs="Arial"/>
          <w:kern w:val="0"/>
          <w:lang w:eastAsia="en-GB"/>
          <w14:ligatures w14:val="none"/>
        </w:rPr>
        <w:t>Chouliara</w:t>
      </w:r>
      <w:proofErr w:type="spellEnd"/>
      <w:r w:rsidRPr="00A81876">
        <w:rPr>
          <w:rFonts w:ascii="Arial" w:eastAsia="Times New Roman" w:hAnsi="Arial" w:cs="Arial"/>
          <w:kern w:val="0"/>
          <w:lang w:eastAsia="en-GB"/>
          <w14:ligatures w14:val="none"/>
        </w:rPr>
        <w:t>, N., Lewis, S., James, M. and Fisher, R. (2024) ‘How and why do community stakeholders participate in the national stroke audit in England? Findings from a mixed</w:t>
      </w:r>
      <w:r w:rsidRPr="00A81876">
        <w:rPr>
          <w:rFonts w:ascii="Arial" w:eastAsia="Times New Roman" w:hAnsi="Arial" w:cs="Arial"/>
          <w:kern w:val="0"/>
          <w:lang w:eastAsia="en-GB"/>
          <w14:ligatures w14:val="none"/>
        </w:rPr>
        <w:noBreakHyphen/>
        <w:t xml:space="preserve">method online survey’, </w:t>
      </w:r>
      <w:r w:rsidRPr="00A81876">
        <w:rPr>
          <w:rFonts w:ascii="Arial" w:eastAsia="Times New Roman" w:hAnsi="Arial" w:cs="Arial"/>
          <w:i/>
          <w:iCs/>
          <w:kern w:val="0"/>
          <w:lang w:eastAsia="en-GB"/>
          <w14:ligatures w14:val="none"/>
        </w:rPr>
        <w:t>BMC Health Services Research</w:t>
      </w:r>
      <w:r w:rsidRPr="00A81876">
        <w:rPr>
          <w:rFonts w:ascii="Arial" w:eastAsia="Times New Roman" w:hAnsi="Arial" w:cs="Arial"/>
          <w:kern w:val="0"/>
          <w:lang w:eastAsia="en-GB"/>
          <w14:ligatures w14:val="none"/>
        </w:rPr>
        <w:t xml:space="preserve">, 24(1), p. 1358. Available at: </w:t>
      </w:r>
      <w:hyperlink r:id="rId54" w:history="1">
        <w:r w:rsidRPr="00A81876">
          <w:rPr>
            <w:rFonts w:ascii="Arial" w:eastAsia="Times New Roman" w:hAnsi="Arial" w:cs="Arial"/>
            <w:color w:val="0000FF"/>
            <w:kern w:val="0"/>
            <w:u w:val="single"/>
            <w:lang w:eastAsia="en-GB"/>
            <w14:ligatures w14:val="none"/>
          </w:rPr>
          <w:t>https://pubmed.ncbi.nlm.nih.gov/39506677/</w:t>
        </w:r>
      </w:hyperlink>
      <w:r w:rsidRPr="00A81876">
        <w:rPr>
          <w:rFonts w:ascii="Arial" w:eastAsia="Times New Roman" w:hAnsi="Arial" w:cs="Arial"/>
          <w:kern w:val="0"/>
          <w:lang w:eastAsia="en-GB"/>
          <w14:ligatures w14:val="none"/>
        </w:rPr>
        <w:t xml:space="preserve"> (Accessed: 26 March 2026).</w:t>
      </w:r>
    </w:p>
    <w:p w14:paraId="409660B8"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5EFC9F40"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Sentinel Stroke National Audit Programme (SSNAP) (2015) </w:t>
      </w:r>
      <w:r w:rsidRPr="00A81876">
        <w:rPr>
          <w:rFonts w:ascii="Arial" w:eastAsia="Times New Roman" w:hAnsi="Arial" w:cs="Arial"/>
          <w:i/>
          <w:iCs/>
          <w:kern w:val="0"/>
          <w:lang w:eastAsia="en-GB"/>
          <w14:ligatures w14:val="none"/>
        </w:rPr>
        <w:t>SSNAP annual report 2015</w:t>
      </w:r>
      <w:r w:rsidRPr="00A81876">
        <w:rPr>
          <w:rFonts w:ascii="Arial" w:eastAsia="Times New Roman" w:hAnsi="Arial" w:cs="Arial"/>
          <w:kern w:val="0"/>
          <w:lang w:eastAsia="en-GB"/>
          <w14:ligatures w14:val="none"/>
        </w:rPr>
        <w:t xml:space="preserve">. Available at: </w:t>
      </w:r>
      <w:hyperlink r:id="rId55" w:history="1">
        <w:r w:rsidRPr="00A81876">
          <w:rPr>
            <w:rFonts w:ascii="Arial" w:eastAsia="Times New Roman" w:hAnsi="Arial" w:cs="Arial"/>
            <w:color w:val="0000FF"/>
            <w:kern w:val="0"/>
            <w:u w:val="single"/>
            <w:lang w:eastAsia="en-GB"/>
            <w14:ligatures w14:val="none"/>
          </w:rPr>
          <w:t>https://www.strokeaudit.org</w:t>
        </w:r>
      </w:hyperlink>
      <w:r w:rsidRPr="00A81876">
        <w:rPr>
          <w:rFonts w:ascii="Arial" w:eastAsia="Times New Roman" w:hAnsi="Arial" w:cs="Arial"/>
          <w:kern w:val="0"/>
          <w:lang w:eastAsia="en-GB"/>
          <w14:ligatures w14:val="none"/>
        </w:rPr>
        <w:t xml:space="preserve">  (Accessed: 26 February 2026).</w:t>
      </w:r>
    </w:p>
    <w:p w14:paraId="5387CA7A"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1C7653F0"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Sentinel Stroke National Audit Programme (SSNAP) (2018) National clinical audit results. Available at: </w:t>
      </w:r>
      <w:hyperlink r:id="rId56" w:history="1">
        <w:r w:rsidRPr="00A81876">
          <w:rPr>
            <w:rFonts w:ascii="Arial" w:eastAsia="Times New Roman" w:hAnsi="Arial" w:cs="Arial"/>
            <w:color w:val="0000FF"/>
            <w:kern w:val="0"/>
            <w:u w:val="single"/>
            <w:lang w:eastAsia="en-GB"/>
            <w14:ligatures w14:val="none"/>
          </w:rPr>
          <w:t>https://www.strokeaudit.org/results/Clinical-audit/National-Results.aspx</w:t>
        </w:r>
      </w:hyperlink>
      <w:r w:rsidRPr="00A81876">
        <w:rPr>
          <w:rFonts w:ascii="Arial" w:eastAsia="Times New Roman" w:hAnsi="Arial" w:cs="Arial"/>
          <w:kern w:val="0"/>
          <w:lang w:eastAsia="en-GB"/>
          <w14:ligatures w14:val="none"/>
        </w:rPr>
        <w:t xml:space="preserve">   (Accessed: 26 February 2026).</w:t>
      </w:r>
    </w:p>
    <w:p w14:paraId="240D9DF3"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027ED111"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Sentinel Stroke National Audit Programme (SSNAP) (2022) </w:t>
      </w:r>
      <w:r w:rsidRPr="00A81876">
        <w:rPr>
          <w:rFonts w:ascii="Arial" w:eastAsia="Times New Roman" w:hAnsi="Arial" w:cs="Arial"/>
          <w:i/>
          <w:iCs/>
          <w:kern w:val="0"/>
          <w:lang w:eastAsia="en-GB"/>
          <w14:ligatures w14:val="none"/>
        </w:rPr>
        <w:t>Annual Results Portfolio</w:t>
      </w:r>
      <w:r w:rsidRPr="00A81876">
        <w:rPr>
          <w:rFonts w:ascii="Arial" w:eastAsia="Times New Roman" w:hAnsi="Arial" w:cs="Arial"/>
          <w:kern w:val="0"/>
          <w:lang w:eastAsia="en-GB"/>
          <w14:ligatures w14:val="none"/>
        </w:rPr>
        <w:t xml:space="preserve">. London: King’s College London. Available at </w:t>
      </w:r>
      <w:hyperlink r:id="rId57" w:history="1">
        <w:r w:rsidRPr="00A81876">
          <w:rPr>
            <w:rFonts w:ascii="Arial" w:eastAsia="Times New Roman" w:hAnsi="Arial" w:cs="Arial"/>
            <w:color w:val="0000FF"/>
            <w:kern w:val="0"/>
            <w:u w:val="single"/>
            <w:lang w:eastAsia="en-GB"/>
            <w14:ligatures w14:val="none"/>
          </w:rPr>
          <w:t>https://www.kcl.ac.uk/research/sentinel-stroke-national-audit-programme-ssnap</w:t>
        </w:r>
      </w:hyperlink>
      <w:r w:rsidRPr="00A81876">
        <w:rPr>
          <w:rFonts w:ascii="Arial" w:eastAsia="Times New Roman" w:hAnsi="Arial" w:cs="Arial"/>
          <w:kern w:val="0"/>
          <w:lang w:eastAsia="en-GB"/>
          <w14:ligatures w14:val="none"/>
        </w:rPr>
        <w:t xml:space="preserve"> (Accessed: 20 March 2026).</w:t>
      </w:r>
    </w:p>
    <w:p w14:paraId="4A3DEE5B"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56273977"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Sentinel Stroke National Audit Programme and Healthcare Quality Improvement Partnership (SSNAP/HQIP) (2025) Stroke Care State of the Nation Report 2025. Available at: </w:t>
      </w:r>
      <w:hyperlink r:id="rId58" w:history="1">
        <w:r w:rsidRPr="00A81876">
          <w:rPr>
            <w:rFonts w:ascii="Arial" w:eastAsia="Times New Roman" w:hAnsi="Arial" w:cs="Arial"/>
            <w:color w:val="0000FF"/>
            <w:kern w:val="0"/>
            <w:u w:val="single"/>
            <w:lang w:eastAsia="en-GB"/>
            <w14:ligatures w14:val="none"/>
          </w:rPr>
          <w:t>https://www.hqip.org.uk/resource/650-ssnap/</w:t>
        </w:r>
      </w:hyperlink>
      <w:r w:rsidRPr="00A81876">
        <w:rPr>
          <w:rFonts w:ascii="Arial" w:eastAsia="Times New Roman" w:hAnsi="Arial" w:cs="Arial"/>
          <w:kern w:val="0"/>
          <w:lang w:eastAsia="en-GB"/>
          <w14:ligatures w14:val="none"/>
        </w:rPr>
        <w:t xml:space="preserve">  (Accessed: 27 February 2026).</w:t>
      </w:r>
    </w:p>
    <w:p w14:paraId="775595AE"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39D45E3A"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Strong, K., Mathers, C. and Bonita, R. (2007) ‘Preventing stroke: saving lives around the world’, The Lancet</w:t>
      </w:r>
      <w:r w:rsidRPr="00A81876">
        <w:rPr>
          <w:rFonts w:ascii="Arial" w:eastAsia="Times New Roman" w:hAnsi="Arial" w:cs="Arial"/>
          <w:i/>
          <w:iCs/>
          <w:kern w:val="0"/>
          <w:lang w:eastAsia="en-GB"/>
          <w14:ligatures w14:val="none"/>
        </w:rPr>
        <w:t xml:space="preserve"> Neurology</w:t>
      </w:r>
      <w:r w:rsidRPr="00A81876">
        <w:rPr>
          <w:rFonts w:ascii="Arial" w:eastAsia="Times New Roman" w:hAnsi="Arial" w:cs="Arial"/>
          <w:kern w:val="0"/>
          <w:lang w:eastAsia="en-GB"/>
          <w14:ligatures w14:val="none"/>
        </w:rPr>
        <w:t xml:space="preserve">, 6(2), pp. 182–187. Available at: </w:t>
      </w:r>
      <w:hyperlink r:id="rId59" w:history="1">
        <w:r w:rsidRPr="00A81876">
          <w:rPr>
            <w:rFonts w:ascii="Arial" w:eastAsia="Times New Roman" w:hAnsi="Arial" w:cs="Arial"/>
            <w:color w:val="0000FF"/>
            <w:kern w:val="0"/>
            <w:u w:val="single"/>
            <w:lang w:eastAsia="en-GB"/>
            <w14:ligatures w14:val="none"/>
          </w:rPr>
          <w:t>https://pubmed.ncbi.nlm.nih.gov/17239805/</w:t>
        </w:r>
      </w:hyperlink>
      <w:r w:rsidRPr="00A81876">
        <w:rPr>
          <w:rFonts w:ascii="Arial" w:eastAsia="Times New Roman" w:hAnsi="Arial" w:cs="Arial"/>
          <w:kern w:val="0"/>
          <w:lang w:eastAsia="en-GB"/>
          <w14:ligatures w14:val="none"/>
        </w:rPr>
        <w:t xml:space="preserve"> (Accessed: 23 March 2026).</w:t>
      </w:r>
    </w:p>
    <w:p w14:paraId="517EB664"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232FB94E"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Stroke Association (2023) </w:t>
      </w:r>
      <w:r w:rsidRPr="00A81876">
        <w:rPr>
          <w:rFonts w:ascii="Arial" w:eastAsia="Times New Roman" w:hAnsi="Arial" w:cs="Arial"/>
          <w:i/>
          <w:iCs/>
          <w:kern w:val="0"/>
          <w:lang w:eastAsia="en-GB"/>
          <w14:ligatures w14:val="none"/>
        </w:rPr>
        <w:t>Stroke statistics</w:t>
      </w:r>
      <w:r w:rsidRPr="00A81876">
        <w:rPr>
          <w:rFonts w:ascii="Arial" w:eastAsia="Times New Roman" w:hAnsi="Arial" w:cs="Arial"/>
          <w:kern w:val="0"/>
          <w:lang w:eastAsia="en-GB"/>
          <w14:ligatures w14:val="none"/>
        </w:rPr>
        <w:t xml:space="preserve">. Available at: </w:t>
      </w:r>
      <w:hyperlink r:id="rId60" w:history="1">
        <w:r w:rsidRPr="00A81876">
          <w:rPr>
            <w:rFonts w:ascii="Arial" w:eastAsia="Times New Roman" w:hAnsi="Arial" w:cs="Arial"/>
            <w:color w:val="0000FF"/>
            <w:kern w:val="0"/>
            <w:u w:val="single"/>
            <w:lang w:eastAsia="en-GB"/>
            <w14:ligatures w14:val="none"/>
          </w:rPr>
          <w:t>https://www.stroke.org.uk/stroke/statistics</w:t>
        </w:r>
      </w:hyperlink>
      <w:r w:rsidRPr="00A81876">
        <w:rPr>
          <w:rFonts w:ascii="Arial" w:eastAsia="Times New Roman" w:hAnsi="Arial" w:cs="Arial"/>
          <w:kern w:val="0"/>
          <w:lang w:eastAsia="en-GB"/>
          <w14:ligatures w14:val="none"/>
        </w:rPr>
        <w:t xml:space="preserve"> (Accessed: 26 March 2026).</w:t>
      </w:r>
    </w:p>
    <w:p w14:paraId="6750987E"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78E49DD4" w14:textId="77777777" w:rsidR="00A81876" w:rsidRDefault="00A81876" w:rsidP="00A81876">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lastRenderedPageBreak/>
        <w:t xml:space="preserve">Taylor, M.J., McNicholas, C., Nicolay, C., Darzi, A., Bell, D. and Reed, J.E. (2014) ‘Systematic review of the application of the plan-do-study-act method to improve quality in healthcare’, BMJ Quality and Safety, 23(4), pp. 290–298. Available at: </w:t>
      </w:r>
      <w:hyperlink r:id="rId61" w:history="1">
        <w:r w:rsidRPr="00A81876">
          <w:rPr>
            <w:rFonts w:ascii="Arial" w:eastAsia="Times New Roman" w:hAnsi="Arial" w:cs="Arial"/>
            <w:color w:val="0000FF"/>
            <w:kern w:val="0"/>
            <w:u w:val="single"/>
            <w:lang w:eastAsia="en-GB"/>
            <w14:ligatures w14:val="none"/>
          </w:rPr>
          <w:t>https://pubmed.ncbi.nlm.nih.gov/24025320/</w:t>
        </w:r>
      </w:hyperlink>
      <w:r w:rsidRPr="00A81876">
        <w:rPr>
          <w:rFonts w:ascii="Arial" w:eastAsia="Times New Roman" w:hAnsi="Arial" w:cs="Arial"/>
          <w:kern w:val="0"/>
          <w:lang w:eastAsia="en-GB"/>
          <w14:ligatures w14:val="none"/>
        </w:rPr>
        <w:t xml:space="preserve"> (Accessed: 29 March 2026).</w:t>
      </w:r>
    </w:p>
    <w:p w14:paraId="3381ED79" w14:textId="77777777" w:rsidR="00627FDD" w:rsidRPr="00A81876" w:rsidRDefault="00627FDD" w:rsidP="00A81876">
      <w:pPr>
        <w:spacing w:after="0" w:line="360" w:lineRule="auto"/>
        <w:rPr>
          <w:rFonts w:ascii="Arial" w:eastAsia="Times New Roman" w:hAnsi="Arial" w:cs="Arial"/>
          <w:kern w:val="0"/>
          <w:lang w:eastAsia="en-GB"/>
          <w14:ligatures w14:val="none"/>
        </w:rPr>
      </w:pPr>
    </w:p>
    <w:p w14:paraId="76E7460D" w14:textId="56AB3211" w:rsidR="008C6F21" w:rsidRPr="003F30AB" w:rsidRDefault="00A81876" w:rsidP="003F30AB">
      <w:pPr>
        <w:spacing w:after="0" w:line="360" w:lineRule="auto"/>
        <w:rPr>
          <w:rFonts w:ascii="Arial" w:eastAsia="Times New Roman" w:hAnsi="Arial" w:cs="Arial"/>
          <w:kern w:val="0"/>
          <w:lang w:eastAsia="en-GB"/>
          <w14:ligatures w14:val="none"/>
        </w:rPr>
      </w:pPr>
      <w:r w:rsidRPr="00A81876">
        <w:rPr>
          <w:rFonts w:ascii="Arial" w:eastAsia="Times New Roman" w:hAnsi="Arial" w:cs="Arial"/>
          <w:kern w:val="0"/>
          <w:lang w:eastAsia="en-GB"/>
          <w14:ligatures w14:val="none"/>
        </w:rPr>
        <w:t xml:space="preserve">Vincent, C., Carthey, J., Macrae, C. and Amalberti, R. (2017) ‘Safety analysis over time: seven major changes to adverse event investigation’, Implementation Science. Available at: </w:t>
      </w:r>
      <w:hyperlink r:id="rId62" w:history="1">
        <w:r w:rsidRPr="00A81876">
          <w:rPr>
            <w:rFonts w:ascii="Arial" w:eastAsia="Times New Roman" w:hAnsi="Arial" w:cs="Arial"/>
            <w:color w:val="0000FF"/>
            <w:kern w:val="0"/>
            <w:u w:val="single"/>
            <w:lang w:eastAsia="en-GB"/>
            <w14:ligatures w14:val="none"/>
          </w:rPr>
          <w:t>https://pubmed.ncbi.nlm.nih.gov/29282080/</w:t>
        </w:r>
      </w:hyperlink>
      <w:r w:rsidRPr="00A81876">
        <w:rPr>
          <w:rFonts w:ascii="Arial" w:eastAsia="Times New Roman" w:hAnsi="Arial" w:cs="Arial"/>
          <w:kern w:val="0"/>
          <w:lang w:eastAsia="en-GB"/>
          <w14:ligatures w14:val="none"/>
        </w:rPr>
        <w:t xml:space="preserve">  (Accessed: 28 February 2026).</w:t>
      </w:r>
    </w:p>
    <w:sectPr w:rsidR="008C6F21" w:rsidRPr="003F30AB">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3E894" w14:textId="77777777" w:rsidR="00A47D7F" w:rsidRDefault="00A47D7F" w:rsidP="00850DE4">
      <w:pPr>
        <w:spacing w:after="0" w:line="240" w:lineRule="auto"/>
      </w:pPr>
      <w:r>
        <w:separator/>
      </w:r>
    </w:p>
  </w:endnote>
  <w:endnote w:type="continuationSeparator" w:id="0">
    <w:p w14:paraId="3FBFDCEE" w14:textId="77777777" w:rsidR="00A47D7F" w:rsidRDefault="00A47D7F" w:rsidP="00850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692740"/>
      <w:docPartObj>
        <w:docPartGallery w:val="Page Numbers (Bottom of Page)"/>
        <w:docPartUnique/>
      </w:docPartObj>
    </w:sdtPr>
    <w:sdtEndPr>
      <w:rPr>
        <w:noProof/>
      </w:rPr>
    </w:sdtEndPr>
    <w:sdtContent>
      <w:p w14:paraId="514A1EE5" w14:textId="68717702" w:rsidR="00214F48" w:rsidRDefault="00214F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58E4B6" w14:textId="77777777" w:rsidR="00214F48" w:rsidRDefault="0021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C9C8F" w14:textId="77777777" w:rsidR="00A47D7F" w:rsidRDefault="00A47D7F" w:rsidP="00850DE4">
      <w:pPr>
        <w:spacing w:after="0" w:line="240" w:lineRule="auto"/>
      </w:pPr>
      <w:r>
        <w:separator/>
      </w:r>
    </w:p>
  </w:footnote>
  <w:footnote w:type="continuationSeparator" w:id="0">
    <w:p w14:paraId="6BEB4D80" w14:textId="77777777" w:rsidR="00A47D7F" w:rsidRDefault="00A47D7F" w:rsidP="00850D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F62"/>
    <w:rsid w:val="0000538B"/>
    <w:rsid w:val="00006AF9"/>
    <w:rsid w:val="000147B6"/>
    <w:rsid w:val="00031F39"/>
    <w:rsid w:val="00032026"/>
    <w:rsid w:val="00032FD7"/>
    <w:rsid w:val="00037BFA"/>
    <w:rsid w:val="00045310"/>
    <w:rsid w:val="000615F2"/>
    <w:rsid w:val="0006511E"/>
    <w:rsid w:val="00066F1A"/>
    <w:rsid w:val="00067200"/>
    <w:rsid w:val="0007289D"/>
    <w:rsid w:val="0008714E"/>
    <w:rsid w:val="00090F54"/>
    <w:rsid w:val="00092047"/>
    <w:rsid w:val="00092E9E"/>
    <w:rsid w:val="000978CE"/>
    <w:rsid w:val="000A06A2"/>
    <w:rsid w:val="000A3A86"/>
    <w:rsid w:val="000C4890"/>
    <w:rsid w:val="000D0918"/>
    <w:rsid w:val="000E0A3D"/>
    <w:rsid w:val="000E1A1D"/>
    <w:rsid w:val="000E2640"/>
    <w:rsid w:val="000F27EB"/>
    <w:rsid w:val="001016B1"/>
    <w:rsid w:val="001073A0"/>
    <w:rsid w:val="00113139"/>
    <w:rsid w:val="00134235"/>
    <w:rsid w:val="001478BB"/>
    <w:rsid w:val="00150414"/>
    <w:rsid w:val="001544F8"/>
    <w:rsid w:val="001577FA"/>
    <w:rsid w:val="00162B58"/>
    <w:rsid w:val="00163F33"/>
    <w:rsid w:val="00171D15"/>
    <w:rsid w:val="001761E6"/>
    <w:rsid w:val="001815AF"/>
    <w:rsid w:val="00181C49"/>
    <w:rsid w:val="00186AD1"/>
    <w:rsid w:val="0018798F"/>
    <w:rsid w:val="001918BA"/>
    <w:rsid w:val="001A3FC0"/>
    <w:rsid w:val="001A5E95"/>
    <w:rsid w:val="001A6361"/>
    <w:rsid w:val="001A6900"/>
    <w:rsid w:val="001B0EE1"/>
    <w:rsid w:val="001B1B7D"/>
    <w:rsid w:val="001C207E"/>
    <w:rsid w:val="001C5926"/>
    <w:rsid w:val="001D2CCE"/>
    <w:rsid w:val="001E432B"/>
    <w:rsid w:val="001F1FF5"/>
    <w:rsid w:val="001F6991"/>
    <w:rsid w:val="00211750"/>
    <w:rsid w:val="00213E10"/>
    <w:rsid w:val="00214868"/>
    <w:rsid w:val="00214F48"/>
    <w:rsid w:val="0021595F"/>
    <w:rsid w:val="002175BA"/>
    <w:rsid w:val="002325F8"/>
    <w:rsid w:val="00234F5D"/>
    <w:rsid w:val="002402B1"/>
    <w:rsid w:val="002565E5"/>
    <w:rsid w:val="0026694D"/>
    <w:rsid w:val="00267C39"/>
    <w:rsid w:val="0027753B"/>
    <w:rsid w:val="00292B25"/>
    <w:rsid w:val="00294CDA"/>
    <w:rsid w:val="002A092A"/>
    <w:rsid w:val="002B49CD"/>
    <w:rsid w:val="002C059C"/>
    <w:rsid w:val="002C3746"/>
    <w:rsid w:val="002C3BF6"/>
    <w:rsid w:val="002C5676"/>
    <w:rsid w:val="002D30DC"/>
    <w:rsid w:val="002E50E2"/>
    <w:rsid w:val="002E6F89"/>
    <w:rsid w:val="002F3037"/>
    <w:rsid w:val="003048EB"/>
    <w:rsid w:val="00307346"/>
    <w:rsid w:val="00325B3A"/>
    <w:rsid w:val="0033007F"/>
    <w:rsid w:val="0033763C"/>
    <w:rsid w:val="00343052"/>
    <w:rsid w:val="0035557F"/>
    <w:rsid w:val="003602C2"/>
    <w:rsid w:val="003672AD"/>
    <w:rsid w:val="00371B5B"/>
    <w:rsid w:val="0037476E"/>
    <w:rsid w:val="003762CB"/>
    <w:rsid w:val="00382D75"/>
    <w:rsid w:val="00383892"/>
    <w:rsid w:val="003850D3"/>
    <w:rsid w:val="00390350"/>
    <w:rsid w:val="00394391"/>
    <w:rsid w:val="003A0B06"/>
    <w:rsid w:val="003B1E66"/>
    <w:rsid w:val="003D2CE2"/>
    <w:rsid w:val="003D5879"/>
    <w:rsid w:val="003E3F62"/>
    <w:rsid w:val="003F0578"/>
    <w:rsid w:val="003F0C1F"/>
    <w:rsid w:val="003F30AB"/>
    <w:rsid w:val="004011D0"/>
    <w:rsid w:val="00405053"/>
    <w:rsid w:val="0040542B"/>
    <w:rsid w:val="004066D6"/>
    <w:rsid w:val="00412CDE"/>
    <w:rsid w:val="00414297"/>
    <w:rsid w:val="004221BD"/>
    <w:rsid w:val="0043179B"/>
    <w:rsid w:val="00432A91"/>
    <w:rsid w:val="00436017"/>
    <w:rsid w:val="00457197"/>
    <w:rsid w:val="004644AD"/>
    <w:rsid w:val="00470550"/>
    <w:rsid w:val="00477BB2"/>
    <w:rsid w:val="00481760"/>
    <w:rsid w:val="00492689"/>
    <w:rsid w:val="004B1396"/>
    <w:rsid w:val="004C0312"/>
    <w:rsid w:val="004C77EA"/>
    <w:rsid w:val="004E6205"/>
    <w:rsid w:val="004F1945"/>
    <w:rsid w:val="004F6469"/>
    <w:rsid w:val="005015BC"/>
    <w:rsid w:val="005131B6"/>
    <w:rsid w:val="005170CA"/>
    <w:rsid w:val="00534586"/>
    <w:rsid w:val="0054140A"/>
    <w:rsid w:val="00541535"/>
    <w:rsid w:val="00547066"/>
    <w:rsid w:val="005735B6"/>
    <w:rsid w:val="005A4049"/>
    <w:rsid w:val="005A6BB8"/>
    <w:rsid w:val="005B04AA"/>
    <w:rsid w:val="005C0282"/>
    <w:rsid w:val="005C694E"/>
    <w:rsid w:val="005E2A32"/>
    <w:rsid w:val="005E2EA4"/>
    <w:rsid w:val="005E37A4"/>
    <w:rsid w:val="005E5227"/>
    <w:rsid w:val="005F4D2A"/>
    <w:rsid w:val="00600A62"/>
    <w:rsid w:val="00603B86"/>
    <w:rsid w:val="00613A5A"/>
    <w:rsid w:val="00620C42"/>
    <w:rsid w:val="00622E0F"/>
    <w:rsid w:val="00627A40"/>
    <w:rsid w:val="00627C19"/>
    <w:rsid w:val="00627FDD"/>
    <w:rsid w:val="006400AD"/>
    <w:rsid w:val="00660E08"/>
    <w:rsid w:val="00660E7B"/>
    <w:rsid w:val="00664D79"/>
    <w:rsid w:val="006814C4"/>
    <w:rsid w:val="006841AB"/>
    <w:rsid w:val="0069420E"/>
    <w:rsid w:val="006B298D"/>
    <w:rsid w:val="006B44C2"/>
    <w:rsid w:val="006B5FCF"/>
    <w:rsid w:val="006C3124"/>
    <w:rsid w:val="006D0677"/>
    <w:rsid w:val="006D094B"/>
    <w:rsid w:val="006D2DE9"/>
    <w:rsid w:val="006D5208"/>
    <w:rsid w:val="006E4876"/>
    <w:rsid w:val="006F0EE0"/>
    <w:rsid w:val="006F23FA"/>
    <w:rsid w:val="007002CA"/>
    <w:rsid w:val="00703926"/>
    <w:rsid w:val="007128DD"/>
    <w:rsid w:val="00717A23"/>
    <w:rsid w:val="00723176"/>
    <w:rsid w:val="00723210"/>
    <w:rsid w:val="00727038"/>
    <w:rsid w:val="0073182F"/>
    <w:rsid w:val="00734062"/>
    <w:rsid w:val="007349D3"/>
    <w:rsid w:val="00737FE7"/>
    <w:rsid w:val="0074015F"/>
    <w:rsid w:val="00742177"/>
    <w:rsid w:val="00751933"/>
    <w:rsid w:val="00754257"/>
    <w:rsid w:val="007555AB"/>
    <w:rsid w:val="0075616E"/>
    <w:rsid w:val="0076595F"/>
    <w:rsid w:val="00780249"/>
    <w:rsid w:val="0078681C"/>
    <w:rsid w:val="0079505B"/>
    <w:rsid w:val="007A236B"/>
    <w:rsid w:val="007B5A5D"/>
    <w:rsid w:val="007C1D20"/>
    <w:rsid w:val="007D13C1"/>
    <w:rsid w:val="007D5708"/>
    <w:rsid w:val="007E1D72"/>
    <w:rsid w:val="007F5DDB"/>
    <w:rsid w:val="00802FA9"/>
    <w:rsid w:val="00803C44"/>
    <w:rsid w:val="00806CA7"/>
    <w:rsid w:val="008143D0"/>
    <w:rsid w:val="008210EE"/>
    <w:rsid w:val="00830477"/>
    <w:rsid w:val="00830A23"/>
    <w:rsid w:val="008321F1"/>
    <w:rsid w:val="00841D07"/>
    <w:rsid w:val="00843964"/>
    <w:rsid w:val="00850DE4"/>
    <w:rsid w:val="00854B5A"/>
    <w:rsid w:val="00856443"/>
    <w:rsid w:val="00857BE9"/>
    <w:rsid w:val="00860064"/>
    <w:rsid w:val="00860D34"/>
    <w:rsid w:val="0086747F"/>
    <w:rsid w:val="008761F6"/>
    <w:rsid w:val="00877E2D"/>
    <w:rsid w:val="00884D60"/>
    <w:rsid w:val="00885E9D"/>
    <w:rsid w:val="00891FD1"/>
    <w:rsid w:val="00895B12"/>
    <w:rsid w:val="00895EEC"/>
    <w:rsid w:val="008977D6"/>
    <w:rsid w:val="008B3C57"/>
    <w:rsid w:val="008B4B85"/>
    <w:rsid w:val="008C0C83"/>
    <w:rsid w:val="008C6F21"/>
    <w:rsid w:val="008D1F97"/>
    <w:rsid w:val="008D5666"/>
    <w:rsid w:val="008E23D1"/>
    <w:rsid w:val="008F089B"/>
    <w:rsid w:val="008F3B87"/>
    <w:rsid w:val="008F520B"/>
    <w:rsid w:val="00903BC7"/>
    <w:rsid w:val="00906290"/>
    <w:rsid w:val="00911D35"/>
    <w:rsid w:val="009145F3"/>
    <w:rsid w:val="00915E56"/>
    <w:rsid w:val="0091611B"/>
    <w:rsid w:val="00926800"/>
    <w:rsid w:val="00926D6B"/>
    <w:rsid w:val="00926EBB"/>
    <w:rsid w:val="00936EC7"/>
    <w:rsid w:val="00950E9D"/>
    <w:rsid w:val="00955EF1"/>
    <w:rsid w:val="00965918"/>
    <w:rsid w:val="00967921"/>
    <w:rsid w:val="0097725A"/>
    <w:rsid w:val="009839FB"/>
    <w:rsid w:val="00985423"/>
    <w:rsid w:val="0099029A"/>
    <w:rsid w:val="009A6A1C"/>
    <w:rsid w:val="009B4D08"/>
    <w:rsid w:val="009D5E49"/>
    <w:rsid w:val="009D6975"/>
    <w:rsid w:val="009D7927"/>
    <w:rsid w:val="009E54E0"/>
    <w:rsid w:val="009F3ABC"/>
    <w:rsid w:val="009F6D1C"/>
    <w:rsid w:val="00A14088"/>
    <w:rsid w:val="00A15911"/>
    <w:rsid w:val="00A15CB8"/>
    <w:rsid w:val="00A23DC2"/>
    <w:rsid w:val="00A242DE"/>
    <w:rsid w:val="00A328BD"/>
    <w:rsid w:val="00A33BEB"/>
    <w:rsid w:val="00A34070"/>
    <w:rsid w:val="00A41EC9"/>
    <w:rsid w:val="00A42251"/>
    <w:rsid w:val="00A47D7F"/>
    <w:rsid w:val="00A501B3"/>
    <w:rsid w:val="00A50AC3"/>
    <w:rsid w:val="00A54883"/>
    <w:rsid w:val="00A61121"/>
    <w:rsid w:val="00A70857"/>
    <w:rsid w:val="00A7247B"/>
    <w:rsid w:val="00A729D2"/>
    <w:rsid w:val="00A758F5"/>
    <w:rsid w:val="00A816F5"/>
    <w:rsid w:val="00A81876"/>
    <w:rsid w:val="00A82B1A"/>
    <w:rsid w:val="00A93BA2"/>
    <w:rsid w:val="00A93C15"/>
    <w:rsid w:val="00AB1E4C"/>
    <w:rsid w:val="00AC29EE"/>
    <w:rsid w:val="00AC3E48"/>
    <w:rsid w:val="00AC43F4"/>
    <w:rsid w:val="00AD027B"/>
    <w:rsid w:val="00AD081D"/>
    <w:rsid w:val="00AD1DF3"/>
    <w:rsid w:val="00AD34C9"/>
    <w:rsid w:val="00AD78A9"/>
    <w:rsid w:val="00B07D44"/>
    <w:rsid w:val="00B14D37"/>
    <w:rsid w:val="00B243E3"/>
    <w:rsid w:val="00B254E6"/>
    <w:rsid w:val="00B2F4FD"/>
    <w:rsid w:val="00B3397D"/>
    <w:rsid w:val="00B3497C"/>
    <w:rsid w:val="00B36C38"/>
    <w:rsid w:val="00B477FC"/>
    <w:rsid w:val="00B532FA"/>
    <w:rsid w:val="00B53BBE"/>
    <w:rsid w:val="00B54F11"/>
    <w:rsid w:val="00B60530"/>
    <w:rsid w:val="00B6324D"/>
    <w:rsid w:val="00B6700C"/>
    <w:rsid w:val="00B75814"/>
    <w:rsid w:val="00B75AE9"/>
    <w:rsid w:val="00B77820"/>
    <w:rsid w:val="00B7795F"/>
    <w:rsid w:val="00B845DC"/>
    <w:rsid w:val="00B850BB"/>
    <w:rsid w:val="00B85468"/>
    <w:rsid w:val="00B92F2E"/>
    <w:rsid w:val="00B9369D"/>
    <w:rsid w:val="00BA12DD"/>
    <w:rsid w:val="00BC0D46"/>
    <w:rsid w:val="00BD33A4"/>
    <w:rsid w:val="00BD71E3"/>
    <w:rsid w:val="00BE2599"/>
    <w:rsid w:val="00C01B7A"/>
    <w:rsid w:val="00C02F4E"/>
    <w:rsid w:val="00C358F2"/>
    <w:rsid w:val="00C52A3F"/>
    <w:rsid w:val="00C55AC9"/>
    <w:rsid w:val="00C5638F"/>
    <w:rsid w:val="00C612CC"/>
    <w:rsid w:val="00C642FC"/>
    <w:rsid w:val="00C73781"/>
    <w:rsid w:val="00C744A9"/>
    <w:rsid w:val="00C8665F"/>
    <w:rsid w:val="00C86DCA"/>
    <w:rsid w:val="00CA071C"/>
    <w:rsid w:val="00CA388E"/>
    <w:rsid w:val="00CA61FB"/>
    <w:rsid w:val="00CB10E2"/>
    <w:rsid w:val="00CB5D8D"/>
    <w:rsid w:val="00CD1402"/>
    <w:rsid w:val="00CD26B5"/>
    <w:rsid w:val="00CD3FD4"/>
    <w:rsid w:val="00CD787D"/>
    <w:rsid w:val="00CE0B6F"/>
    <w:rsid w:val="00CE0F11"/>
    <w:rsid w:val="00CE1C5D"/>
    <w:rsid w:val="00CE4CB7"/>
    <w:rsid w:val="00CF07B1"/>
    <w:rsid w:val="00D014D5"/>
    <w:rsid w:val="00D110CB"/>
    <w:rsid w:val="00D13260"/>
    <w:rsid w:val="00D23955"/>
    <w:rsid w:val="00D274F7"/>
    <w:rsid w:val="00D33CC2"/>
    <w:rsid w:val="00D34D12"/>
    <w:rsid w:val="00D37711"/>
    <w:rsid w:val="00D560D2"/>
    <w:rsid w:val="00D60231"/>
    <w:rsid w:val="00D637F3"/>
    <w:rsid w:val="00D64304"/>
    <w:rsid w:val="00D645D2"/>
    <w:rsid w:val="00D66B77"/>
    <w:rsid w:val="00D8332D"/>
    <w:rsid w:val="00D93F3C"/>
    <w:rsid w:val="00DA071D"/>
    <w:rsid w:val="00DA151C"/>
    <w:rsid w:val="00DA1925"/>
    <w:rsid w:val="00DA1C35"/>
    <w:rsid w:val="00DA32FB"/>
    <w:rsid w:val="00DA61A2"/>
    <w:rsid w:val="00DA7B22"/>
    <w:rsid w:val="00DB18AE"/>
    <w:rsid w:val="00DC3461"/>
    <w:rsid w:val="00DC4EEB"/>
    <w:rsid w:val="00DC56DE"/>
    <w:rsid w:val="00DE6F6C"/>
    <w:rsid w:val="00DF0D32"/>
    <w:rsid w:val="00DF6C8A"/>
    <w:rsid w:val="00E003D8"/>
    <w:rsid w:val="00E02B7F"/>
    <w:rsid w:val="00E22ED3"/>
    <w:rsid w:val="00E24A27"/>
    <w:rsid w:val="00E30ACE"/>
    <w:rsid w:val="00E30D88"/>
    <w:rsid w:val="00E352FA"/>
    <w:rsid w:val="00E37E9E"/>
    <w:rsid w:val="00E426BD"/>
    <w:rsid w:val="00E437AD"/>
    <w:rsid w:val="00E46D7E"/>
    <w:rsid w:val="00E61040"/>
    <w:rsid w:val="00E77F5F"/>
    <w:rsid w:val="00E836A5"/>
    <w:rsid w:val="00E87FB1"/>
    <w:rsid w:val="00E95428"/>
    <w:rsid w:val="00E97975"/>
    <w:rsid w:val="00EA2788"/>
    <w:rsid w:val="00EB7D96"/>
    <w:rsid w:val="00ED2E1D"/>
    <w:rsid w:val="00ED7114"/>
    <w:rsid w:val="00ED75EF"/>
    <w:rsid w:val="00EF1D6F"/>
    <w:rsid w:val="00EF6F0C"/>
    <w:rsid w:val="00EF7921"/>
    <w:rsid w:val="00F00B26"/>
    <w:rsid w:val="00F05F11"/>
    <w:rsid w:val="00F064E6"/>
    <w:rsid w:val="00F12135"/>
    <w:rsid w:val="00F15D75"/>
    <w:rsid w:val="00F15E57"/>
    <w:rsid w:val="00F16EAC"/>
    <w:rsid w:val="00F17A33"/>
    <w:rsid w:val="00F17B5D"/>
    <w:rsid w:val="00F253D8"/>
    <w:rsid w:val="00F329C3"/>
    <w:rsid w:val="00F4094B"/>
    <w:rsid w:val="00F43524"/>
    <w:rsid w:val="00F55C18"/>
    <w:rsid w:val="00F56BC3"/>
    <w:rsid w:val="00F64BE4"/>
    <w:rsid w:val="00F654D3"/>
    <w:rsid w:val="00F6739F"/>
    <w:rsid w:val="00F7271A"/>
    <w:rsid w:val="00F75C2D"/>
    <w:rsid w:val="00F922F7"/>
    <w:rsid w:val="00F95F94"/>
    <w:rsid w:val="00FA0186"/>
    <w:rsid w:val="00FA482C"/>
    <w:rsid w:val="00FA4B67"/>
    <w:rsid w:val="00FA5C08"/>
    <w:rsid w:val="00FC63E5"/>
    <w:rsid w:val="00FD4632"/>
    <w:rsid w:val="00FD7493"/>
    <w:rsid w:val="00FE34C9"/>
    <w:rsid w:val="00FF16F5"/>
    <w:rsid w:val="00FF1797"/>
    <w:rsid w:val="00FF3795"/>
    <w:rsid w:val="03570E86"/>
    <w:rsid w:val="038DB107"/>
    <w:rsid w:val="046BADFC"/>
    <w:rsid w:val="0755E2D7"/>
    <w:rsid w:val="089A8ABD"/>
    <w:rsid w:val="0B30C547"/>
    <w:rsid w:val="0BB2E697"/>
    <w:rsid w:val="0DA2CAE8"/>
    <w:rsid w:val="0E3A931F"/>
    <w:rsid w:val="0E549A58"/>
    <w:rsid w:val="104B6DB9"/>
    <w:rsid w:val="11CB17CD"/>
    <w:rsid w:val="11D6AF80"/>
    <w:rsid w:val="1401067E"/>
    <w:rsid w:val="1543B2B1"/>
    <w:rsid w:val="15C27D4E"/>
    <w:rsid w:val="19FD6820"/>
    <w:rsid w:val="1C34437B"/>
    <w:rsid w:val="1C65993C"/>
    <w:rsid w:val="20BEBAF7"/>
    <w:rsid w:val="2443EE8B"/>
    <w:rsid w:val="248F87ED"/>
    <w:rsid w:val="26F7E38F"/>
    <w:rsid w:val="29A8D6F9"/>
    <w:rsid w:val="2A2BB0F1"/>
    <w:rsid w:val="2C8DF717"/>
    <w:rsid w:val="2CFA94D6"/>
    <w:rsid w:val="310C4EC9"/>
    <w:rsid w:val="317B5D3C"/>
    <w:rsid w:val="31C9CEFE"/>
    <w:rsid w:val="3474AEF1"/>
    <w:rsid w:val="35FFAAE4"/>
    <w:rsid w:val="39A8C5D8"/>
    <w:rsid w:val="3A17DDC6"/>
    <w:rsid w:val="3ABD5E75"/>
    <w:rsid w:val="40249061"/>
    <w:rsid w:val="41168DBA"/>
    <w:rsid w:val="4289529B"/>
    <w:rsid w:val="43A41EF7"/>
    <w:rsid w:val="43C3823C"/>
    <w:rsid w:val="4B46A8A4"/>
    <w:rsid w:val="4D9095D7"/>
    <w:rsid w:val="5407C8A1"/>
    <w:rsid w:val="54C4E581"/>
    <w:rsid w:val="550A2631"/>
    <w:rsid w:val="58BF105D"/>
    <w:rsid w:val="58E1CE16"/>
    <w:rsid w:val="59BBBFEE"/>
    <w:rsid w:val="5A79CA19"/>
    <w:rsid w:val="60502B06"/>
    <w:rsid w:val="619565D7"/>
    <w:rsid w:val="6251B679"/>
    <w:rsid w:val="64B4A0BE"/>
    <w:rsid w:val="678360CE"/>
    <w:rsid w:val="6984496D"/>
    <w:rsid w:val="6C1091D7"/>
    <w:rsid w:val="6CC8A392"/>
    <w:rsid w:val="6D00187B"/>
    <w:rsid w:val="6D9882AF"/>
    <w:rsid w:val="6F97631A"/>
    <w:rsid w:val="7084FA51"/>
    <w:rsid w:val="714F36C0"/>
    <w:rsid w:val="727121C6"/>
    <w:rsid w:val="72A9DD8B"/>
    <w:rsid w:val="73601EEF"/>
    <w:rsid w:val="764C9ADE"/>
    <w:rsid w:val="77DCB7F4"/>
    <w:rsid w:val="79B42565"/>
    <w:rsid w:val="7A5B749D"/>
    <w:rsid w:val="7AC26DC9"/>
    <w:rsid w:val="7C4B63B2"/>
    <w:rsid w:val="7C90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49949"/>
  <w15:chartTrackingRefBased/>
  <w15:docId w15:val="{8F61BC07-2F03-4CE9-831D-70C7DA084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F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3F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F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F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F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F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F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F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F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F62"/>
    <w:rPr>
      <w:rFonts w:eastAsiaTheme="majorEastAsia" w:cstheme="majorBidi"/>
      <w:color w:val="272727" w:themeColor="text1" w:themeTint="D8"/>
    </w:rPr>
  </w:style>
  <w:style w:type="paragraph" w:styleId="Title">
    <w:name w:val="Title"/>
    <w:basedOn w:val="Normal"/>
    <w:next w:val="Normal"/>
    <w:link w:val="TitleChar"/>
    <w:uiPriority w:val="10"/>
    <w:qFormat/>
    <w:rsid w:val="003E3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F62"/>
    <w:pPr>
      <w:spacing w:before="160"/>
      <w:jc w:val="center"/>
    </w:pPr>
    <w:rPr>
      <w:i/>
      <w:iCs/>
      <w:color w:val="404040" w:themeColor="text1" w:themeTint="BF"/>
    </w:rPr>
  </w:style>
  <w:style w:type="character" w:customStyle="1" w:styleId="QuoteChar">
    <w:name w:val="Quote Char"/>
    <w:basedOn w:val="DefaultParagraphFont"/>
    <w:link w:val="Quote"/>
    <w:uiPriority w:val="29"/>
    <w:rsid w:val="003E3F62"/>
    <w:rPr>
      <w:i/>
      <w:iCs/>
      <w:color w:val="404040" w:themeColor="text1" w:themeTint="BF"/>
    </w:rPr>
  </w:style>
  <w:style w:type="paragraph" w:styleId="ListParagraph">
    <w:name w:val="List Paragraph"/>
    <w:basedOn w:val="Normal"/>
    <w:uiPriority w:val="34"/>
    <w:qFormat/>
    <w:rsid w:val="003E3F62"/>
    <w:pPr>
      <w:ind w:left="720"/>
      <w:contextualSpacing/>
    </w:pPr>
  </w:style>
  <w:style w:type="character" w:styleId="IntenseEmphasis">
    <w:name w:val="Intense Emphasis"/>
    <w:basedOn w:val="DefaultParagraphFont"/>
    <w:uiPriority w:val="21"/>
    <w:qFormat/>
    <w:rsid w:val="003E3F62"/>
    <w:rPr>
      <w:i/>
      <w:iCs/>
      <w:color w:val="0F4761" w:themeColor="accent1" w:themeShade="BF"/>
    </w:rPr>
  </w:style>
  <w:style w:type="paragraph" w:styleId="IntenseQuote">
    <w:name w:val="Intense Quote"/>
    <w:basedOn w:val="Normal"/>
    <w:next w:val="Normal"/>
    <w:link w:val="IntenseQuoteChar"/>
    <w:uiPriority w:val="30"/>
    <w:qFormat/>
    <w:rsid w:val="003E3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F62"/>
    <w:rPr>
      <w:i/>
      <w:iCs/>
      <w:color w:val="0F4761" w:themeColor="accent1" w:themeShade="BF"/>
    </w:rPr>
  </w:style>
  <w:style w:type="character" w:styleId="IntenseReference">
    <w:name w:val="Intense Reference"/>
    <w:basedOn w:val="DefaultParagraphFont"/>
    <w:uiPriority w:val="32"/>
    <w:qFormat/>
    <w:rsid w:val="003E3F62"/>
    <w:rPr>
      <w:b/>
      <w:bCs/>
      <w:smallCaps/>
      <w:color w:val="0F4761" w:themeColor="accent1" w:themeShade="BF"/>
      <w:spacing w:val="5"/>
    </w:rPr>
  </w:style>
  <w:style w:type="paragraph" w:styleId="Header">
    <w:name w:val="header"/>
    <w:basedOn w:val="Normal"/>
    <w:link w:val="HeaderChar"/>
    <w:uiPriority w:val="99"/>
    <w:unhideWhenUsed/>
    <w:rsid w:val="00850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DE4"/>
  </w:style>
  <w:style w:type="paragraph" w:styleId="Footer">
    <w:name w:val="footer"/>
    <w:basedOn w:val="Normal"/>
    <w:link w:val="FooterChar"/>
    <w:uiPriority w:val="99"/>
    <w:unhideWhenUsed/>
    <w:rsid w:val="00850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DE4"/>
  </w:style>
  <w:style w:type="character" w:styleId="Hyperlink">
    <w:name w:val="Hyperlink"/>
    <w:basedOn w:val="DefaultParagraphFont"/>
    <w:uiPriority w:val="99"/>
    <w:unhideWhenUsed/>
    <w:rsid w:val="15C27D4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B75AE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815AF"/>
    <w:rPr>
      <w:color w:val="605E5C"/>
      <w:shd w:val="clear" w:color="auto" w:fill="E1DFDD"/>
    </w:rPr>
  </w:style>
  <w:style w:type="paragraph" w:styleId="TOCHeading">
    <w:name w:val="TOC Heading"/>
    <w:basedOn w:val="Heading1"/>
    <w:next w:val="Normal"/>
    <w:uiPriority w:val="39"/>
    <w:unhideWhenUsed/>
    <w:qFormat/>
    <w:rsid w:val="008143D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8143D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8143D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143D0"/>
    <w:pPr>
      <w:spacing w:after="100"/>
      <w:ind w:left="440"/>
    </w:pPr>
    <w:rPr>
      <w:rFonts w:eastAsiaTheme="minorEastAsia" w:cs="Times New Roman"/>
      <w:kern w:val="0"/>
      <w:lang w:val="en-US"/>
      <w14:ligatures w14:val="none"/>
    </w:rPr>
  </w:style>
  <w:style w:type="paragraph" w:styleId="NoSpacing">
    <w:name w:val="No Spacing"/>
    <w:link w:val="NoSpacingChar"/>
    <w:uiPriority w:val="1"/>
    <w:qFormat/>
    <w:rsid w:val="004F194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194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qc.org.uk/news/releases/cqc-publishes-findings-inspection-blackpool-victoria-hospital" TargetMode="External"/><Relationship Id="rId21" Type="http://schemas.openxmlformats.org/officeDocument/2006/relationships/hyperlink" Target="https://pubmed.ncbi.nlm.nih.gov/28154098/" TargetMode="External"/><Relationship Id="rId34" Type="http://schemas.openxmlformats.org/officeDocument/2006/relationships/hyperlink" Target="https://pubmed.ncbi.nlm.nih.gov/23946303/" TargetMode="External"/><Relationship Id="rId42" Type="http://schemas.openxmlformats.org/officeDocument/2006/relationships/hyperlink" Target="https://assets.publishing.service.gov.uk/media/69036ef05c84b1206832a86f/nhs-england-annual-report-and-accounts-2024-to-2025.pdf" TargetMode="External"/><Relationship Id="rId47" Type="http://schemas.openxmlformats.org/officeDocument/2006/relationships/hyperlink" Target="https://assets.kingsfund.org.uk/f/256914/x/b866c0a98e/understanding_nhs_financial_pressures_2017.pdf" TargetMode="External"/><Relationship Id="rId50" Type="http://schemas.openxmlformats.org/officeDocument/2006/relationships/hyperlink" Target="https://www.strokeaudit.org" TargetMode="External"/><Relationship Id="rId55" Type="http://schemas.openxmlformats.org/officeDocument/2006/relationships/hyperlink" Target="https://www.strokeaudit.org"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pmc.ncbi.nlm.nih.gov/articles/PMC2690293/" TargetMode="External"/><Relationship Id="rId11" Type="http://schemas.openxmlformats.org/officeDocument/2006/relationships/image" Target="media/image3.wmf"/><Relationship Id="rId24" Type="http://schemas.openxmlformats.org/officeDocument/2006/relationships/hyperlink" Target="https://www.cqc.org.uk/location/RXL01/reports" TargetMode="External"/><Relationship Id="rId32" Type="http://schemas.openxmlformats.org/officeDocument/2006/relationships/hyperlink" Target="https://www.theguardian.com/society/2025/dec/03/culture-of-bullying-and-harassment-found-at-scandal-hit-blackpool-victoria-nhs-hospital" TargetMode="External"/><Relationship Id="rId37" Type="http://schemas.openxmlformats.org/officeDocument/2006/relationships/hyperlink" Target="https://www.longtermplan.nhs.uk/" TargetMode="External"/><Relationship Id="rId40" Type="http://schemas.openxmlformats.org/officeDocument/2006/relationships/hyperlink" Target="https://www.england.nhs.uk/ourwork/clinical-policy/stroke/national-stroke-service-model/" TargetMode="External"/><Relationship Id="rId45" Type="http://schemas.openxmlformats.org/officeDocument/2006/relationships/hyperlink" Target="https://catalog.nlm.nih.gov/discovery/fulldisplay/alma9915628703406676/01NLM_INST:01NLM_INST" TargetMode="External"/><Relationship Id="rId53" Type="http://schemas.openxmlformats.org/officeDocument/2006/relationships/hyperlink" Target="https://doi.org/10.1136/jnnp-2019-322428" TargetMode="External"/><Relationship Id="rId58" Type="http://schemas.openxmlformats.org/officeDocument/2006/relationships/hyperlink" Target="https://www.hqip.org.uk/resource/650-ssnap/" TargetMode="External"/><Relationship Id="rId5" Type="http://schemas.openxmlformats.org/officeDocument/2006/relationships/settings" Target="settings.xml"/><Relationship Id="rId61" Type="http://schemas.openxmlformats.org/officeDocument/2006/relationships/hyperlink" Target="https://pubmed.ncbi.nlm.nih.gov/24025320/" TargetMode="External"/><Relationship Id="rId19" Type="http://schemas.openxmlformats.org/officeDocument/2006/relationships/hyperlink" Target="https://research.chalmers.se/en/publication/130168" TargetMode="External"/><Relationship Id="rId14" Type="http://schemas.openxmlformats.org/officeDocument/2006/relationships/image" Target="media/image6.wmf"/><Relationship Id="rId22" Type="http://schemas.openxmlformats.org/officeDocument/2006/relationships/hyperlink" Target="https://www.health.org.uk/sites/default/files/upload/publications/2019/S05_Falling%20short_The%20NHS%20workforce%20challenge.pdf" TargetMode="External"/><Relationship Id="rId27" Type="http://schemas.openxmlformats.org/officeDocument/2006/relationships/hyperlink" Target="https://www.cqc.org.uk/provider/RXL/reports" TargetMode="External"/><Relationship Id="rId30" Type="http://schemas.openxmlformats.org/officeDocument/2006/relationships/hyperlink" Target="https://www.bbc.co.uk/news/articles/c5ygv5x9l1mo" TargetMode="External"/><Relationship Id="rId35" Type="http://schemas.openxmlformats.org/officeDocument/2006/relationships/hyperlink" Target="https://pmc.ncbi.nlm.nih.gov/articles/PMC5069775/" TargetMode="External"/><Relationship Id="rId43" Type="http://schemas.openxmlformats.org/officeDocument/2006/relationships/hyperlink" Target="https://pubmed.ncbi.nlm.nih.gov/12857698/" TargetMode="External"/><Relationship Id="rId48" Type="http://schemas.openxmlformats.org/officeDocument/2006/relationships/hyperlink" Target="https://www.strokeguideline.org" TargetMode="External"/><Relationship Id="rId56" Type="http://schemas.openxmlformats.org/officeDocument/2006/relationships/hyperlink" Target="https://www.strokeaudit.org/results/Clinical-audit/National-Results.aspx"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strokeaudit.org" TargetMode="External"/><Relationship Id="rId3" Type="http://schemas.openxmlformats.org/officeDocument/2006/relationships/customXml" Target="../customXml/item3.xml"/><Relationship Id="rId12" Type="http://schemas.openxmlformats.org/officeDocument/2006/relationships/image" Target="media/image4.wmf"/><Relationship Id="rId17" Type="http://schemas.openxmlformats.org/officeDocument/2006/relationships/image" Target="media/image9.png"/><Relationship Id="rId25" Type="http://schemas.openxmlformats.org/officeDocument/2006/relationships/hyperlink" Target="https://api.cqc.org.uk/public/v1/reports/f7f3bd69-1186-4910-804c-b6d8ed23809e?20210112182710" TargetMode="External"/><Relationship Id="rId33" Type="http://schemas.openxmlformats.org/officeDocument/2006/relationships/hyperlink" Target="https://samples.jblearning.com/9781284023077/Front_Matter.pdf" TargetMode="External"/><Relationship Id="rId38" Type="http://schemas.openxmlformats.org/officeDocument/2006/relationships/hyperlink" Target="https://www.england.nhs.uk/ourwork/clinical-policy/stroke/" TargetMode="External"/><Relationship Id="rId46" Type="http://schemas.openxmlformats.org/officeDocument/2006/relationships/hyperlink" Target="https://doi.org/10.1136/bmj.320.7237.768" TargetMode="External"/><Relationship Id="rId59" Type="http://schemas.openxmlformats.org/officeDocument/2006/relationships/hyperlink" Target="https://pubmed.ncbi.nlm.nih.gov/17239805/" TargetMode="External"/><Relationship Id="rId20" Type="http://schemas.openxmlformats.org/officeDocument/2006/relationships/hyperlink" Target="https://www.england.nhs.uk/wp-content/uploads/2019/09/Blackpool_Teaching_Hospitals_NHS_FT_-_annual_report_and_accounts_2017-18.pdf" TargetMode="External"/><Relationship Id="rId41" Type="http://schemas.openxmlformats.org/officeDocument/2006/relationships/hyperlink" Target="https://www.england.nhs.uk/2024/11/nhs-launches-major-new-stroke-campaign-as-thousands-delay-calling-999-by-nearly-90-minutes/" TargetMode="External"/><Relationship Id="rId54" Type="http://schemas.openxmlformats.org/officeDocument/2006/relationships/hyperlink" Target="https://pubmed.ncbi.nlm.nih.gov/39506677/" TargetMode="External"/><Relationship Id="rId62" Type="http://schemas.openxmlformats.org/officeDocument/2006/relationships/hyperlink" Target="https://pubmed.ncbi.nlm.nih.gov/2928208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wmf"/><Relationship Id="rId23" Type="http://schemas.openxmlformats.org/officeDocument/2006/relationships/hyperlink" Target="https://journals.sagepub.com/doi/10.1177/0021886306297004" TargetMode="External"/><Relationship Id="rId28" Type="http://schemas.openxmlformats.org/officeDocument/2006/relationships/hyperlink" Target="https://www.cqc.org.uk/publications/major-report/state-care/2022-2023" TargetMode="External"/><Relationship Id="rId36" Type="http://schemas.openxmlformats.org/officeDocument/2006/relationships/hyperlink" Target="https://www.nice.org.uk/guidance/ng128" TargetMode="External"/><Relationship Id="rId49" Type="http://schemas.openxmlformats.org/officeDocument/2006/relationships/hyperlink" Target="https://www.strokeaudit.org" TargetMode="External"/><Relationship Id="rId57" Type="http://schemas.openxmlformats.org/officeDocument/2006/relationships/hyperlink" Target="https://www.kcl.ac.uk/research/sentinel-stroke-national-audit-programme-ssnap" TargetMode="External"/><Relationship Id="rId10" Type="http://schemas.openxmlformats.org/officeDocument/2006/relationships/image" Target="media/image2.png"/><Relationship Id="rId31" Type="http://schemas.openxmlformats.org/officeDocument/2006/relationships/hyperlink" Target="https://www.sciencedirect.com/science/article/abs/pii/S0377221703000626" TargetMode="External"/><Relationship Id="rId44" Type="http://schemas.openxmlformats.org/officeDocument/2006/relationships/hyperlink" Target="https://pubmed.ncbi.nlm.nih.gov/12486994/" TargetMode="External"/><Relationship Id="rId52" Type="http://schemas.openxmlformats.org/officeDocument/2006/relationships/hyperlink" Target="https://www.strokeaudit.org" TargetMode="External"/><Relationship Id="rId60" Type="http://schemas.openxmlformats.org/officeDocument/2006/relationships/hyperlink" Target="https://www.stroke.org.uk/stroke/statistics"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wmf"/><Relationship Id="rId18" Type="http://schemas.openxmlformats.org/officeDocument/2006/relationships/image" Target="media/image10.png"/><Relationship Id="rId39" Type="http://schemas.openxmlformats.org/officeDocument/2006/relationships/hyperlink" Target="https://www.england.nhs.uk/mat-transformation/matrons-handbook/governance-patient-safety-and-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a0c7874893ccaac1dc2eaef9587cd742">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b6247f029e04a94d3c961771faac8532"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8BC9ED-902E-4D67-ACA7-AAD8876ACAFF}">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90B1F1B4-3250-4CCF-90A7-EE6AAB4919D6}">
  <ds:schemaRefs>
    <ds:schemaRef ds:uri="http://schemas.microsoft.com/sharepoint/v3/contenttype/forms"/>
  </ds:schemaRefs>
</ds:datastoreItem>
</file>

<file path=customXml/itemProps3.xml><?xml version="1.0" encoding="utf-8"?>
<ds:datastoreItem xmlns:ds="http://schemas.openxmlformats.org/officeDocument/2006/customXml" ds:itemID="{4A39D6F3-5FA2-465B-AAD4-6A4E34553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8323</TotalTime>
  <Pages>24</Pages>
  <Words>6948</Words>
  <Characters>39606</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Razia Begum (2217307)</dc:creator>
  <cp:keywords/>
  <dc:description/>
  <cp:lastModifiedBy>Razia Begum (2217307)</cp:lastModifiedBy>
  <cp:revision>407</cp:revision>
  <dcterms:created xsi:type="dcterms:W3CDTF">2026-03-08T06:28:00Z</dcterms:created>
  <dcterms:modified xsi:type="dcterms:W3CDTF">2026-04-02T07:53:00Z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