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CCF947" w14:textId="77777777" w:rsidR="00C75452" w:rsidRPr="009567D5" w:rsidRDefault="00C75452" w:rsidP="00C75452">
      <w:pPr>
        <w:jc w:val="center"/>
        <w:rPr>
          <w:rFonts w:ascii="Times New Roman" w:hAnsi="Times New Roman" w:cs="Times New Roman"/>
        </w:rPr>
      </w:pPr>
      <w:r w:rsidRPr="009567D5">
        <w:rPr>
          <w:rFonts w:ascii="Times New Roman" w:hAnsi="Times New Roman" w:cs="Times New Roman"/>
          <w:noProof/>
        </w:rPr>
        <w:drawing>
          <wp:inline distT="0" distB="0" distL="0" distR="0" wp14:anchorId="5CB8B0B8" wp14:editId="346067A0">
            <wp:extent cx="3381375" cy="1352550"/>
            <wp:effectExtent l="0" t="0" r="9525" b="0"/>
            <wp:docPr id="183754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283BC4F" w14:textId="77777777" w:rsidR="00C75452" w:rsidRPr="009567D5" w:rsidRDefault="00C75452" w:rsidP="00C75452">
      <w:pPr>
        <w:jc w:val="center"/>
        <w:rPr>
          <w:rFonts w:ascii="Times New Roman" w:hAnsi="Times New Roman" w:cs="Times New Roman"/>
        </w:rPr>
      </w:pPr>
    </w:p>
    <w:p w14:paraId="22DC004A" w14:textId="77777777" w:rsidR="00C75452" w:rsidRPr="009567D5" w:rsidRDefault="00C75452" w:rsidP="00C75452">
      <w:pPr>
        <w:jc w:val="center"/>
        <w:rPr>
          <w:rFonts w:ascii="Times New Roman" w:hAnsi="Times New Roman" w:cs="Times New Roman"/>
        </w:rPr>
      </w:pPr>
    </w:p>
    <w:p w14:paraId="6D03D0CD" w14:textId="77777777" w:rsidR="00C75452" w:rsidRPr="009567D5" w:rsidRDefault="00C75452" w:rsidP="00C75452">
      <w:pPr>
        <w:jc w:val="center"/>
        <w:rPr>
          <w:rFonts w:ascii="Times New Roman" w:hAnsi="Times New Roman" w:cs="Times New Roman"/>
        </w:rPr>
      </w:pPr>
    </w:p>
    <w:p w14:paraId="466E31F9" w14:textId="77777777" w:rsidR="00C75452" w:rsidRPr="009567D5" w:rsidRDefault="00C75452" w:rsidP="00C75452">
      <w:pPr>
        <w:jc w:val="center"/>
        <w:rPr>
          <w:rFonts w:ascii="Times New Roman" w:hAnsi="Times New Roman" w:cs="Times New Roman"/>
        </w:rPr>
      </w:pPr>
    </w:p>
    <w:p w14:paraId="0C7FEDB5" w14:textId="77777777" w:rsidR="00C75452" w:rsidRPr="009567D5" w:rsidRDefault="00C75452" w:rsidP="00C75452">
      <w:pPr>
        <w:jc w:val="center"/>
        <w:rPr>
          <w:rFonts w:ascii="Times New Roman" w:hAnsi="Times New Roman" w:cs="Times New Roman"/>
        </w:rPr>
      </w:pPr>
    </w:p>
    <w:p w14:paraId="22CF00D6" w14:textId="78965FFF" w:rsidR="00C75452" w:rsidRPr="009567D5" w:rsidRDefault="00C75452" w:rsidP="00C75452">
      <w:pPr>
        <w:jc w:val="center"/>
        <w:rPr>
          <w:rFonts w:ascii="Times New Roman" w:hAnsi="Times New Roman" w:cs="Times New Roman"/>
          <w:b/>
          <w:bCs/>
          <w:sz w:val="28"/>
          <w:szCs w:val="28"/>
        </w:rPr>
      </w:pPr>
      <w:r w:rsidRPr="009567D5">
        <w:rPr>
          <w:rFonts w:ascii="Times New Roman" w:hAnsi="Times New Roman" w:cs="Times New Roman"/>
          <w:b/>
          <w:bCs/>
          <w:sz w:val="28"/>
          <w:szCs w:val="28"/>
        </w:rPr>
        <w:t>Student Name:</w:t>
      </w:r>
      <w:r>
        <w:rPr>
          <w:rFonts w:ascii="Times New Roman" w:hAnsi="Times New Roman" w:cs="Times New Roman"/>
          <w:b/>
          <w:bCs/>
          <w:sz w:val="28"/>
          <w:szCs w:val="28"/>
        </w:rPr>
        <w:t xml:space="preserve"> Meet </w:t>
      </w:r>
      <w:proofErr w:type="spellStart"/>
      <w:r>
        <w:rPr>
          <w:rFonts w:ascii="Times New Roman" w:hAnsi="Times New Roman" w:cs="Times New Roman"/>
          <w:b/>
          <w:bCs/>
          <w:sz w:val="28"/>
          <w:szCs w:val="28"/>
        </w:rPr>
        <w:t>Shantibhai</w:t>
      </w:r>
      <w:proofErr w:type="spellEnd"/>
      <w:r>
        <w:rPr>
          <w:rFonts w:ascii="Times New Roman" w:hAnsi="Times New Roman" w:cs="Times New Roman"/>
          <w:b/>
          <w:bCs/>
          <w:sz w:val="28"/>
          <w:szCs w:val="28"/>
        </w:rPr>
        <w:t xml:space="preserve"> Dholiya</w:t>
      </w:r>
    </w:p>
    <w:p w14:paraId="7A5FE18A" w14:textId="77777777" w:rsidR="00C75452" w:rsidRPr="009567D5" w:rsidRDefault="00C75452" w:rsidP="00C75452">
      <w:pPr>
        <w:jc w:val="center"/>
        <w:rPr>
          <w:rFonts w:ascii="Times New Roman" w:hAnsi="Times New Roman" w:cs="Times New Roman"/>
          <w:b/>
          <w:bCs/>
          <w:sz w:val="28"/>
          <w:szCs w:val="28"/>
        </w:rPr>
      </w:pPr>
    </w:p>
    <w:p w14:paraId="4B5C5621" w14:textId="150FBD74" w:rsidR="00C75452" w:rsidRPr="009567D5" w:rsidRDefault="00C75452" w:rsidP="00C75452">
      <w:pPr>
        <w:jc w:val="center"/>
        <w:rPr>
          <w:rFonts w:ascii="Times New Roman" w:hAnsi="Times New Roman" w:cs="Times New Roman"/>
          <w:b/>
          <w:bCs/>
          <w:sz w:val="28"/>
          <w:szCs w:val="28"/>
        </w:rPr>
      </w:pPr>
      <w:r w:rsidRPr="009567D5">
        <w:rPr>
          <w:rFonts w:ascii="Times New Roman" w:hAnsi="Times New Roman" w:cs="Times New Roman"/>
          <w:b/>
          <w:bCs/>
          <w:sz w:val="28"/>
          <w:szCs w:val="28"/>
        </w:rPr>
        <w:t>Student ID:</w:t>
      </w:r>
      <w:r>
        <w:rPr>
          <w:rFonts w:ascii="Times New Roman" w:hAnsi="Times New Roman" w:cs="Times New Roman"/>
          <w:b/>
          <w:bCs/>
          <w:sz w:val="28"/>
          <w:szCs w:val="28"/>
        </w:rPr>
        <w:t xml:space="preserve"> 2532977</w:t>
      </w:r>
    </w:p>
    <w:p w14:paraId="30611884" w14:textId="77777777" w:rsidR="00C75452" w:rsidRPr="009567D5" w:rsidRDefault="00C75452" w:rsidP="00C75452">
      <w:pPr>
        <w:jc w:val="center"/>
        <w:rPr>
          <w:rFonts w:ascii="Times New Roman" w:hAnsi="Times New Roman" w:cs="Times New Roman"/>
          <w:sz w:val="28"/>
          <w:szCs w:val="28"/>
        </w:rPr>
      </w:pPr>
    </w:p>
    <w:p w14:paraId="17F64258" w14:textId="77777777" w:rsidR="00C75452" w:rsidRPr="009567D5" w:rsidRDefault="00C75452" w:rsidP="00C75452">
      <w:pPr>
        <w:jc w:val="center"/>
        <w:rPr>
          <w:rFonts w:ascii="Times New Roman" w:hAnsi="Times New Roman" w:cs="Times New Roman"/>
          <w:sz w:val="28"/>
          <w:szCs w:val="28"/>
        </w:rPr>
      </w:pPr>
    </w:p>
    <w:p w14:paraId="5D5BDAE5" w14:textId="77777777" w:rsidR="00C75452" w:rsidRPr="009567D5" w:rsidRDefault="00C75452" w:rsidP="00C75452">
      <w:pPr>
        <w:jc w:val="center"/>
        <w:rPr>
          <w:rFonts w:ascii="Times New Roman" w:hAnsi="Times New Roman" w:cs="Times New Roman"/>
          <w:b/>
          <w:bCs/>
          <w:sz w:val="28"/>
          <w:szCs w:val="28"/>
        </w:rPr>
      </w:pPr>
      <w:r w:rsidRPr="009567D5">
        <w:rPr>
          <w:rFonts w:ascii="Times New Roman" w:hAnsi="Times New Roman" w:cs="Times New Roman"/>
          <w:b/>
          <w:bCs/>
          <w:sz w:val="28"/>
          <w:szCs w:val="28"/>
        </w:rPr>
        <w:t>Module Name: Marketing Management</w:t>
      </w:r>
    </w:p>
    <w:p w14:paraId="27E9747C" w14:textId="77777777" w:rsidR="00C75452" w:rsidRPr="009567D5" w:rsidRDefault="00C75452" w:rsidP="00C75452">
      <w:pPr>
        <w:jc w:val="center"/>
        <w:rPr>
          <w:rFonts w:ascii="Times New Roman" w:hAnsi="Times New Roman" w:cs="Times New Roman"/>
          <w:b/>
          <w:bCs/>
          <w:sz w:val="28"/>
          <w:szCs w:val="28"/>
        </w:rPr>
      </w:pPr>
    </w:p>
    <w:p w14:paraId="42268519" w14:textId="77777777" w:rsidR="00C75452" w:rsidRPr="009567D5" w:rsidRDefault="00C75452" w:rsidP="00C75452">
      <w:pPr>
        <w:jc w:val="center"/>
        <w:rPr>
          <w:rFonts w:ascii="Times New Roman" w:hAnsi="Times New Roman" w:cs="Times New Roman"/>
          <w:b/>
          <w:bCs/>
          <w:sz w:val="28"/>
          <w:szCs w:val="28"/>
        </w:rPr>
      </w:pPr>
      <w:r w:rsidRPr="009567D5">
        <w:rPr>
          <w:rFonts w:ascii="Times New Roman" w:hAnsi="Times New Roman" w:cs="Times New Roman"/>
          <w:b/>
          <w:bCs/>
          <w:sz w:val="28"/>
          <w:szCs w:val="28"/>
        </w:rPr>
        <w:t>Module Code: LCMB7024</w:t>
      </w:r>
    </w:p>
    <w:p w14:paraId="5ACCF7EE" w14:textId="77777777" w:rsidR="00C75452" w:rsidRPr="009567D5" w:rsidRDefault="00C75452" w:rsidP="00C75452">
      <w:pPr>
        <w:jc w:val="center"/>
        <w:rPr>
          <w:rFonts w:ascii="Times New Roman" w:hAnsi="Times New Roman" w:cs="Times New Roman"/>
          <w:b/>
          <w:bCs/>
          <w:sz w:val="28"/>
          <w:szCs w:val="28"/>
        </w:rPr>
      </w:pPr>
    </w:p>
    <w:p w14:paraId="04505C3A" w14:textId="77777777" w:rsidR="00C75452" w:rsidRPr="009567D5" w:rsidRDefault="00C75452" w:rsidP="00C75452">
      <w:pPr>
        <w:jc w:val="center"/>
        <w:rPr>
          <w:rFonts w:ascii="Times New Roman" w:hAnsi="Times New Roman" w:cs="Times New Roman"/>
          <w:b/>
          <w:bCs/>
          <w:sz w:val="28"/>
          <w:szCs w:val="28"/>
        </w:rPr>
      </w:pPr>
    </w:p>
    <w:p w14:paraId="19EECCBA" w14:textId="77777777" w:rsidR="00C75452" w:rsidRPr="009567D5" w:rsidRDefault="00C75452" w:rsidP="00C75452">
      <w:pPr>
        <w:jc w:val="center"/>
        <w:rPr>
          <w:rFonts w:ascii="Times New Roman" w:hAnsi="Times New Roman" w:cs="Times New Roman"/>
          <w:b/>
          <w:bCs/>
          <w:sz w:val="28"/>
          <w:szCs w:val="28"/>
        </w:rPr>
      </w:pPr>
    </w:p>
    <w:p w14:paraId="7930C320" w14:textId="77777777" w:rsidR="00C75452" w:rsidRPr="009567D5" w:rsidRDefault="00C75452" w:rsidP="00C75452">
      <w:pPr>
        <w:jc w:val="center"/>
        <w:rPr>
          <w:rFonts w:ascii="Times New Roman" w:hAnsi="Times New Roman" w:cs="Times New Roman"/>
          <w:b/>
          <w:bCs/>
          <w:sz w:val="28"/>
          <w:szCs w:val="28"/>
        </w:rPr>
      </w:pPr>
    </w:p>
    <w:p w14:paraId="5EBA8E5F" w14:textId="6907CA12" w:rsidR="00C75452" w:rsidRPr="009567D5" w:rsidRDefault="00C75452" w:rsidP="00C75452">
      <w:pPr>
        <w:jc w:val="center"/>
        <w:rPr>
          <w:rFonts w:ascii="Times New Roman" w:hAnsi="Times New Roman" w:cs="Times New Roman"/>
          <w:b/>
          <w:bCs/>
          <w:sz w:val="28"/>
          <w:szCs w:val="28"/>
        </w:rPr>
      </w:pPr>
      <w:r w:rsidRPr="009567D5">
        <w:rPr>
          <w:rFonts w:ascii="Times New Roman" w:hAnsi="Times New Roman" w:cs="Times New Roman"/>
          <w:b/>
          <w:bCs/>
          <w:sz w:val="28"/>
          <w:szCs w:val="28"/>
        </w:rPr>
        <w:t>Lecturer’s Name:</w:t>
      </w:r>
      <w:r>
        <w:rPr>
          <w:rFonts w:ascii="Times New Roman" w:hAnsi="Times New Roman" w:cs="Times New Roman"/>
          <w:b/>
          <w:bCs/>
          <w:sz w:val="28"/>
          <w:szCs w:val="28"/>
        </w:rPr>
        <w:t xml:space="preserve"> Haoran Liu</w:t>
      </w:r>
    </w:p>
    <w:p w14:paraId="35F4B3FF" w14:textId="77777777" w:rsidR="00C75452" w:rsidRPr="009567D5" w:rsidRDefault="00C75452" w:rsidP="00C75452">
      <w:pPr>
        <w:jc w:val="center"/>
        <w:rPr>
          <w:rFonts w:ascii="Times New Roman" w:hAnsi="Times New Roman" w:cs="Times New Roman"/>
          <w:b/>
          <w:bCs/>
          <w:sz w:val="28"/>
          <w:szCs w:val="28"/>
        </w:rPr>
      </w:pPr>
    </w:p>
    <w:p w14:paraId="07A9FD2E" w14:textId="77777777" w:rsidR="00C75452" w:rsidRPr="009567D5" w:rsidRDefault="00C75452" w:rsidP="00C75452">
      <w:pPr>
        <w:jc w:val="center"/>
        <w:rPr>
          <w:rFonts w:ascii="Times New Roman" w:hAnsi="Times New Roman" w:cs="Times New Roman"/>
          <w:b/>
          <w:bCs/>
          <w:sz w:val="28"/>
          <w:szCs w:val="28"/>
        </w:rPr>
      </w:pPr>
    </w:p>
    <w:p w14:paraId="1F628263" w14:textId="77777777" w:rsidR="00C75452" w:rsidRPr="009567D5" w:rsidRDefault="00C75452" w:rsidP="00C75452">
      <w:pPr>
        <w:jc w:val="center"/>
        <w:rPr>
          <w:rFonts w:ascii="Times New Roman" w:hAnsi="Times New Roman" w:cs="Times New Roman"/>
          <w:b/>
          <w:bCs/>
          <w:sz w:val="28"/>
          <w:szCs w:val="28"/>
        </w:rPr>
      </w:pPr>
    </w:p>
    <w:p w14:paraId="2130DE0B" w14:textId="5B6129F4" w:rsidR="00C75452" w:rsidRPr="009567D5" w:rsidRDefault="00C75452" w:rsidP="00C75452">
      <w:pPr>
        <w:jc w:val="center"/>
        <w:rPr>
          <w:rFonts w:ascii="Times New Roman" w:hAnsi="Times New Roman" w:cs="Times New Roman"/>
          <w:b/>
          <w:bCs/>
          <w:sz w:val="28"/>
          <w:szCs w:val="28"/>
        </w:rPr>
      </w:pPr>
      <w:r w:rsidRPr="009567D5">
        <w:rPr>
          <w:rFonts w:ascii="Times New Roman" w:hAnsi="Times New Roman" w:cs="Times New Roman"/>
          <w:b/>
          <w:bCs/>
          <w:sz w:val="28"/>
          <w:szCs w:val="28"/>
        </w:rPr>
        <w:t>Work Count:</w:t>
      </w:r>
      <w:r>
        <w:rPr>
          <w:rFonts w:ascii="Times New Roman" w:hAnsi="Times New Roman" w:cs="Times New Roman"/>
          <w:b/>
          <w:bCs/>
          <w:sz w:val="28"/>
          <w:szCs w:val="28"/>
        </w:rPr>
        <w:t xml:space="preserve"> 2621</w:t>
      </w:r>
    </w:p>
    <w:p w14:paraId="6AC309CF" w14:textId="77777777" w:rsidR="00C75452" w:rsidRPr="009567D5" w:rsidRDefault="00C75452" w:rsidP="00C75452">
      <w:pPr>
        <w:jc w:val="center"/>
        <w:rPr>
          <w:rFonts w:ascii="Times New Roman" w:hAnsi="Times New Roman" w:cs="Times New Roman"/>
          <w:b/>
          <w:bCs/>
          <w:sz w:val="28"/>
          <w:szCs w:val="28"/>
        </w:rPr>
      </w:pPr>
    </w:p>
    <w:p w14:paraId="575C44C8" w14:textId="77777777" w:rsidR="00C75452" w:rsidRPr="009567D5" w:rsidRDefault="00C75452" w:rsidP="00C75452">
      <w:pPr>
        <w:jc w:val="center"/>
        <w:rPr>
          <w:rFonts w:ascii="Times New Roman" w:hAnsi="Times New Roman" w:cs="Times New Roman"/>
          <w:b/>
          <w:bCs/>
          <w:sz w:val="28"/>
          <w:szCs w:val="28"/>
        </w:rPr>
      </w:pPr>
    </w:p>
    <w:p w14:paraId="09C78CCB" w14:textId="77777777" w:rsidR="00C75452" w:rsidRPr="009567D5" w:rsidRDefault="00C75452" w:rsidP="00C75452">
      <w:pPr>
        <w:jc w:val="center"/>
        <w:rPr>
          <w:rFonts w:ascii="Times New Roman" w:hAnsi="Times New Roman" w:cs="Times New Roman"/>
          <w:b/>
          <w:bCs/>
          <w:sz w:val="28"/>
          <w:szCs w:val="28"/>
        </w:rPr>
      </w:pPr>
    </w:p>
    <w:p w14:paraId="4770FCF2" w14:textId="77777777" w:rsidR="00C75452" w:rsidRPr="009567D5" w:rsidRDefault="00C75452" w:rsidP="00C75452">
      <w:pPr>
        <w:jc w:val="center"/>
        <w:rPr>
          <w:rFonts w:ascii="Times New Roman" w:hAnsi="Times New Roman" w:cs="Times New Roman"/>
          <w:b/>
          <w:bCs/>
          <w:sz w:val="28"/>
          <w:szCs w:val="28"/>
        </w:rPr>
      </w:pPr>
    </w:p>
    <w:p w14:paraId="54A4A867" w14:textId="77777777" w:rsidR="00C75452" w:rsidRPr="009567D5" w:rsidRDefault="00C75452" w:rsidP="00C75452">
      <w:pPr>
        <w:jc w:val="center"/>
        <w:rPr>
          <w:rFonts w:ascii="Times New Roman" w:hAnsi="Times New Roman" w:cs="Times New Roman"/>
          <w:b/>
          <w:bCs/>
          <w:sz w:val="28"/>
          <w:szCs w:val="28"/>
        </w:rPr>
      </w:pPr>
    </w:p>
    <w:p w14:paraId="4BDD651D" w14:textId="77777777" w:rsidR="00C75452" w:rsidRPr="009567D5" w:rsidRDefault="00C75452" w:rsidP="00C75452">
      <w:pPr>
        <w:jc w:val="center"/>
        <w:rPr>
          <w:rFonts w:ascii="Times New Roman" w:hAnsi="Times New Roman" w:cs="Times New Roman"/>
          <w:b/>
          <w:bCs/>
          <w:sz w:val="28"/>
          <w:szCs w:val="28"/>
        </w:rPr>
      </w:pPr>
      <w:r w:rsidRPr="009567D5">
        <w:rPr>
          <w:rFonts w:ascii="Times New Roman" w:hAnsi="Times New Roman" w:cs="Times New Roman"/>
          <w:b/>
          <w:bCs/>
          <w:sz w:val="28"/>
          <w:szCs w:val="28"/>
        </w:rPr>
        <w:t>Term 1</w:t>
      </w:r>
    </w:p>
    <w:p w14:paraId="077CE061" w14:textId="77777777" w:rsidR="00C75452" w:rsidRPr="009567D5" w:rsidRDefault="00C75452" w:rsidP="00C75452">
      <w:pPr>
        <w:jc w:val="center"/>
        <w:rPr>
          <w:rFonts w:ascii="Times New Roman" w:hAnsi="Times New Roman" w:cs="Times New Roman"/>
          <w:b/>
          <w:bCs/>
        </w:rPr>
      </w:pPr>
      <w:r w:rsidRPr="009567D5">
        <w:rPr>
          <w:rFonts w:ascii="Times New Roman" w:hAnsi="Times New Roman" w:cs="Times New Roman"/>
          <w:b/>
          <w:bCs/>
        </w:rPr>
        <w:br w:type="page"/>
      </w:r>
    </w:p>
    <w:sdt>
      <w:sdtPr>
        <w:rPr>
          <w:rFonts w:ascii="Times New Roman" w:eastAsiaTheme="minorHAnsi" w:hAnsi="Times New Roman" w:cs="Times New Roman"/>
          <w:b w:val="0"/>
          <w:bCs w:val="0"/>
          <w:caps/>
          <w:color w:val="auto"/>
          <w:kern w:val="2"/>
          <w:sz w:val="24"/>
          <w:szCs w:val="24"/>
          <w:lang w:val="en-GB"/>
          <w14:ligatures w14:val="standardContextual"/>
        </w:rPr>
        <w:id w:val="-29875851"/>
        <w:docPartObj>
          <w:docPartGallery w:val="Table of Contents"/>
          <w:docPartUnique/>
        </w:docPartObj>
      </w:sdtPr>
      <w:sdtEndPr>
        <w:rPr>
          <w:rFonts w:ascii="Arial" w:eastAsiaTheme="majorEastAsia" w:hAnsi="Arial" w:cs="Arial"/>
          <w:b/>
          <w:bCs/>
          <w:caps w:val="0"/>
          <w:kern w:val="0"/>
          <w:sz w:val="28"/>
          <w:szCs w:val="28"/>
          <w:lang w:val="en-US"/>
          <w14:ligatures w14:val="none"/>
        </w:rPr>
      </w:sdtEndPr>
      <w:sdtContent>
        <w:p w14:paraId="78CB61BD" w14:textId="77777777" w:rsidR="00C75452" w:rsidRPr="00C75452" w:rsidRDefault="00C75452" w:rsidP="00C75452">
          <w:pPr>
            <w:pStyle w:val="TOCHeading"/>
            <w:jc w:val="center"/>
            <w:rPr>
              <w:rFonts w:ascii="Arial" w:hAnsi="Arial" w:cs="Arial"/>
              <w:color w:val="auto"/>
            </w:rPr>
          </w:pPr>
          <w:r w:rsidRPr="00C75452">
            <w:rPr>
              <w:rFonts w:ascii="Arial" w:hAnsi="Arial" w:cs="Arial"/>
              <w:color w:val="auto"/>
            </w:rPr>
            <w:t>Table of Contents</w:t>
          </w:r>
        </w:p>
      </w:sdtContent>
    </w:sdt>
    <w:p w14:paraId="2531AFAE" w14:textId="77777777" w:rsidR="00C75452" w:rsidRDefault="00C75452" w:rsidP="0046206C">
      <w:pPr>
        <w:spacing w:after="80"/>
        <w:jc w:val="center"/>
        <w:rPr>
          <w:rFonts w:ascii="Arial" w:hAnsi="Arial" w:cs="Arial"/>
          <w:b/>
          <w:bCs/>
          <w:color w:val="000000" w:themeColor="text1"/>
          <w:sz w:val="24"/>
          <w:szCs w:val="24"/>
        </w:rPr>
      </w:pPr>
    </w:p>
    <w:p w14:paraId="28B1121C" w14:textId="77777777" w:rsidR="00C75452" w:rsidRDefault="00C75452" w:rsidP="00F4624F">
      <w:pPr>
        <w:spacing w:after="80"/>
        <w:rPr>
          <w:rFonts w:ascii="Arial" w:hAnsi="Arial" w:cs="Arial"/>
          <w:b/>
          <w:bCs/>
          <w:color w:val="000000" w:themeColor="text1"/>
          <w:sz w:val="24"/>
          <w:szCs w:val="24"/>
        </w:rPr>
      </w:pPr>
    </w:p>
    <w:sdt>
      <w:sdtPr>
        <w:rPr>
          <w:rFonts w:asciiTheme="minorBidi" w:eastAsiaTheme="minorHAnsi" w:hAnsiTheme="minorBidi" w:cstheme="minorBidi"/>
          <w:b w:val="0"/>
          <w:bCs w:val="0"/>
          <w:caps/>
          <w:color w:val="auto"/>
          <w:kern w:val="2"/>
          <w:sz w:val="24"/>
          <w:szCs w:val="24"/>
          <w:lang w:val="en-GB"/>
          <w14:ligatures w14:val="standardContextual"/>
        </w:rPr>
        <w:id w:val="-1954241054"/>
        <w:docPartObj>
          <w:docPartGallery w:val="Table of Contents"/>
          <w:docPartUnique/>
        </w:docPartObj>
      </w:sdtPr>
      <w:sdtEndPr>
        <w:rPr>
          <w:rFonts w:ascii="Arial" w:eastAsia="Calibri" w:hAnsi="Arial" w:cs="Arial"/>
          <w:b/>
          <w:bCs/>
          <w:caps w:val="0"/>
          <w:noProof/>
          <w:color w:val="000000" w:themeColor="text1"/>
          <w:kern w:val="0"/>
          <w:lang w:eastAsia="en-GB"/>
          <w14:ligatures w14:val="none"/>
        </w:rPr>
      </w:sdtEndPr>
      <w:sdtContent>
        <w:p w14:paraId="1FE63E47" w14:textId="0A3C8525" w:rsidR="00F4624F" w:rsidRPr="000E0DDC" w:rsidRDefault="00F4624F" w:rsidP="00F4624F">
          <w:pPr>
            <w:pStyle w:val="TOCHeading"/>
            <w:tabs>
              <w:tab w:val="left" w:pos="1783"/>
            </w:tabs>
            <w:rPr>
              <w:rFonts w:asciiTheme="minorBidi" w:hAnsiTheme="minorBidi" w:cstheme="minorBidi"/>
              <w:color w:val="auto"/>
              <w:sz w:val="24"/>
              <w:szCs w:val="24"/>
            </w:rPr>
          </w:pPr>
          <w:r w:rsidRPr="000E0DDC">
            <w:rPr>
              <w:rFonts w:asciiTheme="minorBidi" w:eastAsiaTheme="minorHAnsi" w:hAnsiTheme="minorBidi" w:cstheme="minorBidi"/>
              <w:caps/>
              <w:color w:val="auto"/>
              <w:kern w:val="2"/>
              <w:sz w:val="24"/>
              <w:szCs w:val="24"/>
              <w:lang w:val="en-GB"/>
              <w14:ligatures w14:val="standardContextual"/>
            </w:rPr>
            <w:tab/>
          </w:r>
        </w:p>
        <w:p w14:paraId="5EEFDA6B" w14:textId="07D5487E" w:rsidR="00F4624F" w:rsidRPr="000E0DDC" w:rsidRDefault="00F4624F" w:rsidP="00F4624F">
          <w:pPr>
            <w:pStyle w:val="TOC1"/>
            <w:tabs>
              <w:tab w:val="right" w:leader="dot" w:pos="9016"/>
            </w:tabs>
            <w:rPr>
              <w:rFonts w:ascii="Arial" w:eastAsiaTheme="minorEastAsia" w:hAnsi="Arial" w:cs="Arial"/>
              <w:b/>
              <w:bCs/>
              <w:caps/>
              <w:noProof/>
              <w:color w:val="000000" w:themeColor="text1"/>
              <w:sz w:val="24"/>
              <w:szCs w:val="24"/>
            </w:rPr>
          </w:pPr>
          <w:hyperlink w:anchor="_Toc_Task1" w:history="1">
            <w:r w:rsidRPr="000E0DDC">
              <w:rPr>
                <w:rStyle w:val="Hyperlink"/>
                <w:rFonts w:ascii="Arial" w:hAnsi="Arial" w:cs="Arial"/>
                <w:b/>
                <w:bCs/>
                <w:noProof/>
                <w:color w:val="000000" w:themeColor="text1"/>
                <w:sz w:val="24"/>
                <w:szCs w:val="24"/>
              </w:rPr>
              <w:t>1. Task 1: Marketing Environment Analysis</w:t>
            </w:r>
            <w:r w:rsidRPr="000E0DDC">
              <w:rPr>
                <w:rFonts w:ascii="Arial" w:hAnsi="Arial" w:cs="Arial"/>
                <w:b/>
                <w:bCs/>
                <w:noProof/>
                <w:webHidden/>
                <w:color w:val="000000" w:themeColor="text1"/>
                <w:sz w:val="24"/>
                <w:szCs w:val="24"/>
              </w:rPr>
              <w:tab/>
            </w:r>
            <w:r w:rsidRPr="000E0DDC">
              <w:rPr>
                <w:rFonts w:ascii="Arial" w:hAnsi="Arial" w:cs="Arial"/>
                <w:b/>
                <w:bCs/>
                <w:noProof/>
                <w:webHidden/>
                <w:color w:val="000000" w:themeColor="text1"/>
                <w:sz w:val="24"/>
                <w:szCs w:val="24"/>
              </w:rPr>
              <w:fldChar w:fldCharType="begin"/>
            </w:r>
            <w:r w:rsidRPr="000E0DDC">
              <w:rPr>
                <w:rFonts w:ascii="Arial" w:hAnsi="Arial" w:cs="Arial"/>
                <w:b/>
                <w:bCs/>
                <w:noProof/>
                <w:webHidden/>
                <w:color w:val="000000" w:themeColor="text1"/>
                <w:sz w:val="24"/>
                <w:szCs w:val="24"/>
              </w:rPr>
              <w:instrText xml:space="preserve"> PAGEREF _Toc_Task1 \h </w:instrText>
            </w:r>
            <w:r w:rsidRPr="000E0DDC">
              <w:rPr>
                <w:rFonts w:ascii="Arial" w:hAnsi="Arial" w:cs="Arial"/>
                <w:b/>
                <w:bCs/>
                <w:noProof/>
                <w:webHidden/>
                <w:color w:val="000000" w:themeColor="text1"/>
                <w:sz w:val="24"/>
                <w:szCs w:val="24"/>
              </w:rPr>
            </w:r>
            <w:r w:rsidRPr="000E0DDC">
              <w:rPr>
                <w:rFonts w:ascii="Arial" w:hAnsi="Arial" w:cs="Arial"/>
                <w:b/>
                <w:bCs/>
                <w:noProof/>
                <w:webHidden/>
                <w:color w:val="000000" w:themeColor="text1"/>
                <w:sz w:val="24"/>
                <w:szCs w:val="24"/>
              </w:rPr>
              <w:fldChar w:fldCharType="separate"/>
            </w:r>
            <w:r w:rsidRPr="000E0DDC">
              <w:rPr>
                <w:rFonts w:ascii="Arial" w:hAnsi="Arial" w:cs="Arial"/>
                <w:b/>
                <w:bCs/>
                <w:noProof/>
                <w:webHidden/>
                <w:color w:val="000000" w:themeColor="text1"/>
                <w:sz w:val="24"/>
                <w:szCs w:val="24"/>
              </w:rPr>
              <w:t>3</w:t>
            </w:r>
            <w:r w:rsidRPr="000E0DDC">
              <w:rPr>
                <w:rFonts w:ascii="Arial" w:hAnsi="Arial" w:cs="Arial"/>
                <w:b/>
                <w:bCs/>
                <w:noProof/>
                <w:webHidden/>
                <w:color w:val="000000" w:themeColor="text1"/>
                <w:sz w:val="24"/>
                <w:szCs w:val="24"/>
              </w:rPr>
              <w:fldChar w:fldCharType="end"/>
            </w:r>
          </w:hyperlink>
        </w:p>
        <w:p w14:paraId="329B36A7" w14:textId="77777777" w:rsidR="00F4624F" w:rsidRPr="000E0DDC" w:rsidRDefault="00F4624F" w:rsidP="00F4624F">
          <w:pPr>
            <w:pStyle w:val="TOC2"/>
            <w:rPr>
              <w:rFonts w:eastAsiaTheme="minorEastAsia"/>
              <w:smallCaps/>
            </w:rPr>
          </w:pPr>
          <w:hyperlink w:anchor="_Toc_1_1" w:history="1">
            <w:r w:rsidRPr="000E0DDC">
              <w:rPr>
                <w:rStyle w:val="Hyperlink"/>
                <w:color w:val="000000" w:themeColor="text1"/>
              </w:rPr>
              <w:t>1.1 Company Selection and Context</w:t>
            </w:r>
            <w:r w:rsidRPr="000E0DDC">
              <w:rPr>
                <w:webHidden/>
              </w:rPr>
              <w:tab/>
            </w:r>
            <w:r w:rsidRPr="000E0DDC">
              <w:rPr>
                <w:webHidden/>
              </w:rPr>
              <w:fldChar w:fldCharType="begin"/>
            </w:r>
            <w:r w:rsidRPr="000E0DDC">
              <w:rPr>
                <w:webHidden/>
              </w:rPr>
              <w:instrText xml:space="preserve"> PAGEREF _Toc_1_1 \h </w:instrText>
            </w:r>
            <w:r w:rsidRPr="000E0DDC">
              <w:rPr>
                <w:webHidden/>
              </w:rPr>
            </w:r>
            <w:r w:rsidRPr="000E0DDC">
              <w:rPr>
                <w:webHidden/>
              </w:rPr>
              <w:fldChar w:fldCharType="separate"/>
            </w:r>
            <w:r w:rsidRPr="000E0DDC">
              <w:rPr>
                <w:webHidden/>
              </w:rPr>
              <w:t>3</w:t>
            </w:r>
            <w:r w:rsidRPr="000E0DDC">
              <w:rPr>
                <w:webHidden/>
              </w:rPr>
              <w:fldChar w:fldCharType="end"/>
            </w:r>
          </w:hyperlink>
        </w:p>
        <w:p w14:paraId="078C8135" w14:textId="77777777" w:rsidR="00F4624F" w:rsidRPr="000E0DDC" w:rsidRDefault="00F4624F" w:rsidP="00F4624F">
          <w:pPr>
            <w:pStyle w:val="TOC2"/>
            <w:rPr>
              <w:rFonts w:eastAsiaTheme="minorEastAsia"/>
              <w:smallCaps/>
            </w:rPr>
          </w:pPr>
          <w:hyperlink w:anchor="_Toc_1_2" w:history="1">
            <w:r w:rsidRPr="000E0DDC">
              <w:rPr>
                <w:rStyle w:val="Hyperlink"/>
                <w:color w:val="000000" w:themeColor="text1"/>
              </w:rPr>
              <w:t>1.2 External Marketing Environment Actor 1: The Natural Environment</w:t>
            </w:r>
            <w:r w:rsidRPr="000E0DDC">
              <w:rPr>
                <w:webHidden/>
              </w:rPr>
              <w:tab/>
            </w:r>
            <w:r w:rsidRPr="000E0DDC">
              <w:rPr>
                <w:webHidden/>
              </w:rPr>
              <w:fldChar w:fldCharType="begin"/>
            </w:r>
            <w:r w:rsidRPr="000E0DDC">
              <w:rPr>
                <w:webHidden/>
              </w:rPr>
              <w:instrText xml:space="preserve"> PAGEREF _Toc_1_2 \h </w:instrText>
            </w:r>
            <w:r w:rsidRPr="000E0DDC">
              <w:rPr>
                <w:webHidden/>
              </w:rPr>
            </w:r>
            <w:r w:rsidRPr="000E0DDC">
              <w:rPr>
                <w:webHidden/>
              </w:rPr>
              <w:fldChar w:fldCharType="separate"/>
            </w:r>
            <w:r w:rsidRPr="000E0DDC">
              <w:rPr>
                <w:webHidden/>
              </w:rPr>
              <w:t>3</w:t>
            </w:r>
            <w:r w:rsidRPr="000E0DDC">
              <w:rPr>
                <w:webHidden/>
              </w:rPr>
              <w:fldChar w:fldCharType="end"/>
            </w:r>
          </w:hyperlink>
        </w:p>
        <w:p w14:paraId="34458E3E" w14:textId="26B5712A" w:rsidR="00F4624F" w:rsidRPr="000E0DDC" w:rsidRDefault="00F4624F" w:rsidP="00F4624F">
          <w:pPr>
            <w:pStyle w:val="TOC2"/>
            <w:rPr>
              <w:rFonts w:eastAsiaTheme="minorEastAsia"/>
              <w:smallCaps/>
            </w:rPr>
          </w:pPr>
          <w:r w:rsidRPr="000E0DDC">
            <w:t>1.3 External Marketing Environment Actor 2:</w:t>
          </w:r>
          <w:r w:rsidR="00A83304" w:rsidRPr="00A83304">
            <w:t xml:space="preserve"> </w:t>
          </w:r>
          <w:r w:rsidR="00A83304" w:rsidRPr="0046206C">
            <w:t>The Technological Environment</w:t>
          </w:r>
          <w:r w:rsidRPr="000E0DDC">
            <w:rPr>
              <w:webHidden/>
            </w:rPr>
            <w:tab/>
          </w:r>
          <w:r w:rsidRPr="000E0DDC">
            <w:rPr>
              <w:webHidden/>
            </w:rPr>
            <w:t>5</w:t>
          </w:r>
        </w:p>
        <w:p w14:paraId="6B6EBF01" w14:textId="5C9D6BA7" w:rsidR="00F4624F" w:rsidRPr="000E0DDC" w:rsidRDefault="000E0DDC" w:rsidP="00F4624F">
          <w:pPr>
            <w:pStyle w:val="TOC1"/>
            <w:tabs>
              <w:tab w:val="right" w:leader="dot" w:pos="9016"/>
            </w:tabs>
            <w:rPr>
              <w:rFonts w:ascii="Arial" w:eastAsiaTheme="minorEastAsia" w:hAnsi="Arial" w:cs="Arial"/>
              <w:b/>
              <w:bCs/>
              <w:caps/>
              <w:noProof/>
              <w:color w:val="000000" w:themeColor="text1"/>
              <w:sz w:val="24"/>
              <w:szCs w:val="24"/>
            </w:rPr>
          </w:pPr>
          <w:r w:rsidRPr="000E0DDC">
            <w:rPr>
              <w:rFonts w:ascii="Arial" w:hAnsi="Arial" w:cs="Arial"/>
              <w:b/>
              <w:bCs/>
              <w:color w:val="000000" w:themeColor="text1"/>
              <w:sz w:val="24"/>
              <w:szCs w:val="24"/>
            </w:rPr>
            <w:t>2. Task 2: Strategic Growth and Competitive Positioning</w:t>
          </w:r>
          <w:r w:rsidRPr="000E0DDC">
            <w:rPr>
              <w:rFonts w:ascii="Arial" w:hAnsi="Arial" w:cs="Arial"/>
              <w:b/>
              <w:bCs/>
              <w:webHidden/>
              <w:color w:val="000000" w:themeColor="text1"/>
              <w:sz w:val="24"/>
              <w:szCs w:val="24"/>
            </w:rPr>
            <w:tab/>
          </w:r>
          <w:r w:rsidRPr="000E0DDC">
            <w:rPr>
              <w:rFonts w:ascii="Arial" w:hAnsi="Arial" w:cs="Arial"/>
              <w:b/>
              <w:bCs/>
              <w:webHidden/>
              <w:color w:val="000000" w:themeColor="text1"/>
              <w:sz w:val="24"/>
              <w:szCs w:val="24"/>
            </w:rPr>
            <w:t>6</w:t>
          </w:r>
        </w:p>
        <w:p w14:paraId="12A28B71" w14:textId="0876FFF4" w:rsidR="00F4624F" w:rsidRPr="000E0DDC" w:rsidRDefault="000E0DDC" w:rsidP="00F4624F">
          <w:pPr>
            <w:pStyle w:val="TOC2"/>
            <w:rPr>
              <w:rFonts w:eastAsiaTheme="minorEastAsia"/>
              <w:smallCaps/>
            </w:rPr>
          </w:pPr>
          <w:r w:rsidRPr="000E0DDC">
            <w:t>2.1 Strategic Growth Re</w:t>
          </w:r>
          <w:r w:rsidRPr="000E0DDC">
            <w:t>c</w:t>
          </w:r>
          <w:r w:rsidRPr="000E0DDC">
            <w:t>ommendation U</w:t>
          </w:r>
          <w:r w:rsidRPr="000E0DDC">
            <w:t>s</w:t>
          </w:r>
          <w:r w:rsidRPr="000E0DDC">
            <w:t xml:space="preserve">ing the Ansoff </w:t>
          </w:r>
          <w:r w:rsidRPr="000E0DDC">
            <w:t>M</w:t>
          </w:r>
          <w:r w:rsidRPr="000E0DDC">
            <w:t>atrix</w:t>
          </w:r>
          <w:r w:rsidRPr="000E0DDC">
            <w:rPr>
              <w:webHidden/>
            </w:rPr>
            <w:tab/>
          </w:r>
          <w:r w:rsidRPr="000E0DDC">
            <w:rPr>
              <w:webHidden/>
            </w:rPr>
            <w:t>6</w:t>
          </w:r>
        </w:p>
        <w:p w14:paraId="00CC2E1E" w14:textId="537DE0B4" w:rsidR="00F4624F" w:rsidRPr="000E0DDC" w:rsidRDefault="000E0DDC" w:rsidP="00F4624F">
          <w:pPr>
            <w:pStyle w:val="TOC2"/>
            <w:rPr>
              <w:rFonts w:eastAsiaTheme="minorEastAsia"/>
              <w:smallCaps/>
            </w:rPr>
          </w:pPr>
          <w:r w:rsidRPr="000E0DDC">
            <w:t>2.2 Competitive Advantage Through a Lower-Carbon Business Model</w:t>
          </w:r>
          <w:r w:rsidRPr="000E0DDC">
            <w:rPr>
              <w:webHidden/>
            </w:rPr>
            <w:tab/>
          </w:r>
          <w:r w:rsidRPr="000E0DDC">
            <w:rPr>
              <w:webHidden/>
            </w:rPr>
            <w:t>7</w:t>
          </w:r>
        </w:p>
        <w:p w14:paraId="3411F3FD" w14:textId="785235DE" w:rsidR="00F4624F" w:rsidRPr="000E0DDC" w:rsidRDefault="000E0DDC" w:rsidP="00F4624F">
          <w:pPr>
            <w:pStyle w:val="TOC1"/>
            <w:tabs>
              <w:tab w:val="right" w:leader="dot" w:pos="9016"/>
            </w:tabs>
            <w:rPr>
              <w:rFonts w:ascii="Arial" w:eastAsiaTheme="minorEastAsia" w:hAnsi="Arial" w:cs="Arial"/>
              <w:b/>
              <w:bCs/>
              <w:caps/>
              <w:noProof/>
              <w:color w:val="000000" w:themeColor="text1"/>
              <w:sz w:val="24"/>
              <w:szCs w:val="24"/>
            </w:rPr>
          </w:pPr>
          <w:r w:rsidRPr="000E0DDC">
            <w:rPr>
              <w:rFonts w:ascii="Arial" w:hAnsi="Arial" w:cs="Arial"/>
              <w:b/>
              <w:bCs/>
              <w:color w:val="000000" w:themeColor="text1"/>
              <w:sz w:val="24"/>
              <w:szCs w:val="24"/>
            </w:rPr>
            <w:t>3. Task 3: Critical Reflection on AI Usage</w:t>
          </w:r>
          <w:r w:rsidRPr="000E0DDC">
            <w:rPr>
              <w:rFonts w:ascii="Arial" w:hAnsi="Arial" w:cs="Arial"/>
              <w:b/>
              <w:bCs/>
              <w:webHidden/>
              <w:color w:val="000000" w:themeColor="text1"/>
              <w:sz w:val="24"/>
              <w:szCs w:val="24"/>
            </w:rPr>
            <w:tab/>
          </w:r>
          <w:r w:rsidRPr="000E0DDC">
            <w:rPr>
              <w:rFonts w:ascii="Arial" w:hAnsi="Arial" w:cs="Arial"/>
              <w:b/>
              <w:bCs/>
              <w:webHidden/>
              <w:color w:val="000000" w:themeColor="text1"/>
              <w:sz w:val="24"/>
              <w:szCs w:val="24"/>
            </w:rPr>
            <w:t>8</w:t>
          </w:r>
        </w:p>
        <w:p w14:paraId="2FCA0881" w14:textId="248155A9" w:rsidR="00F4624F" w:rsidRPr="000E0DDC" w:rsidRDefault="000E0DDC" w:rsidP="00F4624F">
          <w:pPr>
            <w:pStyle w:val="TOC2"/>
            <w:rPr>
              <w:rFonts w:eastAsiaTheme="minorEastAsia"/>
              <w:smallCaps/>
            </w:rPr>
          </w:pPr>
          <w:r w:rsidRPr="000E0DDC">
            <w:t>3.1 Tool Disclosure</w:t>
          </w:r>
          <w:r w:rsidRPr="000E0DDC">
            <w:rPr>
              <w:webHidden/>
            </w:rPr>
            <w:tab/>
          </w:r>
          <w:r w:rsidRPr="000E0DDC">
            <w:rPr>
              <w:webHidden/>
            </w:rPr>
            <w:t>8</w:t>
          </w:r>
        </w:p>
        <w:p w14:paraId="74B508CD" w14:textId="2648CDE1" w:rsidR="00F4624F" w:rsidRPr="000E0DDC" w:rsidRDefault="000E0DDC" w:rsidP="00F4624F">
          <w:pPr>
            <w:pStyle w:val="TOC2"/>
            <w:rPr>
              <w:rFonts w:eastAsiaTheme="minorEastAsia"/>
              <w:smallCaps/>
            </w:rPr>
          </w:pPr>
          <w:r w:rsidRPr="000E0DDC">
            <w:t>3.2 Critical Evaluation of AI Output</w:t>
          </w:r>
          <w:r w:rsidRPr="000E0DDC">
            <w:rPr>
              <w:webHidden/>
            </w:rPr>
            <w:tab/>
          </w:r>
          <w:r w:rsidRPr="000E0DDC">
            <w:rPr>
              <w:webHidden/>
            </w:rPr>
            <w:t>8</w:t>
          </w:r>
        </w:p>
        <w:p w14:paraId="601F910D" w14:textId="049BC79C" w:rsidR="00F4624F" w:rsidRPr="000E0DDC" w:rsidRDefault="000E0DDC" w:rsidP="00F4624F">
          <w:pPr>
            <w:pStyle w:val="TOC2"/>
            <w:rPr>
              <w:rFonts w:eastAsiaTheme="minorEastAsia"/>
              <w:smallCaps/>
            </w:rPr>
          </w:pPr>
          <w:r w:rsidRPr="000E0DDC">
            <w:t>3.3 Contribution Analysis</w:t>
          </w:r>
          <w:r w:rsidRPr="000E0DDC">
            <w:rPr>
              <w:webHidden/>
            </w:rPr>
            <w:tab/>
          </w:r>
          <w:r w:rsidRPr="000E0DDC">
            <w:rPr>
              <w:webHidden/>
            </w:rPr>
            <w:t>8</w:t>
          </w:r>
        </w:p>
        <w:p w14:paraId="360C8973" w14:textId="119C3B60" w:rsidR="00F4624F" w:rsidRPr="000E0DDC" w:rsidRDefault="000E0DDC" w:rsidP="00F4624F">
          <w:pPr>
            <w:pStyle w:val="TOC2"/>
            <w:rPr>
              <w:rFonts w:eastAsiaTheme="minorEastAsia"/>
              <w:smallCaps/>
            </w:rPr>
          </w:pPr>
          <w:r w:rsidRPr="000E0DDC">
            <w:t>3.4 Ethical and Professional Reflection</w:t>
          </w:r>
          <w:r w:rsidRPr="000E0DDC">
            <w:rPr>
              <w:webHidden/>
            </w:rPr>
            <w:tab/>
          </w:r>
          <w:r w:rsidRPr="000E0DDC">
            <w:rPr>
              <w:webHidden/>
            </w:rPr>
            <w:t>9</w:t>
          </w:r>
        </w:p>
        <w:p w14:paraId="1A01BF92" w14:textId="3239CE2B" w:rsidR="00F4624F" w:rsidRPr="00F4624F" w:rsidRDefault="000E0DDC" w:rsidP="00F4624F">
          <w:pPr>
            <w:pStyle w:val="TOC1"/>
            <w:tabs>
              <w:tab w:val="right" w:leader="dot" w:pos="9016"/>
            </w:tabs>
            <w:rPr>
              <w:rFonts w:ascii="Arial" w:eastAsiaTheme="minorEastAsia" w:hAnsi="Arial" w:cs="Arial"/>
              <w:b/>
              <w:bCs/>
              <w:caps/>
              <w:noProof/>
              <w:color w:val="000000" w:themeColor="text1"/>
              <w:sz w:val="24"/>
              <w:szCs w:val="24"/>
            </w:rPr>
          </w:pPr>
          <w:r w:rsidRPr="000E0DDC">
            <w:rPr>
              <w:rFonts w:ascii="Arial" w:hAnsi="Arial" w:cs="Arial"/>
              <w:b/>
              <w:bCs/>
              <w:color w:val="000000" w:themeColor="text1"/>
              <w:sz w:val="24"/>
              <w:szCs w:val="24"/>
            </w:rPr>
            <w:t xml:space="preserve">4. References </w:t>
          </w:r>
          <w:r w:rsidRPr="000E0DDC">
            <w:rPr>
              <w:rFonts w:ascii="Arial" w:hAnsi="Arial" w:cs="Arial"/>
              <w:b/>
              <w:bCs/>
              <w:webHidden/>
              <w:color w:val="000000" w:themeColor="text1"/>
              <w:sz w:val="24"/>
              <w:szCs w:val="24"/>
            </w:rPr>
            <w:tab/>
          </w:r>
          <w:r>
            <w:rPr>
              <w:rFonts w:ascii="Arial" w:hAnsi="Arial" w:cs="Arial"/>
              <w:b/>
              <w:bCs/>
              <w:webHidden/>
              <w:color w:val="000000" w:themeColor="text1"/>
              <w:sz w:val="24"/>
              <w:szCs w:val="24"/>
            </w:rPr>
            <w:t>9</w:t>
          </w:r>
        </w:p>
      </w:sdtContent>
    </w:sdt>
    <w:p w14:paraId="77F6D89D" w14:textId="77777777" w:rsidR="00F4624F" w:rsidRDefault="00F4624F" w:rsidP="00F4624F">
      <w:pPr>
        <w:spacing w:after="80"/>
        <w:rPr>
          <w:rFonts w:ascii="Arial" w:hAnsi="Arial" w:cs="Arial"/>
          <w:b/>
          <w:bCs/>
          <w:color w:val="000000" w:themeColor="text1"/>
          <w:sz w:val="24"/>
          <w:szCs w:val="24"/>
        </w:rPr>
      </w:pPr>
    </w:p>
    <w:p w14:paraId="133B040F" w14:textId="77777777" w:rsidR="00C75452" w:rsidRDefault="00C75452" w:rsidP="0046206C">
      <w:pPr>
        <w:spacing w:after="80"/>
        <w:jc w:val="center"/>
        <w:rPr>
          <w:rFonts w:ascii="Arial" w:hAnsi="Arial" w:cs="Arial"/>
          <w:b/>
          <w:bCs/>
          <w:color w:val="000000" w:themeColor="text1"/>
          <w:sz w:val="24"/>
          <w:szCs w:val="24"/>
        </w:rPr>
      </w:pPr>
    </w:p>
    <w:p w14:paraId="4F305FA1" w14:textId="77777777" w:rsidR="00C75452" w:rsidRDefault="00C75452" w:rsidP="0046206C">
      <w:pPr>
        <w:spacing w:after="80"/>
        <w:jc w:val="center"/>
        <w:rPr>
          <w:rFonts w:ascii="Arial" w:hAnsi="Arial" w:cs="Arial"/>
          <w:b/>
          <w:bCs/>
          <w:color w:val="000000" w:themeColor="text1"/>
          <w:sz w:val="24"/>
          <w:szCs w:val="24"/>
        </w:rPr>
      </w:pPr>
    </w:p>
    <w:p w14:paraId="3BEC6CB8" w14:textId="77777777" w:rsidR="00C75452" w:rsidRDefault="00C75452" w:rsidP="0046206C">
      <w:pPr>
        <w:spacing w:after="80"/>
        <w:jc w:val="center"/>
        <w:rPr>
          <w:rFonts w:ascii="Arial" w:hAnsi="Arial" w:cs="Arial"/>
          <w:b/>
          <w:bCs/>
          <w:color w:val="000000" w:themeColor="text1"/>
          <w:sz w:val="24"/>
          <w:szCs w:val="24"/>
        </w:rPr>
      </w:pPr>
    </w:p>
    <w:p w14:paraId="237AA76C" w14:textId="77777777" w:rsidR="00C75452" w:rsidRDefault="00C75452" w:rsidP="0046206C">
      <w:pPr>
        <w:spacing w:after="80"/>
        <w:jc w:val="center"/>
        <w:rPr>
          <w:rFonts w:ascii="Arial" w:hAnsi="Arial" w:cs="Arial"/>
          <w:b/>
          <w:bCs/>
          <w:color w:val="000000" w:themeColor="text1"/>
          <w:sz w:val="24"/>
          <w:szCs w:val="24"/>
        </w:rPr>
      </w:pPr>
    </w:p>
    <w:p w14:paraId="44145F63" w14:textId="77777777" w:rsidR="00C75452" w:rsidRDefault="00C75452" w:rsidP="0046206C">
      <w:pPr>
        <w:spacing w:after="80"/>
        <w:jc w:val="center"/>
        <w:rPr>
          <w:rFonts w:ascii="Arial" w:hAnsi="Arial" w:cs="Arial"/>
          <w:b/>
          <w:bCs/>
          <w:color w:val="000000" w:themeColor="text1"/>
          <w:sz w:val="24"/>
          <w:szCs w:val="24"/>
        </w:rPr>
      </w:pPr>
    </w:p>
    <w:p w14:paraId="6F10DD9C" w14:textId="77777777" w:rsidR="00C75452" w:rsidRDefault="00C75452" w:rsidP="0046206C">
      <w:pPr>
        <w:spacing w:after="80"/>
        <w:jc w:val="center"/>
        <w:rPr>
          <w:rFonts w:ascii="Arial" w:hAnsi="Arial" w:cs="Arial"/>
          <w:b/>
          <w:bCs/>
          <w:color w:val="000000" w:themeColor="text1"/>
          <w:sz w:val="24"/>
          <w:szCs w:val="24"/>
        </w:rPr>
      </w:pPr>
    </w:p>
    <w:p w14:paraId="658DA4D5" w14:textId="77777777" w:rsidR="00C75452" w:rsidRDefault="00C75452" w:rsidP="0046206C">
      <w:pPr>
        <w:spacing w:after="80"/>
        <w:jc w:val="center"/>
        <w:rPr>
          <w:rFonts w:ascii="Arial" w:hAnsi="Arial" w:cs="Arial"/>
          <w:b/>
          <w:bCs/>
          <w:color w:val="000000" w:themeColor="text1"/>
          <w:sz w:val="24"/>
          <w:szCs w:val="24"/>
        </w:rPr>
      </w:pPr>
    </w:p>
    <w:p w14:paraId="49FD49B9" w14:textId="77777777" w:rsidR="00C75452" w:rsidRDefault="00C75452" w:rsidP="0046206C">
      <w:pPr>
        <w:spacing w:after="80"/>
        <w:jc w:val="center"/>
        <w:rPr>
          <w:rFonts w:ascii="Arial" w:hAnsi="Arial" w:cs="Arial"/>
          <w:b/>
          <w:bCs/>
          <w:color w:val="000000" w:themeColor="text1"/>
          <w:sz w:val="24"/>
          <w:szCs w:val="24"/>
        </w:rPr>
      </w:pPr>
    </w:p>
    <w:p w14:paraId="0BE2DBBA" w14:textId="77777777" w:rsidR="00C75452" w:rsidRDefault="00C75452" w:rsidP="0046206C">
      <w:pPr>
        <w:spacing w:after="80"/>
        <w:jc w:val="center"/>
        <w:rPr>
          <w:rFonts w:ascii="Arial" w:hAnsi="Arial" w:cs="Arial"/>
          <w:b/>
          <w:bCs/>
          <w:color w:val="000000" w:themeColor="text1"/>
          <w:sz w:val="24"/>
          <w:szCs w:val="24"/>
        </w:rPr>
      </w:pPr>
    </w:p>
    <w:p w14:paraId="32C74AEA" w14:textId="77777777" w:rsidR="00C75452" w:rsidRDefault="00C75452" w:rsidP="0046206C">
      <w:pPr>
        <w:spacing w:after="80"/>
        <w:jc w:val="center"/>
        <w:rPr>
          <w:rFonts w:ascii="Arial" w:hAnsi="Arial" w:cs="Arial"/>
          <w:b/>
          <w:bCs/>
          <w:color w:val="000000" w:themeColor="text1"/>
          <w:sz w:val="24"/>
          <w:szCs w:val="24"/>
        </w:rPr>
      </w:pPr>
    </w:p>
    <w:p w14:paraId="4C89883B" w14:textId="77777777" w:rsidR="00C75452" w:rsidRDefault="00C75452" w:rsidP="0046206C">
      <w:pPr>
        <w:spacing w:after="80"/>
        <w:jc w:val="center"/>
        <w:rPr>
          <w:rFonts w:ascii="Arial" w:hAnsi="Arial" w:cs="Arial"/>
          <w:b/>
          <w:bCs/>
          <w:color w:val="000000" w:themeColor="text1"/>
          <w:sz w:val="24"/>
          <w:szCs w:val="24"/>
        </w:rPr>
      </w:pPr>
    </w:p>
    <w:p w14:paraId="43D621C6" w14:textId="77777777" w:rsidR="00C75452" w:rsidRDefault="00C75452" w:rsidP="0046206C">
      <w:pPr>
        <w:spacing w:after="80"/>
        <w:jc w:val="center"/>
        <w:rPr>
          <w:rFonts w:ascii="Arial" w:hAnsi="Arial" w:cs="Arial"/>
          <w:b/>
          <w:bCs/>
          <w:color w:val="000000" w:themeColor="text1"/>
          <w:sz w:val="24"/>
          <w:szCs w:val="24"/>
        </w:rPr>
      </w:pPr>
    </w:p>
    <w:p w14:paraId="3D48DB0A" w14:textId="77777777" w:rsidR="00F4624F" w:rsidRDefault="00F4624F" w:rsidP="0046206C">
      <w:pPr>
        <w:spacing w:after="80"/>
        <w:jc w:val="center"/>
        <w:rPr>
          <w:rFonts w:ascii="Arial" w:hAnsi="Arial" w:cs="Arial"/>
          <w:b/>
          <w:bCs/>
          <w:color w:val="000000" w:themeColor="text1"/>
          <w:sz w:val="24"/>
          <w:szCs w:val="24"/>
        </w:rPr>
      </w:pPr>
    </w:p>
    <w:p w14:paraId="5D293EBB" w14:textId="77777777" w:rsidR="00F4624F" w:rsidRDefault="00F4624F" w:rsidP="0046206C">
      <w:pPr>
        <w:spacing w:after="80"/>
        <w:jc w:val="center"/>
        <w:rPr>
          <w:rFonts w:ascii="Arial" w:hAnsi="Arial" w:cs="Arial"/>
          <w:b/>
          <w:bCs/>
          <w:color w:val="000000" w:themeColor="text1"/>
          <w:sz w:val="24"/>
          <w:szCs w:val="24"/>
        </w:rPr>
      </w:pPr>
    </w:p>
    <w:p w14:paraId="42280D9E" w14:textId="77777777" w:rsidR="00C75452" w:rsidRDefault="00C75452" w:rsidP="0046206C">
      <w:pPr>
        <w:spacing w:after="80"/>
        <w:jc w:val="center"/>
        <w:rPr>
          <w:rFonts w:ascii="Arial" w:hAnsi="Arial" w:cs="Arial"/>
          <w:b/>
          <w:bCs/>
          <w:color w:val="000000" w:themeColor="text1"/>
          <w:sz w:val="24"/>
          <w:szCs w:val="24"/>
        </w:rPr>
      </w:pPr>
    </w:p>
    <w:p w14:paraId="19537721" w14:textId="77777777" w:rsidR="00C75452" w:rsidRDefault="00C75452" w:rsidP="0046206C">
      <w:pPr>
        <w:spacing w:after="80"/>
        <w:jc w:val="center"/>
        <w:rPr>
          <w:rFonts w:ascii="Arial" w:hAnsi="Arial" w:cs="Arial"/>
          <w:b/>
          <w:bCs/>
          <w:color w:val="000000" w:themeColor="text1"/>
          <w:sz w:val="24"/>
          <w:szCs w:val="24"/>
        </w:rPr>
      </w:pPr>
    </w:p>
    <w:p w14:paraId="59C502C3" w14:textId="77777777" w:rsidR="00C75452" w:rsidRDefault="00C75452" w:rsidP="0046206C">
      <w:pPr>
        <w:spacing w:after="80"/>
        <w:jc w:val="center"/>
        <w:rPr>
          <w:rFonts w:ascii="Arial" w:hAnsi="Arial" w:cs="Arial"/>
          <w:b/>
          <w:bCs/>
          <w:color w:val="000000" w:themeColor="text1"/>
          <w:sz w:val="24"/>
          <w:szCs w:val="24"/>
        </w:rPr>
      </w:pPr>
    </w:p>
    <w:p w14:paraId="2D2A6101" w14:textId="77777777" w:rsidR="00C75452" w:rsidRDefault="00C75452" w:rsidP="00C75452">
      <w:pPr>
        <w:jc w:val="center"/>
        <w:rPr>
          <w:rFonts w:ascii="Arial" w:hAnsi="Arial" w:cs="Arial"/>
          <w:b/>
          <w:bCs/>
          <w:color w:val="000000" w:themeColor="text1"/>
          <w:sz w:val="24"/>
          <w:szCs w:val="24"/>
        </w:rPr>
      </w:pPr>
    </w:p>
    <w:p w14:paraId="280EC345" w14:textId="77777777" w:rsidR="00F4624F" w:rsidRDefault="00F4624F" w:rsidP="00C75452">
      <w:pPr>
        <w:jc w:val="center"/>
        <w:rPr>
          <w:rFonts w:ascii="Arial" w:hAnsi="Arial" w:cs="Arial"/>
          <w:b/>
          <w:bCs/>
          <w:color w:val="000000" w:themeColor="text1"/>
          <w:sz w:val="24"/>
          <w:szCs w:val="24"/>
        </w:rPr>
      </w:pPr>
    </w:p>
    <w:p w14:paraId="653DDC93" w14:textId="38DD97A1" w:rsidR="003577FE" w:rsidRPr="00C75452" w:rsidRDefault="00000000" w:rsidP="00C75452">
      <w:pPr>
        <w:jc w:val="center"/>
        <w:rPr>
          <w:rFonts w:ascii="Arial" w:hAnsi="Arial" w:cs="Arial"/>
          <w:b/>
          <w:bCs/>
          <w:color w:val="000000" w:themeColor="text1"/>
          <w:sz w:val="24"/>
          <w:szCs w:val="24"/>
        </w:rPr>
      </w:pPr>
      <w:r w:rsidRPr="0046206C">
        <w:rPr>
          <w:rFonts w:ascii="Arial" w:hAnsi="Arial" w:cs="Arial"/>
          <w:b/>
          <w:bCs/>
          <w:color w:val="000000" w:themeColor="text1"/>
          <w:sz w:val="24"/>
          <w:szCs w:val="24"/>
        </w:rPr>
        <w:lastRenderedPageBreak/>
        <w:t>Marketing Environment Analysis and Strategic Growth Positioning:</w:t>
      </w:r>
    </w:p>
    <w:p w14:paraId="1143D6D6" w14:textId="77777777" w:rsidR="003577FE" w:rsidRPr="0046206C" w:rsidRDefault="00000000" w:rsidP="0046206C">
      <w:pPr>
        <w:spacing w:after="400"/>
        <w:jc w:val="center"/>
        <w:rPr>
          <w:rFonts w:ascii="Arial" w:hAnsi="Arial" w:cs="Arial"/>
          <w:color w:val="000000" w:themeColor="text1"/>
          <w:sz w:val="24"/>
          <w:szCs w:val="24"/>
        </w:rPr>
      </w:pPr>
      <w:r w:rsidRPr="0046206C">
        <w:rPr>
          <w:rFonts w:ascii="Arial" w:hAnsi="Arial" w:cs="Arial"/>
          <w:b/>
          <w:bCs/>
          <w:color w:val="000000" w:themeColor="text1"/>
          <w:sz w:val="24"/>
          <w:szCs w:val="24"/>
        </w:rPr>
        <w:t>The Case of BHP Group Limited</w:t>
      </w:r>
    </w:p>
    <w:p w14:paraId="6D0E6A8E" w14:textId="77777777" w:rsidR="003577FE" w:rsidRPr="0046206C" w:rsidRDefault="00000000" w:rsidP="0046206C">
      <w:pPr>
        <w:pStyle w:val="Heading1"/>
        <w:spacing w:before="320" w:after="160"/>
        <w:jc w:val="both"/>
        <w:rPr>
          <w:rFonts w:ascii="Arial" w:hAnsi="Arial" w:cs="Arial"/>
          <w:color w:val="000000" w:themeColor="text1"/>
          <w:sz w:val="28"/>
          <w:szCs w:val="28"/>
        </w:rPr>
      </w:pPr>
      <w:r w:rsidRPr="0046206C">
        <w:rPr>
          <w:rFonts w:ascii="Arial" w:hAnsi="Arial" w:cs="Arial"/>
          <w:b/>
          <w:bCs/>
          <w:color w:val="000000" w:themeColor="text1"/>
          <w:sz w:val="28"/>
          <w:szCs w:val="28"/>
        </w:rPr>
        <w:t>Task 1: Marketing Environment Analysis</w:t>
      </w:r>
    </w:p>
    <w:p w14:paraId="5D1AC7D7" w14:textId="77777777" w:rsidR="003577FE" w:rsidRPr="0046206C" w:rsidRDefault="00000000" w:rsidP="0046206C">
      <w:pPr>
        <w:pStyle w:val="Heading2"/>
        <w:spacing w:before="240" w:after="120"/>
        <w:jc w:val="both"/>
        <w:rPr>
          <w:rFonts w:ascii="Arial" w:hAnsi="Arial" w:cs="Arial"/>
          <w:color w:val="000000" w:themeColor="text1"/>
          <w:sz w:val="24"/>
          <w:szCs w:val="24"/>
        </w:rPr>
      </w:pPr>
      <w:r w:rsidRPr="0046206C">
        <w:rPr>
          <w:rFonts w:ascii="Arial" w:hAnsi="Arial" w:cs="Arial"/>
          <w:b/>
          <w:bCs/>
          <w:color w:val="000000" w:themeColor="text1"/>
          <w:sz w:val="24"/>
          <w:szCs w:val="24"/>
        </w:rPr>
        <w:t>1.1 Company Selection and Context</w:t>
      </w:r>
    </w:p>
    <w:p w14:paraId="67715F7D" w14:textId="37A7FA49" w:rsidR="003577FE"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This examination will concentrate on BHP Group Limited (BHP). One of the biggest diversified resource corporations in the world, BHP has its headquarters in Melbourne and is dual-listed on the Australian and London stock markets. Its primary businesses include iron ore, copper, metallurgical coal, and potash (BHP, 2025). The Escondida and Spence copper mines in Chile, the Jansen potash project being built in Saskatchewan, Canada, and the Western Australian Iron Ore (WAIO) activities in the Pilbara are among its main assets (BHP, 2025; Australian Resources &amp; Investment, 2026).</w:t>
      </w:r>
    </w:p>
    <w:p w14:paraId="03693D31" w14:textId="379F7566" w:rsidR="003577FE"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 xml:space="preserve">BHP has purposefully shifted its portfolio over the last 10 years away from commodities that rely heavily on fossil fuels and toward what it refers to as "future-facing" commodities. This has included selling off thermal coal and </w:t>
      </w:r>
      <w:r w:rsidR="002F6C22" w:rsidRPr="0046206C">
        <w:rPr>
          <w:rFonts w:ascii="Arial" w:hAnsi="Arial" w:cs="Arial"/>
          <w:color w:val="000000" w:themeColor="text1"/>
          <w:sz w:val="24"/>
          <w:szCs w:val="24"/>
        </w:rPr>
        <w:t>a few</w:t>
      </w:r>
      <w:r w:rsidRPr="0046206C">
        <w:rPr>
          <w:rFonts w:ascii="Arial" w:hAnsi="Arial" w:cs="Arial"/>
          <w:color w:val="000000" w:themeColor="text1"/>
          <w:sz w:val="24"/>
          <w:szCs w:val="24"/>
        </w:rPr>
        <w:t xml:space="preserve"> metallurgical coal holdings, demerging its petroleum business into Woodside, and consolidating its copper assets by acquiring OZ Minerals (Ion Analytics, 2024; </w:t>
      </w:r>
      <w:r w:rsidR="002F6C22" w:rsidRPr="0046206C">
        <w:rPr>
          <w:rFonts w:ascii="Arial" w:hAnsi="Arial" w:cs="Arial"/>
          <w:color w:val="000000" w:themeColor="text1"/>
          <w:sz w:val="24"/>
          <w:szCs w:val="24"/>
        </w:rPr>
        <w:t>Financial Content</w:t>
      </w:r>
      <w:r w:rsidRPr="0046206C">
        <w:rPr>
          <w:rFonts w:ascii="Arial" w:hAnsi="Arial" w:cs="Arial"/>
          <w:color w:val="000000" w:themeColor="text1"/>
          <w:sz w:val="24"/>
          <w:szCs w:val="24"/>
        </w:rPr>
        <w:t>, 2025). In an advisory vote, 92% of shareholders supported BHP's second Climate Transition Action Plan (CTAP 2024), which outlines the company's commitment to net-zero operational emissions by 2050 and an interim target of at least a 30% reduction in Scope 1 and 2 emissions by 2030 against a 2020 baseline (BHP, 2024).</w:t>
      </w:r>
      <w:r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This trend makes BHP a valuable case study for analy</w:t>
      </w:r>
      <w:r w:rsidR="002F6C22" w:rsidRPr="0046206C">
        <w:rPr>
          <w:rFonts w:ascii="Arial" w:hAnsi="Arial" w:cs="Arial"/>
          <w:color w:val="000000" w:themeColor="text1"/>
          <w:sz w:val="24"/>
          <w:szCs w:val="24"/>
        </w:rPr>
        <w:t>s</w:t>
      </w:r>
      <w:r w:rsidRPr="0046206C">
        <w:rPr>
          <w:rFonts w:ascii="Arial" w:hAnsi="Arial" w:cs="Arial"/>
          <w:color w:val="000000" w:themeColor="text1"/>
          <w:sz w:val="24"/>
          <w:szCs w:val="24"/>
        </w:rPr>
        <w:t>ing how external environmental forces are changing marketing positioning and strategy in the mining and metals industry.</w:t>
      </w:r>
    </w:p>
    <w:p w14:paraId="775D4129" w14:textId="77777777" w:rsidR="003577FE" w:rsidRPr="0046206C" w:rsidRDefault="00000000" w:rsidP="0046206C">
      <w:pPr>
        <w:pStyle w:val="Heading2"/>
        <w:spacing w:before="240" w:after="120"/>
        <w:jc w:val="both"/>
        <w:rPr>
          <w:rFonts w:ascii="Arial" w:hAnsi="Arial" w:cs="Arial"/>
          <w:color w:val="000000" w:themeColor="text1"/>
          <w:sz w:val="24"/>
          <w:szCs w:val="24"/>
        </w:rPr>
      </w:pPr>
      <w:r w:rsidRPr="0046206C">
        <w:rPr>
          <w:rFonts w:ascii="Arial" w:hAnsi="Arial" w:cs="Arial"/>
          <w:b/>
          <w:bCs/>
          <w:color w:val="000000" w:themeColor="text1"/>
          <w:sz w:val="24"/>
          <w:szCs w:val="24"/>
        </w:rPr>
        <w:t>1.2 External Marketing Environment Actor 1: The Natural Environment</w:t>
      </w:r>
    </w:p>
    <w:p w14:paraId="4F99C338" w14:textId="74BFA36E" w:rsidR="003577FE"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As a source of both significant economic potential and existential peril, the natural environment is the most significant external player influencing BHP's strategy and marketing orientation. Physical resource limitations, the quickening pace of legislative responses to climate change, and commitments pertaining to biodiversity are three interconnected stresses.</w:t>
      </w:r>
    </w:p>
    <w:p w14:paraId="18D13FF2" w14:textId="77777777" w:rsidR="007255C1"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First, the expense and environmental impact of extraction are rising because to resource scarcity and deteriorating ore quality. According to the International Energy Agency (IEA), Chile's average copper ore grades have decreased by about 30% over the previous fifteen years. This means that more rock needs to be transported, crushed, and processed to produce the same amount of metal, which increases energy consumption and emissions per tonne produced (IEA, 2021). Given that Escondida, its flagship Chilean operation, is the world's largest copper mine in terms of output, this is very significant for BHP.</w:t>
      </w:r>
    </w:p>
    <w:p w14:paraId="1DA19BDD" w14:textId="224AFBFD" w:rsidR="003577FE"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lastRenderedPageBreak/>
        <w:t>Second, there are both opportunities and threats associated with climate change and the global decarbonization drive. Carbon legislation poses a direct danger to BHP. In Australia, facilities that emit more than 100,000 tonnes of CO2-equivalent annually are subject to gradually decreasing emissions baselines under the revised Safeguard Mechanism, which went into effect on July 1, 2023. This threshold includes most of BHP's Australian coal and iron ore operations (Department of Climate Change, Energy, the Environment and Water, 2024). Even in cases where operational emissions have not yet significantly decreased, independent research indicates that compliance throughout the industry has so far primarily relied on the purchase of carbon offset credits rather than on direct on-site abatement, suggesting that the policy is starting to reshape cost structures (Monash Lens, 2026).</w:t>
      </w:r>
      <w:r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However, BHP is purposefully shifting its focus to commodities that are seeing significant demand growth due to the same climate change. According to the IEA's Global Critical Minerals Outlook, the demand for copper will increase by about 30% by the mid-2030s under current policy settings, and it could increase much more under a net-zero-aligned pathway because copper is used in almost all clean energy technologies, including grid infrastructure, solar inverters, and electric vehicle motors (IEA, 2024; IEA, 2025). BHP is making direct use of this: chief executive Mike Henry specifically characteri</w:t>
      </w:r>
      <w:r w:rsidR="002906F5" w:rsidRPr="0046206C">
        <w:rPr>
          <w:rFonts w:ascii="Arial" w:hAnsi="Arial" w:cs="Arial"/>
          <w:color w:val="000000" w:themeColor="text1"/>
          <w:sz w:val="24"/>
          <w:szCs w:val="24"/>
        </w:rPr>
        <w:t>s</w:t>
      </w:r>
      <w:r w:rsidRPr="0046206C">
        <w:rPr>
          <w:rFonts w:ascii="Arial" w:hAnsi="Arial" w:cs="Arial"/>
          <w:color w:val="000000" w:themeColor="text1"/>
          <w:sz w:val="24"/>
          <w:szCs w:val="24"/>
        </w:rPr>
        <w:t>ed the company's ongoing exploratory collaborations in Canada and its abandoned but strategically illuminating pursuit of Anglo American in 2024 as a reaction to growing copper demand associated with electrification.</w:t>
      </w:r>
      <w:r w:rsidRPr="0046206C">
        <w:rPr>
          <w:rFonts w:ascii="Arial" w:hAnsi="Arial" w:cs="Arial"/>
          <w:color w:val="000000" w:themeColor="text1"/>
          <w:sz w:val="24"/>
          <w:szCs w:val="24"/>
        </w:rPr>
        <w:t xml:space="preserve"> </w:t>
      </w:r>
      <w:r w:rsidR="00000000" w:rsidRPr="0046206C">
        <w:rPr>
          <w:rFonts w:ascii="Arial" w:hAnsi="Arial" w:cs="Arial"/>
          <w:color w:val="000000" w:themeColor="text1"/>
          <w:sz w:val="24"/>
          <w:szCs w:val="24"/>
        </w:rPr>
        <w:t>(Ion Analytics, 2024; Australian Resources &amp; Investment, 2026).</w:t>
      </w:r>
    </w:p>
    <w:p w14:paraId="67446EE4" w14:textId="31B1D77A" w:rsidR="007255C1"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 xml:space="preserve">Third, investor expectations and regulations are increasingly including land stewardship and biodiversity commitments. In its sustainability reporting, BHP has pledged to achieve no net loss of biodiversity throughout the territories it oversees by the end of the decade. This aim currently coexists with its emissions targets (BHP, 2025). Particularly </w:t>
      </w:r>
      <w:r w:rsidR="002906F5" w:rsidRPr="0046206C">
        <w:rPr>
          <w:rFonts w:ascii="Arial" w:hAnsi="Arial" w:cs="Arial"/>
          <w:color w:val="000000" w:themeColor="text1"/>
          <w:sz w:val="24"/>
          <w:szCs w:val="24"/>
        </w:rPr>
        <w:t>considering</w:t>
      </w:r>
      <w:r w:rsidRPr="0046206C">
        <w:rPr>
          <w:rFonts w:ascii="Arial" w:hAnsi="Arial" w:cs="Arial"/>
          <w:color w:val="000000" w:themeColor="text1"/>
          <w:sz w:val="24"/>
          <w:szCs w:val="24"/>
        </w:rPr>
        <w:t xml:space="preserve"> industry-wide scrutiny of tailings dam safety and cultural heritage management following high-profile events elsewhere in the sector, failing to fulfil these objectives credibly bears reputational and license-to-operate risk.</w:t>
      </w:r>
    </w:p>
    <w:p w14:paraId="050072A6" w14:textId="21452CD8" w:rsidR="003577FE"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When considered collectively, the natural environment actor poses a real strategic challenge for BHP: the commodities that BHP extracts are essential to a global economy with reduced carbon emissions, yet prolonged extraction unavoidably damages ecosystems and depletes limited resources. BHP's posture as a facilitator of decarbonization elsewhere in the value chain, rather than just as a miner, presents an opportunity. On the other hand, increasing carbon charges, water restrictions, and community approval procedures provide a danger by driving up costs and impeding growth</w:t>
      </w:r>
      <w:r w:rsidR="00000000" w:rsidRPr="0046206C">
        <w:rPr>
          <w:rFonts w:ascii="Arial" w:hAnsi="Arial" w:cs="Arial"/>
          <w:color w:val="000000" w:themeColor="text1"/>
          <w:sz w:val="24"/>
          <w:szCs w:val="24"/>
        </w:rPr>
        <w:t>.</w:t>
      </w:r>
    </w:p>
    <w:p w14:paraId="39F4DA48" w14:textId="77777777" w:rsidR="0046206C" w:rsidRPr="0046206C" w:rsidRDefault="0046206C" w:rsidP="0046206C">
      <w:pPr>
        <w:spacing w:after="160" w:line="300" w:lineRule="auto"/>
        <w:jc w:val="both"/>
        <w:rPr>
          <w:rFonts w:ascii="Arial" w:hAnsi="Arial" w:cs="Arial"/>
          <w:color w:val="000000" w:themeColor="text1"/>
          <w:sz w:val="24"/>
          <w:szCs w:val="24"/>
        </w:rPr>
      </w:pPr>
    </w:p>
    <w:p w14:paraId="7D3AEDBE" w14:textId="77777777" w:rsidR="003577FE" w:rsidRPr="0046206C" w:rsidRDefault="00000000" w:rsidP="0046206C">
      <w:pPr>
        <w:pStyle w:val="Heading2"/>
        <w:spacing w:before="240" w:after="120"/>
        <w:jc w:val="both"/>
        <w:rPr>
          <w:rFonts w:ascii="Arial" w:hAnsi="Arial" w:cs="Arial"/>
          <w:color w:val="000000" w:themeColor="text1"/>
          <w:sz w:val="24"/>
          <w:szCs w:val="24"/>
        </w:rPr>
      </w:pPr>
      <w:r w:rsidRPr="0046206C">
        <w:rPr>
          <w:rFonts w:ascii="Arial" w:hAnsi="Arial" w:cs="Arial"/>
          <w:b/>
          <w:bCs/>
          <w:color w:val="000000" w:themeColor="text1"/>
          <w:sz w:val="24"/>
          <w:szCs w:val="24"/>
        </w:rPr>
        <w:lastRenderedPageBreak/>
        <w:t>1.3 External Marketing Environment Actor 2: The Technological Environment</w:t>
      </w:r>
    </w:p>
    <w:p w14:paraId="6DE029D9" w14:textId="4EB48025" w:rsidR="007255C1"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 xml:space="preserve">The technological environment has been chosen as the second actor because, in contrast to more general political or sociocultural forces, it is </w:t>
      </w:r>
      <w:r w:rsidR="002F6C22" w:rsidRPr="0046206C">
        <w:rPr>
          <w:rFonts w:ascii="Arial" w:hAnsi="Arial" w:cs="Arial"/>
          <w:color w:val="000000" w:themeColor="text1"/>
          <w:sz w:val="24"/>
          <w:szCs w:val="24"/>
        </w:rPr>
        <w:t>how</w:t>
      </w:r>
      <w:r w:rsidRPr="0046206C">
        <w:rPr>
          <w:rFonts w:ascii="Arial" w:hAnsi="Arial" w:cs="Arial"/>
          <w:color w:val="000000" w:themeColor="text1"/>
          <w:sz w:val="24"/>
          <w:szCs w:val="24"/>
        </w:rPr>
        <w:t xml:space="preserve"> BHP can directly address the pressures mentioned above, making it extremely pertinent to claims of cost leadership and marketing positioning.</w:t>
      </w:r>
    </w:p>
    <w:p w14:paraId="0B2C5234" w14:textId="546FB0C4" w:rsidR="007255C1"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 xml:space="preserve">BHP's operational style now heavily incorporates automation and artificial intelligence. 33 autonomous trucks and 11 autonomous drills already manage around 30% of output at its Escondida Norte pit in Chile, transporting more than 350,000 tonnes of material every day with less human exposure to dangerous areas (Mining Digital, 2026). Autonomous haulage and remotely operated </w:t>
      </w:r>
      <w:r w:rsidR="002906F5" w:rsidRPr="0046206C">
        <w:rPr>
          <w:rFonts w:ascii="Arial" w:hAnsi="Arial" w:cs="Arial"/>
          <w:color w:val="000000" w:themeColor="text1"/>
          <w:sz w:val="24"/>
          <w:szCs w:val="24"/>
        </w:rPr>
        <w:t>ship loaders</w:t>
      </w:r>
      <w:r w:rsidRPr="0046206C">
        <w:rPr>
          <w:rFonts w:ascii="Arial" w:hAnsi="Arial" w:cs="Arial"/>
          <w:color w:val="000000" w:themeColor="text1"/>
          <w:sz w:val="24"/>
          <w:szCs w:val="24"/>
        </w:rPr>
        <w:t xml:space="preserve"> have produced quantifiable productivity increases throughout its Pilbara iron ore business, and according to BHP, digital and analytics initiatives have produced more than USD 2 billion in value over the last four fiscal years (BHP, 2026a). Predictive maintenance based on machine learning is also lowering equipment failure and unscheduled downtime (Forbes, 2025).</w:t>
      </w:r>
    </w:p>
    <w:p w14:paraId="71DE88EA" w14:textId="77777777" w:rsidR="007255C1" w:rsidRPr="0046206C" w:rsidRDefault="007255C1"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Clear opportunities are created by this technological transition. Automation and AI-driven process optimization reduce energy consumption and emissions intensity per tonne produced, thus helping BHP's climate ambitions while also lowering unit costs—a combination that is challenging for less technologically advanced rivals to swiftly imitate. Additionally, BHP has started using technology to differentiate its own products. For example, a 2026 initiative to trace and certify lower-emission copper cathode through the supply chain demonstrates how digital traceability tools are being used to support "green" product claims to clients like cable manufacturers and renewable energy developers (BHP, 2026b).</w:t>
      </w:r>
    </w:p>
    <w:p w14:paraId="6C24EE03" w14:textId="2C5CA0FB" w:rsidR="003577F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The dangers are just as serious. Automation and digitalization have a high capital intensity, and mid-tier rivals could find it difficult to keep up with the rate of investment, which might lead to industry consolidation. Additionally, there is a workforce and social-licence dimension: automation replaces traditional operator roles, necessitating a large investment in retraining. However, according to BHP, over 5,000 workers at Escondida have received training in new technology roles, with 64% of them being female. This shows how workforce transition can be managed as a positive social narrative rather than just a cost (Mining Digital, 2026).Technological adoption is quickly becoming into a standard expectation rather than a source of distinction on its own, since competitors like Rio Tinto have achieved equivalent operational cost reductions of about 15% with their own autonomous fleets (Forbes, 2025). Therefore, combining automation with verified low-carbon product credentials that can be offered to increasingly carbon-conscious industrial clients will be more important for BHP's ongoing advantage than merely implementing automation.</w:t>
      </w:r>
    </w:p>
    <w:p w14:paraId="2A57AFBA" w14:textId="0166D2ED" w:rsidR="003577FE" w:rsidRPr="0046206C" w:rsidRDefault="00000000" w:rsidP="0046206C">
      <w:pPr>
        <w:jc w:val="both"/>
        <w:rPr>
          <w:rFonts w:ascii="Arial" w:hAnsi="Arial" w:cs="Arial"/>
          <w:color w:val="000000" w:themeColor="text1"/>
          <w:sz w:val="24"/>
          <w:szCs w:val="24"/>
        </w:rPr>
      </w:pPr>
      <w:r w:rsidRPr="0046206C">
        <w:rPr>
          <w:rFonts w:ascii="Arial" w:hAnsi="Arial" w:cs="Arial"/>
          <w:color w:val="000000" w:themeColor="text1"/>
          <w:sz w:val="24"/>
          <w:szCs w:val="24"/>
        </w:rPr>
        <w:br w:type="page"/>
      </w:r>
      <w:r w:rsidRPr="0046206C">
        <w:rPr>
          <w:rFonts w:ascii="Arial" w:hAnsi="Arial" w:cs="Arial"/>
          <w:b/>
          <w:bCs/>
          <w:color w:val="000000" w:themeColor="text1"/>
          <w:sz w:val="28"/>
          <w:szCs w:val="28"/>
        </w:rPr>
        <w:lastRenderedPageBreak/>
        <w:t>Task 2: Strategic Growth and Competitive Positioning</w:t>
      </w:r>
    </w:p>
    <w:p w14:paraId="00FD2946" w14:textId="77777777" w:rsidR="003577FE" w:rsidRPr="0046206C" w:rsidRDefault="00000000" w:rsidP="0046206C">
      <w:pPr>
        <w:pStyle w:val="Heading2"/>
        <w:spacing w:before="240" w:after="120"/>
        <w:jc w:val="both"/>
        <w:rPr>
          <w:rFonts w:ascii="Arial" w:hAnsi="Arial" w:cs="Arial"/>
          <w:color w:val="000000" w:themeColor="text1"/>
          <w:sz w:val="24"/>
          <w:szCs w:val="24"/>
        </w:rPr>
      </w:pPr>
      <w:r w:rsidRPr="0046206C">
        <w:rPr>
          <w:rFonts w:ascii="Arial" w:hAnsi="Arial" w:cs="Arial"/>
          <w:b/>
          <w:bCs/>
          <w:color w:val="000000" w:themeColor="text1"/>
          <w:sz w:val="24"/>
          <w:szCs w:val="24"/>
        </w:rPr>
        <w:t>2.1 Strategic Growth Recommendation Using the Ansoff Matrix</w:t>
      </w:r>
    </w:p>
    <w:p w14:paraId="7CDE7E66" w14:textId="610EEC47" w:rsidR="0053543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Four general directions</w:t>
      </w:r>
      <w:r w:rsidR="002906F5"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market penetration, market development, product development, and diversification</w:t>
      </w:r>
      <w:r w:rsidR="002906F5"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are produced by the Ansoff Matrix, which offers a framework for assessing growth strategy along two dimensions: goods (existing or new) and markets (existing or new) (Ansoff, 1957). Building on the environmental pressures noted in Task 1, this report suggests that BHP adopt a strategy centred mostly in the product development quadrant, increasing its exposure to new, lower-carbon commodities and product variations for its current industrial clientele. This strategy would be bolstered by a secondary, more restricted diversification move into potash.</w:t>
      </w:r>
    </w:p>
    <w:p w14:paraId="26761199" w14:textId="2F7A2699" w:rsidR="003577F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Since BHP already has strong ties with its current clientele of steelmakers, cable manufacturers, battery manufacturers, and infrastructure developers, product development is the most suitable core path. The only thing that is changing is the type of product that BHP is providing to them. BHP's increasing focus on certified lower-emission copper is the best proof of this. A change from providing an undifferentiated commodity to providing a traceable, ecologically distinct product to current markets is demonstrated by its 2026 partnership to construct copper cables using lower-GHG copper ore (BHP, 2026b).</w:t>
      </w:r>
      <w:r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Similarly, rather than entering completely new markets, BHP's collaborations with JSW Steel, Carbon Clean, and the Steel Authority of India to support decarbonization technology in steelmaking are an expansion of its current iron ore relationships into new, lower-carbon product and service offerings (BHP, 2024).</w:t>
      </w:r>
    </w:p>
    <w:p w14:paraId="464FB83E" w14:textId="77777777" w:rsidR="0053543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The natural environment pressures noted in Task 1 are immediately addressed by this suggestion. The largest risk-adjusted return is found in strengthening BHP's position in commodities it already produces at scale, refined, and marketed as lower-carbon variants, rather than entering markets or product categories in which it has no current capability, since carbon regulations like the Safeguard Mechanism are driving up the cost of high-emissions production and because IEA demand forecasts show copper and other transition metals growing significantly faster than the broader minerals market (IEA, 2024).</w:t>
      </w:r>
    </w:p>
    <w:p w14:paraId="4F8C9B82" w14:textId="6E069FA2" w:rsidR="003577F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For the Jansen potash project, a more constrained diversification strategy is also needed. Potash is in the diversification quadrant of the matrix because it is a truly new product (a fertili</w:t>
      </w:r>
      <w:r w:rsidR="002906F5" w:rsidRPr="0046206C">
        <w:rPr>
          <w:rFonts w:ascii="Arial" w:hAnsi="Arial" w:cs="Arial"/>
          <w:color w:val="000000" w:themeColor="text1"/>
          <w:sz w:val="24"/>
          <w:szCs w:val="24"/>
        </w:rPr>
        <w:t>s</w:t>
      </w:r>
      <w:r w:rsidRPr="0046206C">
        <w:rPr>
          <w:rFonts w:ascii="Arial" w:hAnsi="Arial" w:cs="Arial"/>
          <w:color w:val="000000" w:themeColor="text1"/>
          <w:sz w:val="24"/>
          <w:szCs w:val="24"/>
        </w:rPr>
        <w:t>er input) for a wider new market (agricultural and food security). Jansen Stage 1 has an estimated capital cost of USD 8.4 billion, has undergone cost overruns and schedule delays, and initial production is not anticipated until 2027. This is a higher-risk approach, and the data encourages caution (Financial</w:t>
      </w:r>
      <w:r w:rsidR="002906F5"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Content, 2025; Financial</w:t>
      </w:r>
      <w:r w:rsidR="002906F5"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Content, 2026).</w:t>
      </w:r>
      <w:r w:rsidR="00000000"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 xml:space="preserve">Therefore, it is advised that product development around </w:t>
      </w:r>
      <w:r w:rsidRPr="0046206C">
        <w:rPr>
          <w:rFonts w:ascii="Arial" w:hAnsi="Arial" w:cs="Arial"/>
          <w:color w:val="000000" w:themeColor="text1"/>
          <w:sz w:val="24"/>
          <w:szCs w:val="24"/>
        </w:rPr>
        <w:lastRenderedPageBreak/>
        <w:t>lower-carbon copper and iron ore continue to be the main growth engine, with diversification into potash continuing as a smaller, carefully phased component of the portfolio. This is primarily justified by its low correlation with BHP's core steelmaking and electrification-linked commodities. This is further supported by BHP's own 2025 decision to back out of its takeover offer for Anglo American, preferring technology-driven growth and organic products to the market development risk of a contentious, large-scale acquisition (Financial</w:t>
      </w:r>
      <w:r w:rsidR="002906F5"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Content, 2025).</w:t>
      </w:r>
    </w:p>
    <w:p w14:paraId="6036B94E" w14:textId="77777777" w:rsidR="003577FE" w:rsidRPr="0046206C" w:rsidRDefault="00000000" w:rsidP="0046206C">
      <w:pPr>
        <w:pStyle w:val="Heading2"/>
        <w:spacing w:before="240" w:after="120"/>
        <w:jc w:val="both"/>
        <w:rPr>
          <w:rFonts w:ascii="Arial" w:hAnsi="Arial" w:cs="Arial"/>
          <w:color w:val="000000" w:themeColor="text1"/>
          <w:sz w:val="24"/>
          <w:szCs w:val="24"/>
        </w:rPr>
      </w:pPr>
      <w:r w:rsidRPr="0046206C">
        <w:rPr>
          <w:rFonts w:ascii="Arial" w:hAnsi="Arial" w:cs="Arial"/>
          <w:b/>
          <w:bCs/>
          <w:color w:val="000000" w:themeColor="text1"/>
          <w:sz w:val="24"/>
          <w:szCs w:val="24"/>
        </w:rPr>
        <w:t>2.2 Competitive Advantage Through a Lower-Carbon Business Model</w:t>
      </w:r>
    </w:p>
    <w:p w14:paraId="2E6FDD39" w14:textId="22955BA4" w:rsidR="003577F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According to Porter's (1985) paradigm of generic strategies, distinctiveness, cost leadership, or a targeted mix of the two can provide a sustained competitive advantage. When it comes to BHP's low-carbon transformation, the data indicates that the business is using a hybrid approach, combining distinction through certified low-carbon product credentials on top of cost leadership in its core commodities through operational efficiency.</w:t>
      </w:r>
    </w:p>
    <w:p w14:paraId="6C2A347C" w14:textId="77777777" w:rsidR="0053543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In terms of cost leadership, automation and AI-enabled process optimization—discussed in Task 1.3—are essential to BHP's capacity to maintain competitive unit costs despite rising carbon compliance costs. At BHP's Pilbara operations, autonomous haulage has been linked to significant fuel savings, productivity increases, and cost reductions of about 20% at specific locations (Forbes, 2025). Because energy efficiency and emissions intensity are closely related in the mining industry, BHP's exposure to carbon pricing mechanisms like the Safeguard Mechanism is simultaneously reduced by these efficiency gains. This effectively allows operational excellence to double as climate compliance, a form of cost leadership that is challenging for less technologically advanced competitors to replicate at the same pace.</w:t>
      </w:r>
    </w:p>
    <w:p w14:paraId="0B94BE5E" w14:textId="5F365B8C" w:rsidR="003577F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 xml:space="preserve">Instead of competing just on price, BHP is increasingly promoting confirmed lower-carbon features as a unique value offer. The lower-GHG copper cable initiative is a prime example. BHP </w:t>
      </w:r>
      <w:r w:rsidR="002906F5" w:rsidRPr="0046206C">
        <w:rPr>
          <w:rFonts w:ascii="Arial" w:hAnsi="Arial" w:cs="Arial"/>
          <w:color w:val="000000" w:themeColor="text1"/>
          <w:sz w:val="24"/>
          <w:szCs w:val="24"/>
        </w:rPr>
        <w:t>can</w:t>
      </w:r>
      <w:r w:rsidRPr="0046206C">
        <w:rPr>
          <w:rFonts w:ascii="Arial" w:hAnsi="Arial" w:cs="Arial"/>
          <w:color w:val="000000" w:themeColor="text1"/>
          <w:sz w:val="24"/>
          <w:szCs w:val="24"/>
        </w:rPr>
        <w:t xml:space="preserve"> command a position with buyers, especially in Europe and Japan, who are under regulatory and reputational pressure to decarboni</w:t>
      </w:r>
      <w:r w:rsidR="002906F5" w:rsidRPr="0046206C">
        <w:rPr>
          <w:rFonts w:ascii="Arial" w:hAnsi="Arial" w:cs="Arial"/>
          <w:color w:val="000000" w:themeColor="text1"/>
          <w:sz w:val="24"/>
          <w:szCs w:val="24"/>
        </w:rPr>
        <w:t>s</w:t>
      </w:r>
      <w:r w:rsidRPr="0046206C">
        <w:rPr>
          <w:rFonts w:ascii="Arial" w:hAnsi="Arial" w:cs="Arial"/>
          <w:color w:val="000000" w:themeColor="text1"/>
          <w:sz w:val="24"/>
          <w:szCs w:val="24"/>
        </w:rPr>
        <w:t>e their supply chains, by tracking emissions intensity through the value chain and certifying it to customers (BHP, 2026b).</w:t>
      </w:r>
      <w:r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As carbon border policies, like the European Union's Carbon Border Adjustment Mechanism, start to penali</w:t>
      </w:r>
      <w:r w:rsidR="002906F5" w:rsidRPr="0046206C">
        <w:rPr>
          <w:rFonts w:ascii="Arial" w:hAnsi="Arial" w:cs="Arial"/>
          <w:color w:val="000000" w:themeColor="text1"/>
          <w:sz w:val="24"/>
          <w:szCs w:val="24"/>
        </w:rPr>
        <w:t>s</w:t>
      </w:r>
      <w:r w:rsidRPr="0046206C">
        <w:rPr>
          <w:rFonts w:ascii="Arial" w:hAnsi="Arial" w:cs="Arial"/>
          <w:color w:val="000000" w:themeColor="text1"/>
          <w:sz w:val="24"/>
          <w:szCs w:val="24"/>
        </w:rPr>
        <w:t>e imports with greater embedded emissions and reward providers who can demonstrate a reduced carbon footprint, this type of distinction is probably going to have more commercial significance.</w:t>
      </w:r>
    </w:p>
    <w:p w14:paraId="6457C0C9" w14:textId="444D359F" w:rsidR="003577F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 xml:space="preserve">Maintaining this dual edge is hardly risk-free. First-mover efficiency benefits will eventually diminish since competitors like Rio Tinto and Anglo American are investing in similar technologies, making cost leadership based on automation replicable (Forbes, 2025). Differentiation through low-carbon certification also depends on the </w:t>
      </w:r>
      <w:r w:rsidRPr="0046206C">
        <w:rPr>
          <w:rFonts w:ascii="Arial" w:hAnsi="Arial" w:cs="Arial"/>
          <w:color w:val="000000" w:themeColor="text1"/>
          <w:sz w:val="24"/>
          <w:szCs w:val="24"/>
        </w:rPr>
        <w:lastRenderedPageBreak/>
        <w:t>legitimacy of verification systems; the sector's current reliance on offset credits rather than direct abatement for Safeguard Mechanism compliance (Monash Lens, 2026) highlights the reputational risk BHP faces if its own claims are seen as dependent on offsetting rather than true operational decarbonization.</w:t>
      </w:r>
      <w:r w:rsidRPr="0046206C">
        <w:rPr>
          <w:rFonts w:ascii="Arial" w:hAnsi="Arial" w:cs="Arial"/>
          <w:color w:val="000000" w:themeColor="text1"/>
          <w:sz w:val="24"/>
          <w:szCs w:val="24"/>
        </w:rPr>
        <w:t xml:space="preserve"> </w:t>
      </w:r>
      <w:r w:rsidRPr="0046206C">
        <w:rPr>
          <w:rFonts w:ascii="Arial" w:hAnsi="Arial" w:cs="Arial"/>
          <w:color w:val="000000" w:themeColor="text1"/>
          <w:sz w:val="24"/>
          <w:szCs w:val="24"/>
        </w:rPr>
        <w:t xml:space="preserve">Therefore, rather than depending solely on efficiency improvements or green marketing claims, BHP will need to continue combining quantifiable, certified emissions reductions with transparent customer-facing communication </w:t>
      </w:r>
      <w:r w:rsidR="002906F5" w:rsidRPr="0046206C">
        <w:rPr>
          <w:rFonts w:ascii="Arial" w:hAnsi="Arial" w:cs="Arial"/>
          <w:color w:val="000000" w:themeColor="text1"/>
          <w:sz w:val="24"/>
          <w:szCs w:val="24"/>
        </w:rPr>
        <w:t>to</w:t>
      </w:r>
      <w:r w:rsidRPr="0046206C">
        <w:rPr>
          <w:rFonts w:ascii="Arial" w:hAnsi="Arial" w:cs="Arial"/>
          <w:color w:val="000000" w:themeColor="text1"/>
          <w:sz w:val="24"/>
          <w:szCs w:val="24"/>
        </w:rPr>
        <w:t xml:space="preserve"> maintain a long-term competitive edge.</w:t>
      </w:r>
    </w:p>
    <w:p w14:paraId="276B5CB7" w14:textId="77777777" w:rsidR="0046206C" w:rsidRDefault="0046206C" w:rsidP="0046206C">
      <w:pPr>
        <w:jc w:val="both"/>
        <w:rPr>
          <w:rFonts w:ascii="Arial" w:hAnsi="Arial" w:cs="Arial"/>
          <w:color w:val="000000" w:themeColor="text1"/>
          <w:sz w:val="24"/>
          <w:szCs w:val="24"/>
        </w:rPr>
      </w:pPr>
    </w:p>
    <w:p w14:paraId="30F9CB26" w14:textId="1054FC9A" w:rsidR="003577FE" w:rsidRDefault="00000000" w:rsidP="0046206C">
      <w:pPr>
        <w:jc w:val="both"/>
        <w:rPr>
          <w:rFonts w:ascii="Arial" w:hAnsi="Arial" w:cs="Arial"/>
          <w:b/>
          <w:bCs/>
          <w:color w:val="000000" w:themeColor="text1"/>
          <w:sz w:val="28"/>
          <w:szCs w:val="28"/>
        </w:rPr>
      </w:pPr>
      <w:r w:rsidRPr="0046206C">
        <w:rPr>
          <w:rFonts w:ascii="Arial" w:hAnsi="Arial" w:cs="Arial"/>
          <w:b/>
          <w:bCs/>
          <w:color w:val="000000" w:themeColor="text1"/>
          <w:sz w:val="28"/>
          <w:szCs w:val="28"/>
        </w:rPr>
        <w:t>Task 3: Critical Reflection on AI Usage</w:t>
      </w:r>
    </w:p>
    <w:p w14:paraId="495F131D" w14:textId="77777777" w:rsidR="0046206C" w:rsidRPr="0046206C" w:rsidRDefault="0046206C" w:rsidP="0046206C">
      <w:pPr>
        <w:jc w:val="both"/>
        <w:rPr>
          <w:rFonts w:ascii="Arial" w:hAnsi="Arial" w:cs="Arial"/>
          <w:color w:val="000000" w:themeColor="text1"/>
          <w:sz w:val="24"/>
          <w:szCs w:val="24"/>
        </w:rPr>
      </w:pPr>
    </w:p>
    <w:p w14:paraId="4FCF14A8" w14:textId="77777777" w:rsidR="000C69AD" w:rsidRPr="0046206C" w:rsidRDefault="000C69AD" w:rsidP="0046206C">
      <w:pPr>
        <w:pStyle w:val="ListParagraph"/>
        <w:jc w:val="both"/>
        <w:rPr>
          <w:rFonts w:ascii="Arial" w:hAnsi="Arial" w:cs="Arial"/>
          <w:b/>
          <w:bCs/>
          <w:sz w:val="24"/>
          <w:szCs w:val="24"/>
        </w:rPr>
      </w:pPr>
      <w:r w:rsidRPr="0046206C">
        <w:rPr>
          <w:rFonts w:ascii="Arial" w:hAnsi="Arial" w:cs="Arial"/>
          <w:b/>
          <w:bCs/>
          <w:sz w:val="24"/>
          <w:szCs w:val="24"/>
        </w:rPr>
        <w:t>3.1 Tool Disclosure</w:t>
      </w:r>
    </w:p>
    <w:p w14:paraId="411BF239" w14:textId="77777777" w:rsidR="0046206C" w:rsidRPr="0046206C" w:rsidRDefault="0046206C" w:rsidP="0046206C">
      <w:pPr>
        <w:pStyle w:val="ListParagraph"/>
        <w:jc w:val="both"/>
        <w:rPr>
          <w:rFonts w:ascii="Arial" w:hAnsi="Arial" w:cs="Arial"/>
          <w:b/>
          <w:bCs/>
          <w:sz w:val="24"/>
          <w:szCs w:val="24"/>
        </w:rPr>
      </w:pPr>
    </w:p>
    <w:p w14:paraId="0158F156" w14:textId="77777777" w:rsidR="0046206C" w:rsidRPr="0046206C" w:rsidRDefault="0046206C" w:rsidP="0046206C">
      <w:pPr>
        <w:pStyle w:val="ListParagraph"/>
        <w:jc w:val="both"/>
        <w:rPr>
          <w:rFonts w:ascii="Arial" w:hAnsi="Arial" w:cs="Arial"/>
          <w:sz w:val="24"/>
          <w:szCs w:val="24"/>
        </w:rPr>
      </w:pPr>
      <w:r w:rsidRPr="0046206C">
        <w:rPr>
          <w:rFonts w:ascii="Arial" w:hAnsi="Arial" w:cs="Arial"/>
          <w:sz w:val="24"/>
          <w:szCs w:val="24"/>
        </w:rPr>
        <w:t>AI-generated content may also reflect bias or recent skew found in its training data or search results. For instance, it may overrepresent a company's positive portrayal of its sustainability performance. For this reason, company disclosures were weighed against independent commentary, such as scholarly studies that cast doubt on the degree of true decarbonization under Australia's Safeguard Mechanism. Lastly, using AI tools openly with employers and clients, confirming AI-generated claims prior to their use in external communications—especially sustainability and carbon claims, which are under growing regulatory scrutiny for greenwashing—and maintaining personal accountability for the integrity and accuracy of any analysis generated with AI assistance are all part of the larger responsibility of a future marketing professional.</w:t>
      </w:r>
    </w:p>
    <w:p w14:paraId="44A2DC3C" w14:textId="77777777" w:rsidR="0046206C" w:rsidRPr="0046206C" w:rsidRDefault="0046206C" w:rsidP="0046206C">
      <w:pPr>
        <w:pStyle w:val="ListParagraph"/>
        <w:jc w:val="both"/>
        <w:rPr>
          <w:rFonts w:ascii="Arial" w:hAnsi="Arial" w:cs="Arial"/>
          <w:sz w:val="24"/>
          <w:szCs w:val="24"/>
        </w:rPr>
      </w:pPr>
    </w:p>
    <w:p w14:paraId="173F7C07" w14:textId="4C2F10C3" w:rsidR="000C69AD" w:rsidRPr="0046206C" w:rsidRDefault="000C69AD" w:rsidP="0046206C">
      <w:pPr>
        <w:pStyle w:val="ListParagraph"/>
        <w:jc w:val="both"/>
        <w:rPr>
          <w:rFonts w:ascii="Arial" w:hAnsi="Arial" w:cs="Arial"/>
          <w:b/>
          <w:bCs/>
          <w:sz w:val="24"/>
          <w:szCs w:val="24"/>
        </w:rPr>
      </w:pPr>
      <w:r w:rsidRPr="0046206C">
        <w:rPr>
          <w:rFonts w:ascii="Arial" w:hAnsi="Arial" w:cs="Arial"/>
          <w:b/>
          <w:bCs/>
          <w:sz w:val="24"/>
          <w:szCs w:val="24"/>
        </w:rPr>
        <w:t>3.2 Critical Evaluation of AI Output</w:t>
      </w:r>
    </w:p>
    <w:p w14:paraId="7985D3A9" w14:textId="7011DF31" w:rsidR="000C69AD" w:rsidRPr="0046206C" w:rsidRDefault="0046206C" w:rsidP="0046206C">
      <w:pPr>
        <w:pStyle w:val="NormalWeb"/>
        <w:jc w:val="both"/>
        <w:rPr>
          <w:rFonts w:ascii="Arial" w:hAnsi="Arial" w:cs="Arial"/>
        </w:rPr>
      </w:pPr>
      <w:r w:rsidRPr="0046206C">
        <w:rPr>
          <w:rFonts w:ascii="Arial" w:hAnsi="Arial" w:cs="Arial"/>
        </w:rPr>
        <w:t xml:space="preserve">Initial high-level sketches needed careful factual verification since automatic language models provide contextual summaries instead of confirmed research. Automated overview replies frequently lacked </w:t>
      </w:r>
      <w:proofErr w:type="gramStart"/>
      <w:r w:rsidRPr="0046206C">
        <w:rPr>
          <w:rFonts w:ascii="Arial" w:hAnsi="Arial" w:cs="Arial"/>
        </w:rPr>
        <w:t>particular policy</w:t>
      </w:r>
      <w:proofErr w:type="gramEnd"/>
      <w:r w:rsidRPr="0046206C">
        <w:rPr>
          <w:rFonts w:ascii="Arial" w:hAnsi="Arial" w:cs="Arial"/>
        </w:rPr>
        <w:t xml:space="preserve"> mechanisms or produced generic industry statements. I thoroughly compared every operational and contextual data to original source documents </w:t>
      </w:r>
      <w:proofErr w:type="gramStart"/>
      <w:r w:rsidRPr="0046206C">
        <w:rPr>
          <w:rFonts w:ascii="Arial" w:hAnsi="Arial" w:cs="Arial"/>
        </w:rPr>
        <w:t>in order to</w:t>
      </w:r>
      <w:proofErr w:type="gramEnd"/>
      <w:r w:rsidRPr="0046206C">
        <w:rPr>
          <w:rFonts w:ascii="Arial" w:hAnsi="Arial" w:cs="Arial"/>
        </w:rPr>
        <w:t xml:space="preserve"> uphold academic rigor and correctness</w:t>
      </w:r>
      <w:r w:rsidR="000C69AD" w:rsidRPr="0046206C">
        <w:rPr>
          <w:rFonts w:ascii="Arial" w:hAnsi="Arial" w:cs="Arial"/>
        </w:rPr>
        <w:t>.</w:t>
      </w:r>
    </w:p>
    <w:p w14:paraId="1E15E04D" w14:textId="33107317" w:rsidR="000C69AD" w:rsidRPr="0046206C" w:rsidRDefault="0046206C" w:rsidP="0046206C">
      <w:pPr>
        <w:pStyle w:val="NormalWeb"/>
        <w:jc w:val="both"/>
        <w:rPr>
          <w:rFonts w:ascii="Arial" w:hAnsi="Arial" w:cs="Arial"/>
        </w:rPr>
      </w:pPr>
      <w:r w:rsidRPr="0046206C">
        <w:rPr>
          <w:rFonts w:ascii="Arial" w:hAnsi="Arial" w:cs="Arial"/>
        </w:rPr>
        <w:t>Clean Energy Regulator publications, for example, explicitly verified some regulatory metrics related to Australia's Safeguard Mechanism, such as the required 4.9% annual emissions intensity decrease trajectory. In a similar vein, BHP's operational and transition measures (such as the capital allocations for the Jansen Potash Project and the Escondida water desalination scheme) were compared to the company's official annual reports and Climate Transition Action Plan. Grounded academic material was used in place of any unsubstantiated claims or superficial statements made during the initial brainstorming process.</w:t>
      </w:r>
    </w:p>
    <w:p w14:paraId="484A9EA6" w14:textId="77777777" w:rsidR="000C69AD" w:rsidRPr="0046206C" w:rsidRDefault="000C69AD" w:rsidP="0046206C">
      <w:pPr>
        <w:pStyle w:val="ListParagraph"/>
        <w:jc w:val="both"/>
        <w:rPr>
          <w:rFonts w:ascii="Arial" w:hAnsi="Arial" w:cs="Arial"/>
          <w:b/>
          <w:bCs/>
          <w:sz w:val="24"/>
          <w:szCs w:val="24"/>
        </w:rPr>
      </w:pPr>
      <w:r w:rsidRPr="0046206C">
        <w:rPr>
          <w:rFonts w:ascii="Arial" w:hAnsi="Arial" w:cs="Arial"/>
          <w:b/>
          <w:bCs/>
          <w:sz w:val="24"/>
          <w:szCs w:val="24"/>
        </w:rPr>
        <w:t>3.3 Contribution Analysis</w:t>
      </w:r>
    </w:p>
    <w:p w14:paraId="2637FBAE" w14:textId="77777777" w:rsidR="0046206C" w:rsidRPr="0046206C" w:rsidRDefault="0046206C" w:rsidP="0046206C">
      <w:pPr>
        <w:pStyle w:val="NormalWeb"/>
        <w:jc w:val="both"/>
        <w:rPr>
          <w:rFonts w:ascii="Arial" w:hAnsi="Arial" w:cs="Arial"/>
        </w:rPr>
      </w:pPr>
      <w:r w:rsidRPr="0046206C">
        <w:rPr>
          <w:rFonts w:ascii="Arial" w:hAnsi="Arial" w:cs="Arial"/>
        </w:rPr>
        <w:t>AI's early exploratory assistance and my own autonomous intellectual contribution may be distinguished clearly. AI was only used as a digital sounding board during the first phase to define section expectations and develop framework applications.</w:t>
      </w:r>
    </w:p>
    <w:p w14:paraId="6D6F5947" w14:textId="77777777" w:rsidR="0046206C" w:rsidRPr="0046206C" w:rsidRDefault="0046206C" w:rsidP="0046206C">
      <w:pPr>
        <w:pStyle w:val="ListParagraph"/>
        <w:jc w:val="both"/>
        <w:rPr>
          <w:rFonts w:ascii="Arial" w:hAnsi="Arial" w:cs="Arial"/>
          <w:sz w:val="24"/>
          <w:szCs w:val="24"/>
        </w:rPr>
      </w:pPr>
      <w:r w:rsidRPr="0046206C">
        <w:rPr>
          <w:rFonts w:ascii="Arial" w:hAnsi="Arial" w:cs="Arial"/>
          <w:sz w:val="24"/>
          <w:szCs w:val="24"/>
        </w:rPr>
        <w:t xml:space="preserve">My own original work is represented in every substantive analysis, research selection, and final writing. This entails choosing BHP Group as the target case study, identifying </w:t>
      </w:r>
      <w:r w:rsidRPr="0046206C">
        <w:rPr>
          <w:rFonts w:ascii="Arial" w:hAnsi="Arial" w:cs="Arial"/>
          <w:sz w:val="24"/>
          <w:szCs w:val="24"/>
        </w:rPr>
        <w:lastRenderedPageBreak/>
        <w:t xml:space="preserve">the </w:t>
      </w:r>
      <w:proofErr w:type="gramStart"/>
      <w:r w:rsidRPr="0046206C">
        <w:rPr>
          <w:rFonts w:ascii="Arial" w:hAnsi="Arial" w:cs="Arial"/>
          <w:sz w:val="24"/>
          <w:szCs w:val="24"/>
        </w:rPr>
        <w:t>particular macro-</w:t>
      </w:r>
      <w:proofErr w:type="gramEnd"/>
      <w:r w:rsidRPr="0046206C">
        <w:rPr>
          <w:rFonts w:ascii="Arial" w:hAnsi="Arial" w:cs="Arial"/>
          <w:sz w:val="24"/>
          <w:szCs w:val="24"/>
        </w:rPr>
        <w:t>environmental actors to assess (the Natural and Political/Regulatory environments), assessing trade-offs within the Ansoff Matrix and Porter's Generic Strategies, and independently writing the draft using information gleaned from Google Scholar articles and required corporate reporting.</w:t>
      </w:r>
    </w:p>
    <w:p w14:paraId="79363D49" w14:textId="77777777" w:rsidR="0046206C" w:rsidRPr="0046206C" w:rsidRDefault="0046206C" w:rsidP="0046206C">
      <w:pPr>
        <w:pStyle w:val="ListParagraph"/>
        <w:jc w:val="both"/>
        <w:rPr>
          <w:rFonts w:ascii="Arial" w:hAnsi="Arial" w:cs="Arial"/>
          <w:sz w:val="24"/>
          <w:szCs w:val="24"/>
        </w:rPr>
      </w:pPr>
    </w:p>
    <w:p w14:paraId="69322A2A" w14:textId="63C0DEF5" w:rsidR="000C69AD" w:rsidRPr="0046206C" w:rsidRDefault="000C69AD" w:rsidP="0046206C">
      <w:pPr>
        <w:pStyle w:val="ListParagraph"/>
        <w:jc w:val="both"/>
        <w:rPr>
          <w:rFonts w:ascii="Arial" w:hAnsi="Arial" w:cs="Arial"/>
          <w:b/>
          <w:bCs/>
          <w:sz w:val="24"/>
          <w:szCs w:val="24"/>
        </w:rPr>
      </w:pPr>
      <w:r w:rsidRPr="0046206C">
        <w:rPr>
          <w:rFonts w:ascii="Arial" w:hAnsi="Arial" w:cs="Arial"/>
          <w:b/>
          <w:bCs/>
          <w:sz w:val="24"/>
          <w:szCs w:val="24"/>
        </w:rPr>
        <w:t>3.4 Ethical and Professional Reflection</w:t>
      </w:r>
    </w:p>
    <w:p w14:paraId="4488745C" w14:textId="5384E629" w:rsidR="000C69AD" w:rsidRPr="0046206C" w:rsidRDefault="0046206C" w:rsidP="0046206C">
      <w:pPr>
        <w:pStyle w:val="NormalWeb"/>
        <w:jc w:val="both"/>
        <w:rPr>
          <w:rFonts w:ascii="Arial" w:hAnsi="Arial" w:cs="Arial"/>
        </w:rPr>
      </w:pPr>
      <w:r w:rsidRPr="0046206C">
        <w:rPr>
          <w:rFonts w:ascii="Arial" w:hAnsi="Arial" w:cs="Arial"/>
        </w:rPr>
        <w:t>The use of digital technologies in preliminary research draws attention to important ethical duties pertaining to academic honesty, impartial evaluation, and research integrity. Because generic tools sometimes replicate corporate public relations narratives without carefully examining structural limits or greenwashing issues, relying uncritically on automated output in marketing and business research entails substantial risk. It is my ethical duty as an analyst to make sure that comments about the environment and strategy are supported by clear, original facts. Maintaining integrity in an academic context necessitates assuming full responsibility for the intellectual process and making sure AI is only used as a preliminary understanding tool rather than as a replacement for genuine critical analysis and scholarly study.</w:t>
      </w:r>
    </w:p>
    <w:p w14:paraId="6AB508E9" w14:textId="681D86F3" w:rsidR="003577FE" w:rsidRPr="0046206C" w:rsidRDefault="0053543E" w:rsidP="0046206C">
      <w:pPr>
        <w:spacing w:after="160" w:line="300" w:lineRule="auto"/>
        <w:jc w:val="both"/>
        <w:rPr>
          <w:rFonts w:ascii="Arial" w:hAnsi="Arial" w:cs="Arial"/>
          <w:color w:val="000000" w:themeColor="text1"/>
          <w:sz w:val="24"/>
          <w:szCs w:val="24"/>
        </w:rPr>
      </w:pPr>
      <w:r w:rsidRPr="0046206C">
        <w:rPr>
          <w:rFonts w:ascii="Arial" w:hAnsi="Arial" w:cs="Arial"/>
          <w:color w:val="000000" w:themeColor="text1"/>
          <w:sz w:val="24"/>
          <w:szCs w:val="24"/>
        </w:rPr>
        <w:t>.</w:t>
      </w:r>
    </w:p>
    <w:p w14:paraId="7E2BEE35" w14:textId="5439D992" w:rsidR="003577FE" w:rsidRPr="0046206C" w:rsidRDefault="00000000" w:rsidP="0046206C">
      <w:pPr>
        <w:jc w:val="both"/>
        <w:rPr>
          <w:rFonts w:ascii="Arial" w:hAnsi="Arial" w:cs="Arial"/>
          <w:b/>
          <w:bCs/>
          <w:color w:val="000000" w:themeColor="text1"/>
          <w:sz w:val="24"/>
          <w:szCs w:val="24"/>
        </w:rPr>
      </w:pPr>
      <w:r w:rsidRPr="0046206C">
        <w:rPr>
          <w:rFonts w:ascii="Arial" w:hAnsi="Arial" w:cs="Arial"/>
          <w:b/>
          <w:bCs/>
          <w:color w:val="000000" w:themeColor="text1"/>
          <w:sz w:val="24"/>
          <w:szCs w:val="24"/>
        </w:rPr>
        <w:t xml:space="preserve">References </w:t>
      </w:r>
    </w:p>
    <w:p w14:paraId="3BE63F60" w14:textId="77777777" w:rsidR="000C69AD" w:rsidRPr="0046206C" w:rsidRDefault="000C69AD" w:rsidP="0046206C">
      <w:pPr>
        <w:jc w:val="both"/>
        <w:rPr>
          <w:rFonts w:ascii="Arial" w:hAnsi="Arial" w:cs="Arial"/>
          <w:color w:val="000000" w:themeColor="text1"/>
          <w:sz w:val="24"/>
          <w:szCs w:val="24"/>
        </w:rPr>
      </w:pPr>
    </w:p>
    <w:p w14:paraId="765E75D7"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Allens (2023) Australian Government locks in final details of the Safeguard Mechanism reforms. Available at: https://www.allens.com.au/insights-news/insights/2023/05/reformed-safeguard-mechanism/ (Accessed: 23 July 2026).</w:t>
      </w:r>
    </w:p>
    <w:p w14:paraId="20DBAC6C"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Ansoff, H.I. (1957) 'Strategies for diversification', Harvard Business Review, 35(5), pp. 113–124.</w:t>
      </w:r>
    </w:p>
    <w:p w14:paraId="267273B1"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Australian Resources &amp; Investment (2026) 'BHP eyes Canadian copper after Anglo bid', 6 January. Available at: https://www.australianresourcesandinvestment.com.au/2025/12/23/bhp-eyes-canadian-copper-after-anglo-bid (Accessed: 23 July 2026).</w:t>
      </w:r>
    </w:p>
    <w:p w14:paraId="0FCD1995"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BHP (2024) Climate Transition Action Plan 2024. Melbourne: BHP Group Limited.</w:t>
      </w:r>
    </w:p>
    <w:p w14:paraId="4A5B1928"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BHP (2024) 'Artificial intelligence is unearthing a smarter future', BHP Insights, August. Available at: https://www.bhp.com/news/bhp-insights/2024/08/artificial-intelligence-is-unearthing-a-smarter-future (Accessed: 23 July 2026).</w:t>
      </w:r>
    </w:p>
    <w:p w14:paraId="23E0FDEE"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BHP (2025) Annual Report 2025. Melbourne: BHP Group Limited.</w:t>
      </w:r>
    </w:p>
    <w:p w14:paraId="097A6A9B"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BHP (2025) 'Climate change', Sustainability. Available at: https://www.bhp.com/sustainability/climate-change (Accessed: 23 July 2026).</w:t>
      </w:r>
    </w:p>
    <w:p w14:paraId="3858794D"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BHP (2026a) 'From discovery to decisions: data, AI and the future of mining', BHP Insights, March. Available at: https://www.bhp.com/news/bhp-insights/2026/03/from-discovery-to-decisions-data-ai-and-the-future-of-mining (Accessed: 23 July 2026).</w:t>
      </w:r>
    </w:p>
    <w:p w14:paraId="35325345"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lastRenderedPageBreak/>
        <w:t>BHP (2026b) 'Implementing copper cables with environmental value from lower GHG copper ore', Media Centre, July. Available at: https://www.bhp.com/news/media-centre/releases/2026/07/implementing-copper-cables-with-environmental-value-from-lower-ghg-copper-ore (Accessed: 23 July 2026).</w:t>
      </w:r>
    </w:p>
    <w:p w14:paraId="66B13ECD"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Department of Climate Change, Energy, the Environment and Water (DCCEEW) (2024) Safeguard Mechanism overview. Available at: https://www.dcceew.gov.au/climate-change/emissions-reporting/national-greenhouse-energy-reporting-scheme/safeguard-mechanism/overview (Accessed: 23 July 2026).</w:t>
      </w:r>
    </w:p>
    <w:p w14:paraId="38C33C47"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proofErr w:type="spellStart"/>
      <w:r w:rsidRPr="0046206C">
        <w:rPr>
          <w:rFonts w:ascii="Arial" w:hAnsi="Arial" w:cs="Arial"/>
          <w:color w:val="000000" w:themeColor="text1"/>
          <w:sz w:val="24"/>
          <w:szCs w:val="24"/>
        </w:rPr>
        <w:t>FinancialContent</w:t>
      </w:r>
      <w:proofErr w:type="spellEnd"/>
      <w:r w:rsidRPr="0046206C">
        <w:rPr>
          <w:rFonts w:ascii="Arial" w:hAnsi="Arial" w:cs="Arial"/>
          <w:color w:val="000000" w:themeColor="text1"/>
          <w:sz w:val="24"/>
          <w:szCs w:val="24"/>
        </w:rPr>
        <w:t xml:space="preserve"> (2025) 'BHP's strategic retreats signal major shifts in mining investment, reshaping industrial metals landscape', 24 November. Available at: https://markets.financialcontent.com/stocks/article/marketminute-2025-11-24-bhps-strategic-retreats-signal-major-shifts-in-mining-investment-reshaping-industrial-metals-landscape (Accessed: 23 July 2026).</w:t>
      </w:r>
    </w:p>
    <w:p w14:paraId="34EC48A9"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proofErr w:type="spellStart"/>
      <w:r w:rsidRPr="0046206C">
        <w:rPr>
          <w:rFonts w:ascii="Arial" w:hAnsi="Arial" w:cs="Arial"/>
          <w:color w:val="000000" w:themeColor="text1"/>
          <w:sz w:val="24"/>
          <w:szCs w:val="24"/>
        </w:rPr>
        <w:t>FinancialContent</w:t>
      </w:r>
      <w:proofErr w:type="spellEnd"/>
      <w:r w:rsidRPr="0046206C">
        <w:rPr>
          <w:rFonts w:ascii="Arial" w:hAnsi="Arial" w:cs="Arial"/>
          <w:color w:val="000000" w:themeColor="text1"/>
          <w:sz w:val="24"/>
          <w:szCs w:val="24"/>
        </w:rPr>
        <w:t xml:space="preserve"> (2026) 'The disciplined giant: BHP Group's post-Anglo strategy and the future of copper', 6 March. Available at: https://markets.financialcontent.com/stocks/article/finterra-2026-3-6-the-disciplined-giant-bhp-groups-post-anglo-strategy-and-the-future-of-copper (Accessed: 23 July 2026).</w:t>
      </w:r>
    </w:p>
    <w:p w14:paraId="67AC3F34"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Forbes (2025) 'Embracing AI and emerging technologies can help transform the mining industry', Forbes Business Council, 21 January. Available at: https://www.forbes.com/councils/forbesbusinesscouncil/2025/01/21/embracing-ai-and-emerging-technologies-can-help-transform-the-mining-industry/ (Accessed: 23 July 2026).</w:t>
      </w:r>
    </w:p>
    <w:p w14:paraId="5601967D"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International Energy Agency (IEA) (2021) The Role of Critical Minerals in Clean Energy Transitions. Paris: IEA. Available at: https://www.iea.org/reports/the-role-of-critical-minerals-in-clean-energy-transitions (Accessed: 23 July 2026).</w:t>
      </w:r>
    </w:p>
    <w:p w14:paraId="15F72922"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International Energy Agency (IEA) (2024) Global Critical Minerals Outlook 2024. Paris: IEA. Available at: https://www.iea.org/reports/global-critical-minerals-outlook-2024 (Accessed: 23 July 2026).</w:t>
      </w:r>
    </w:p>
    <w:p w14:paraId="45F1AA29"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International Energy Agency (IEA) (2025) Global Critical Minerals Outlook 2025. Paris: IEA. Available at: https://www.iea.org/reports/global-critical-minerals-outlook-2025 (Accessed: 23 July 2026).</w:t>
      </w:r>
    </w:p>
    <w:p w14:paraId="6319B232"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 xml:space="preserve">Ion Analytics (2024) 'BHP's Anglo tilt expected to get a second wind in competitive copper M&amp;A landscape', </w:t>
      </w:r>
      <w:proofErr w:type="spellStart"/>
      <w:r w:rsidRPr="0046206C">
        <w:rPr>
          <w:rFonts w:ascii="Arial" w:hAnsi="Arial" w:cs="Arial"/>
          <w:color w:val="000000" w:themeColor="text1"/>
          <w:sz w:val="24"/>
          <w:szCs w:val="24"/>
        </w:rPr>
        <w:t>Mergermarket</w:t>
      </w:r>
      <w:proofErr w:type="spellEnd"/>
      <w:r w:rsidRPr="0046206C">
        <w:rPr>
          <w:rFonts w:ascii="Arial" w:hAnsi="Arial" w:cs="Arial"/>
          <w:color w:val="000000" w:themeColor="text1"/>
          <w:sz w:val="24"/>
          <w:szCs w:val="24"/>
        </w:rPr>
        <w:t>, 21 June. Available at: https://ionanalytics.com/insights/mergermarket/bhps-anglo-tilt-expected-to-get-a-second-wind-in-competitive-copper-ma-landscape-industry-sources/ (Accessed: 23 July 2026).</w:t>
      </w:r>
    </w:p>
    <w:p w14:paraId="6BD6170E"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lastRenderedPageBreak/>
        <w:t xml:space="preserve">Jobber, D. and Ellis-Chadwick, F. (2020) Principles and Practice of Marketing. 9th </w:t>
      </w:r>
      <w:proofErr w:type="spellStart"/>
      <w:r w:rsidRPr="0046206C">
        <w:rPr>
          <w:rFonts w:ascii="Arial" w:hAnsi="Arial" w:cs="Arial"/>
          <w:color w:val="000000" w:themeColor="text1"/>
          <w:sz w:val="24"/>
          <w:szCs w:val="24"/>
        </w:rPr>
        <w:t>edn</w:t>
      </w:r>
      <w:proofErr w:type="spellEnd"/>
      <w:r w:rsidRPr="0046206C">
        <w:rPr>
          <w:rFonts w:ascii="Arial" w:hAnsi="Arial" w:cs="Arial"/>
          <w:color w:val="000000" w:themeColor="text1"/>
          <w:sz w:val="24"/>
          <w:szCs w:val="24"/>
        </w:rPr>
        <w:t>. London: McGraw-Hill Education.</w:t>
      </w:r>
    </w:p>
    <w:p w14:paraId="0F3F6DB3"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 xml:space="preserve">Kotler, P. and Armstrong, G. (2021) Principles of Marketing. 18th </w:t>
      </w:r>
      <w:proofErr w:type="spellStart"/>
      <w:r w:rsidRPr="0046206C">
        <w:rPr>
          <w:rFonts w:ascii="Arial" w:hAnsi="Arial" w:cs="Arial"/>
          <w:color w:val="000000" w:themeColor="text1"/>
          <w:sz w:val="24"/>
          <w:szCs w:val="24"/>
        </w:rPr>
        <w:t>edn</w:t>
      </w:r>
      <w:proofErr w:type="spellEnd"/>
      <w:r w:rsidRPr="0046206C">
        <w:rPr>
          <w:rFonts w:ascii="Arial" w:hAnsi="Arial" w:cs="Arial"/>
          <w:color w:val="000000" w:themeColor="text1"/>
          <w:sz w:val="24"/>
          <w:szCs w:val="24"/>
        </w:rPr>
        <w:t>. Harlow: Pearson Education.</w:t>
      </w:r>
    </w:p>
    <w:p w14:paraId="0F601803"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Mining Digital (2026) 'A look at mining giant BHP's performance in H2 2025', 26 January. Available at: https://miningdigital.com/news/how-bhp-has-made-its-mine-in-chile-fully-autonomous (Accessed: 23 July 2026).</w:t>
      </w:r>
    </w:p>
    <w:p w14:paraId="7485F677"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Monash Lens (2026) 'Can Australia's Safeguard Mechanism deliver the emissions cuts it promises?'. Available at: https://lens.monash.edu/can-australias-safeguard-mechanism-deliver-the-emissions-cuts-it-promises/ (Accessed: 23 July 2026).</w:t>
      </w:r>
    </w:p>
    <w:p w14:paraId="524D2918"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Porter, M.E. (1985) Competitive Advantage: Creating and Sustaining Superior Performance. New York: Free Press.</w:t>
      </w:r>
    </w:p>
    <w:p w14:paraId="752E4CEA" w14:textId="77777777" w:rsidR="003577FE" w:rsidRPr="0046206C" w:rsidRDefault="00000000" w:rsidP="0046206C">
      <w:pPr>
        <w:spacing w:after="160" w:line="276" w:lineRule="auto"/>
        <w:ind w:left="720" w:hanging="720"/>
        <w:jc w:val="both"/>
        <w:rPr>
          <w:rFonts w:ascii="Arial" w:hAnsi="Arial" w:cs="Arial"/>
          <w:color w:val="000000" w:themeColor="text1"/>
          <w:sz w:val="24"/>
          <w:szCs w:val="24"/>
        </w:rPr>
      </w:pPr>
      <w:r w:rsidRPr="0046206C">
        <w:rPr>
          <w:rFonts w:ascii="Arial" w:hAnsi="Arial" w:cs="Arial"/>
          <w:color w:val="000000" w:themeColor="text1"/>
          <w:sz w:val="24"/>
          <w:szCs w:val="24"/>
        </w:rPr>
        <w:t>Windpower Monthly (2024) 'Critical minerals supply has increased, but demand is growing faster – IEA report', 17 May. Available at: https://www.windpowermonthly.com/article/1873108/critical-minerals-supply-increased-demand-growing-faster-%E2%80%93-iea-report (Accessed: 23 July 2026).</w:t>
      </w:r>
    </w:p>
    <w:sectPr w:rsidR="003577FE" w:rsidRPr="0046206C" w:rsidSect="00052BF4">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F1432F" w14:textId="77777777" w:rsidR="00BC4C37" w:rsidRDefault="00BC4C37">
      <w:r>
        <w:separator/>
      </w:r>
    </w:p>
  </w:endnote>
  <w:endnote w:type="continuationSeparator" w:id="0">
    <w:p w14:paraId="6EC7CCF7" w14:textId="77777777" w:rsidR="00BC4C37" w:rsidRDefault="00BC4C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31AFACE" w14:textId="77777777" w:rsidR="003577FE" w:rsidRDefault="00000000">
    <w:pPr>
      <w:jc w:val="center"/>
    </w:pPr>
    <w:r>
      <w:rPr>
        <w:sz w:val="18"/>
        <w:szCs w:val="18"/>
      </w:rPr>
      <w:fldChar w:fldCharType="begin"/>
    </w:r>
    <w:r>
      <w:rPr>
        <w:sz w:val="18"/>
        <w:szCs w:val="18"/>
      </w:rPr>
      <w:instrText>PAGE</w:instrText>
    </w:r>
    <w:r>
      <w:rPr>
        <w:sz w:val="18"/>
        <w:szCs w:val="18"/>
      </w:rPr>
      <w:fldChar w:fldCharType="separate"/>
    </w:r>
    <w:r w:rsidR="007A3953">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6CCDC9D" w14:textId="77777777" w:rsidR="00BC4C37" w:rsidRDefault="00BC4C37">
      <w:r>
        <w:separator/>
      </w:r>
    </w:p>
  </w:footnote>
  <w:footnote w:type="continuationSeparator" w:id="0">
    <w:p w14:paraId="32E20D7A" w14:textId="77777777" w:rsidR="00BC4C37" w:rsidRDefault="00BC4C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92F932" w14:textId="385764AE" w:rsidR="003577FE" w:rsidRDefault="003577FE">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85A131D"/>
    <w:multiLevelType w:val="hybridMultilevel"/>
    <w:tmpl w:val="04604056"/>
    <w:lvl w:ilvl="0" w:tplc="A19A1726">
      <w:start w:val="1"/>
      <w:numFmt w:val="bullet"/>
      <w:lvlText w:val="●"/>
      <w:lvlJc w:val="left"/>
      <w:pPr>
        <w:ind w:left="720" w:hanging="360"/>
      </w:pPr>
    </w:lvl>
    <w:lvl w:ilvl="1" w:tplc="6CB85E7C">
      <w:start w:val="1"/>
      <w:numFmt w:val="bullet"/>
      <w:lvlText w:val="○"/>
      <w:lvlJc w:val="left"/>
      <w:pPr>
        <w:ind w:left="1440" w:hanging="360"/>
      </w:pPr>
    </w:lvl>
    <w:lvl w:ilvl="2" w:tplc="568A4E52">
      <w:start w:val="1"/>
      <w:numFmt w:val="bullet"/>
      <w:lvlText w:val="■"/>
      <w:lvlJc w:val="left"/>
      <w:pPr>
        <w:ind w:left="2160" w:hanging="360"/>
      </w:pPr>
    </w:lvl>
    <w:lvl w:ilvl="3" w:tplc="080E4F90">
      <w:start w:val="1"/>
      <w:numFmt w:val="bullet"/>
      <w:lvlText w:val="●"/>
      <w:lvlJc w:val="left"/>
      <w:pPr>
        <w:ind w:left="2880" w:hanging="360"/>
      </w:pPr>
    </w:lvl>
    <w:lvl w:ilvl="4" w:tplc="D95A12FA">
      <w:start w:val="1"/>
      <w:numFmt w:val="bullet"/>
      <w:lvlText w:val="○"/>
      <w:lvlJc w:val="left"/>
      <w:pPr>
        <w:ind w:left="3600" w:hanging="360"/>
      </w:pPr>
    </w:lvl>
    <w:lvl w:ilvl="5" w:tplc="5AE6C510">
      <w:start w:val="1"/>
      <w:numFmt w:val="bullet"/>
      <w:lvlText w:val="■"/>
      <w:lvlJc w:val="left"/>
      <w:pPr>
        <w:ind w:left="4320" w:hanging="360"/>
      </w:pPr>
    </w:lvl>
    <w:lvl w:ilvl="6" w:tplc="9642CDB0">
      <w:start w:val="1"/>
      <w:numFmt w:val="bullet"/>
      <w:lvlText w:val="●"/>
      <w:lvlJc w:val="left"/>
      <w:pPr>
        <w:ind w:left="5040" w:hanging="360"/>
      </w:pPr>
    </w:lvl>
    <w:lvl w:ilvl="7" w:tplc="625A7994">
      <w:start w:val="1"/>
      <w:numFmt w:val="bullet"/>
      <w:lvlText w:val="●"/>
      <w:lvlJc w:val="left"/>
      <w:pPr>
        <w:ind w:left="5760" w:hanging="360"/>
      </w:pPr>
    </w:lvl>
    <w:lvl w:ilvl="8" w:tplc="BFC45992">
      <w:start w:val="1"/>
      <w:numFmt w:val="bullet"/>
      <w:lvlText w:val="●"/>
      <w:lvlJc w:val="left"/>
      <w:pPr>
        <w:ind w:left="6480" w:hanging="360"/>
      </w:pPr>
    </w:lvl>
  </w:abstractNum>
  <w:num w:numId="1" w16cid:durableId="898439821">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7FE"/>
    <w:rsid w:val="00052BF4"/>
    <w:rsid w:val="000C69AD"/>
    <w:rsid w:val="000E0DDC"/>
    <w:rsid w:val="00117CDB"/>
    <w:rsid w:val="002032EB"/>
    <w:rsid w:val="002906F5"/>
    <w:rsid w:val="002F6C22"/>
    <w:rsid w:val="003577FE"/>
    <w:rsid w:val="0046206C"/>
    <w:rsid w:val="0053543E"/>
    <w:rsid w:val="00634C21"/>
    <w:rsid w:val="006B34EB"/>
    <w:rsid w:val="007255C1"/>
    <w:rsid w:val="0076436F"/>
    <w:rsid w:val="007A3953"/>
    <w:rsid w:val="007E344B"/>
    <w:rsid w:val="00922D6B"/>
    <w:rsid w:val="00A83304"/>
    <w:rsid w:val="00BC4C37"/>
    <w:rsid w:val="00C2138E"/>
    <w:rsid w:val="00C54787"/>
    <w:rsid w:val="00C75452"/>
    <w:rsid w:val="00EC7632"/>
    <w:rsid w:val="00F46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41026"/>
  <w15:docId w15:val="{9A63FFB7-3E76-E547-9AEC-92280947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7A3953"/>
    <w:pPr>
      <w:tabs>
        <w:tab w:val="center" w:pos="4513"/>
        <w:tab w:val="right" w:pos="9026"/>
      </w:tabs>
    </w:pPr>
  </w:style>
  <w:style w:type="character" w:customStyle="1" w:styleId="HeaderChar">
    <w:name w:val="Header Char"/>
    <w:basedOn w:val="DefaultParagraphFont"/>
    <w:link w:val="Header"/>
    <w:uiPriority w:val="99"/>
    <w:rsid w:val="007A3953"/>
  </w:style>
  <w:style w:type="paragraph" w:styleId="Footer">
    <w:name w:val="footer"/>
    <w:basedOn w:val="Normal"/>
    <w:link w:val="FooterChar"/>
    <w:uiPriority w:val="99"/>
    <w:unhideWhenUsed/>
    <w:rsid w:val="007A3953"/>
    <w:pPr>
      <w:tabs>
        <w:tab w:val="center" w:pos="4513"/>
        <w:tab w:val="right" w:pos="9026"/>
      </w:tabs>
    </w:pPr>
  </w:style>
  <w:style w:type="character" w:customStyle="1" w:styleId="FooterChar">
    <w:name w:val="Footer Char"/>
    <w:basedOn w:val="DefaultParagraphFont"/>
    <w:link w:val="Footer"/>
    <w:uiPriority w:val="99"/>
    <w:rsid w:val="007A3953"/>
  </w:style>
  <w:style w:type="paragraph" w:styleId="NormalWeb">
    <w:name w:val="Normal (Web)"/>
    <w:basedOn w:val="Normal"/>
    <w:uiPriority w:val="99"/>
    <w:semiHidden/>
    <w:unhideWhenUsed/>
    <w:rsid w:val="000C69AD"/>
    <w:pPr>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75452"/>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semiHidden/>
    <w:unhideWhenUsed/>
    <w:rsid w:val="00922D6B"/>
    <w:pPr>
      <w:spacing w:after="100"/>
    </w:pPr>
  </w:style>
  <w:style w:type="paragraph" w:styleId="TOC2">
    <w:name w:val="toc 2"/>
    <w:basedOn w:val="Normal"/>
    <w:next w:val="Normal"/>
    <w:autoRedefine/>
    <w:uiPriority w:val="39"/>
    <w:unhideWhenUsed/>
    <w:rsid w:val="00F4624F"/>
    <w:pPr>
      <w:tabs>
        <w:tab w:val="right" w:leader="dot" w:pos="9016"/>
      </w:tabs>
      <w:spacing w:after="100"/>
      <w:ind w:left="220"/>
    </w:pPr>
    <w:rPr>
      <w:rFonts w:ascii="Arial" w:hAnsi="Arial" w:cs="Arial"/>
      <w:b/>
      <w:bCs/>
      <w:noProof/>
      <w:color w:val="000000" w:themeColor="text1"/>
      <w:sz w:val="24"/>
      <w:szCs w:val="24"/>
    </w:rPr>
  </w:style>
  <w:style w:type="character" w:styleId="FollowedHyperlink">
    <w:name w:val="FollowedHyperlink"/>
    <w:basedOn w:val="DefaultParagraphFont"/>
    <w:uiPriority w:val="99"/>
    <w:semiHidden/>
    <w:unhideWhenUsed/>
    <w:rsid w:val="00922D6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41FBC-E372-C74A-9460-BE6154122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3666</Words>
  <Characters>20900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kishu dholiya</cp:lastModifiedBy>
  <cp:revision>24</cp:revision>
  <dcterms:created xsi:type="dcterms:W3CDTF">2026-07-24T09:10:00Z</dcterms:created>
  <dcterms:modified xsi:type="dcterms:W3CDTF">2026-07-24T09:26:00Z</dcterms:modified>
</cp:coreProperties>
</file>