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56569E" w14:textId="69C5B9EE" w:rsidR="00041811" w:rsidRPr="008343EB" w:rsidRDefault="00F42958" w:rsidP="008343EB">
      <w:pPr>
        <w:spacing w:line="360" w:lineRule="auto"/>
        <w:jc w:val="both"/>
        <w:rPr>
          <w:rFonts w:ascii="Arial" w:hAnsi="Arial" w:cs="Arial"/>
          <w:b/>
          <w:bCs/>
          <w:sz w:val="22"/>
          <w:szCs w:val="22"/>
        </w:rPr>
      </w:pPr>
      <w:bookmarkStart w:id="0" w:name="_GoBack"/>
      <w:bookmarkEnd w:id="0"/>
      <w:r w:rsidRPr="008343EB">
        <w:rPr>
          <w:rFonts w:ascii="Arial" w:hAnsi="Arial" w:cs="Arial"/>
          <w:b/>
          <w:bCs/>
          <w:sz w:val="22"/>
          <w:szCs w:val="22"/>
        </w:rPr>
        <w:t>Coercive control: How has the 2015 legislation changed police response in Gwent?</w:t>
      </w:r>
    </w:p>
    <w:p w14:paraId="617AC07E" w14:textId="3D379B3C" w:rsidR="00F42958" w:rsidRPr="008343EB" w:rsidRDefault="00F42958" w:rsidP="008343EB">
      <w:pPr>
        <w:spacing w:line="360" w:lineRule="auto"/>
        <w:jc w:val="both"/>
        <w:rPr>
          <w:rFonts w:ascii="Arial" w:hAnsi="Arial" w:cs="Arial"/>
          <w:b/>
          <w:bCs/>
          <w:sz w:val="22"/>
          <w:szCs w:val="22"/>
        </w:rPr>
      </w:pPr>
    </w:p>
    <w:p w14:paraId="194B1122" w14:textId="4EC3D0E7" w:rsidR="00F42958" w:rsidRPr="008343EB" w:rsidRDefault="00F42958" w:rsidP="008343EB">
      <w:pPr>
        <w:spacing w:line="360" w:lineRule="auto"/>
        <w:jc w:val="both"/>
        <w:rPr>
          <w:rFonts w:ascii="Arial" w:hAnsi="Arial" w:cs="Arial"/>
          <w:b/>
          <w:bCs/>
          <w:sz w:val="22"/>
          <w:szCs w:val="22"/>
        </w:rPr>
      </w:pPr>
      <w:r w:rsidRPr="008343EB">
        <w:rPr>
          <w:rFonts w:ascii="Arial" w:hAnsi="Arial" w:cs="Arial"/>
          <w:b/>
          <w:bCs/>
          <w:sz w:val="22"/>
          <w:szCs w:val="22"/>
        </w:rPr>
        <w:t>Literature Review:</w:t>
      </w:r>
    </w:p>
    <w:p w14:paraId="1128B60E" w14:textId="61DCE28B" w:rsidR="00C66E00" w:rsidRPr="008343EB" w:rsidRDefault="00C66E00" w:rsidP="008343EB">
      <w:pPr>
        <w:spacing w:line="360" w:lineRule="auto"/>
        <w:jc w:val="both"/>
        <w:rPr>
          <w:rFonts w:ascii="Arial" w:hAnsi="Arial" w:cs="Arial"/>
          <w:sz w:val="22"/>
          <w:szCs w:val="22"/>
        </w:rPr>
      </w:pPr>
    </w:p>
    <w:p w14:paraId="5C206286" w14:textId="77777777" w:rsidR="00837E67" w:rsidRDefault="00C66E00" w:rsidP="008343EB">
      <w:pPr>
        <w:spacing w:line="360" w:lineRule="auto"/>
        <w:jc w:val="both"/>
        <w:rPr>
          <w:rFonts w:ascii="Arial" w:hAnsi="Arial" w:cs="Arial"/>
          <w:sz w:val="22"/>
          <w:szCs w:val="22"/>
        </w:rPr>
      </w:pPr>
      <w:r w:rsidRPr="008343EB">
        <w:rPr>
          <w:rFonts w:ascii="Arial" w:hAnsi="Arial" w:cs="Arial"/>
          <w:color w:val="000000"/>
          <w:sz w:val="22"/>
          <w:szCs w:val="22"/>
        </w:rPr>
        <w:t xml:space="preserve">Coercive control and </w:t>
      </w:r>
      <w:r w:rsidR="00A15715">
        <w:rPr>
          <w:rFonts w:ascii="Arial" w:hAnsi="Arial" w:cs="Arial"/>
          <w:color w:val="000000"/>
          <w:sz w:val="22"/>
          <w:szCs w:val="22"/>
        </w:rPr>
        <w:t>c</w:t>
      </w:r>
      <w:r w:rsidRPr="008343EB">
        <w:rPr>
          <w:rFonts w:ascii="Arial" w:hAnsi="Arial" w:cs="Arial"/>
          <w:color w:val="000000"/>
          <w:sz w:val="22"/>
          <w:szCs w:val="22"/>
        </w:rPr>
        <w:t xml:space="preserve">oercive and controlling behaviour are described and defined in different ways across research literature. As </w:t>
      </w:r>
      <w:proofErr w:type="spellStart"/>
      <w:r w:rsidRPr="008343EB">
        <w:rPr>
          <w:rFonts w:ascii="Arial" w:hAnsi="Arial" w:cs="Arial"/>
          <w:color w:val="000000"/>
          <w:sz w:val="22"/>
          <w:szCs w:val="22"/>
        </w:rPr>
        <w:t>Hamberger</w:t>
      </w:r>
      <w:proofErr w:type="spellEnd"/>
      <w:r w:rsidRPr="008343EB">
        <w:rPr>
          <w:rFonts w:ascii="Arial" w:hAnsi="Arial" w:cs="Arial"/>
          <w:color w:val="000000"/>
          <w:sz w:val="22"/>
          <w:szCs w:val="22"/>
        </w:rPr>
        <w:t xml:space="preserve"> et al (2017) po</w:t>
      </w:r>
      <w:r w:rsidR="00466CB1" w:rsidRPr="008343EB">
        <w:rPr>
          <w:rFonts w:ascii="Arial" w:hAnsi="Arial" w:cs="Arial"/>
          <w:color w:val="000000"/>
          <w:sz w:val="22"/>
          <w:szCs w:val="22"/>
        </w:rPr>
        <w:t>ints out</w:t>
      </w:r>
      <w:r w:rsidRPr="008343EB">
        <w:rPr>
          <w:rFonts w:ascii="Arial" w:hAnsi="Arial" w:cs="Arial"/>
          <w:color w:val="000000"/>
          <w:sz w:val="22"/>
          <w:szCs w:val="22"/>
        </w:rPr>
        <w:t xml:space="preserve">, there is no one consensus definition of coercive control. </w:t>
      </w:r>
      <w:r w:rsidR="00466CB1" w:rsidRPr="008343EB">
        <w:rPr>
          <w:rFonts w:ascii="Arial" w:hAnsi="Arial" w:cs="Arial"/>
          <w:color w:val="000000"/>
          <w:sz w:val="22"/>
          <w:szCs w:val="22"/>
        </w:rPr>
        <w:t>Terms such as ‘controlling behaviours’ or ‘dominating behaviours’ can also be used. There is also a range of similar behaviours that can also be present in cases of coercive control. These include psychological abuse, emotional abuse (</w:t>
      </w:r>
      <w:proofErr w:type="spellStart"/>
      <w:r w:rsidR="00466CB1" w:rsidRPr="008343EB">
        <w:rPr>
          <w:rFonts w:ascii="Arial" w:hAnsi="Arial" w:cs="Arial"/>
          <w:color w:val="000000"/>
          <w:sz w:val="22"/>
          <w:szCs w:val="22"/>
        </w:rPr>
        <w:t>Follingstad</w:t>
      </w:r>
      <w:proofErr w:type="spellEnd"/>
      <w:r w:rsidR="00466CB1" w:rsidRPr="008343EB">
        <w:rPr>
          <w:rFonts w:ascii="Arial" w:hAnsi="Arial" w:cs="Arial"/>
          <w:color w:val="000000"/>
          <w:sz w:val="22"/>
          <w:szCs w:val="22"/>
        </w:rPr>
        <w:t xml:space="preserve">, 2007), </w:t>
      </w:r>
      <w:r w:rsidR="00B76078" w:rsidRPr="008343EB">
        <w:rPr>
          <w:rFonts w:ascii="Arial" w:hAnsi="Arial" w:cs="Arial"/>
          <w:color w:val="000000"/>
          <w:sz w:val="22"/>
          <w:szCs w:val="22"/>
        </w:rPr>
        <w:t>verbal battering (</w:t>
      </w:r>
      <w:proofErr w:type="spellStart"/>
      <w:r w:rsidR="00B76078" w:rsidRPr="008343EB">
        <w:rPr>
          <w:rFonts w:ascii="Arial" w:hAnsi="Arial" w:cs="Arial"/>
          <w:color w:val="000000"/>
          <w:sz w:val="22"/>
          <w:szCs w:val="22"/>
        </w:rPr>
        <w:t>Dobash</w:t>
      </w:r>
      <w:proofErr w:type="spellEnd"/>
      <w:r w:rsidR="00B76078" w:rsidRPr="008343EB">
        <w:rPr>
          <w:rFonts w:ascii="Arial" w:hAnsi="Arial" w:cs="Arial"/>
          <w:color w:val="000000"/>
          <w:sz w:val="22"/>
          <w:szCs w:val="22"/>
        </w:rPr>
        <w:t xml:space="preserve"> and </w:t>
      </w:r>
      <w:proofErr w:type="spellStart"/>
      <w:r w:rsidR="00B76078" w:rsidRPr="008343EB">
        <w:rPr>
          <w:rFonts w:ascii="Arial" w:hAnsi="Arial" w:cs="Arial"/>
          <w:color w:val="000000"/>
          <w:sz w:val="22"/>
          <w:szCs w:val="22"/>
        </w:rPr>
        <w:t>Dobash</w:t>
      </w:r>
      <w:proofErr w:type="spellEnd"/>
      <w:r w:rsidR="00B76078" w:rsidRPr="008343EB">
        <w:rPr>
          <w:rFonts w:ascii="Arial" w:hAnsi="Arial" w:cs="Arial"/>
          <w:color w:val="000000"/>
          <w:sz w:val="22"/>
          <w:szCs w:val="22"/>
        </w:rPr>
        <w:t xml:space="preserve">, 1979), verbal aggression and psychological aggression (Lammers et al, 2005). </w:t>
      </w:r>
      <w:r w:rsidR="00837E67" w:rsidRPr="00837E67">
        <w:rPr>
          <w:rFonts w:ascii="Arial" w:hAnsi="Arial" w:cs="Arial"/>
          <w:sz w:val="22"/>
          <w:szCs w:val="22"/>
        </w:rPr>
        <w:t xml:space="preserve">Lehmann et al in (2012) interviewed over two thousand women in the USA who were using domestic abuse refuges about their experiences of coercive and controlling behaviours. The researchers were able to identify ten clusters of coercive and controlling behaviours that can be used to identify coercive control: physical, sexual, emotional and financial abuse, use of privilege, threats, intimidation, minimising and denying, blaming and isolation. </w:t>
      </w:r>
    </w:p>
    <w:p w14:paraId="395F77E1" w14:textId="77777777" w:rsidR="00837E67" w:rsidRDefault="00837E67" w:rsidP="008343EB">
      <w:pPr>
        <w:spacing w:line="360" w:lineRule="auto"/>
        <w:jc w:val="both"/>
        <w:rPr>
          <w:rFonts w:ascii="Arial" w:hAnsi="Arial" w:cs="Arial"/>
          <w:sz w:val="22"/>
          <w:szCs w:val="22"/>
        </w:rPr>
      </w:pPr>
    </w:p>
    <w:p w14:paraId="54B3B5D0" w14:textId="0D52C176" w:rsidR="0003472E" w:rsidRDefault="00837E67" w:rsidP="008343EB">
      <w:pPr>
        <w:spacing w:line="360" w:lineRule="auto"/>
        <w:jc w:val="both"/>
        <w:rPr>
          <w:rFonts w:ascii="Arial" w:hAnsi="Arial" w:cs="Arial"/>
          <w:color w:val="000000"/>
          <w:sz w:val="22"/>
          <w:szCs w:val="22"/>
        </w:rPr>
      </w:pPr>
      <w:r>
        <w:rPr>
          <w:rFonts w:ascii="Arial" w:hAnsi="Arial" w:cs="Arial"/>
          <w:color w:val="000000"/>
          <w:sz w:val="22"/>
          <w:szCs w:val="22"/>
        </w:rPr>
        <w:t xml:space="preserve">Whilst there is a range of behaviours that can be considered as being somewhat ‘linked’ to coercive control, </w:t>
      </w:r>
      <w:r w:rsidR="00C66E00" w:rsidRPr="008343EB">
        <w:rPr>
          <w:rFonts w:ascii="Arial" w:hAnsi="Arial" w:cs="Arial"/>
          <w:color w:val="000000"/>
          <w:sz w:val="22"/>
          <w:szCs w:val="22"/>
        </w:rPr>
        <w:t xml:space="preserve">research does show that there are some common threads that have emerged when considering a definition of coercive control. Researchers have conceptualized three features that </w:t>
      </w:r>
      <w:r w:rsidR="004C16DB" w:rsidRPr="008343EB">
        <w:rPr>
          <w:rFonts w:ascii="Arial" w:hAnsi="Arial" w:cs="Arial"/>
          <w:color w:val="000000"/>
          <w:sz w:val="22"/>
          <w:szCs w:val="22"/>
        </w:rPr>
        <w:t xml:space="preserve">can be said to be indicators of </w:t>
      </w:r>
      <w:r w:rsidR="00C66E00" w:rsidRPr="008343EB">
        <w:rPr>
          <w:rFonts w:ascii="Arial" w:hAnsi="Arial" w:cs="Arial"/>
          <w:color w:val="000000"/>
          <w:sz w:val="22"/>
          <w:szCs w:val="22"/>
        </w:rPr>
        <w:t>coercive control</w:t>
      </w:r>
      <w:r w:rsidR="004C16DB" w:rsidRPr="008343EB">
        <w:rPr>
          <w:rFonts w:ascii="Arial" w:hAnsi="Arial" w:cs="Arial"/>
          <w:color w:val="000000"/>
          <w:sz w:val="22"/>
          <w:szCs w:val="22"/>
        </w:rPr>
        <w:t xml:space="preserve"> behaviours with</w:t>
      </w:r>
      <w:r w:rsidR="00C66E00" w:rsidRPr="008343EB">
        <w:rPr>
          <w:rFonts w:ascii="Arial" w:hAnsi="Arial" w:cs="Arial"/>
          <w:color w:val="000000"/>
          <w:sz w:val="22"/>
          <w:szCs w:val="22"/>
        </w:rPr>
        <w:t>in a relationship</w:t>
      </w:r>
      <w:r w:rsidR="004C16DB" w:rsidRPr="008343EB">
        <w:rPr>
          <w:rFonts w:ascii="Arial" w:hAnsi="Arial" w:cs="Arial"/>
          <w:color w:val="000000"/>
          <w:sz w:val="22"/>
          <w:szCs w:val="22"/>
        </w:rPr>
        <w:t xml:space="preserve">. The first is the </w:t>
      </w:r>
      <w:r w:rsidR="00C66E00" w:rsidRPr="008343EB">
        <w:rPr>
          <w:rFonts w:ascii="Arial" w:hAnsi="Arial" w:cs="Arial"/>
          <w:color w:val="000000"/>
          <w:sz w:val="22"/>
          <w:szCs w:val="22"/>
        </w:rPr>
        <w:t>intentionality and motivation</w:t>
      </w:r>
      <w:r w:rsidR="004C16DB" w:rsidRPr="008343EB">
        <w:rPr>
          <w:rFonts w:ascii="Arial" w:hAnsi="Arial" w:cs="Arial"/>
          <w:color w:val="000000"/>
          <w:sz w:val="22"/>
          <w:szCs w:val="22"/>
        </w:rPr>
        <w:t xml:space="preserve"> </w:t>
      </w:r>
      <w:r w:rsidR="00C66E00" w:rsidRPr="008343EB">
        <w:rPr>
          <w:rFonts w:ascii="Arial" w:hAnsi="Arial" w:cs="Arial"/>
          <w:color w:val="000000"/>
          <w:sz w:val="22"/>
          <w:szCs w:val="22"/>
        </w:rPr>
        <w:t>within the perpetrator to obtain control over the target,</w:t>
      </w:r>
      <w:r w:rsidR="004C16DB" w:rsidRPr="008343EB">
        <w:rPr>
          <w:rFonts w:ascii="Arial" w:hAnsi="Arial" w:cs="Arial"/>
          <w:color w:val="000000"/>
          <w:sz w:val="22"/>
          <w:szCs w:val="22"/>
        </w:rPr>
        <w:t xml:space="preserve"> the second is that the victim perceives such behaviour as being negative and the third is </w:t>
      </w:r>
      <w:r w:rsidR="00C66E00" w:rsidRPr="008343EB">
        <w:rPr>
          <w:rFonts w:ascii="Arial" w:hAnsi="Arial" w:cs="Arial"/>
          <w:color w:val="000000"/>
          <w:sz w:val="22"/>
          <w:szCs w:val="22"/>
        </w:rPr>
        <w:t>the ability of the perpetrator to make a credible threat</w:t>
      </w:r>
      <w:r w:rsidR="004C16DB" w:rsidRPr="008343EB">
        <w:rPr>
          <w:rFonts w:ascii="Arial" w:hAnsi="Arial" w:cs="Arial"/>
          <w:color w:val="000000"/>
          <w:sz w:val="22"/>
          <w:szCs w:val="22"/>
        </w:rPr>
        <w:t xml:space="preserve"> of negative consequences (Bair-Merritt et al, 2010;</w:t>
      </w:r>
      <w:r w:rsidR="00466CB1" w:rsidRPr="008343EB">
        <w:rPr>
          <w:rFonts w:ascii="Arial" w:hAnsi="Arial" w:cs="Arial"/>
          <w:color w:val="000000"/>
          <w:sz w:val="22"/>
          <w:szCs w:val="22"/>
        </w:rPr>
        <w:t xml:space="preserve"> </w:t>
      </w:r>
      <w:r w:rsidR="004C16DB" w:rsidRPr="008343EB">
        <w:rPr>
          <w:rFonts w:ascii="Arial" w:hAnsi="Arial" w:cs="Arial"/>
          <w:color w:val="000000"/>
          <w:sz w:val="22"/>
          <w:szCs w:val="22"/>
        </w:rPr>
        <w:t xml:space="preserve">Day &amp; Bowen, 2015; </w:t>
      </w:r>
      <w:proofErr w:type="spellStart"/>
      <w:r w:rsidR="004C16DB" w:rsidRPr="008343EB">
        <w:rPr>
          <w:rFonts w:ascii="Arial" w:hAnsi="Arial" w:cs="Arial"/>
          <w:color w:val="000000"/>
          <w:sz w:val="22"/>
          <w:szCs w:val="22"/>
        </w:rPr>
        <w:t>Hamberger</w:t>
      </w:r>
      <w:proofErr w:type="spellEnd"/>
      <w:r w:rsidR="004C16DB" w:rsidRPr="008343EB">
        <w:rPr>
          <w:rFonts w:ascii="Arial" w:hAnsi="Arial" w:cs="Arial"/>
          <w:color w:val="000000"/>
          <w:sz w:val="22"/>
          <w:szCs w:val="22"/>
        </w:rPr>
        <w:t xml:space="preserve"> et al, 2017; Miller and White, 2003).</w:t>
      </w:r>
      <w:r w:rsidR="00466CB1" w:rsidRPr="008343EB">
        <w:rPr>
          <w:rFonts w:ascii="Arial" w:hAnsi="Arial" w:cs="Arial"/>
          <w:color w:val="000000"/>
          <w:sz w:val="22"/>
          <w:szCs w:val="22"/>
        </w:rPr>
        <w:t xml:space="preserve"> </w:t>
      </w:r>
      <w:r w:rsidR="00B76078" w:rsidRPr="008343EB">
        <w:rPr>
          <w:rFonts w:ascii="Arial" w:hAnsi="Arial" w:cs="Arial"/>
          <w:color w:val="000000"/>
          <w:sz w:val="22"/>
          <w:szCs w:val="22"/>
        </w:rPr>
        <w:t xml:space="preserve">Given that there is significant overlap with many other forms of abusive behaviour it can be useful to consider coercive control as being a goal, and the forms of abusive behaviour a perpetrator uses are tactics used in order to develop or maintain control (McLeod, 2018). </w:t>
      </w:r>
    </w:p>
    <w:p w14:paraId="34F4AF38" w14:textId="29F2BB75" w:rsidR="00A15715" w:rsidRDefault="00A15715" w:rsidP="008343EB">
      <w:pPr>
        <w:spacing w:line="360" w:lineRule="auto"/>
        <w:jc w:val="both"/>
        <w:rPr>
          <w:rFonts w:ascii="Arial" w:hAnsi="Arial" w:cs="Arial"/>
          <w:color w:val="000000"/>
          <w:sz w:val="22"/>
          <w:szCs w:val="22"/>
        </w:rPr>
      </w:pPr>
    </w:p>
    <w:p w14:paraId="6AEFC0EC" w14:textId="7BB539EB" w:rsidR="00452EE7" w:rsidRPr="00C62EC2" w:rsidRDefault="00C66E00" w:rsidP="00C62EC2">
      <w:pPr>
        <w:spacing w:line="360" w:lineRule="auto"/>
        <w:jc w:val="both"/>
        <w:rPr>
          <w:rFonts w:ascii="Arial" w:hAnsi="Arial" w:cs="Arial"/>
          <w:sz w:val="22"/>
          <w:szCs w:val="22"/>
        </w:rPr>
      </w:pPr>
      <w:r w:rsidRPr="00C62EC2">
        <w:rPr>
          <w:rFonts w:ascii="Arial" w:hAnsi="Arial" w:cs="Arial"/>
          <w:color w:val="000000"/>
          <w:sz w:val="22"/>
          <w:szCs w:val="22"/>
        </w:rPr>
        <w:t>In the UK</w:t>
      </w:r>
      <w:r w:rsidR="00452EE7" w:rsidRPr="00C62EC2">
        <w:rPr>
          <w:rFonts w:ascii="Arial" w:hAnsi="Arial" w:cs="Arial"/>
          <w:color w:val="000000"/>
          <w:sz w:val="22"/>
          <w:szCs w:val="22"/>
        </w:rPr>
        <w:t>,</w:t>
      </w:r>
      <w:r w:rsidRPr="00C62EC2">
        <w:rPr>
          <w:rFonts w:ascii="Arial" w:hAnsi="Arial" w:cs="Arial"/>
          <w:color w:val="000000"/>
          <w:sz w:val="22"/>
          <w:szCs w:val="22"/>
        </w:rPr>
        <w:t xml:space="preserve"> the Government</w:t>
      </w:r>
      <w:r w:rsidR="00C62EC2" w:rsidRPr="00C62EC2">
        <w:rPr>
          <w:rFonts w:ascii="Arial" w:hAnsi="Arial" w:cs="Arial"/>
          <w:color w:val="000000"/>
          <w:sz w:val="22"/>
          <w:szCs w:val="22"/>
        </w:rPr>
        <w:t xml:space="preserve"> in 2015</w:t>
      </w:r>
      <w:r w:rsidRPr="00C62EC2">
        <w:rPr>
          <w:rFonts w:ascii="Arial" w:hAnsi="Arial" w:cs="Arial"/>
          <w:color w:val="000000"/>
          <w:sz w:val="22"/>
          <w:szCs w:val="22"/>
        </w:rPr>
        <w:t xml:space="preserve"> developed definition</w:t>
      </w:r>
      <w:r w:rsidR="00C62EC2" w:rsidRPr="00C62EC2">
        <w:rPr>
          <w:rFonts w:ascii="Arial" w:hAnsi="Arial" w:cs="Arial"/>
          <w:color w:val="000000"/>
          <w:sz w:val="22"/>
          <w:szCs w:val="22"/>
        </w:rPr>
        <w:t>s</w:t>
      </w:r>
      <w:r w:rsidRPr="00C62EC2">
        <w:rPr>
          <w:rFonts w:ascii="Arial" w:hAnsi="Arial" w:cs="Arial"/>
          <w:color w:val="000000"/>
          <w:sz w:val="22"/>
          <w:szCs w:val="22"/>
        </w:rPr>
        <w:t xml:space="preserve"> of coercive and controlling behaviour.</w:t>
      </w:r>
      <w:r w:rsidR="00C62EC2" w:rsidRPr="00C62EC2">
        <w:rPr>
          <w:rFonts w:ascii="Arial" w:hAnsi="Arial" w:cs="Arial"/>
          <w:sz w:val="22"/>
          <w:szCs w:val="22"/>
        </w:rPr>
        <w:t xml:space="preserve"> </w:t>
      </w:r>
      <w:r w:rsidR="00452EE7" w:rsidRPr="00C62EC2">
        <w:rPr>
          <w:rFonts w:ascii="Arial" w:hAnsi="Arial" w:cs="Arial"/>
          <w:sz w:val="22"/>
          <w:szCs w:val="22"/>
        </w:rPr>
        <w:t>Controlling behaviour is defined as:</w:t>
      </w:r>
    </w:p>
    <w:p w14:paraId="39041774" w14:textId="638E7017" w:rsidR="00452EE7" w:rsidRPr="00C62EC2" w:rsidRDefault="00452EE7" w:rsidP="00C62EC2">
      <w:pPr>
        <w:spacing w:line="360" w:lineRule="auto"/>
        <w:ind w:left="1440"/>
        <w:jc w:val="both"/>
        <w:rPr>
          <w:rFonts w:ascii="Arial" w:hAnsi="Arial" w:cs="Arial"/>
          <w:i/>
          <w:iCs/>
          <w:sz w:val="22"/>
          <w:szCs w:val="22"/>
        </w:rPr>
      </w:pPr>
      <w:r w:rsidRPr="00C62EC2">
        <w:rPr>
          <w:rFonts w:ascii="Arial" w:hAnsi="Arial" w:cs="Arial"/>
          <w:i/>
          <w:iCs/>
          <w:sz w:val="22"/>
          <w:szCs w:val="22"/>
        </w:rPr>
        <w:t xml:space="preserve">‘Controlling behaviour is a range of acts designed to make a person subordinate and/or dependent by isolating them from sources of support, exploiting their resources and capacities for personal gain, depriving them of the means needed for independence, resistance and escape and regulating their everyday behaviour.’ </w:t>
      </w:r>
      <w:r w:rsidRPr="00C62EC2">
        <w:rPr>
          <w:rFonts w:ascii="Arial" w:hAnsi="Arial" w:cs="Arial"/>
          <w:sz w:val="22"/>
          <w:szCs w:val="22"/>
        </w:rPr>
        <w:t>(</w:t>
      </w:r>
      <w:r w:rsidR="00C62EC2" w:rsidRPr="00C62EC2">
        <w:rPr>
          <w:rFonts w:ascii="Arial" w:hAnsi="Arial" w:cs="Arial"/>
          <w:sz w:val="22"/>
          <w:szCs w:val="22"/>
        </w:rPr>
        <w:t>HM Government</w:t>
      </w:r>
      <w:r w:rsidRPr="00C62EC2">
        <w:rPr>
          <w:rFonts w:ascii="Arial" w:hAnsi="Arial" w:cs="Arial"/>
          <w:sz w:val="22"/>
          <w:szCs w:val="22"/>
        </w:rPr>
        <w:t>, 201</w:t>
      </w:r>
      <w:r w:rsidR="00C62EC2" w:rsidRPr="00C62EC2">
        <w:rPr>
          <w:rFonts w:ascii="Arial" w:hAnsi="Arial" w:cs="Arial"/>
          <w:sz w:val="22"/>
          <w:szCs w:val="22"/>
        </w:rPr>
        <w:t>8</w:t>
      </w:r>
      <w:r w:rsidRPr="00C62EC2">
        <w:rPr>
          <w:rFonts w:ascii="Arial" w:hAnsi="Arial" w:cs="Arial"/>
          <w:sz w:val="22"/>
          <w:szCs w:val="22"/>
        </w:rPr>
        <w:t>:13).</w:t>
      </w:r>
    </w:p>
    <w:p w14:paraId="6880988B" w14:textId="165ED37B" w:rsidR="00C62EC2" w:rsidRPr="00AB4496" w:rsidRDefault="00C62EC2" w:rsidP="00AB4496">
      <w:pPr>
        <w:spacing w:line="360" w:lineRule="auto"/>
        <w:jc w:val="both"/>
        <w:rPr>
          <w:rFonts w:ascii="Arial" w:hAnsi="Arial" w:cs="Arial"/>
          <w:sz w:val="22"/>
          <w:szCs w:val="22"/>
        </w:rPr>
      </w:pPr>
      <w:r w:rsidRPr="00C62EC2">
        <w:rPr>
          <w:rFonts w:ascii="Arial" w:hAnsi="Arial" w:cs="Arial"/>
          <w:sz w:val="22"/>
          <w:szCs w:val="22"/>
        </w:rPr>
        <w:lastRenderedPageBreak/>
        <w:t xml:space="preserve">Coercive behaviour is defined as: </w:t>
      </w:r>
      <w:r w:rsidRPr="00C62EC2">
        <w:rPr>
          <w:rFonts w:ascii="Arial" w:hAnsi="Arial" w:cs="Arial"/>
          <w:i/>
          <w:iCs/>
          <w:sz w:val="22"/>
          <w:szCs w:val="22"/>
        </w:rPr>
        <w:t xml:space="preserve">‘Coercive behaviour is an act or a pattern of acts of assault, threats, humiliation and intimidation or other abuse that is used to harm, punish, or frighten their victim’ </w:t>
      </w:r>
      <w:r w:rsidRPr="00C62EC2">
        <w:rPr>
          <w:rFonts w:ascii="Arial" w:hAnsi="Arial" w:cs="Arial"/>
          <w:sz w:val="22"/>
          <w:szCs w:val="22"/>
        </w:rPr>
        <w:t xml:space="preserve">(HM Government, 2018:13). </w:t>
      </w:r>
      <w:r w:rsidRPr="00C62EC2">
        <w:rPr>
          <w:rFonts w:ascii="Arial" w:eastAsiaTheme="minorHAnsi" w:hAnsi="Arial" w:cs="Arial"/>
          <w:sz w:val="22"/>
          <w:szCs w:val="22"/>
          <w:lang w:eastAsia="en-US"/>
        </w:rPr>
        <w:t>Coercive and controlling behaviour within relationships was criminalised and introduced i</w:t>
      </w:r>
      <w:r w:rsidRPr="00C62EC2">
        <w:rPr>
          <w:rFonts w:ascii="Arial" w:hAnsi="Arial" w:cs="Arial"/>
          <w:color w:val="000000"/>
          <w:sz w:val="22"/>
          <w:szCs w:val="22"/>
        </w:rPr>
        <w:t>n December 2015, in England and Wales in Section 76 of the Serious Crime Act. It states</w:t>
      </w:r>
      <w:r w:rsidR="00AB4496">
        <w:rPr>
          <w:rFonts w:ascii="Arial" w:hAnsi="Arial" w:cs="Arial"/>
          <w:color w:val="000000"/>
          <w:sz w:val="22"/>
          <w:szCs w:val="22"/>
        </w:rPr>
        <w:t>:</w:t>
      </w:r>
    </w:p>
    <w:p w14:paraId="2869068E" w14:textId="77777777" w:rsidR="00C62EC2" w:rsidRPr="00C62EC2" w:rsidRDefault="00C62EC2" w:rsidP="00AB4496">
      <w:pPr>
        <w:autoSpaceDE w:val="0"/>
        <w:autoSpaceDN w:val="0"/>
        <w:adjustRightInd w:val="0"/>
        <w:spacing w:line="360" w:lineRule="auto"/>
        <w:ind w:left="1440"/>
        <w:jc w:val="both"/>
        <w:rPr>
          <w:rFonts w:ascii="Arial" w:hAnsi="Arial" w:cs="Arial"/>
          <w:i/>
          <w:iCs/>
          <w:color w:val="000000"/>
          <w:sz w:val="22"/>
          <w:szCs w:val="22"/>
        </w:rPr>
      </w:pPr>
      <w:r w:rsidRPr="00C62EC2">
        <w:rPr>
          <w:rFonts w:ascii="Arial" w:hAnsi="Arial" w:cs="Arial"/>
          <w:i/>
          <w:iCs/>
          <w:color w:val="000000"/>
          <w:sz w:val="22"/>
          <w:szCs w:val="22"/>
        </w:rPr>
        <w:t>‘A person (A) commits an offence [of coercive control] if—</w:t>
      </w:r>
    </w:p>
    <w:p w14:paraId="602D4B4D" w14:textId="77777777" w:rsidR="00C62EC2" w:rsidRPr="00C62EC2" w:rsidRDefault="00C62EC2" w:rsidP="00AB4496">
      <w:pPr>
        <w:autoSpaceDE w:val="0"/>
        <w:autoSpaceDN w:val="0"/>
        <w:adjustRightInd w:val="0"/>
        <w:spacing w:line="360" w:lineRule="auto"/>
        <w:ind w:left="1440"/>
        <w:jc w:val="both"/>
        <w:rPr>
          <w:rFonts w:ascii="Arial" w:hAnsi="Arial" w:cs="Arial"/>
          <w:i/>
          <w:iCs/>
          <w:color w:val="000000"/>
          <w:sz w:val="22"/>
          <w:szCs w:val="22"/>
        </w:rPr>
      </w:pPr>
      <w:r w:rsidRPr="00C62EC2">
        <w:rPr>
          <w:rFonts w:ascii="Arial" w:hAnsi="Arial" w:cs="Arial"/>
          <w:i/>
          <w:iCs/>
          <w:color w:val="000000"/>
          <w:sz w:val="22"/>
          <w:szCs w:val="22"/>
        </w:rPr>
        <w:t xml:space="preserve">(a) A repeatedly or continuously engages in behaviour towards another person (B) that is controlling or coercive, </w:t>
      </w:r>
    </w:p>
    <w:p w14:paraId="44AEC162" w14:textId="77777777" w:rsidR="00C62EC2" w:rsidRPr="00C62EC2" w:rsidRDefault="00C62EC2" w:rsidP="00AB4496">
      <w:pPr>
        <w:autoSpaceDE w:val="0"/>
        <w:autoSpaceDN w:val="0"/>
        <w:adjustRightInd w:val="0"/>
        <w:spacing w:line="360" w:lineRule="auto"/>
        <w:ind w:left="1440"/>
        <w:jc w:val="both"/>
        <w:rPr>
          <w:rFonts w:ascii="Arial" w:hAnsi="Arial" w:cs="Arial"/>
          <w:i/>
          <w:iCs/>
          <w:color w:val="000000"/>
          <w:sz w:val="22"/>
          <w:szCs w:val="22"/>
        </w:rPr>
      </w:pPr>
      <w:r w:rsidRPr="00C62EC2">
        <w:rPr>
          <w:rFonts w:ascii="Arial" w:hAnsi="Arial" w:cs="Arial"/>
          <w:i/>
          <w:iCs/>
          <w:color w:val="000000"/>
          <w:sz w:val="22"/>
          <w:szCs w:val="22"/>
        </w:rPr>
        <w:t xml:space="preserve">(b) At the time of the behaviour, A and B are personally connected, </w:t>
      </w:r>
    </w:p>
    <w:p w14:paraId="7F3DA277" w14:textId="77777777" w:rsidR="00C62EC2" w:rsidRPr="00C62EC2" w:rsidRDefault="00C62EC2" w:rsidP="00AB4496">
      <w:pPr>
        <w:autoSpaceDE w:val="0"/>
        <w:autoSpaceDN w:val="0"/>
        <w:adjustRightInd w:val="0"/>
        <w:spacing w:line="360" w:lineRule="auto"/>
        <w:ind w:left="1440"/>
        <w:jc w:val="both"/>
        <w:rPr>
          <w:rFonts w:ascii="Arial" w:hAnsi="Arial" w:cs="Arial"/>
          <w:i/>
          <w:iCs/>
          <w:color w:val="000000"/>
          <w:sz w:val="22"/>
          <w:szCs w:val="22"/>
        </w:rPr>
      </w:pPr>
      <w:r w:rsidRPr="00C62EC2">
        <w:rPr>
          <w:rFonts w:ascii="Arial" w:hAnsi="Arial" w:cs="Arial"/>
          <w:i/>
          <w:iCs/>
          <w:color w:val="000000"/>
          <w:sz w:val="22"/>
          <w:szCs w:val="22"/>
        </w:rPr>
        <w:t xml:space="preserve">(c) The behaviour has a serious effect on B, and </w:t>
      </w:r>
    </w:p>
    <w:p w14:paraId="7B7B9EF7" w14:textId="77777777" w:rsidR="00AB4496" w:rsidRDefault="00C62EC2" w:rsidP="00AB4496">
      <w:pPr>
        <w:autoSpaceDE w:val="0"/>
        <w:autoSpaceDN w:val="0"/>
        <w:adjustRightInd w:val="0"/>
        <w:spacing w:line="360" w:lineRule="auto"/>
        <w:ind w:left="1440"/>
        <w:jc w:val="both"/>
        <w:rPr>
          <w:rFonts w:ascii="Arial" w:hAnsi="Arial" w:cs="Arial"/>
          <w:color w:val="000000" w:themeColor="text1"/>
          <w:sz w:val="22"/>
          <w:szCs w:val="22"/>
        </w:rPr>
      </w:pPr>
      <w:r w:rsidRPr="00C62EC2">
        <w:rPr>
          <w:rFonts w:ascii="Arial" w:hAnsi="Arial" w:cs="Arial"/>
          <w:i/>
          <w:iCs/>
          <w:color w:val="000000"/>
          <w:sz w:val="22"/>
          <w:szCs w:val="22"/>
        </w:rPr>
        <w:t>(d) A knows or ought to know that the behaviour will have a serious effect on B</w:t>
      </w:r>
      <w:r w:rsidRPr="00C62EC2">
        <w:rPr>
          <w:rFonts w:ascii="Arial" w:hAnsi="Arial" w:cs="Arial"/>
          <w:color w:val="000000" w:themeColor="text1"/>
          <w:sz w:val="22"/>
          <w:szCs w:val="22"/>
        </w:rPr>
        <w:t>.</w:t>
      </w:r>
    </w:p>
    <w:p w14:paraId="70F36E46" w14:textId="1AC17710" w:rsidR="00AB4496" w:rsidRPr="00AB4496" w:rsidRDefault="00AB4496" w:rsidP="00AB4496">
      <w:pPr>
        <w:pStyle w:val="legclearfix"/>
        <w:shd w:val="clear" w:color="auto" w:fill="FFFFFF"/>
        <w:spacing w:before="0" w:beforeAutospacing="0" w:after="120" w:afterAutospacing="0" w:line="360" w:lineRule="atLeast"/>
        <w:ind w:left="1440"/>
        <w:rPr>
          <w:rFonts w:ascii="Arial" w:hAnsi="Arial" w:cs="Arial"/>
          <w:i/>
          <w:iCs/>
          <w:color w:val="000000"/>
          <w:sz w:val="22"/>
          <w:szCs w:val="22"/>
        </w:rPr>
      </w:pPr>
      <w:r w:rsidRPr="00AB4496">
        <w:rPr>
          <w:rStyle w:val="legds"/>
          <w:rFonts w:ascii="Arial" w:hAnsi="Arial" w:cs="Arial"/>
          <w:i/>
          <w:iCs/>
          <w:color w:val="000000"/>
          <w:sz w:val="22"/>
          <w:szCs w:val="22"/>
        </w:rPr>
        <w:t>A and B are “personally connected” if—</w:t>
      </w:r>
    </w:p>
    <w:p w14:paraId="45DA63F9" w14:textId="6FE7FB13" w:rsidR="00AB4496" w:rsidRPr="00AB4496" w:rsidRDefault="00AB4496" w:rsidP="00AB4496">
      <w:pPr>
        <w:pStyle w:val="legclearfix"/>
        <w:shd w:val="clear" w:color="auto" w:fill="FFFFFF"/>
        <w:spacing w:before="0" w:beforeAutospacing="0" w:after="120" w:afterAutospacing="0" w:line="360" w:lineRule="atLeast"/>
        <w:ind w:left="1440"/>
        <w:rPr>
          <w:rFonts w:ascii="Arial" w:hAnsi="Arial" w:cs="Arial"/>
          <w:i/>
          <w:iCs/>
          <w:color w:val="000000"/>
          <w:sz w:val="22"/>
          <w:szCs w:val="22"/>
        </w:rPr>
      </w:pPr>
      <w:r w:rsidRPr="00AB4496">
        <w:rPr>
          <w:rStyle w:val="legds"/>
          <w:rFonts w:ascii="Arial" w:hAnsi="Arial" w:cs="Arial"/>
          <w:i/>
          <w:iCs/>
          <w:color w:val="000000"/>
          <w:sz w:val="22"/>
          <w:szCs w:val="22"/>
        </w:rPr>
        <w:t>(a) A is in an intimate personal relationship with B, or</w:t>
      </w:r>
    </w:p>
    <w:p w14:paraId="663A1AB3" w14:textId="3197EB69" w:rsidR="00AB4496" w:rsidRPr="00AB4496" w:rsidRDefault="00AB4496" w:rsidP="00AB4496">
      <w:pPr>
        <w:pStyle w:val="legclearfix"/>
        <w:shd w:val="clear" w:color="auto" w:fill="FFFFFF"/>
        <w:spacing w:before="0" w:beforeAutospacing="0" w:after="120" w:afterAutospacing="0" w:line="360" w:lineRule="atLeast"/>
        <w:ind w:left="1440"/>
        <w:rPr>
          <w:rFonts w:ascii="Arial" w:hAnsi="Arial" w:cs="Arial"/>
          <w:i/>
          <w:iCs/>
          <w:color w:val="000000"/>
          <w:sz w:val="22"/>
          <w:szCs w:val="22"/>
        </w:rPr>
      </w:pPr>
      <w:r w:rsidRPr="00AB4496">
        <w:rPr>
          <w:rStyle w:val="legds"/>
          <w:rFonts w:ascii="Arial" w:hAnsi="Arial" w:cs="Arial"/>
          <w:i/>
          <w:iCs/>
          <w:color w:val="000000"/>
          <w:sz w:val="22"/>
          <w:szCs w:val="22"/>
        </w:rPr>
        <w:t>(b) A and B live together and—</w:t>
      </w:r>
    </w:p>
    <w:p w14:paraId="5E1F3DA9" w14:textId="2C2ED704" w:rsidR="00AB4496" w:rsidRPr="00AB4496" w:rsidRDefault="00AB4496" w:rsidP="00AB4496">
      <w:pPr>
        <w:pStyle w:val="legclearfix"/>
        <w:shd w:val="clear" w:color="auto" w:fill="FFFFFF"/>
        <w:spacing w:before="0" w:beforeAutospacing="0" w:after="120" w:afterAutospacing="0" w:line="360" w:lineRule="atLeast"/>
        <w:ind w:left="1440"/>
        <w:rPr>
          <w:rFonts w:ascii="Arial" w:hAnsi="Arial" w:cs="Arial"/>
          <w:i/>
          <w:iCs/>
          <w:color w:val="000000"/>
          <w:sz w:val="22"/>
          <w:szCs w:val="22"/>
        </w:rPr>
      </w:pPr>
      <w:r w:rsidRPr="00AB4496">
        <w:rPr>
          <w:rStyle w:val="legds"/>
          <w:rFonts w:ascii="Arial" w:hAnsi="Arial" w:cs="Arial"/>
          <w:i/>
          <w:iCs/>
          <w:color w:val="000000"/>
          <w:sz w:val="22"/>
          <w:szCs w:val="22"/>
        </w:rPr>
        <w:t>(</w:t>
      </w:r>
      <w:proofErr w:type="spellStart"/>
      <w:r w:rsidRPr="00AB4496">
        <w:rPr>
          <w:rStyle w:val="legds"/>
          <w:rFonts w:ascii="Arial" w:hAnsi="Arial" w:cs="Arial"/>
          <w:i/>
          <w:iCs/>
          <w:color w:val="000000"/>
          <w:sz w:val="22"/>
          <w:szCs w:val="22"/>
        </w:rPr>
        <w:t>i</w:t>
      </w:r>
      <w:proofErr w:type="spellEnd"/>
      <w:r w:rsidRPr="00AB4496">
        <w:rPr>
          <w:rStyle w:val="legds"/>
          <w:rFonts w:ascii="Arial" w:hAnsi="Arial" w:cs="Arial"/>
          <w:i/>
          <w:iCs/>
          <w:color w:val="000000"/>
          <w:sz w:val="22"/>
          <w:szCs w:val="22"/>
        </w:rPr>
        <w:t>) they are members of the same family, or</w:t>
      </w:r>
    </w:p>
    <w:p w14:paraId="6F8D672A" w14:textId="1BFB6CF4" w:rsidR="00AB4496" w:rsidRPr="00AB4496" w:rsidRDefault="00AB4496" w:rsidP="00AB4496">
      <w:pPr>
        <w:pStyle w:val="legclearfix"/>
        <w:shd w:val="clear" w:color="auto" w:fill="FFFFFF"/>
        <w:spacing w:before="0" w:beforeAutospacing="0" w:after="120" w:afterAutospacing="0" w:line="360" w:lineRule="atLeast"/>
        <w:ind w:left="1440"/>
        <w:rPr>
          <w:rFonts w:ascii="Arial" w:hAnsi="Arial" w:cs="Arial"/>
          <w:i/>
          <w:iCs/>
          <w:color w:val="000000"/>
          <w:sz w:val="22"/>
          <w:szCs w:val="22"/>
        </w:rPr>
      </w:pPr>
      <w:r w:rsidRPr="00AB4496">
        <w:rPr>
          <w:rStyle w:val="legds"/>
          <w:rFonts w:ascii="Arial" w:hAnsi="Arial" w:cs="Arial"/>
          <w:i/>
          <w:iCs/>
          <w:color w:val="000000"/>
          <w:sz w:val="22"/>
          <w:szCs w:val="22"/>
        </w:rPr>
        <w:t>(ii) they have previously been in an intimate personal relationship with each other.</w:t>
      </w:r>
    </w:p>
    <w:p w14:paraId="45E98DD1" w14:textId="77777777" w:rsidR="00AB4496" w:rsidRPr="00AB4496" w:rsidRDefault="00AB4496" w:rsidP="00AB4496">
      <w:pPr>
        <w:pStyle w:val="legclearfix"/>
        <w:shd w:val="clear" w:color="auto" w:fill="FFFFFF"/>
        <w:spacing w:before="0" w:beforeAutospacing="0" w:after="120" w:afterAutospacing="0" w:line="360" w:lineRule="atLeast"/>
        <w:ind w:left="1440"/>
        <w:rPr>
          <w:rFonts w:ascii="Arial" w:hAnsi="Arial" w:cs="Arial"/>
          <w:i/>
          <w:iCs/>
          <w:color w:val="000000"/>
          <w:sz w:val="22"/>
          <w:szCs w:val="22"/>
        </w:rPr>
      </w:pPr>
      <w:r w:rsidRPr="00AB4496">
        <w:rPr>
          <w:rStyle w:val="legds"/>
          <w:rFonts w:ascii="Arial" w:hAnsi="Arial" w:cs="Arial"/>
          <w:i/>
          <w:iCs/>
          <w:color w:val="000000"/>
          <w:sz w:val="22"/>
          <w:szCs w:val="22"/>
        </w:rPr>
        <w:t>A’s behaviour has a “serious effect” on B if—</w:t>
      </w:r>
    </w:p>
    <w:p w14:paraId="2BF2684A" w14:textId="0CB3CFA1" w:rsidR="00AB4496" w:rsidRPr="00AB4496" w:rsidRDefault="00AB4496" w:rsidP="00AB4496">
      <w:pPr>
        <w:pStyle w:val="legclearfix"/>
        <w:shd w:val="clear" w:color="auto" w:fill="FFFFFF"/>
        <w:spacing w:before="0" w:beforeAutospacing="0" w:after="120" w:afterAutospacing="0" w:line="360" w:lineRule="atLeast"/>
        <w:ind w:left="1440"/>
        <w:rPr>
          <w:rFonts w:ascii="Arial" w:hAnsi="Arial" w:cs="Arial"/>
          <w:i/>
          <w:iCs/>
          <w:color w:val="000000"/>
          <w:sz w:val="22"/>
          <w:szCs w:val="22"/>
        </w:rPr>
      </w:pPr>
      <w:r w:rsidRPr="00AB4496">
        <w:rPr>
          <w:rStyle w:val="legds"/>
          <w:rFonts w:ascii="Arial" w:hAnsi="Arial" w:cs="Arial"/>
          <w:i/>
          <w:iCs/>
          <w:color w:val="000000"/>
          <w:sz w:val="22"/>
          <w:szCs w:val="22"/>
        </w:rPr>
        <w:t>(a) it causes B to fear, on at least two occasions, that violence will be used against B, or</w:t>
      </w:r>
    </w:p>
    <w:p w14:paraId="7A8EB593" w14:textId="1B820285" w:rsidR="00C62EC2" w:rsidRPr="00AB4496" w:rsidRDefault="00AB4496" w:rsidP="00AB4496">
      <w:pPr>
        <w:pStyle w:val="legclearfix"/>
        <w:shd w:val="clear" w:color="auto" w:fill="FFFFFF"/>
        <w:spacing w:before="0" w:beforeAutospacing="0" w:after="120" w:afterAutospacing="0" w:line="360" w:lineRule="atLeast"/>
        <w:ind w:left="1440"/>
        <w:rPr>
          <w:rStyle w:val="lookup-resultcontent"/>
          <w:rFonts w:ascii="Arial" w:hAnsi="Arial" w:cs="Arial"/>
          <w:color w:val="000000"/>
          <w:sz w:val="19"/>
          <w:szCs w:val="19"/>
        </w:rPr>
      </w:pPr>
      <w:r w:rsidRPr="00AB4496">
        <w:rPr>
          <w:rStyle w:val="legds"/>
          <w:rFonts w:ascii="Arial" w:hAnsi="Arial" w:cs="Arial"/>
          <w:i/>
          <w:iCs/>
          <w:color w:val="000000"/>
          <w:sz w:val="22"/>
          <w:szCs w:val="22"/>
        </w:rPr>
        <w:t>(b) it causes B serious alarm or distress which has a substantial adverse effect on B’s usual day-to-day activities’</w:t>
      </w:r>
      <w:r w:rsidR="00C62EC2" w:rsidRPr="00C62EC2">
        <w:rPr>
          <w:rFonts w:ascii="Arial" w:hAnsi="Arial" w:cs="Arial"/>
          <w:color w:val="000000" w:themeColor="text1"/>
          <w:sz w:val="22"/>
          <w:szCs w:val="22"/>
        </w:rPr>
        <w:t xml:space="preserve"> (Home Office, 2015:3).</w:t>
      </w:r>
    </w:p>
    <w:p w14:paraId="006D098B" w14:textId="1322A650" w:rsidR="00C62EC2" w:rsidRDefault="00AB4496" w:rsidP="00AB4496">
      <w:pPr>
        <w:spacing w:line="360" w:lineRule="auto"/>
        <w:jc w:val="both"/>
        <w:rPr>
          <w:rFonts w:ascii="Arial" w:eastAsiaTheme="minorHAnsi" w:hAnsi="Arial" w:cs="Arial"/>
          <w:sz w:val="22"/>
          <w:szCs w:val="22"/>
          <w:lang w:eastAsia="en-US"/>
        </w:rPr>
      </w:pPr>
      <w:r w:rsidRPr="00AB4496">
        <w:rPr>
          <w:rFonts w:ascii="Arial" w:eastAsiaTheme="minorHAnsi" w:hAnsi="Arial" w:cs="Arial"/>
          <w:sz w:val="22"/>
          <w:szCs w:val="22"/>
          <w:lang w:eastAsia="en-US"/>
        </w:rPr>
        <w:t>This definition places a clear emphasis on the effect of coercive control on the victim,</w:t>
      </w:r>
      <w:r>
        <w:rPr>
          <w:rFonts w:ascii="Arial" w:eastAsiaTheme="minorHAnsi" w:hAnsi="Arial" w:cs="Arial"/>
          <w:sz w:val="22"/>
          <w:szCs w:val="22"/>
          <w:lang w:eastAsia="en-US"/>
        </w:rPr>
        <w:t xml:space="preserve"> </w:t>
      </w:r>
      <w:r w:rsidR="00C62EC2" w:rsidRPr="00AB4496">
        <w:rPr>
          <w:rFonts w:ascii="Arial" w:eastAsiaTheme="minorHAnsi" w:hAnsi="Arial" w:cs="Arial"/>
          <w:sz w:val="22"/>
          <w:szCs w:val="22"/>
          <w:lang w:eastAsia="en-US"/>
        </w:rPr>
        <w:t xml:space="preserve">effects include causing a fear of </w:t>
      </w:r>
      <w:r w:rsidRPr="00AB4496">
        <w:rPr>
          <w:rFonts w:ascii="Arial" w:eastAsiaTheme="minorHAnsi" w:hAnsi="Arial" w:cs="Arial"/>
          <w:sz w:val="22"/>
          <w:szCs w:val="22"/>
          <w:lang w:eastAsia="en-US"/>
        </w:rPr>
        <w:t xml:space="preserve">having </w:t>
      </w:r>
      <w:r w:rsidR="00C62EC2" w:rsidRPr="00AB4496">
        <w:rPr>
          <w:rFonts w:ascii="Arial" w:eastAsiaTheme="minorHAnsi" w:hAnsi="Arial" w:cs="Arial"/>
          <w:sz w:val="22"/>
          <w:szCs w:val="22"/>
          <w:lang w:eastAsia="en-US"/>
        </w:rPr>
        <w:t>violence</w:t>
      </w:r>
      <w:r w:rsidRPr="00AB4496">
        <w:rPr>
          <w:rFonts w:ascii="Arial" w:eastAsiaTheme="minorHAnsi" w:hAnsi="Arial" w:cs="Arial"/>
          <w:sz w:val="22"/>
          <w:szCs w:val="22"/>
          <w:lang w:eastAsia="en-US"/>
        </w:rPr>
        <w:t xml:space="preserve"> used against them</w:t>
      </w:r>
      <w:r w:rsidR="00C62EC2" w:rsidRPr="00AB4496">
        <w:rPr>
          <w:rFonts w:ascii="Arial" w:eastAsiaTheme="minorHAnsi" w:hAnsi="Arial" w:cs="Arial"/>
          <w:sz w:val="22"/>
          <w:szCs w:val="22"/>
          <w:lang w:eastAsia="en-US"/>
        </w:rPr>
        <w:t xml:space="preserve"> and having an impact on the</w:t>
      </w:r>
      <w:r>
        <w:rPr>
          <w:rFonts w:ascii="Arial" w:eastAsiaTheme="minorHAnsi" w:hAnsi="Arial" w:cs="Arial"/>
          <w:sz w:val="22"/>
          <w:szCs w:val="22"/>
          <w:lang w:eastAsia="en-US"/>
        </w:rPr>
        <w:t xml:space="preserve"> </w:t>
      </w:r>
      <w:r w:rsidRPr="00AB4496">
        <w:rPr>
          <w:rFonts w:ascii="Arial" w:eastAsiaTheme="minorHAnsi" w:hAnsi="Arial" w:cs="Arial"/>
          <w:sz w:val="22"/>
          <w:szCs w:val="22"/>
          <w:lang w:eastAsia="en-US"/>
        </w:rPr>
        <w:t xml:space="preserve">day-to-day life of the </w:t>
      </w:r>
      <w:r w:rsidR="00C62EC2" w:rsidRPr="00AB4496">
        <w:rPr>
          <w:rFonts w:ascii="Arial" w:eastAsiaTheme="minorHAnsi" w:hAnsi="Arial" w:cs="Arial"/>
          <w:sz w:val="22"/>
          <w:szCs w:val="22"/>
          <w:lang w:eastAsia="en-US"/>
        </w:rPr>
        <w:t>victim</w:t>
      </w:r>
      <w:r w:rsidRPr="00AB4496">
        <w:rPr>
          <w:rFonts w:ascii="Arial" w:eastAsiaTheme="minorHAnsi" w:hAnsi="Arial" w:cs="Arial"/>
          <w:sz w:val="22"/>
          <w:szCs w:val="22"/>
          <w:lang w:eastAsia="en-US"/>
        </w:rPr>
        <w:t xml:space="preserve"> (McLeod, 2018).</w:t>
      </w:r>
    </w:p>
    <w:p w14:paraId="335311CC" w14:textId="07944A85" w:rsidR="00D44703" w:rsidRDefault="00D44703" w:rsidP="00AB4496">
      <w:pPr>
        <w:spacing w:line="360" w:lineRule="auto"/>
        <w:jc w:val="both"/>
        <w:rPr>
          <w:rFonts w:ascii="Arial" w:eastAsiaTheme="minorHAnsi" w:hAnsi="Arial" w:cs="Arial"/>
          <w:sz w:val="22"/>
          <w:szCs w:val="22"/>
          <w:lang w:eastAsia="en-US"/>
        </w:rPr>
      </w:pPr>
    </w:p>
    <w:p w14:paraId="2741FA74" w14:textId="15F49171" w:rsidR="00C04C8C" w:rsidRDefault="00D44703" w:rsidP="00AB4496">
      <w:pPr>
        <w:spacing w:line="360" w:lineRule="auto"/>
        <w:jc w:val="both"/>
        <w:rPr>
          <w:rFonts w:ascii="Arial" w:hAnsi="Arial" w:cs="Arial"/>
          <w:color w:val="000000" w:themeColor="text1"/>
          <w:sz w:val="22"/>
          <w:szCs w:val="22"/>
        </w:rPr>
      </w:pPr>
      <w:r w:rsidRPr="009163DE">
        <w:rPr>
          <w:rFonts w:ascii="Arial" w:eastAsiaTheme="minorHAnsi" w:hAnsi="Arial" w:cs="Arial"/>
          <w:color w:val="000000" w:themeColor="text1"/>
          <w:sz w:val="22"/>
          <w:szCs w:val="22"/>
          <w:lang w:eastAsia="en-US"/>
        </w:rPr>
        <w:t xml:space="preserve">Coercive control, as its own specific form of domestic violence, has only become prominent in policy discourse over the past decade in England and Wales. However, issues around power and control </w:t>
      </w:r>
      <w:r w:rsidR="00C04C8C" w:rsidRPr="009163DE">
        <w:rPr>
          <w:rFonts w:ascii="Arial" w:eastAsiaTheme="minorHAnsi" w:hAnsi="Arial" w:cs="Arial"/>
          <w:color w:val="000000" w:themeColor="text1"/>
          <w:sz w:val="22"/>
          <w:szCs w:val="22"/>
          <w:lang w:eastAsia="en-US"/>
        </w:rPr>
        <w:t>have</w:t>
      </w:r>
      <w:r w:rsidRPr="009163DE">
        <w:rPr>
          <w:rFonts w:ascii="Arial" w:eastAsiaTheme="minorHAnsi" w:hAnsi="Arial" w:cs="Arial"/>
          <w:color w:val="000000" w:themeColor="text1"/>
          <w:sz w:val="22"/>
          <w:szCs w:val="22"/>
          <w:lang w:eastAsia="en-US"/>
        </w:rPr>
        <w:t xml:space="preserve"> been a key theme in feminist analysis of domestic abuse for much longer alongside the concept of coercive control itself (Robinson et al, 2017).  </w:t>
      </w:r>
      <w:r w:rsidR="00C04C8C" w:rsidRPr="009163DE">
        <w:rPr>
          <w:rFonts w:ascii="Arial" w:eastAsiaTheme="minorHAnsi" w:hAnsi="Arial" w:cs="Arial"/>
          <w:color w:val="000000" w:themeColor="text1"/>
          <w:sz w:val="22"/>
          <w:szCs w:val="22"/>
          <w:lang w:eastAsia="en-US"/>
        </w:rPr>
        <w:t xml:space="preserve">Stark (2007) was one of the first to highlight that the coercive and controlling abuse that women experience from men is ongoing rather than individual incidents. Studies show that </w:t>
      </w:r>
      <w:r w:rsidR="00C04C8C" w:rsidRPr="009163DE">
        <w:rPr>
          <w:rFonts w:ascii="Arial" w:hAnsi="Arial" w:cs="Arial"/>
          <w:color w:val="000000" w:themeColor="text1"/>
          <w:sz w:val="22"/>
          <w:szCs w:val="22"/>
        </w:rPr>
        <w:t>domestic abuse is more likely to be an ongoing pattern of abuse rather than being a one-off incident (</w:t>
      </w:r>
      <w:proofErr w:type="spellStart"/>
      <w:r w:rsidR="00C04C8C" w:rsidRPr="009163DE">
        <w:rPr>
          <w:rFonts w:ascii="Arial" w:hAnsi="Arial" w:cs="Arial"/>
          <w:color w:val="000000" w:themeColor="text1"/>
          <w:sz w:val="22"/>
          <w:szCs w:val="22"/>
        </w:rPr>
        <w:t>Myhill</w:t>
      </w:r>
      <w:proofErr w:type="spellEnd"/>
      <w:r w:rsidR="00C04C8C" w:rsidRPr="009163DE">
        <w:rPr>
          <w:rFonts w:ascii="Arial" w:hAnsi="Arial" w:cs="Arial"/>
          <w:color w:val="000000" w:themeColor="text1"/>
          <w:sz w:val="22"/>
          <w:szCs w:val="22"/>
        </w:rPr>
        <w:t>, 2015; Robinson, 2017). Hester’s (2013) study found that 83% of ma</w:t>
      </w:r>
      <w:r w:rsidR="009163DE">
        <w:rPr>
          <w:rFonts w:ascii="Arial" w:hAnsi="Arial" w:cs="Arial"/>
          <w:color w:val="000000" w:themeColor="text1"/>
          <w:sz w:val="22"/>
          <w:szCs w:val="22"/>
        </w:rPr>
        <w:t>l</w:t>
      </w:r>
      <w:r w:rsidR="00C04C8C" w:rsidRPr="009163DE">
        <w:rPr>
          <w:rFonts w:ascii="Arial" w:hAnsi="Arial" w:cs="Arial"/>
          <w:color w:val="000000" w:themeColor="text1"/>
          <w:sz w:val="22"/>
          <w:szCs w:val="22"/>
        </w:rPr>
        <w:t xml:space="preserve">e perpetrators had at least two </w:t>
      </w:r>
      <w:r w:rsidR="00C04C8C" w:rsidRPr="009163DE">
        <w:rPr>
          <w:rFonts w:ascii="Arial" w:hAnsi="Arial" w:cs="Arial"/>
          <w:color w:val="000000" w:themeColor="text1"/>
          <w:sz w:val="22"/>
          <w:szCs w:val="22"/>
        </w:rPr>
        <w:lastRenderedPageBreak/>
        <w:t>repeat incidents recorded, many of the perpetrators had a lot more than that, and one man had 52 repeat incidents recorded within the six-year tracking period.</w:t>
      </w:r>
      <w:r w:rsidR="00AD6600">
        <w:rPr>
          <w:rFonts w:ascii="Arial" w:hAnsi="Arial" w:cs="Arial"/>
          <w:color w:val="000000" w:themeColor="text1"/>
          <w:sz w:val="22"/>
          <w:szCs w:val="22"/>
        </w:rPr>
        <w:t xml:space="preserve"> The emphasis placed here on male perpetrators reflects that whilst coercive control is a gender-neutral term, Stark (2007) argues that men are almost exclusively the perpetrators with women being the victims. It has been seen across a wide range of studies that women are less likely to use tactics that can be considered as coercive control within their relationships (Barlow and </w:t>
      </w:r>
      <w:proofErr w:type="spellStart"/>
      <w:r w:rsidR="00AD6600">
        <w:rPr>
          <w:rFonts w:ascii="Arial" w:hAnsi="Arial" w:cs="Arial"/>
          <w:color w:val="000000" w:themeColor="text1"/>
          <w:sz w:val="22"/>
          <w:szCs w:val="22"/>
        </w:rPr>
        <w:t>Walklate</w:t>
      </w:r>
      <w:proofErr w:type="spellEnd"/>
      <w:r w:rsidR="00AD6600">
        <w:rPr>
          <w:rFonts w:ascii="Arial" w:hAnsi="Arial" w:cs="Arial"/>
          <w:color w:val="000000" w:themeColor="text1"/>
          <w:sz w:val="22"/>
          <w:szCs w:val="22"/>
        </w:rPr>
        <w:t xml:space="preserve">, 2021; </w:t>
      </w:r>
      <w:proofErr w:type="spellStart"/>
      <w:r w:rsidR="00071378">
        <w:rPr>
          <w:rFonts w:ascii="Arial" w:hAnsi="Arial" w:cs="Arial"/>
          <w:color w:val="000000" w:themeColor="text1"/>
          <w:sz w:val="22"/>
          <w:szCs w:val="22"/>
        </w:rPr>
        <w:t>Downes</w:t>
      </w:r>
      <w:proofErr w:type="spellEnd"/>
      <w:r w:rsidR="00071378">
        <w:rPr>
          <w:rFonts w:ascii="Arial" w:hAnsi="Arial" w:cs="Arial"/>
          <w:color w:val="000000" w:themeColor="text1"/>
          <w:sz w:val="22"/>
          <w:szCs w:val="22"/>
        </w:rPr>
        <w:t xml:space="preserve"> et al, 2019; </w:t>
      </w:r>
      <w:proofErr w:type="spellStart"/>
      <w:r w:rsidR="00AD6600">
        <w:rPr>
          <w:rFonts w:ascii="Arial" w:hAnsi="Arial" w:cs="Arial"/>
          <w:color w:val="000000" w:themeColor="text1"/>
          <w:sz w:val="22"/>
          <w:szCs w:val="22"/>
        </w:rPr>
        <w:t>Myhill</w:t>
      </w:r>
      <w:proofErr w:type="spellEnd"/>
      <w:r w:rsidR="00AD6600">
        <w:rPr>
          <w:rFonts w:ascii="Arial" w:hAnsi="Arial" w:cs="Arial"/>
          <w:color w:val="000000" w:themeColor="text1"/>
          <w:sz w:val="22"/>
          <w:szCs w:val="22"/>
        </w:rPr>
        <w:t>, 2015).</w:t>
      </w:r>
    </w:p>
    <w:p w14:paraId="627C58D1" w14:textId="57682FAD" w:rsidR="00631CE3" w:rsidRDefault="00631CE3" w:rsidP="00AB4496">
      <w:pPr>
        <w:spacing w:line="360" w:lineRule="auto"/>
        <w:jc w:val="both"/>
        <w:rPr>
          <w:rFonts w:ascii="Arial" w:hAnsi="Arial" w:cs="Arial"/>
          <w:color w:val="000000" w:themeColor="text1"/>
          <w:sz w:val="22"/>
          <w:szCs w:val="22"/>
        </w:rPr>
      </w:pPr>
    </w:p>
    <w:p w14:paraId="29CC7451" w14:textId="02479922" w:rsidR="0016112B" w:rsidRDefault="005D58CF" w:rsidP="00CF2C2A">
      <w:pPr>
        <w:spacing w:line="360" w:lineRule="auto"/>
        <w:jc w:val="both"/>
        <w:rPr>
          <w:rFonts w:ascii="Arial" w:hAnsi="Arial" w:cs="Arial"/>
          <w:sz w:val="22"/>
          <w:szCs w:val="22"/>
        </w:rPr>
      </w:pPr>
      <w:r w:rsidRPr="00CF2C2A">
        <w:rPr>
          <w:rFonts w:ascii="Arial" w:hAnsi="Arial" w:cs="Arial"/>
          <w:sz w:val="22"/>
          <w:szCs w:val="22"/>
        </w:rPr>
        <w:t xml:space="preserve">It is well documented that the tactics used within coercive control have a harmful impact on victims (Mitchell and Raghavan, 2021). For instance, Logan and Walker’s (2019) study around stalking found that behaviours such as surveillance and monitoring caused worries about personal safety, negative impact on mental health outcomes including PTSD symptoms, perceived risk of future victimization and ongoing worries about personal safety. </w:t>
      </w:r>
      <w:r w:rsidR="0016112B" w:rsidRPr="00CF2C2A">
        <w:rPr>
          <w:rFonts w:ascii="Arial" w:hAnsi="Arial" w:cs="Arial"/>
          <w:sz w:val="22"/>
          <w:szCs w:val="22"/>
        </w:rPr>
        <w:t>Victims can feel as though they are powerless, living in constant fear and be a severe cause of stress as well as having to deal with economic burdens such as needing to move employment, home or other life alterations. Which such strategies might seem to be harmless they can contribute to a loss of support networks, interfere with the care and protection of children and within new relationships (</w:t>
      </w:r>
      <w:proofErr w:type="spellStart"/>
      <w:r w:rsidR="0016112B" w:rsidRPr="00CF2C2A">
        <w:rPr>
          <w:rFonts w:ascii="Arial" w:hAnsi="Arial" w:cs="Arial"/>
          <w:sz w:val="22"/>
          <w:szCs w:val="22"/>
        </w:rPr>
        <w:t>Korkodeilou</w:t>
      </w:r>
      <w:proofErr w:type="spellEnd"/>
      <w:r w:rsidR="0016112B" w:rsidRPr="00CF2C2A">
        <w:rPr>
          <w:rFonts w:ascii="Arial" w:hAnsi="Arial" w:cs="Arial"/>
          <w:sz w:val="22"/>
          <w:szCs w:val="22"/>
        </w:rPr>
        <w:t xml:space="preserve">, 2017; Worsley, </w:t>
      </w:r>
      <w:proofErr w:type="spellStart"/>
      <w:r w:rsidR="0016112B" w:rsidRPr="00CF2C2A">
        <w:rPr>
          <w:rFonts w:ascii="Arial" w:hAnsi="Arial" w:cs="Arial"/>
          <w:sz w:val="22"/>
          <w:szCs w:val="22"/>
        </w:rPr>
        <w:t>Wheatcroft</w:t>
      </w:r>
      <w:proofErr w:type="spellEnd"/>
      <w:r w:rsidR="0016112B" w:rsidRPr="00CF2C2A">
        <w:rPr>
          <w:rFonts w:ascii="Arial" w:hAnsi="Arial" w:cs="Arial"/>
          <w:sz w:val="22"/>
          <w:szCs w:val="22"/>
        </w:rPr>
        <w:t>, Short, &amp; Corcoran, 2017).</w:t>
      </w:r>
      <w:r w:rsidR="00CF2C2A" w:rsidRPr="00CF2C2A">
        <w:rPr>
          <w:rFonts w:ascii="Arial" w:hAnsi="Arial" w:cs="Arial"/>
          <w:sz w:val="22"/>
          <w:szCs w:val="22"/>
        </w:rPr>
        <w:t xml:space="preserve"> This impact can be felt by others within the family, such as children. Katz’s (2019) qualitative study found that in families where there were high levels of coercive control being perpetrated by the father towards the mother, the mother-child relationships were strained and distant with the children feeling unsure about whether their mother loved them. Studies have also found that children in the care of perpetrators of coercive control are at an elevated risk of being </w:t>
      </w:r>
      <w:r w:rsidR="0016112B" w:rsidRPr="00CF2C2A">
        <w:rPr>
          <w:rFonts w:ascii="Arial" w:hAnsi="Arial" w:cs="Arial"/>
          <w:sz w:val="22"/>
          <w:szCs w:val="22"/>
        </w:rPr>
        <w:t>physically, psychologically and sexually abus</w:t>
      </w:r>
      <w:r w:rsidR="00CF2C2A" w:rsidRPr="00CF2C2A">
        <w:rPr>
          <w:rFonts w:ascii="Arial" w:hAnsi="Arial" w:cs="Arial"/>
          <w:sz w:val="22"/>
          <w:szCs w:val="22"/>
        </w:rPr>
        <w:t>ed</w:t>
      </w:r>
      <w:r w:rsidR="0016112B" w:rsidRPr="00CF2C2A">
        <w:rPr>
          <w:rFonts w:ascii="Arial" w:hAnsi="Arial" w:cs="Arial"/>
          <w:sz w:val="22"/>
          <w:szCs w:val="22"/>
        </w:rPr>
        <w:t xml:space="preserve"> and neglect</w:t>
      </w:r>
      <w:r w:rsidR="00CF2C2A" w:rsidRPr="00CF2C2A">
        <w:rPr>
          <w:rFonts w:ascii="Arial" w:hAnsi="Arial" w:cs="Arial"/>
          <w:sz w:val="22"/>
          <w:szCs w:val="22"/>
        </w:rPr>
        <w:t>ed</w:t>
      </w:r>
      <w:r w:rsidR="0016112B" w:rsidRPr="00CF2C2A">
        <w:rPr>
          <w:rFonts w:ascii="Arial" w:hAnsi="Arial" w:cs="Arial"/>
          <w:sz w:val="22"/>
          <w:szCs w:val="22"/>
        </w:rPr>
        <w:t xml:space="preserve"> (</w:t>
      </w:r>
      <w:proofErr w:type="spellStart"/>
      <w:r w:rsidR="0016112B" w:rsidRPr="00CF2C2A">
        <w:rPr>
          <w:rFonts w:ascii="Arial" w:hAnsi="Arial" w:cs="Arial"/>
          <w:sz w:val="22"/>
          <w:szCs w:val="22"/>
        </w:rPr>
        <w:t>Heward</w:t>
      </w:r>
      <w:proofErr w:type="spellEnd"/>
      <w:r w:rsidR="0016112B" w:rsidRPr="00CF2C2A">
        <w:rPr>
          <w:rFonts w:ascii="Arial" w:hAnsi="Arial" w:cs="Arial"/>
          <w:sz w:val="22"/>
          <w:szCs w:val="22"/>
        </w:rPr>
        <w:t xml:space="preserve">-Belle, 2016; </w:t>
      </w:r>
      <w:proofErr w:type="spellStart"/>
      <w:r w:rsidR="00CF2C2A">
        <w:rPr>
          <w:rFonts w:ascii="Arial" w:hAnsi="Arial" w:cs="Arial"/>
          <w:sz w:val="22"/>
          <w:szCs w:val="22"/>
        </w:rPr>
        <w:t>Beeble</w:t>
      </w:r>
      <w:proofErr w:type="spellEnd"/>
      <w:r w:rsidR="0016112B" w:rsidRPr="00CF2C2A">
        <w:rPr>
          <w:rFonts w:ascii="Arial" w:hAnsi="Arial" w:cs="Arial"/>
          <w:sz w:val="22"/>
          <w:szCs w:val="22"/>
        </w:rPr>
        <w:t xml:space="preserve"> et al, 20</w:t>
      </w:r>
      <w:r w:rsidR="00CF2C2A">
        <w:rPr>
          <w:rFonts w:ascii="Arial" w:hAnsi="Arial" w:cs="Arial"/>
          <w:sz w:val="22"/>
          <w:szCs w:val="22"/>
        </w:rPr>
        <w:t>07</w:t>
      </w:r>
      <w:r w:rsidR="0016112B" w:rsidRPr="00CF2C2A">
        <w:rPr>
          <w:rFonts w:ascii="Arial" w:hAnsi="Arial" w:cs="Arial"/>
          <w:sz w:val="22"/>
          <w:szCs w:val="22"/>
        </w:rPr>
        <w:t>)</w:t>
      </w:r>
      <w:r w:rsidR="00CF2C2A" w:rsidRPr="00CF2C2A">
        <w:rPr>
          <w:rFonts w:ascii="Arial" w:hAnsi="Arial" w:cs="Arial"/>
          <w:sz w:val="22"/>
          <w:szCs w:val="22"/>
        </w:rPr>
        <w:t>.</w:t>
      </w:r>
      <w:r w:rsidR="005A145C">
        <w:rPr>
          <w:rFonts w:ascii="Arial" w:hAnsi="Arial" w:cs="Arial"/>
          <w:sz w:val="22"/>
          <w:szCs w:val="22"/>
        </w:rPr>
        <w:t xml:space="preserve"> As Callaghan et al (2015) asserts, children are immediately affected by coercive and controlling behaviours, as such behaviours are not simply targeted at the adult victim but has a profound impact on the entire family. This demonstrates the need for front-line practitioners to be able to identify such victimisation, and then be able to intervene and protect. </w:t>
      </w:r>
    </w:p>
    <w:p w14:paraId="732E138B" w14:textId="49B0B9C0" w:rsidR="005A145C" w:rsidRDefault="005A145C" w:rsidP="00CF2C2A">
      <w:pPr>
        <w:spacing w:line="360" w:lineRule="auto"/>
        <w:jc w:val="both"/>
        <w:rPr>
          <w:rFonts w:ascii="Arial" w:hAnsi="Arial" w:cs="Arial"/>
          <w:sz w:val="22"/>
          <w:szCs w:val="22"/>
        </w:rPr>
      </w:pPr>
    </w:p>
    <w:p w14:paraId="179B7910" w14:textId="23D2C3A1" w:rsidR="005D65C5" w:rsidRPr="005D65C5" w:rsidRDefault="00904345" w:rsidP="005D65C5">
      <w:pPr>
        <w:autoSpaceDE w:val="0"/>
        <w:autoSpaceDN w:val="0"/>
        <w:adjustRightInd w:val="0"/>
        <w:spacing w:line="360" w:lineRule="auto"/>
        <w:jc w:val="both"/>
        <w:rPr>
          <w:rFonts w:eastAsiaTheme="minorHAnsi"/>
          <w:i/>
          <w:iCs/>
          <w:sz w:val="20"/>
          <w:szCs w:val="20"/>
          <w:lang w:eastAsia="en-US"/>
        </w:rPr>
      </w:pPr>
      <w:r w:rsidRPr="001761B9">
        <w:rPr>
          <w:rFonts w:ascii="Arial" w:eastAsiaTheme="minorHAnsi" w:hAnsi="Arial" w:cs="Arial"/>
          <w:color w:val="000000" w:themeColor="text1"/>
          <w:sz w:val="22"/>
          <w:szCs w:val="22"/>
          <w:lang w:eastAsia="en-US"/>
        </w:rPr>
        <w:t xml:space="preserve">Coercive control </w:t>
      </w:r>
      <w:r w:rsidR="003F6EF3" w:rsidRPr="001761B9">
        <w:rPr>
          <w:rFonts w:ascii="Arial" w:eastAsiaTheme="minorHAnsi" w:hAnsi="Arial" w:cs="Arial"/>
          <w:color w:val="000000" w:themeColor="text1"/>
          <w:sz w:val="22"/>
          <w:szCs w:val="22"/>
          <w:lang w:eastAsia="en-US"/>
        </w:rPr>
        <w:t>is associated with risk of significant serious harm, and its role as a precursor to serious harm and homicide is clear across many studies</w:t>
      </w:r>
      <w:r w:rsidRPr="001761B9">
        <w:rPr>
          <w:rFonts w:ascii="Arial" w:eastAsiaTheme="minorHAnsi" w:hAnsi="Arial" w:cs="Arial"/>
          <w:color w:val="000000" w:themeColor="text1"/>
          <w:sz w:val="22"/>
          <w:szCs w:val="22"/>
          <w:lang w:eastAsia="en-US"/>
        </w:rPr>
        <w:t xml:space="preserve"> (</w:t>
      </w:r>
      <w:proofErr w:type="spellStart"/>
      <w:r w:rsidRPr="001761B9">
        <w:rPr>
          <w:rFonts w:ascii="Arial" w:eastAsiaTheme="minorHAnsi" w:hAnsi="Arial" w:cs="Arial"/>
          <w:color w:val="000000" w:themeColor="text1"/>
          <w:sz w:val="22"/>
          <w:szCs w:val="22"/>
          <w:lang w:eastAsia="en-US"/>
        </w:rPr>
        <w:t>Myhill</w:t>
      </w:r>
      <w:proofErr w:type="spellEnd"/>
      <w:r w:rsidRPr="001761B9">
        <w:rPr>
          <w:rFonts w:ascii="Arial" w:eastAsiaTheme="minorHAnsi" w:hAnsi="Arial" w:cs="Arial"/>
          <w:color w:val="000000" w:themeColor="text1"/>
          <w:sz w:val="22"/>
          <w:szCs w:val="22"/>
          <w:lang w:eastAsia="en-US"/>
        </w:rPr>
        <w:t>, 2015).</w:t>
      </w:r>
      <w:r w:rsidR="003F6EF3" w:rsidRPr="001761B9">
        <w:rPr>
          <w:rFonts w:ascii="Arial" w:eastAsiaTheme="minorHAnsi" w:hAnsi="Arial" w:cs="Arial"/>
          <w:color w:val="000000" w:themeColor="text1"/>
          <w:sz w:val="22"/>
          <w:szCs w:val="22"/>
          <w:lang w:eastAsia="en-US"/>
        </w:rPr>
        <w:t xml:space="preserve"> </w:t>
      </w:r>
      <w:r w:rsidR="003F6EF3" w:rsidRPr="001761B9">
        <w:rPr>
          <w:rFonts w:ascii="Arial" w:hAnsi="Arial" w:cs="Arial"/>
          <w:color w:val="000000" w:themeColor="text1"/>
          <w:sz w:val="22"/>
          <w:szCs w:val="22"/>
        </w:rPr>
        <w:t xml:space="preserve">For example, </w:t>
      </w:r>
      <w:r w:rsidRPr="001761B9">
        <w:rPr>
          <w:rFonts w:ascii="Arial" w:hAnsi="Arial" w:cs="Arial"/>
          <w:color w:val="000000" w:themeColor="text1"/>
          <w:sz w:val="22"/>
          <w:szCs w:val="22"/>
        </w:rPr>
        <w:t>Villarreal’s (2007) study of 30,000 Mexican women found that males who displayed high levels of coercive control towards their female partners were more likely to both stop their partner from engaging in employment and physically harm them.</w:t>
      </w:r>
      <w:r w:rsidR="003F6EF3" w:rsidRPr="001761B9">
        <w:rPr>
          <w:rFonts w:ascii="Arial" w:hAnsi="Arial" w:cs="Arial"/>
          <w:color w:val="000000" w:themeColor="text1"/>
          <w:sz w:val="22"/>
          <w:szCs w:val="22"/>
        </w:rPr>
        <w:t xml:space="preserve"> </w:t>
      </w:r>
      <w:r w:rsidR="007447B2" w:rsidRPr="001761B9">
        <w:rPr>
          <w:rFonts w:ascii="Arial" w:hAnsi="Arial" w:cs="Arial"/>
          <w:color w:val="000000" w:themeColor="text1"/>
          <w:sz w:val="22"/>
          <w:szCs w:val="22"/>
          <w:shd w:val="clear" w:color="auto" w:fill="FCFCFC"/>
        </w:rPr>
        <w:t xml:space="preserve">A review of domestic violence-related deaths from </w:t>
      </w:r>
      <w:r w:rsidR="007E6285" w:rsidRPr="001761B9">
        <w:rPr>
          <w:rFonts w:ascii="Arial" w:hAnsi="Arial" w:cs="Arial"/>
          <w:color w:val="000000" w:themeColor="text1"/>
          <w:sz w:val="22"/>
          <w:szCs w:val="22"/>
        </w:rPr>
        <w:t>252 I</w:t>
      </w:r>
      <w:r w:rsidR="00A824E6" w:rsidRPr="001761B9">
        <w:rPr>
          <w:rFonts w:ascii="Arial" w:hAnsi="Arial" w:cs="Arial"/>
          <w:color w:val="000000" w:themeColor="text1"/>
          <w:sz w:val="22"/>
          <w:szCs w:val="22"/>
        </w:rPr>
        <w:t xml:space="preserve">ntimate </w:t>
      </w:r>
      <w:r w:rsidR="007E6285" w:rsidRPr="001761B9">
        <w:rPr>
          <w:rFonts w:ascii="Arial" w:hAnsi="Arial" w:cs="Arial"/>
          <w:color w:val="000000" w:themeColor="text1"/>
          <w:sz w:val="22"/>
          <w:szCs w:val="22"/>
        </w:rPr>
        <w:t>P</w:t>
      </w:r>
      <w:r w:rsidR="00A824E6" w:rsidRPr="001761B9">
        <w:rPr>
          <w:rFonts w:ascii="Arial" w:hAnsi="Arial" w:cs="Arial"/>
          <w:color w:val="000000" w:themeColor="text1"/>
          <w:sz w:val="22"/>
          <w:szCs w:val="22"/>
        </w:rPr>
        <w:t xml:space="preserve">artner </w:t>
      </w:r>
      <w:r w:rsidR="007E6285" w:rsidRPr="001761B9">
        <w:rPr>
          <w:rFonts w:ascii="Arial" w:hAnsi="Arial" w:cs="Arial"/>
          <w:color w:val="000000" w:themeColor="text1"/>
          <w:sz w:val="22"/>
          <w:szCs w:val="22"/>
        </w:rPr>
        <w:t>V</w:t>
      </w:r>
      <w:r w:rsidR="00A824E6" w:rsidRPr="001761B9">
        <w:rPr>
          <w:rFonts w:ascii="Arial" w:hAnsi="Arial" w:cs="Arial"/>
          <w:color w:val="000000" w:themeColor="text1"/>
          <w:sz w:val="22"/>
          <w:szCs w:val="22"/>
        </w:rPr>
        <w:t>iolence</w:t>
      </w:r>
      <w:r w:rsidR="007E6285" w:rsidRPr="001761B9">
        <w:rPr>
          <w:rFonts w:ascii="Arial" w:hAnsi="Arial" w:cs="Arial"/>
          <w:color w:val="000000" w:themeColor="text1"/>
          <w:sz w:val="22"/>
          <w:szCs w:val="22"/>
        </w:rPr>
        <w:t xml:space="preserve"> homicides that occurred between 1 July 2000 and 30 June 2018 </w:t>
      </w:r>
      <w:r w:rsidR="007447B2" w:rsidRPr="001761B9">
        <w:rPr>
          <w:rFonts w:ascii="Arial" w:hAnsi="Arial" w:cs="Arial"/>
          <w:color w:val="000000" w:themeColor="text1"/>
          <w:sz w:val="22"/>
          <w:szCs w:val="22"/>
          <w:shd w:val="clear" w:color="auto" w:fill="FCFCFC"/>
        </w:rPr>
        <w:t>in</w:t>
      </w:r>
      <w:r w:rsidR="001761B9" w:rsidRPr="001761B9">
        <w:rPr>
          <w:rFonts w:ascii="Arial" w:hAnsi="Arial" w:cs="Arial"/>
          <w:color w:val="000000" w:themeColor="text1"/>
          <w:sz w:val="22"/>
          <w:szCs w:val="22"/>
        </w:rPr>
        <w:t xml:space="preserve"> New South Wales</w:t>
      </w:r>
      <w:r w:rsidR="007E6285" w:rsidRPr="001761B9">
        <w:rPr>
          <w:rFonts w:ascii="Arial" w:hAnsi="Arial" w:cs="Arial"/>
          <w:color w:val="000000" w:themeColor="text1"/>
          <w:sz w:val="22"/>
          <w:szCs w:val="22"/>
          <w:shd w:val="clear" w:color="auto" w:fill="FCFCFC"/>
        </w:rPr>
        <w:t>,</w:t>
      </w:r>
      <w:r w:rsidR="007447B2" w:rsidRPr="001761B9">
        <w:rPr>
          <w:rFonts w:ascii="Arial" w:hAnsi="Arial" w:cs="Arial"/>
          <w:color w:val="000000" w:themeColor="text1"/>
          <w:sz w:val="22"/>
          <w:szCs w:val="22"/>
          <w:shd w:val="clear" w:color="auto" w:fill="FCFCFC"/>
        </w:rPr>
        <w:t xml:space="preserve"> Australia </w:t>
      </w:r>
      <w:r w:rsidR="007E6285" w:rsidRPr="001761B9">
        <w:rPr>
          <w:rFonts w:ascii="Arial" w:hAnsi="Arial" w:cs="Arial"/>
          <w:color w:val="000000" w:themeColor="text1"/>
          <w:sz w:val="22"/>
          <w:szCs w:val="22"/>
          <w:shd w:val="clear" w:color="auto" w:fill="FCFCFC"/>
        </w:rPr>
        <w:t>found that</w:t>
      </w:r>
      <w:r w:rsidR="007447B2" w:rsidRPr="001761B9">
        <w:rPr>
          <w:rFonts w:ascii="Arial" w:hAnsi="Arial" w:cs="Arial"/>
          <w:color w:val="000000" w:themeColor="text1"/>
          <w:sz w:val="22"/>
          <w:szCs w:val="22"/>
          <w:shd w:val="clear" w:color="auto" w:fill="FCFCFC"/>
        </w:rPr>
        <w:t xml:space="preserve"> that</w:t>
      </w:r>
      <w:r w:rsidR="007E6285" w:rsidRPr="001761B9">
        <w:rPr>
          <w:rFonts w:ascii="Arial" w:hAnsi="Arial" w:cs="Arial"/>
          <w:color w:val="000000" w:themeColor="text1"/>
          <w:sz w:val="22"/>
          <w:szCs w:val="22"/>
          <w:shd w:val="clear" w:color="auto" w:fill="FCFCFC"/>
        </w:rPr>
        <w:t xml:space="preserve"> </w:t>
      </w:r>
      <w:r w:rsidR="00A824E6" w:rsidRPr="001761B9">
        <w:rPr>
          <w:rFonts w:ascii="Arial" w:hAnsi="Arial" w:cs="Arial"/>
          <w:color w:val="000000" w:themeColor="text1"/>
          <w:sz w:val="22"/>
          <w:szCs w:val="22"/>
          <w:shd w:val="clear" w:color="auto" w:fill="FCFCFC"/>
        </w:rPr>
        <w:t>all</w:t>
      </w:r>
      <w:r w:rsidR="007E6285" w:rsidRPr="001761B9">
        <w:rPr>
          <w:rFonts w:ascii="Arial" w:hAnsi="Arial" w:cs="Arial"/>
          <w:color w:val="000000" w:themeColor="text1"/>
          <w:sz w:val="22"/>
          <w:szCs w:val="22"/>
          <w:shd w:val="clear" w:color="auto" w:fill="FCFCFC"/>
        </w:rPr>
        <w:t xml:space="preserve"> the</w:t>
      </w:r>
      <w:r w:rsidR="007447B2" w:rsidRPr="001761B9">
        <w:rPr>
          <w:rFonts w:ascii="Arial" w:hAnsi="Arial" w:cs="Arial"/>
          <w:color w:val="000000" w:themeColor="text1"/>
          <w:sz w:val="22"/>
          <w:szCs w:val="22"/>
          <w:shd w:val="clear" w:color="auto" w:fill="FCFCFC"/>
        </w:rPr>
        <w:t xml:space="preserve"> identified intimate partner homicides </w:t>
      </w:r>
      <w:r w:rsidR="007E6285" w:rsidRPr="001761B9">
        <w:rPr>
          <w:rFonts w:ascii="Arial" w:hAnsi="Arial" w:cs="Arial"/>
          <w:color w:val="000000" w:themeColor="text1"/>
          <w:sz w:val="22"/>
          <w:szCs w:val="22"/>
          <w:shd w:val="clear" w:color="auto" w:fill="FCFCFC"/>
        </w:rPr>
        <w:t>were</w:t>
      </w:r>
      <w:r w:rsidR="007447B2" w:rsidRPr="001761B9">
        <w:rPr>
          <w:rFonts w:ascii="Arial" w:hAnsi="Arial" w:cs="Arial"/>
          <w:color w:val="000000" w:themeColor="text1"/>
          <w:sz w:val="22"/>
          <w:szCs w:val="22"/>
          <w:shd w:val="clear" w:color="auto" w:fill="FCFCFC"/>
        </w:rPr>
        <w:t xml:space="preserve"> relationship</w:t>
      </w:r>
      <w:r w:rsidR="00A824E6" w:rsidRPr="001761B9">
        <w:rPr>
          <w:rFonts w:ascii="Arial" w:hAnsi="Arial" w:cs="Arial"/>
          <w:color w:val="000000" w:themeColor="text1"/>
          <w:sz w:val="22"/>
          <w:szCs w:val="22"/>
          <w:shd w:val="clear" w:color="auto" w:fill="FCFCFC"/>
        </w:rPr>
        <w:t>s</w:t>
      </w:r>
      <w:r w:rsidR="007447B2" w:rsidRPr="001761B9">
        <w:rPr>
          <w:rFonts w:ascii="Arial" w:hAnsi="Arial" w:cs="Arial"/>
          <w:color w:val="000000" w:themeColor="text1"/>
          <w:sz w:val="22"/>
          <w:szCs w:val="22"/>
          <w:shd w:val="clear" w:color="auto" w:fill="FCFCFC"/>
        </w:rPr>
        <w:t xml:space="preserve"> </w:t>
      </w:r>
      <w:r w:rsidR="007E6285" w:rsidRPr="001761B9">
        <w:rPr>
          <w:rFonts w:ascii="Arial" w:hAnsi="Arial" w:cs="Arial"/>
          <w:color w:val="000000" w:themeColor="text1"/>
          <w:sz w:val="22"/>
          <w:szCs w:val="22"/>
          <w:shd w:val="clear" w:color="auto" w:fill="FCFCFC"/>
        </w:rPr>
        <w:t>that were</w:t>
      </w:r>
      <w:r w:rsidR="007447B2" w:rsidRPr="001761B9">
        <w:rPr>
          <w:rFonts w:ascii="Arial" w:hAnsi="Arial" w:cs="Arial"/>
          <w:color w:val="000000" w:themeColor="text1"/>
          <w:sz w:val="22"/>
          <w:szCs w:val="22"/>
          <w:shd w:val="clear" w:color="auto" w:fill="FCFCFC"/>
        </w:rPr>
        <w:t xml:space="preserve"> characterised by the</w:t>
      </w:r>
      <w:r w:rsidR="007E6285" w:rsidRPr="001761B9">
        <w:rPr>
          <w:rFonts w:ascii="Arial" w:hAnsi="Arial" w:cs="Arial"/>
          <w:color w:val="000000" w:themeColor="text1"/>
          <w:sz w:val="22"/>
          <w:szCs w:val="22"/>
          <w:shd w:val="clear" w:color="auto" w:fill="FCFCFC"/>
        </w:rPr>
        <w:t xml:space="preserve"> male</w:t>
      </w:r>
      <w:r w:rsidR="007447B2" w:rsidRPr="001761B9">
        <w:rPr>
          <w:rFonts w:ascii="Arial" w:hAnsi="Arial" w:cs="Arial"/>
          <w:color w:val="000000" w:themeColor="text1"/>
          <w:sz w:val="22"/>
          <w:szCs w:val="22"/>
          <w:shd w:val="clear" w:color="auto" w:fill="FCFCFC"/>
        </w:rPr>
        <w:t xml:space="preserve"> abuser’s use of coercive and controlling behaviours towards the </w:t>
      </w:r>
      <w:r w:rsidR="007E6285" w:rsidRPr="001761B9">
        <w:rPr>
          <w:rFonts w:ascii="Arial" w:hAnsi="Arial" w:cs="Arial"/>
          <w:color w:val="000000" w:themeColor="text1"/>
          <w:sz w:val="22"/>
          <w:szCs w:val="22"/>
          <w:shd w:val="clear" w:color="auto" w:fill="FCFCFC"/>
        </w:rPr>
        <w:t xml:space="preserve">female </w:t>
      </w:r>
      <w:r w:rsidR="007447B2" w:rsidRPr="001761B9">
        <w:rPr>
          <w:rFonts w:ascii="Arial" w:hAnsi="Arial" w:cs="Arial"/>
          <w:color w:val="000000" w:themeColor="text1"/>
          <w:sz w:val="22"/>
          <w:szCs w:val="22"/>
          <w:shd w:val="clear" w:color="auto" w:fill="FCFCFC"/>
        </w:rPr>
        <w:t>victim</w:t>
      </w:r>
      <w:r w:rsidR="007E6285" w:rsidRPr="001761B9">
        <w:rPr>
          <w:rFonts w:ascii="Arial" w:hAnsi="Arial" w:cs="Arial"/>
          <w:color w:val="000000" w:themeColor="text1"/>
          <w:sz w:val="22"/>
          <w:szCs w:val="22"/>
          <w:shd w:val="clear" w:color="auto" w:fill="FCFCFC"/>
        </w:rPr>
        <w:t xml:space="preserve"> (NSW Government, </w:t>
      </w:r>
      <w:r w:rsidR="003F6EF3" w:rsidRPr="001761B9">
        <w:rPr>
          <w:rFonts w:ascii="Arial" w:hAnsi="Arial" w:cs="Arial"/>
          <w:color w:val="000000" w:themeColor="text1"/>
          <w:sz w:val="22"/>
          <w:szCs w:val="22"/>
          <w:shd w:val="clear" w:color="auto" w:fill="FCFCFC"/>
        </w:rPr>
        <w:t xml:space="preserve">2022). </w:t>
      </w:r>
      <w:r w:rsidR="001761B9" w:rsidRPr="001761B9">
        <w:rPr>
          <w:rFonts w:ascii="Arial" w:hAnsi="Arial" w:cs="Arial"/>
          <w:color w:val="000000" w:themeColor="text1"/>
          <w:sz w:val="22"/>
          <w:szCs w:val="22"/>
          <w:shd w:val="clear" w:color="auto" w:fill="FCFCFC"/>
        </w:rPr>
        <w:t>Johnson et al’s (201</w:t>
      </w:r>
      <w:r w:rsidR="00631CE3">
        <w:rPr>
          <w:rFonts w:ascii="Arial" w:hAnsi="Arial" w:cs="Arial"/>
          <w:color w:val="000000" w:themeColor="text1"/>
          <w:sz w:val="22"/>
          <w:szCs w:val="22"/>
          <w:shd w:val="clear" w:color="auto" w:fill="FCFCFC"/>
        </w:rPr>
        <w:t>7</w:t>
      </w:r>
      <w:r w:rsidR="001761B9" w:rsidRPr="001761B9">
        <w:rPr>
          <w:rFonts w:ascii="Arial" w:hAnsi="Arial" w:cs="Arial"/>
          <w:color w:val="000000" w:themeColor="text1"/>
          <w:sz w:val="22"/>
          <w:szCs w:val="22"/>
          <w:shd w:val="clear" w:color="auto" w:fill="FCFCFC"/>
        </w:rPr>
        <w:t xml:space="preserve">) study into the role of coercive control in relation to intimate femicide found that, of a subsample of 68 men who had been convicted of killing intimate female partners, each had </w:t>
      </w:r>
      <w:r w:rsidR="001761B9" w:rsidRPr="001761B9">
        <w:rPr>
          <w:rFonts w:ascii="Arial" w:hAnsi="Arial" w:cs="Arial"/>
          <w:color w:val="000000" w:themeColor="text1"/>
          <w:sz w:val="22"/>
          <w:szCs w:val="22"/>
        </w:rPr>
        <w:t>exhibited high levels of coercive controlling behaviours leading up to the femicide. Almost 50% had been controlling and proprietary, two-thirds had been psychologically abusive, 25% had exhibited sexual jealousy, and one-fifth stalked their victims prior to killing them.</w:t>
      </w:r>
      <w:r w:rsidR="003F6EF3" w:rsidRPr="001761B9">
        <w:rPr>
          <w:rFonts w:ascii="Arial" w:hAnsi="Arial" w:cs="Arial"/>
          <w:color w:val="000000" w:themeColor="text1"/>
          <w:sz w:val="22"/>
          <w:szCs w:val="22"/>
          <w:shd w:val="clear" w:color="auto" w:fill="FCFCFC"/>
        </w:rPr>
        <w:t xml:space="preserve"> </w:t>
      </w:r>
      <w:r w:rsidR="001761B9">
        <w:rPr>
          <w:rFonts w:ascii="Arial" w:hAnsi="Arial" w:cs="Arial"/>
          <w:color w:val="000000" w:themeColor="text1"/>
          <w:sz w:val="22"/>
          <w:szCs w:val="22"/>
          <w:shd w:val="clear" w:color="auto" w:fill="FCFCFC"/>
        </w:rPr>
        <w:t xml:space="preserve">The link between coercive control and severe physical harm is clear, </w:t>
      </w:r>
      <w:r w:rsidR="005D65C5">
        <w:rPr>
          <w:rFonts w:ascii="Arial" w:hAnsi="Arial" w:cs="Arial"/>
          <w:color w:val="000000" w:themeColor="text1"/>
          <w:sz w:val="22"/>
          <w:szCs w:val="22"/>
          <w:shd w:val="clear" w:color="auto" w:fill="FCFCFC"/>
        </w:rPr>
        <w:t xml:space="preserve">however, </w:t>
      </w:r>
      <w:r w:rsidR="005D65C5" w:rsidRPr="005D65C5">
        <w:rPr>
          <w:rFonts w:ascii="Arial" w:eastAsiaTheme="minorHAnsi" w:hAnsi="Arial" w:cs="Arial"/>
          <w:sz w:val="22"/>
          <w:szCs w:val="22"/>
          <w:lang w:eastAsia="en-US"/>
        </w:rPr>
        <w:t>research has continued to show that police officers tend to consider and prioritise physical violence during a domestic abuse callout (Robinson et al, 2018). Whilst it can be said that focusing on acts of physical violence will indeed identify cases of current and future risk of harm, there have been many instances whereby cases of homicide have been more likely to be preceded by high levels of coercive control, rather than physical violence.  (</w:t>
      </w:r>
      <w:proofErr w:type="spellStart"/>
      <w:r w:rsidR="005D65C5" w:rsidRPr="005D65C5">
        <w:rPr>
          <w:rFonts w:ascii="Arial" w:eastAsiaTheme="minorHAnsi" w:hAnsi="Arial" w:cs="Arial"/>
          <w:sz w:val="22"/>
          <w:szCs w:val="22"/>
          <w:lang w:eastAsia="en-US"/>
        </w:rPr>
        <w:t>Dobash</w:t>
      </w:r>
      <w:proofErr w:type="spellEnd"/>
      <w:r w:rsidR="005D65C5" w:rsidRPr="005D65C5">
        <w:rPr>
          <w:rFonts w:ascii="Arial" w:eastAsiaTheme="minorHAnsi" w:hAnsi="Arial" w:cs="Arial"/>
          <w:sz w:val="22"/>
          <w:szCs w:val="22"/>
          <w:lang w:eastAsia="en-US"/>
        </w:rPr>
        <w:t xml:space="preserve"> &amp; </w:t>
      </w:r>
      <w:proofErr w:type="spellStart"/>
      <w:r w:rsidR="005D65C5" w:rsidRPr="005D65C5">
        <w:rPr>
          <w:rFonts w:ascii="Arial" w:eastAsiaTheme="minorHAnsi" w:hAnsi="Arial" w:cs="Arial"/>
          <w:sz w:val="22"/>
          <w:szCs w:val="22"/>
          <w:lang w:eastAsia="en-US"/>
        </w:rPr>
        <w:t>Dobash</w:t>
      </w:r>
      <w:proofErr w:type="spellEnd"/>
      <w:r w:rsidR="005D65C5" w:rsidRPr="005D65C5">
        <w:rPr>
          <w:rFonts w:ascii="Arial" w:eastAsiaTheme="minorHAnsi" w:hAnsi="Arial" w:cs="Arial"/>
          <w:sz w:val="22"/>
          <w:szCs w:val="22"/>
          <w:lang w:eastAsia="en-US"/>
        </w:rPr>
        <w:t xml:space="preserve">, 2015; Regan, Kelly, Morris, &amp; </w:t>
      </w:r>
      <w:proofErr w:type="spellStart"/>
      <w:r w:rsidR="005D65C5" w:rsidRPr="005D65C5">
        <w:rPr>
          <w:rFonts w:ascii="Arial" w:eastAsiaTheme="minorHAnsi" w:hAnsi="Arial" w:cs="Arial"/>
          <w:sz w:val="22"/>
          <w:szCs w:val="22"/>
          <w:lang w:eastAsia="en-US"/>
        </w:rPr>
        <w:t>Dibb</w:t>
      </w:r>
      <w:proofErr w:type="spellEnd"/>
      <w:r w:rsidR="005D65C5" w:rsidRPr="005D65C5">
        <w:rPr>
          <w:rFonts w:ascii="Arial" w:eastAsiaTheme="minorHAnsi" w:hAnsi="Arial" w:cs="Arial"/>
          <w:sz w:val="22"/>
          <w:szCs w:val="22"/>
          <w:lang w:eastAsia="en-US"/>
        </w:rPr>
        <w:t>, 2007).</w:t>
      </w:r>
      <w:r w:rsidR="005D65C5">
        <w:rPr>
          <w:rFonts w:eastAsiaTheme="minorHAnsi"/>
          <w:i/>
          <w:iCs/>
          <w:sz w:val="20"/>
          <w:szCs w:val="20"/>
          <w:lang w:eastAsia="en-US"/>
        </w:rPr>
        <w:t xml:space="preserve"> </w:t>
      </w:r>
    </w:p>
    <w:p w14:paraId="4DB903D1" w14:textId="4DD43607" w:rsidR="007447B2" w:rsidRDefault="007447B2" w:rsidP="00AB4496">
      <w:pPr>
        <w:spacing w:line="360" w:lineRule="auto"/>
        <w:jc w:val="both"/>
      </w:pPr>
    </w:p>
    <w:p w14:paraId="1EAC8553" w14:textId="37BF649C" w:rsidR="009525CD" w:rsidRPr="009525CD" w:rsidRDefault="006F44C9" w:rsidP="009525CD">
      <w:pPr>
        <w:autoSpaceDE w:val="0"/>
        <w:autoSpaceDN w:val="0"/>
        <w:adjustRightInd w:val="0"/>
        <w:spacing w:line="360" w:lineRule="auto"/>
        <w:jc w:val="both"/>
        <w:rPr>
          <w:rFonts w:ascii="Arial" w:eastAsiaTheme="minorHAnsi" w:hAnsi="Arial" w:cs="Arial"/>
          <w:sz w:val="22"/>
          <w:szCs w:val="22"/>
          <w:lang w:eastAsia="en-US"/>
        </w:rPr>
      </w:pPr>
      <w:r w:rsidRPr="009525CD">
        <w:rPr>
          <w:rFonts w:ascii="Arial" w:eastAsiaTheme="minorHAnsi" w:hAnsi="Arial" w:cs="Arial"/>
          <w:sz w:val="22"/>
          <w:szCs w:val="22"/>
          <w:lang w:eastAsia="en-US"/>
        </w:rPr>
        <w:t xml:space="preserve">This police focus on risk </w:t>
      </w:r>
      <w:r w:rsidR="00F85F56" w:rsidRPr="009525CD">
        <w:rPr>
          <w:rFonts w:ascii="Arial" w:eastAsiaTheme="minorHAnsi" w:hAnsi="Arial" w:cs="Arial"/>
          <w:sz w:val="22"/>
          <w:szCs w:val="22"/>
          <w:lang w:eastAsia="en-US"/>
        </w:rPr>
        <w:t>regarding</w:t>
      </w:r>
      <w:r w:rsidRPr="009525CD">
        <w:rPr>
          <w:rFonts w:ascii="Arial" w:eastAsiaTheme="minorHAnsi" w:hAnsi="Arial" w:cs="Arial"/>
          <w:sz w:val="22"/>
          <w:szCs w:val="22"/>
          <w:lang w:eastAsia="en-US"/>
        </w:rPr>
        <w:t xml:space="preserve"> physical violence means that </w:t>
      </w:r>
      <w:r w:rsidR="0003472E" w:rsidRPr="009525CD">
        <w:rPr>
          <w:rFonts w:ascii="Arial" w:eastAsiaTheme="minorHAnsi" w:hAnsi="Arial" w:cs="Arial"/>
          <w:sz w:val="22"/>
          <w:szCs w:val="22"/>
          <w:lang w:eastAsia="en-US"/>
        </w:rPr>
        <w:t xml:space="preserve">coercive control can often be missed (Robinson et al, 2016) simply because the ongoing pattern of behaviours that are subtle are easier to miss in comparison to physical violence. </w:t>
      </w:r>
      <w:r w:rsidR="00F85F56" w:rsidRPr="009525CD">
        <w:rPr>
          <w:rFonts w:ascii="Arial" w:eastAsiaTheme="minorHAnsi" w:hAnsi="Arial" w:cs="Arial"/>
          <w:sz w:val="22"/>
          <w:szCs w:val="22"/>
          <w:lang w:eastAsia="en-US"/>
        </w:rPr>
        <w:t xml:space="preserve">Weiner’s (2017) qualitative research, where survivors, police, and criminal justice independent domestic violence advisors (IDVAs) were interviewed and participated in focus groups, found that there was a lack of certainty about what is expected in the context of policing coercive control. Those in the police stated that there was a lack of boundaries around the ‘new’ criminal behaviour which was a concern for officers who tend to deal with ‘black and white’ often failing to see the ‘grey’. Issues were raised around the movement from an incident focus (with its degree of specificity in terms of time and space) to a relationship focus where the same degree of specificity does not exist. </w:t>
      </w:r>
      <w:r w:rsidR="009525CD" w:rsidRPr="009525CD">
        <w:rPr>
          <w:rFonts w:ascii="Arial" w:hAnsi="Arial" w:cs="Arial"/>
          <w:sz w:val="22"/>
          <w:szCs w:val="22"/>
        </w:rPr>
        <w:t xml:space="preserve">An inspection report by HMIC/HMCPSI (2017) also found that some officers still struggle with the course of conduct element of the offence, responding to ‘incidents’ in isolation and not understanding patterns of behaviour. </w:t>
      </w:r>
      <w:proofErr w:type="spellStart"/>
      <w:r w:rsidR="009525CD" w:rsidRPr="009525CD">
        <w:rPr>
          <w:rFonts w:ascii="Arial" w:hAnsi="Arial" w:cs="Arial"/>
          <w:sz w:val="22"/>
          <w:szCs w:val="22"/>
        </w:rPr>
        <w:t>Myhill</w:t>
      </w:r>
      <w:proofErr w:type="spellEnd"/>
      <w:r w:rsidR="009525CD" w:rsidRPr="009525CD">
        <w:rPr>
          <w:rFonts w:ascii="Arial" w:hAnsi="Arial" w:cs="Arial"/>
          <w:sz w:val="22"/>
          <w:szCs w:val="22"/>
        </w:rPr>
        <w:t xml:space="preserve"> et </w:t>
      </w:r>
      <w:proofErr w:type="spellStart"/>
      <w:r w:rsidR="009525CD" w:rsidRPr="009525CD">
        <w:rPr>
          <w:rFonts w:ascii="Arial" w:hAnsi="Arial" w:cs="Arial"/>
          <w:sz w:val="22"/>
          <w:szCs w:val="22"/>
        </w:rPr>
        <w:t>al’s</w:t>
      </w:r>
      <w:proofErr w:type="spellEnd"/>
      <w:r w:rsidR="009525CD" w:rsidRPr="009525CD">
        <w:rPr>
          <w:rFonts w:ascii="Arial" w:hAnsi="Arial" w:cs="Arial"/>
          <w:sz w:val="22"/>
          <w:szCs w:val="22"/>
        </w:rPr>
        <w:t xml:space="preserve"> (2022) study similarly found that an incident-focus approach to policing domestic abuse and coercive control was still clear, driven in part by pragmatism and informed by the common perception that coercive control is ‘hard to prove’. </w:t>
      </w:r>
      <w:r w:rsidR="005A3ACF" w:rsidRPr="005A3ACF">
        <w:rPr>
          <w:rFonts w:ascii="Arial" w:hAnsi="Arial" w:cs="Arial"/>
          <w:color w:val="000000" w:themeColor="text1"/>
          <w:sz w:val="22"/>
          <w:szCs w:val="22"/>
        </w:rPr>
        <w:t xml:space="preserve">As </w:t>
      </w:r>
      <w:proofErr w:type="spellStart"/>
      <w:r w:rsidR="005A3ACF" w:rsidRPr="005A3ACF">
        <w:rPr>
          <w:rFonts w:ascii="Arial" w:hAnsi="Arial" w:cs="Arial"/>
          <w:color w:val="000000" w:themeColor="text1"/>
          <w:sz w:val="22"/>
          <w:szCs w:val="22"/>
        </w:rPr>
        <w:t>Walklate</w:t>
      </w:r>
      <w:proofErr w:type="spellEnd"/>
      <w:r w:rsidR="005A3ACF" w:rsidRPr="005A3ACF">
        <w:rPr>
          <w:rFonts w:ascii="Arial" w:hAnsi="Arial" w:cs="Arial"/>
          <w:color w:val="000000" w:themeColor="text1"/>
          <w:sz w:val="22"/>
          <w:szCs w:val="22"/>
        </w:rPr>
        <w:t xml:space="preserve"> et al. (2018) points out, t</w:t>
      </w:r>
      <w:r w:rsidR="005A3ACF" w:rsidRPr="005A3ACF">
        <w:rPr>
          <w:rFonts w:ascii="Arial" w:hAnsi="Arial" w:cs="Arial"/>
          <w:color w:val="000000"/>
          <w:sz w:val="22"/>
          <w:szCs w:val="22"/>
        </w:rPr>
        <w:t xml:space="preserve">he implementation of this offence relies on police officers being able to identify coercive and controlling behaviour. They need to be able to gather information from the victim that demonstrates a series of abusive events and correctly assess such behaviour as coercive and controlling to be able to lay charges. This can be difficult in that it is a completely different approach, moving away from the typical responding and analysing criminal incidents as immediate, isolated events. Instead, police officers will be asked to consider such offences as a series of interrelated offences that are extremely harmful. </w:t>
      </w:r>
      <w:proofErr w:type="spellStart"/>
      <w:r w:rsidR="005A3ACF" w:rsidRPr="005A3ACF">
        <w:rPr>
          <w:rFonts w:ascii="Arial" w:hAnsi="Arial" w:cs="Arial"/>
          <w:color w:val="000000"/>
          <w:sz w:val="22"/>
          <w:szCs w:val="22"/>
        </w:rPr>
        <w:t>Walklate’s</w:t>
      </w:r>
      <w:proofErr w:type="spellEnd"/>
      <w:r w:rsidR="005A3ACF" w:rsidRPr="005A3ACF">
        <w:rPr>
          <w:rFonts w:ascii="Arial" w:hAnsi="Arial" w:cs="Arial"/>
          <w:color w:val="000000"/>
          <w:sz w:val="22"/>
          <w:szCs w:val="22"/>
        </w:rPr>
        <w:t xml:space="preserve"> analysis captures the difficulties in implementing the offence of coercive and controlling behaviour, as it challenges the typical approach of police officers, and the role of the use of discretion (</w:t>
      </w:r>
      <w:proofErr w:type="spellStart"/>
      <w:r w:rsidR="005A3ACF" w:rsidRPr="005A3ACF">
        <w:rPr>
          <w:rFonts w:ascii="Arial" w:hAnsi="Arial" w:cs="Arial"/>
          <w:color w:val="000000"/>
          <w:sz w:val="22"/>
          <w:szCs w:val="22"/>
        </w:rPr>
        <w:t>Myhill</w:t>
      </w:r>
      <w:proofErr w:type="spellEnd"/>
      <w:r w:rsidR="005A3ACF" w:rsidRPr="005A3ACF">
        <w:rPr>
          <w:rFonts w:ascii="Arial" w:hAnsi="Arial" w:cs="Arial"/>
          <w:color w:val="000000"/>
          <w:sz w:val="22"/>
          <w:szCs w:val="22"/>
        </w:rPr>
        <w:t xml:space="preserve"> and Johnson, 2016).</w:t>
      </w:r>
    </w:p>
    <w:p w14:paraId="5F237EE1" w14:textId="77777777" w:rsidR="009525CD" w:rsidRDefault="009525CD" w:rsidP="009525CD">
      <w:pPr>
        <w:autoSpaceDE w:val="0"/>
        <w:autoSpaceDN w:val="0"/>
        <w:adjustRightInd w:val="0"/>
        <w:spacing w:line="360" w:lineRule="auto"/>
        <w:jc w:val="both"/>
        <w:rPr>
          <w:rFonts w:ascii="Arial" w:eastAsiaTheme="minorHAnsi" w:hAnsi="Arial" w:cs="Arial"/>
          <w:sz w:val="22"/>
          <w:szCs w:val="22"/>
          <w:lang w:eastAsia="en-US"/>
        </w:rPr>
      </w:pPr>
    </w:p>
    <w:p w14:paraId="079EA74A" w14:textId="64C6BFF7" w:rsidR="0003472E" w:rsidRDefault="0003472E" w:rsidP="00AB4496">
      <w:pPr>
        <w:spacing w:line="360" w:lineRule="auto"/>
        <w:jc w:val="both"/>
        <w:rPr>
          <w:rFonts w:ascii="Arial" w:eastAsiaTheme="minorHAnsi" w:hAnsi="Arial" w:cs="Arial"/>
          <w:sz w:val="22"/>
          <w:szCs w:val="22"/>
          <w:lang w:eastAsia="en-US"/>
        </w:rPr>
      </w:pPr>
      <w:r w:rsidRPr="009664C2">
        <w:rPr>
          <w:rFonts w:ascii="Arial" w:eastAsiaTheme="minorHAnsi" w:hAnsi="Arial" w:cs="Arial"/>
          <w:sz w:val="22"/>
          <w:szCs w:val="22"/>
          <w:lang w:eastAsia="en-US"/>
        </w:rPr>
        <w:t xml:space="preserve">As Stark (2007) points out, there is a difficulty for front line police officers to recognise coercive control because victims often minimise the abuse they have suffered, and perpetrators manipulate their account of the incident. </w:t>
      </w:r>
      <w:r w:rsidR="009664C2" w:rsidRPr="009664C2">
        <w:rPr>
          <w:rFonts w:ascii="Arial" w:hAnsi="Arial" w:cs="Arial"/>
          <w:color w:val="333333"/>
          <w:sz w:val="22"/>
          <w:szCs w:val="22"/>
          <w:shd w:val="clear" w:color="auto" w:fill="FFFFFF"/>
        </w:rPr>
        <w:t xml:space="preserve">Brennan et al’s (2016) research found that interview participants, which included </w:t>
      </w:r>
      <w:r w:rsidR="009664C2" w:rsidRPr="009664C2">
        <w:rPr>
          <w:rFonts w:ascii="Arial" w:hAnsi="Arial" w:cs="Arial"/>
          <w:sz w:val="22"/>
          <w:szCs w:val="22"/>
        </w:rPr>
        <w:t>frontline practitioners, police officers and operational and strategic managers, reported that an understanding of coercive control was not fully embedded within the police force and often frontline officers would consider incidents in isolation, rather than considering the bigger picture.</w:t>
      </w:r>
      <w:r w:rsidR="009664C2" w:rsidRPr="009664C2">
        <w:rPr>
          <w:rFonts w:ascii="Arial" w:eastAsiaTheme="minorHAnsi" w:hAnsi="Arial" w:cs="Arial"/>
          <w:sz w:val="22"/>
          <w:szCs w:val="22"/>
          <w:lang w:eastAsia="en-US"/>
        </w:rPr>
        <w:t xml:space="preserve"> </w:t>
      </w:r>
      <w:proofErr w:type="spellStart"/>
      <w:r w:rsidR="00654D85">
        <w:rPr>
          <w:rFonts w:ascii="Arial" w:eastAsiaTheme="minorHAnsi" w:hAnsi="Arial" w:cs="Arial"/>
          <w:sz w:val="22"/>
          <w:szCs w:val="22"/>
          <w:lang w:eastAsia="en-US"/>
        </w:rPr>
        <w:t>Myhill</w:t>
      </w:r>
      <w:proofErr w:type="spellEnd"/>
      <w:r w:rsidR="00654D85">
        <w:rPr>
          <w:rFonts w:ascii="Arial" w:eastAsiaTheme="minorHAnsi" w:hAnsi="Arial" w:cs="Arial"/>
          <w:sz w:val="22"/>
          <w:szCs w:val="22"/>
          <w:lang w:eastAsia="en-US"/>
        </w:rPr>
        <w:t xml:space="preserve"> and Johnson’s (2016) research highlighted that a significant obstacle for frontline officers in recognising abuse was a lack of nuanced understanding around coercive control. Some of the officers did not recognise individual incidents in the context of coercive control, nor did they recognise the tendency of victims to minimise the abuse suffered. This has a significant impact in terms of the </w:t>
      </w:r>
      <w:r w:rsidR="00D44703">
        <w:rPr>
          <w:rFonts w:ascii="Arial" w:eastAsiaTheme="minorHAnsi" w:hAnsi="Arial" w:cs="Arial"/>
          <w:sz w:val="22"/>
          <w:szCs w:val="22"/>
          <w:lang w:eastAsia="en-US"/>
        </w:rPr>
        <w:t>victim’s</w:t>
      </w:r>
      <w:r w:rsidR="00654D85">
        <w:rPr>
          <w:rFonts w:ascii="Arial" w:eastAsiaTheme="minorHAnsi" w:hAnsi="Arial" w:cs="Arial"/>
          <w:sz w:val="22"/>
          <w:szCs w:val="22"/>
          <w:lang w:eastAsia="en-US"/>
        </w:rPr>
        <w:t xml:space="preserve"> safety, as intervention is not </w:t>
      </w:r>
      <w:r w:rsidR="00D44703">
        <w:rPr>
          <w:rFonts w:ascii="Arial" w:eastAsiaTheme="minorHAnsi" w:hAnsi="Arial" w:cs="Arial"/>
          <w:sz w:val="22"/>
          <w:szCs w:val="22"/>
          <w:lang w:eastAsia="en-US"/>
        </w:rPr>
        <w:t>considered,</w:t>
      </w:r>
      <w:r w:rsidR="00654D85">
        <w:rPr>
          <w:rFonts w:ascii="Arial" w:eastAsiaTheme="minorHAnsi" w:hAnsi="Arial" w:cs="Arial"/>
          <w:sz w:val="22"/>
          <w:szCs w:val="22"/>
          <w:lang w:eastAsia="en-US"/>
        </w:rPr>
        <w:t xml:space="preserve"> </w:t>
      </w:r>
      <w:r w:rsidR="00D44703">
        <w:rPr>
          <w:rFonts w:ascii="Arial" w:eastAsiaTheme="minorHAnsi" w:hAnsi="Arial" w:cs="Arial"/>
          <w:sz w:val="22"/>
          <w:szCs w:val="22"/>
          <w:lang w:eastAsia="en-US"/>
        </w:rPr>
        <w:t>and</w:t>
      </w:r>
      <w:r w:rsidR="00654D85">
        <w:rPr>
          <w:rFonts w:ascii="Arial" w:eastAsiaTheme="minorHAnsi" w:hAnsi="Arial" w:cs="Arial"/>
          <w:sz w:val="22"/>
          <w:szCs w:val="22"/>
          <w:lang w:eastAsia="en-US"/>
        </w:rPr>
        <w:t xml:space="preserve"> police </w:t>
      </w:r>
      <w:r w:rsidR="00D44703">
        <w:rPr>
          <w:rFonts w:ascii="Arial" w:eastAsiaTheme="minorHAnsi" w:hAnsi="Arial" w:cs="Arial"/>
          <w:sz w:val="22"/>
          <w:szCs w:val="22"/>
          <w:lang w:eastAsia="en-US"/>
        </w:rPr>
        <w:t xml:space="preserve">data is skewed because the incident is not recorded. </w:t>
      </w:r>
      <w:r w:rsidR="00D44703" w:rsidRPr="005A3ACF">
        <w:rPr>
          <w:rFonts w:ascii="Arial" w:eastAsiaTheme="minorHAnsi" w:hAnsi="Arial" w:cs="Arial"/>
          <w:sz w:val="22"/>
          <w:szCs w:val="22"/>
          <w:lang w:eastAsia="en-US"/>
        </w:rPr>
        <w:t xml:space="preserve">What is clear is that there is a fundamental </w:t>
      </w:r>
      <w:r w:rsidR="009664C2" w:rsidRPr="005A3ACF">
        <w:rPr>
          <w:rFonts w:ascii="Arial" w:eastAsiaTheme="minorHAnsi" w:hAnsi="Arial" w:cs="Arial"/>
          <w:sz w:val="22"/>
          <w:szCs w:val="22"/>
          <w:lang w:eastAsia="en-US"/>
        </w:rPr>
        <w:t>need for front line officers and other practitioners to have a full understanding of coercive control, and how coercive control can impact on a victim’s ability to disclose the abuse and seek help</w:t>
      </w:r>
      <w:r w:rsidR="00D44703" w:rsidRPr="005A3ACF">
        <w:rPr>
          <w:rFonts w:ascii="Arial" w:eastAsiaTheme="minorHAnsi" w:hAnsi="Arial" w:cs="Arial"/>
          <w:sz w:val="22"/>
          <w:szCs w:val="22"/>
          <w:lang w:eastAsia="en-US"/>
        </w:rPr>
        <w:t>.</w:t>
      </w:r>
      <w:r w:rsidR="00D44703">
        <w:rPr>
          <w:rFonts w:ascii="Arial" w:eastAsiaTheme="minorHAnsi" w:hAnsi="Arial" w:cs="Arial"/>
          <w:sz w:val="22"/>
          <w:szCs w:val="22"/>
          <w:lang w:eastAsia="en-US"/>
        </w:rPr>
        <w:t xml:space="preserve"> </w:t>
      </w:r>
    </w:p>
    <w:p w14:paraId="33659AA1" w14:textId="5BE9E56F" w:rsidR="00F85F56" w:rsidRDefault="00F85F56" w:rsidP="00AB4496">
      <w:pPr>
        <w:spacing w:line="360" w:lineRule="auto"/>
        <w:jc w:val="both"/>
        <w:rPr>
          <w:rFonts w:ascii="Arial" w:eastAsiaTheme="minorHAnsi" w:hAnsi="Arial" w:cs="Arial"/>
          <w:sz w:val="22"/>
          <w:szCs w:val="22"/>
          <w:lang w:eastAsia="en-US"/>
        </w:rPr>
      </w:pPr>
    </w:p>
    <w:p w14:paraId="024AB87A" w14:textId="5104B657" w:rsidR="009525CD" w:rsidRDefault="007509F0" w:rsidP="007509F0">
      <w:pPr>
        <w:spacing w:line="360" w:lineRule="auto"/>
        <w:jc w:val="both"/>
        <w:rPr>
          <w:rFonts w:ascii="Arial" w:eastAsiaTheme="minorHAnsi" w:hAnsi="Arial" w:cs="Arial"/>
          <w:sz w:val="22"/>
          <w:szCs w:val="22"/>
          <w:lang w:eastAsia="en-US"/>
        </w:rPr>
      </w:pPr>
      <w:r w:rsidRPr="007509F0">
        <w:rPr>
          <w:rFonts w:ascii="Arial" w:eastAsiaTheme="minorHAnsi" w:hAnsi="Arial" w:cs="Arial"/>
          <w:sz w:val="22"/>
          <w:szCs w:val="22"/>
          <w:lang w:eastAsia="en-US"/>
        </w:rPr>
        <w:t>Even when coercive control is not ‘missed’, p</w:t>
      </w:r>
      <w:r w:rsidRPr="007509F0">
        <w:rPr>
          <w:rFonts w:ascii="Arial" w:hAnsi="Arial" w:cs="Arial"/>
          <w:color w:val="000000" w:themeColor="text1"/>
          <w:sz w:val="22"/>
          <w:szCs w:val="22"/>
          <w:shd w:val="clear" w:color="auto" w:fill="FFFFFF"/>
        </w:rPr>
        <w:t>rosecutions for coercive behaviour remain low. In England and Wales, between April 2021 and March 2022, there were just 1,925 defendants prosecuted for controlling or coercive behaviour (ONS, 2022). There were 41,626 offences of coercive control recorded by the police in England and Wales in the year ending March 2022, which suggests that only a small proportion of perpetrators are being prosecuted (ONS, 2022a).</w:t>
      </w:r>
      <w:r w:rsidRPr="007509F0">
        <w:rPr>
          <w:rFonts w:ascii="Arial" w:hAnsi="Arial" w:cs="Arial"/>
          <w:color w:val="000000" w:themeColor="text1"/>
          <w:sz w:val="22"/>
          <w:szCs w:val="22"/>
        </w:rPr>
        <w:t xml:space="preserve"> </w:t>
      </w:r>
      <w:r w:rsidRPr="007509F0">
        <w:rPr>
          <w:rFonts w:ascii="Arial" w:eastAsiaTheme="minorHAnsi" w:hAnsi="Arial" w:cs="Arial"/>
          <w:color w:val="000000"/>
          <w:sz w:val="22"/>
          <w:szCs w:val="22"/>
          <w:lang w:eastAsia="en-US"/>
        </w:rPr>
        <w:t xml:space="preserve">Coercive control represents </w:t>
      </w:r>
      <w:r>
        <w:rPr>
          <w:rFonts w:ascii="Arial" w:eastAsiaTheme="minorHAnsi" w:hAnsi="Arial" w:cs="Arial"/>
          <w:color w:val="000000"/>
          <w:sz w:val="22"/>
          <w:szCs w:val="22"/>
          <w:lang w:eastAsia="en-US"/>
        </w:rPr>
        <w:t>only a</w:t>
      </w:r>
      <w:r w:rsidRPr="007509F0">
        <w:rPr>
          <w:rFonts w:ascii="Arial" w:eastAsiaTheme="minorHAnsi" w:hAnsi="Arial" w:cs="Arial"/>
          <w:color w:val="000000"/>
          <w:sz w:val="22"/>
          <w:szCs w:val="22"/>
          <w:lang w:eastAsia="en-US"/>
        </w:rPr>
        <w:t xml:space="preserve"> small proportion of recorded domestic abuse crimes,</w:t>
      </w:r>
      <w:r>
        <w:rPr>
          <w:rFonts w:ascii="Arial" w:hAnsi="Arial" w:cs="Arial"/>
          <w:color w:val="000000" w:themeColor="text1"/>
          <w:sz w:val="22"/>
          <w:szCs w:val="22"/>
        </w:rPr>
        <w:t xml:space="preserve"> </w:t>
      </w:r>
      <w:r w:rsidRPr="007509F0">
        <w:rPr>
          <w:rFonts w:ascii="Arial" w:eastAsiaTheme="minorHAnsi" w:hAnsi="Arial" w:cs="Arial"/>
          <w:color w:val="000000"/>
          <w:sz w:val="22"/>
          <w:szCs w:val="22"/>
          <w:lang w:eastAsia="en-US"/>
        </w:rPr>
        <w:t>and research conducted in other English police forces found th</w:t>
      </w:r>
      <w:r>
        <w:rPr>
          <w:rFonts w:ascii="Arial" w:eastAsiaTheme="minorHAnsi" w:hAnsi="Arial" w:cs="Arial"/>
          <w:color w:val="000000"/>
          <w:sz w:val="22"/>
          <w:szCs w:val="22"/>
          <w:lang w:eastAsia="en-US"/>
        </w:rPr>
        <w:t>is</w:t>
      </w:r>
      <w:r w:rsidRPr="007509F0">
        <w:rPr>
          <w:rFonts w:ascii="Arial" w:eastAsiaTheme="minorHAnsi" w:hAnsi="Arial" w:cs="Arial"/>
          <w:color w:val="000000"/>
          <w:sz w:val="22"/>
          <w:szCs w:val="22"/>
          <w:lang w:eastAsia="en-US"/>
        </w:rPr>
        <w:t xml:space="preserve"> offence to be under recorded and the legislation under</w:t>
      </w:r>
      <w:r>
        <w:rPr>
          <w:rFonts w:ascii="Arial" w:eastAsiaTheme="minorHAnsi" w:hAnsi="Arial" w:cs="Arial"/>
          <w:color w:val="000000"/>
          <w:sz w:val="22"/>
          <w:szCs w:val="22"/>
          <w:lang w:eastAsia="en-US"/>
        </w:rPr>
        <w:t>-</w:t>
      </w:r>
      <w:r w:rsidRPr="007509F0">
        <w:rPr>
          <w:rFonts w:ascii="Arial" w:eastAsiaTheme="minorHAnsi" w:hAnsi="Arial" w:cs="Arial"/>
          <w:color w:val="000000"/>
          <w:sz w:val="22"/>
          <w:szCs w:val="22"/>
          <w:lang w:eastAsia="en-US"/>
        </w:rPr>
        <w:t>utilised (Barlow et al</w:t>
      </w:r>
      <w:r>
        <w:rPr>
          <w:rFonts w:ascii="Arial" w:eastAsiaTheme="minorHAnsi" w:hAnsi="Arial" w:cs="Arial"/>
          <w:color w:val="000000"/>
          <w:sz w:val="22"/>
          <w:szCs w:val="22"/>
          <w:lang w:eastAsia="en-US"/>
        </w:rPr>
        <w:t>, 2020).</w:t>
      </w:r>
      <w:r>
        <w:rPr>
          <w:rFonts w:ascii="Arial" w:hAnsi="Arial" w:cs="Arial"/>
          <w:color w:val="000000" w:themeColor="text1"/>
          <w:sz w:val="22"/>
          <w:szCs w:val="22"/>
        </w:rPr>
        <w:t xml:space="preserve"> </w:t>
      </w:r>
      <w:proofErr w:type="spellStart"/>
      <w:r w:rsidR="009525CD" w:rsidRPr="00EA545B">
        <w:rPr>
          <w:rFonts w:ascii="Arial" w:eastAsiaTheme="minorHAnsi" w:hAnsi="Arial" w:cs="Arial"/>
          <w:sz w:val="22"/>
          <w:szCs w:val="22"/>
          <w:lang w:eastAsia="en-US"/>
        </w:rPr>
        <w:t>Myhill</w:t>
      </w:r>
      <w:proofErr w:type="spellEnd"/>
      <w:r w:rsidR="009525CD" w:rsidRPr="00EA545B">
        <w:rPr>
          <w:rFonts w:ascii="Arial" w:eastAsiaTheme="minorHAnsi" w:hAnsi="Arial" w:cs="Arial"/>
          <w:sz w:val="22"/>
          <w:szCs w:val="22"/>
          <w:lang w:eastAsia="en-US"/>
        </w:rPr>
        <w:t xml:space="preserve"> et </w:t>
      </w:r>
      <w:proofErr w:type="spellStart"/>
      <w:r w:rsidR="009525CD" w:rsidRPr="00EA545B">
        <w:rPr>
          <w:rFonts w:ascii="Arial" w:eastAsiaTheme="minorHAnsi" w:hAnsi="Arial" w:cs="Arial"/>
          <w:sz w:val="22"/>
          <w:szCs w:val="22"/>
          <w:lang w:eastAsia="en-US"/>
        </w:rPr>
        <w:t>al’s</w:t>
      </w:r>
      <w:proofErr w:type="spellEnd"/>
      <w:r w:rsidR="009525CD" w:rsidRPr="00EA545B">
        <w:rPr>
          <w:rFonts w:ascii="Arial" w:eastAsiaTheme="minorHAnsi" w:hAnsi="Arial" w:cs="Arial"/>
          <w:sz w:val="22"/>
          <w:szCs w:val="22"/>
          <w:lang w:eastAsia="en-US"/>
        </w:rPr>
        <w:t xml:space="preserve"> (2022) research findings from a focused ethnography</w:t>
      </w:r>
      <w:r w:rsidR="009525CD">
        <w:rPr>
          <w:rFonts w:ascii="Arial" w:eastAsiaTheme="minorHAnsi" w:hAnsi="Arial" w:cs="Arial"/>
          <w:sz w:val="22"/>
          <w:szCs w:val="22"/>
          <w:lang w:eastAsia="en-US"/>
        </w:rPr>
        <w:t xml:space="preserve"> </w:t>
      </w:r>
      <w:r w:rsidR="009525CD" w:rsidRPr="00EA545B">
        <w:rPr>
          <w:rFonts w:ascii="Arial" w:eastAsiaTheme="minorHAnsi" w:hAnsi="Arial" w:cs="Arial"/>
          <w:sz w:val="22"/>
          <w:szCs w:val="22"/>
          <w:lang w:eastAsia="en-US"/>
        </w:rPr>
        <w:t>conducted in two police forces in England</w:t>
      </w:r>
      <w:r w:rsidR="009525CD">
        <w:rPr>
          <w:rFonts w:ascii="Arial" w:eastAsiaTheme="minorHAnsi" w:hAnsi="Arial" w:cs="Arial"/>
          <w:sz w:val="22"/>
          <w:szCs w:val="22"/>
          <w:lang w:eastAsia="en-US"/>
        </w:rPr>
        <w:t xml:space="preserve"> concluded that the benefits of the coercive control legislation are not currently being realised. </w:t>
      </w:r>
      <w:r w:rsidR="009525CD" w:rsidRPr="009525CD">
        <w:rPr>
          <w:rFonts w:ascii="Arial" w:eastAsiaTheme="minorHAnsi" w:hAnsi="Arial" w:cs="Arial"/>
          <w:sz w:val="22"/>
          <w:szCs w:val="22"/>
          <w:lang w:eastAsia="en-US"/>
        </w:rPr>
        <w:t xml:space="preserve">The study found that the attitudes and (lack of) knowledge of some officers was impeding the successful implementation of coercive control legislation. Some officers did show an understanding of the gendered nature of domestic abuse; however, other officers drew upon sexist assumptions of what constitutes ‘normal’ relationships </w:t>
      </w:r>
      <w:r w:rsidR="005E73D8" w:rsidRPr="009525CD">
        <w:rPr>
          <w:rFonts w:ascii="Arial" w:eastAsiaTheme="minorHAnsi" w:hAnsi="Arial" w:cs="Arial"/>
          <w:sz w:val="22"/>
          <w:szCs w:val="22"/>
          <w:lang w:eastAsia="en-US"/>
        </w:rPr>
        <w:t>to</w:t>
      </w:r>
      <w:r w:rsidR="009525CD" w:rsidRPr="009525CD">
        <w:rPr>
          <w:rFonts w:ascii="Arial" w:eastAsiaTheme="minorHAnsi" w:hAnsi="Arial" w:cs="Arial"/>
          <w:sz w:val="22"/>
          <w:szCs w:val="22"/>
          <w:lang w:eastAsia="en-US"/>
        </w:rPr>
        <w:t xml:space="preserve"> trivialise disclosures of some coercive behaviours. The researchers also found evidence of coercive control reports being met with cynicism and suspicion, which for the researchers, raised concerns about the influence of misogyny and compassion fatigue on police occupational culture.</w:t>
      </w:r>
      <w:r>
        <w:rPr>
          <w:rFonts w:ascii="Arial" w:eastAsiaTheme="minorHAnsi" w:hAnsi="Arial" w:cs="Arial"/>
          <w:sz w:val="22"/>
          <w:szCs w:val="22"/>
          <w:lang w:eastAsia="en-US"/>
        </w:rPr>
        <w:t xml:space="preserve"> </w:t>
      </w:r>
    </w:p>
    <w:p w14:paraId="5AB80174" w14:textId="601CB2C1" w:rsidR="007509F0" w:rsidRDefault="007509F0" w:rsidP="007509F0">
      <w:pPr>
        <w:spacing w:line="360" w:lineRule="auto"/>
        <w:jc w:val="both"/>
        <w:rPr>
          <w:rFonts w:ascii="Arial" w:eastAsiaTheme="minorHAnsi" w:hAnsi="Arial" w:cs="Arial"/>
          <w:sz w:val="22"/>
          <w:szCs w:val="22"/>
          <w:lang w:eastAsia="en-US"/>
        </w:rPr>
      </w:pPr>
    </w:p>
    <w:p w14:paraId="01593C30" w14:textId="6B3E8405" w:rsidR="001E276A" w:rsidRPr="005E73D8" w:rsidRDefault="007509F0" w:rsidP="008343EB">
      <w:pPr>
        <w:spacing w:line="360" w:lineRule="auto"/>
        <w:jc w:val="both"/>
        <w:rPr>
          <w:rFonts w:ascii="Arial" w:eastAsiaTheme="minorHAnsi" w:hAnsi="Arial" w:cs="Arial"/>
          <w:sz w:val="22"/>
          <w:szCs w:val="22"/>
          <w:lang w:eastAsia="en-US"/>
        </w:rPr>
      </w:pPr>
      <w:r w:rsidRPr="005E73D8">
        <w:rPr>
          <w:rFonts w:ascii="Arial" w:eastAsiaTheme="minorHAnsi" w:hAnsi="Arial" w:cs="Arial"/>
          <w:sz w:val="22"/>
          <w:szCs w:val="22"/>
          <w:lang w:eastAsia="en-US"/>
        </w:rPr>
        <w:t xml:space="preserve">Overall, </w:t>
      </w:r>
      <w:r w:rsidR="005E73D8" w:rsidRPr="005E73D8">
        <w:rPr>
          <w:rFonts w:ascii="Arial" w:eastAsiaTheme="minorHAnsi" w:hAnsi="Arial" w:cs="Arial"/>
          <w:sz w:val="22"/>
          <w:szCs w:val="22"/>
          <w:lang w:eastAsia="en-US"/>
        </w:rPr>
        <w:t xml:space="preserve">the research demonstrates that </w:t>
      </w:r>
      <w:r w:rsidR="005E73D8" w:rsidRPr="005E73D8">
        <w:rPr>
          <w:rFonts w:ascii="Arial" w:hAnsi="Arial" w:cs="Arial"/>
          <w:sz w:val="22"/>
          <w:szCs w:val="22"/>
        </w:rPr>
        <w:t>coercive and</w:t>
      </w:r>
      <w:r w:rsidRPr="005E73D8">
        <w:rPr>
          <w:rFonts w:ascii="Arial" w:hAnsi="Arial" w:cs="Arial"/>
          <w:sz w:val="22"/>
          <w:szCs w:val="22"/>
        </w:rPr>
        <w:t xml:space="preserve"> controlling behaviour often goes under the radar (Brennan et al, 2016; </w:t>
      </w:r>
      <w:proofErr w:type="spellStart"/>
      <w:r w:rsidRPr="005E73D8">
        <w:rPr>
          <w:rFonts w:ascii="Arial" w:hAnsi="Arial" w:cs="Arial"/>
          <w:sz w:val="22"/>
          <w:szCs w:val="22"/>
        </w:rPr>
        <w:t>Myhill</w:t>
      </w:r>
      <w:proofErr w:type="spellEnd"/>
      <w:r w:rsidRPr="005E73D8">
        <w:rPr>
          <w:rFonts w:ascii="Arial" w:hAnsi="Arial" w:cs="Arial"/>
          <w:sz w:val="22"/>
          <w:szCs w:val="22"/>
        </w:rPr>
        <w:t xml:space="preserve"> and Johnson, 2016; Robinson et al., 2018) with the subtle behaviours being more difficult to recognise than physical injuries. The limited research in Wales (Robinson et al, 2018) demonstrates that those who work in partner agencies, particularly those who provide specialist domestic abuse advocates, had a greater understanding of coercive control than police officers. </w:t>
      </w:r>
      <w:r w:rsidR="005E73D8" w:rsidRPr="005E73D8">
        <w:rPr>
          <w:rFonts w:ascii="Arial" w:hAnsi="Arial" w:cs="Arial"/>
          <w:sz w:val="22"/>
          <w:szCs w:val="22"/>
        </w:rPr>
        <w:t>Alongside this, m</w:t>
      </w:r>
      <w:r w:rsidRPr="005E73D8">
        <w:rPr>
          <w:rFonts w:ascii="Arial" w:hAnsi="Arial" w:cs="Arial"/>
          <w:sz w:val="22"/>
          <w:szCs w:val="22"/>
        </w:rPr>
        <w:t xml:space="preserve">uch of the research in this field in the UK overall is qualitative, being interview and focus group based, and therefore is subject to response bias and issues with truthfulness, which can impact on the validity of responses, therefore it can be argued that a quantitative </w:t>
      </w:r>
      <w:r w:rsidR="005E73D8" w:rsidRPr="005E73D8">
        <w:rPr>
          <w:rFonts w:ascii="Arial" w:hAnsi="Arial" w:cs="Arial"/>
          <w:sz w:val="22"/>
          <w:szCs w:val="22"/>
        </w:rPr>
        <w:t>methodology can be utilised to explore levels of police understanding of coercive control and the subsequent impact on response.</w:t>
      </w:r>
    </w:p>
    <w:p w14:paraId="341D0C62" w14:textId="5970CA3E" w:rsidR="004C16DB" w:rsidRPr="008343EB" w:rsidRDefault="004C16DB" w:rsidP="008343EB">
      <w:pPr>
        <w:spacing w:line="360" w:lineRule="auto"/>
        <w:jc w:val="both"/>
        <w:rPr>
          <w:rFonts w:ascii="Arial" w:hAnsi="Arial" w:cs="Arial"/>
          <w:sz w:val="22"/>
          <w:szCs w:val="22"/>
        </w:rPr>
      </w:pPr>
    </w:p>
    <w:p w14:paraId="570B80AB" w14:textId="704B2A94" w:rsidR="004C16DB" w:rsidRDefault="004C16DB" w:rsidP="00631CE3">
      <w:pPr>
        <w:spacing w:line="360" w:lineRule="auto"/>
        <w:jc w:val="both"/>
        <w:rPr>
          <w:rFonts w:ascii="Arial" w:hAnsi="Arial" w:cs="Arial"/>
          <w:sz w:val="22"/>
          <w:szCs w:val="22"/>
        </w:rPr>
      </w:pPr>
      <w:r w:rsidRPr="00631CE3">
        <w:rPr>
          <w:rFonts w:ascii="Arial" w:hAnsi="Arial" w:cs="Arial"/>
          <w:sz w:val="22"/>
          <w:szCs w:val="22"/>
        </w:rPr>
        <w:t>References</w:t>
      </w:r>
    </w:p>
    <w:p w14:paraId="0EAD6C13" w14:textId="2E17D591" w:rsidR="007E1AF8" w:rsidRDefault="007E1AF8" w:rsidP="00631CE3">
      <w:pPr>
        <w:spacing w:line="360" w:lineRule="auto"/>
        <w:jc w:val="both"/>
        <w:rPr>
          <w:rFonts w:ascii="Arial" w:hAnsi="Arial" w:cs="Arial"/>
          <w:sz w:val="22"/>
          <w:szCs w:val="22"/>
        </w:rPr>
      </w:pPr>
    </w:p>
    <w:p w14:paraId="1A46D732" w14:textId="77777777" w:rsidR="007E1AF8" w:rsidRDefault="007E1AF8" w:rsidP="007E1AF8">
      <w:pPr>
        <w:shd w:val="clear" w:color="auto" w:fill="FFFFFF"/>
        <w:spacing w:line="360" w:lineRule="auto"/>
        <w:jc w:val="both"/>
        <w:rPr>
          <w:rStyle w:val="page"/>
          <w:rFonts w:ascii="Arial" w:hAnsi="Arial" w:cs="Arial"/>
          <w:color w:val="333333"/>
          <w:sz w:val="22"/>
          <w:szCs w:val="22"/>
          <w:shd w:val="clear" w:color="auto" w:fill="FFFFFF"/>
        </w:rPr>
      </w:pPr>
      <w:r w:rsidRPr="00F870F4">
        <w:rPr>
          <w:rStyle w:val="nlmstring-name"/>
          <w:rFonts w:ascii="Arial" w:hAnsi="Arial" w:cs="Arial"/>
          <w:color w:val="333333"/>
          <w:sz w:val="22"/>
          <w:szCs w:val="22"/>
        </w:rPr>
        <w:t>Bair-Merritt</w:t>
      </w:r>
      <w:r w:rsidRPr="00F870F4">
        <w:rPr>
          <w:rFonts w:ascii="Arial" w:hAnsi="Arial" w:cs="Arial"/>
          <w:color w:val="333333"/>
          <w:sz w:val="22"/>
          <w:szCs w:val="22"/>
        </w:rPr>
        <w:t xml:space="preserve">, MH; </w:t>
      </w:r>
      <w:r w:rsidRPr="00F870F4">
        <w:rPr>
          <w:rStyle w:val="nlmstring-name"/>
          <w:rFonts w:ascii="Arial" w:hAnsi="Arial" w:cs="Arial"/>
          <w:color w:val="333333"/>
          <w:sz w:val="22"/>
          <w:szCs w:val="22"/>
        </w:rPr>
        <w:t>Crowne</w:t>
      </w:r>
      <w:r w:rsidRPr="00F870F4">
        <w:rPr>
          <w:rFonts w:ascii="Arial" w:hAnsi="Arial" w:cs="Arial"/>
          <w:color w:val="333333"/>
          <w:sz w:val="22"/>
          <w:szCs w:val="22"/>
        </w:rPr>
        <w:t>, SS;</w:t>
      </w:r>
      <w:r w:rsidRPr="00F870F4">
        <w:rPr>
          <w:rStyle w:val="nlmstring-name"/>
          <w:rFonts w:ascii="Arial" w:hAnsi="Arial" w:cs="Arial"/>
          <w:color w:val="333333"/>
          <w:sz w:val="22"/>
          <w:szCs w:val="22"/>
        </w:rPr>
        <w:t xml:space="preserve"> Thompson</w:t>
      </w:r>
      <w:r w:rsidRPr="00F870F4">
        <w:rPr>
          <w:rFonts w:ascii="Arial" w:hAnsi="Arial" w:cs="Arial"/>
          <w:color w:val="333333"/>
          <w:sz w:val="22"/>
          <w:szCs w:val="22"/>
        </w:rPr>
        <w:t xml:space="preserve">, DA; </w:t>
      </w:r>
      <w:proofErr w:type="spellStart"/>
      <w:r w:rsidRPr="00F870F4">
        <w:rPr>
          <w:rStyle w:val="nlmstring-name"/>
          <w:rFonts w:ascii="Arial" w:hAnsi="Arial" w:cs="Arial"/>
          <w:color w:val="333333"/>
          <w:sz w:val="22"/>
          <w:szCs w:val="22"/>
        </w:rPr>
        <w:t>Sibinga</w:t>
      </w:r>
      <w:proofErr w:type="spellEnd"/>
      <w:r w:rsidRPr="00F870F4">
        <w:rPr>
          <w:rFonts w:ascii="Arial" w:hAnsi="Arial" w:cs="Arial"/>
          <w:color w:val="333333"/>
          <w:sz w:val="22"/>
          <w:szCs w:val="22"/>
        </w:rPr>
        <w:t>, E; </w:t>
      </w:r>
      <w:r w:rsidRPr="00F870F4">
        <w:rPr>
          <w:rStyle w:val="nlmstring-name"/>
          <w:rFonts w:ascii="Arial" w:hAnsi="Arial" w:cs="Arial"/>
          <w:color w:val="333333"/>
          <w:sz w:val="22"/>
          <w:szCs w:val="22"/>
        </w:rPr>
        <w:t>Trent</w:t>
      </w:r>
      <w:r w:rsidRPr="00F870F4">
        <w:rPr>
          <w:rFonts w:ascii="Arial" w:hAnsi="Arial" w:cs="Arial"/>
          <w:color w:val="333333"/>
          <w:sz w:val="22"/>
          <w:szCs w:val="22"/>
        </w:rPr>
        <w:t>, M and </w:t>
      </w:r>
      <w:r w:rsidRPr="00F870F4">
        <w:rPr>
          <w:rStyle w:val="nlmstring-name"/>
          <w:rFonts w:ascii="Arial" w:hAnsi="Arial" w:cs="Arial"/>
          <w:color w:val="333333"/>
          <w:sz w:val="22"/>
          <w:szCs w:val="22"/>
        </w:rPr>
        <w:t>Campbell</w:t>
      </w:r>
      <w:r w:rsidRPr="00F870F4">
        <w:rPr>
          <w:rFonts w:ascii="Arial" w:hAnsi="Arial" w:cs="Arial"/>
          <w:color w:val="333333"/>
          <w:sz w:val="22"/>
          <w:szCs w:val="22"/>
        </w:rPr>
        <w:t xml:space="preserve">, J (2010) </w:t>
      </w:r>
      <w:r w:rsidRPr="00F870F4">
        <w:rPr>
          <w:rFonts w:ascii="Arial" w:hAnsi="Arial" w:cs="Arial"/>
          <w:i/>
          <w:iCs/>
          <w:color w:val="333333"/>
          <w:sz w:val="22"/>
          <w:szCs w:val="22"/>
        </w:rPr>
        <w:t>‘</w:t>
      </w:r>
      <w:r w:rsidRPr="00F870F4">
        <w:rPr>
          <w:rFonts w:ascii="Arial" w:hAnsi="Arial" w:cs="Arial"/>
          <w:i/>
          <w:iCs/>
          <w:sz w:val="22"/>
          <w:szCs w:val="22"/>
        </w:rPr>
        <w:t>Why Do Women Use Intimate Partner Violence? A Systematic Review of Women’s Motivations’</w:t>
      </w:r>
      <w:r w:rsidRPr="00F870F4">
        <w:rPr>
          <w:rFonts w:ascii="Arial" w:hAnsi="Arial" w:cs="Arial"/>
          <w:color w:val="333333"/>
          <w:sz w:val="22"/>
          <w:szCs w:val="22"/>
        </w:rPr>
        <w:t xml:space="preserve">, </w:t>
      </w:r>
      <w:r w:rsidRPr="00F870F4">
        <w:rPr>
          <w:rStyle w:val="journalname"/>
          <w:rFonts w:ascii="Arial" w:hAnsi="Arial" w:cs="Arial"/>
          <w:color w:val="333333"/>
          <w:sz w:val="22"/>
          <w:szCs w:val="22"/>
          <w:shd w:val="clear" w:color="auto" w:fill="FFFFFF"/>
        </w:rPr>
        <w:t>Trauma, Violence, &amp; Abuse</w:t>
      </w:r>
      <w:r w:rsidRPr="00F870F4">
        <w:rPr>
          <w:rFonts w:ascii="Arial" w:hAnsi="Arial" w:cs="Arial"/>
          <w:color w:val="333333"/>
          <w:sz w:val="22"/>
          <w:szCs w:val="22"/>
          <w:shd w:val="clear" w:color="auto" w:fill="FFFFFF"/>
        </w:rPr>
        <w:t>, Vol </w:t>
      </w:r>
      <w:r w:rsidRPr="00F870F4">
        <w:rPr>
          <w:rStyle w:val="volume"/>
          <w:rFonts w:ascii="Arial" w:hAnsi="Arial" w:cs="Arial"/>
          <w:color w:val="333333"/>
          <w:sz w:val="22"/>
          <w:szCs w:val="22"/>
          <w:shd w:val="clear" w:color="auto" w:fill="FFFFFF"/>
        </w:rPr>
        <w:t>11</w:t>
      </w:r>
      <w:r w:rsidRPr="00F870F4">
        <w:rPr>
          <w:rFonts w:ascii="Arial" w:hAnsi="Arial" w:cs="Arial"/>
          <w:color w:val="333333"/>
          <w:sz w:val="22"/>
          <w:szCs w:val="22"/>
          <w:shd w:val="clear" w:color="auto" w:fill="FFFFFF"/>
        </w:rPr>
        <w:t>(</w:t>
      </w:r>
      <w:r w:rsidRPr="00F870F4">
        <w:rPr>
          <w:rStyle w:val="issue"/>
          <w:rFonts w:ascii="Arial" w:hAnsi="Arial" w:cs="Arial"/>
          <w:color w:val="333333"/>
          <w:sz w:val="22"/>
          <w:szCs w:val="22"/>
          <w:shd w:val="clear" w:color="auto" w:fill="FFFFFF"/>
        </w:rPr>
        <w:t>4)</w:t>
      </w:r>
      <w:r w:rsidRPr="00F870F4">
        <w:rPr>
          <w:rFonts w:ascii="Arial" w:hAnsi="Arial" w:cs="Arial"/>
          <w:color w:val="333333"/>
          <w:sz w:val="22"/>
          <w:szCs w:val="22"/>
          <w:shd w:val="clear" w:color="auto" w:fill="FFFFFF"/>
        </w:rPr>
        <w:t>, </w:t>
      </w:r>
      <w:r w:rsidRPr="00F870F4">
        <w:rPr>
          <w:rStyle w:val="page"/>
          <w:rFonts w:ascii="Arial" w:hAnsi="Arial" w:cs="Arial"/>
          <w:color w:val="333333"/>
          <w:sz w:val="22"/>
          <w:szCs w:val="22"/>
          <w:shd w:val="clear" w:color="auto" w:fill="FFFFFF"/>
        </w:rPr>
        <w:t>178-189</w:t>
      </w:r>
    </w:p>
    <w:p w14:paraId="2ABA564F" w14:textId="77777777" w:rsidR="007E1AF8" w:rsidRPr="00F870F4" w:rsidRDefault="007E1AF8" w:rsidP="007E1AF8">
      <w:pPr>
        <w:shd w:val="clear" w:color="auto" w:fill="FFFFFF"/>
        <w:spacing w:line="360" w:lineRule="auto"/>
        <w:jc w:val="both"/>
        <w:rPr>
          <w:rStyle w:val="page"/>
          <w:rFonts w:ascii="Arial" w:hAnsi="Arial" w:cs="Arial"/>
          <w:color w:val="333333"/>
          <w:sz w:val="22"/>
          <w:szCs w:val="22"/>
        </w:rPr>
      </w:pPr>
    </w:p>
    <w:p w14:paraId="498DD091" w14:textId="77777777" w:rsidR="007E1AF8" w:rsidRDefault="007E1AF8" w:rsidP="007E1AF8">
      <w:pPr>
        <w:spacing w:line="360" w:lineRule="auto"/>
        <w:jc w:val="both"/>
        <w:rPr>
          <w:rFonts w:ascii="Arial" w:hAnsi="Arial" w:cs="Arial"/>
          <w:color w:val="333333"/>
          <w:sz w:val="22"/>
          <w:szCs w:val="22"/>
          <w:shd w:val="clear" w:color="auto" w:fill="FFFFFF"/>
        </w:rPr>
      </w:pPr>
      <w:r w:rsidRPr="00F870F4">
        <w:rPr>
          <w:rFonts w:ascii="Arial" w:hAnsi="Arial" w:cs="Arial"/>
          <w:color w:val="333333"/>
          <w:sz w:val="22"/>
          <w:szCs w:val="22"/>
          <w:shd w:val="clear" w:color="auto" w:fill="FFFFFF"/>
        </w:rPr>
        <w:t xml:space="preserve">Barlow, C and </w:t>
      </w:r>
      <w:proofErr w:type="spellStart"/>
      <w:r w:rsidRPr="00F870F4">
        <w:rPr>
          <w:rFonts w:ascii="Arial" w:hAnsi="Arial" w:cs="Arial"/>
          <w:color w:val="333333"/>
          <w:sz w:val="22"/>
          <w:szCs w:val="22"/>
          <w:shd w:val="clear" w:color="auto" w:fill="FFFFFF"/>
        </w:rPr>
        <w:t>Walklate</w:t>
      </w:r>
      <w:proofErr w:type="spellEnd"/>
      <w:r w:rsidRPr="00F870F4">
        <w:rPr>
          <w:rFonts w:ascii="Arial" w:hAnsi="Arial" w:cs="Arial"/>
          <w:color w:val="333333"/>
          <w:sz w:val="22"/>
          <w:szCs w:val="22"/>
          <w:shd w:val="clear" w:color="auto" w:fill="FFFFFF"/>
        </w:rPr>
        <w:t xml:space="preserve">, S (2021) </w:t>
      </w:r>
      <w:r w:rsidRPr="00F870F4">
        <w:rPr>
          <w:rFonts w:ascii="Arial" w:hAnsi="Arial" w:cs="Arial"/>
          <w:i/>
          <w:iCs/>
          <w:color w:val="333333"/>
          <w:sz w:val="22"/>
          <w:szCs w:val="22"/>
          <w:shd w:val="clear" w:color="auto" w:fill="FFFFFF"/>
        </w:rPr>
        <w:t>‘Gender, Risk Assessment and Coercive Control: Contradictions in Terms?’</w:t>
      </w:r>
      <w:r w:rsidRPr="00F870F4">
        <w:rPr>
          <w:rFonts w:ascii="Arial" w:hAnsi="Arial" w:cs="Arial"/>
          <w:color w:val="333333"/>
          <w:sz w:val="22"/>
          <w:szCs w:val="22"/>
          <w:shd w:val="clear" w:color="auto" w:fill="FFFFFF"/>
        </w:rPr>
        <w:t>, British Journal of Criminology, Vol 61, 887-904.</w:t>
      </w:r>
    </w:p>
    <w:p w14:paraId="60872989" w14:textId="77777777" w:rsidR="007E1AF8" w:rsidRDefault="007E1AF8" w:rsidP="007E1AF8">
      <w:pPr>
        <w:autoSpaceDE w:val="0"/>
        <w:autoSpaceDN w:val="0"/>
        <w:adjustRightInd w:val="0"/>
        <w:spacing w:line="360" w:lineRule="auto"/>
        <w:jc w:val="both"/>
        <w:rPr>
          <w:rFonts w:ascii="Arial" w:hAnsi="Arial" w:cs="Arial"/>
          <w:color w:val="2A2A2A"/>
          <w:sz w:val="22"/>
          <w:szCs w:val="22"/>
          <w:shd w:val="clear" w:color="auto" w:fill="FFFFFF"/>
        </w:rPr>
      </w:pPr>
    </w:p>
    <w:p w14:paraId="3C5144F6" w14:textId="77777777" w:rsidR="007E1AF8" w:rsidRPr="00F870F4" w:rsidRDefault="007E1AF8" w:rsidP="007E1AF8">
      <w:pPr>
        <w:autoSpaceDE w:val="0"/>
        <w:autoSpaceDN w:val="0"/>
        <w:adjustRightInd w:val="0"/>
        <w:spacing w:line="360" w:lineRule="auto"/>
        <w:jc w:val="both"/>
        <w:rPr>
          <w:rFonts w:ascii="Arial" w:hAnsi="Arial" w:cs="Arial"/>
          <w:color w:val="2A2A2A"/>
          <w:sz w:val="22"/>
          <w:szCs w:val="22"/>
          <w:shd w:val="clear" w:color="auto" w:fill="FFFFFF"/>
        </w:rPr>
      </w:pPr>
      <w:r w:rsidRPr="00F870F4">
        <w:rPr>
          <w:rFonts w:ascii="Arial" w:hAnsi="Arial" w:cs="Arial"/>
          <w:color w:val="2A2A2A"/>
          <w:sz w:val="22"/>
          <w:szCs w:val="22"/>
          <w:shd w:val="clear" w:color="auto" w:fill="FFFFFF"/>
        </w:rPr>
        <w:t xml:space="preserve">Barlow, C; Johnson, K; </w:t>
      </w:r>
      <w:proofErr w:type="spellStart"/>
      <w:r w:rsidRPr="00F870F4">
        <w:rPr>
          <w:rFonts w:ascii="Arial" w:hAnsi="Arial" w:cs="Arial"/>
          <w:color w:val="2A2A2A"/>
          <w:sz w:val="22"/>
          <w:szCs w:val="22"/>
          <w:shd w:val="clear" w:color="auto" w:fill="FFFFFF"/>
        </w:rPr>
        <w:t>Walklate</w:t>
      </w:r>
      <w:proofErr w:type="spellEnd"/>
      <w:r w:rsidRPr="00F870F4">
        <w:rPr>
          <w:rFonts w:ascii="Arial" w:hAnsi="Arial" w:cs="Arial"/>
          <w:color w:val="2A2A2A"/>
          <w:sz w:val="22"/>
          <w:szCs w:val="22"/>
          <w:shd w:val="clear" w:color="auto" w:fill="FFFFFF"/>
        </w:rPr>
        <w:t xml:space="preserve">, S and Humphreys, L (2020) </w:t>
      </w:r>
      <w:r w:rsidRPr="00F870F4">
        <w:rPr>
          <w:rFonts w:ascii="Arial" w:hAnsi="Arial" w:cs="Arial"/>
          <w:i/>
          <w:iCs/>
          <w:color w:val="2A2A2A"/>
          <w:sz w:val="22"/>
          <w:szCs w:val="22"/>
          <w:shd w:val="clear" w:color="auto" w:fill="FFFFFF"/>
        </w:rPr>
        <w:t>‘Putting Coercive Control into Practice: Problems and Possibilities’</w:t>
      </w:r>
      <w:r w:rsidRPr="00F870F4">
        <w:rPr>
          <w:rFonts w:ascii="Arial" w:hAnsi="Arial" w:cs="Arial"/>
          <w:color w:val="2A2A2A"/>
          <w:sz w:val="22"/>
          <w:szCs w:val="22"/>
          <w:shd w:val="clear" w:color="auto" w:fill="FFFFFF"/>
        </w:rPr>
        <w:t>, </w:t>
      </w:r>
      <w:r w:rsidRPr="00F870F4">
        <w:rPr>
          <w:rStyle w:val="Emphasis"/>
          <w:rFonts w:ascii="Arial" w:hAnsi="Arial" w:cs="Arial"/>
          <w:i w:val="0"/>
          <w:iCs w:val="0"/>
          <w:color w:val="2A2A2A"/>
          <w:sz w:val="22"/>
          <w:szCs w:val="22"/>
          <w:bdr w:val="none" w:sz="0" w:space="0" w:color="auto" w:frame="1"/>
          <w:shd w:val="clear" w:color="auto" w:fill="FFFFFF"/>
        </w:rPr>
        <w:t>The British Journal of Criminology</w:t>
      </w:r>
      <w:r w:rsidRPr="00F870F4">
        <w:rPr>
          <w:rFonts w:ascii="Arial" w:hAnsi="Arial" w:cs="Arial"/>
          <w:i/>
          <w:iCs/>
          <w:color w:val="2A2A2A"/>
          <w:sz w:val="22"/>
          <w:szCs w:val="22"/>
          <w:shd w:val="clear" w:color="auto" w:fill="FFFFFF"/>
        </w:rPr>
        <w:t>, Vol</w:t>
      </w:r>
      <w:r w:rsidRPr="00F870F4">
        <w:rPr>
          <w:rFonts w:ascii="Arial" w:hAnsi="Arial" w:cs="Arial"/>
          <w:color w:val="2A2A2A"/>
          <w:sz w:val="22"/>
          <w:szCs w:val="22"/>
          <w:shd w:val="clear" w:color="auto" w:fill="FFFFFF"/>
        </w:rPr>
        <w:t xml:space="preserve"> 60(1), 160–179</w:t>
      </w:r>
    </w:p>
    <w:p w14:paraId="14CF6331" w14:textId="77777777" w:rsidR="007E1AF8" w:rsidRPr="00F870F4" w:rsidRDefault="007E1AF8" w:rsidP="007E1AF8">
      <w:pPr>
        <w:spacing w:line="360" w:lineRule="auto"/>
        <w:jc w:val="both"/>
        <w:rPr>
          <w:rFonts w:ascii="Arial" w:hAnsi="Arial" w:cs="Arial"/>
          <w:color w:val="333333"/>
          <w:sz w:val="22"/>
          <w:szCs w:val="22"/>
          <w:shd w:val="clear" w:color="auto" w:fill="FFFFFF"/>
        </w:rPr>
      </w:pPr>
    </w:p>
    <w:p w14:paraId="731D0FC3" w14:textId="77777777" w:rsidR="007E1AF8" w:rsidRPr="00F870F4" w:rsidRDefault="007E1AF8" w:rsidP="007E1AF8">
      <w:pPr>
        <w:spacing w:line="360" w:lineRule="auto"/>
        <w:jc w:val="both"/>
        <w:rPr>
          <w:rFonts w:ascii="Arial" w:hAnsi="Arial" w:cs="Arial"/>
          <w:sz w:val="22"/>
          <w:szCs w:val="22"/>
        </w:rPr>
      </w:pPr>
      <w:proofErr w:type="spellStart"/>
      <w:r w:rsidRPr="00F870F4">
        <w:rPr>
          <w:rFonts w:ascii="Arial" w:hAnsi="Arial" w:cs="Arial"/>
          <w:sz w:val="22"/>
          <w:szCs w:val="22"/>
        </w:rPr>
        <w:t>Beeble</w:t>
      </w:r>
      <w:proofErr w:type="spellEnd"/>
      <w:r w:rsidRPr="00F870F4">
        <w:rPr>
          <w:rFonts w:ascii="Arial" w:hAnsi="Arial" w:cs="Arial"/>
          <w:sz w:val="22"/>
          <w:szCs w:val="22"/>
        </w:rPr>
        <w:t xml:space="preserve"> ML; </w:t>
      </w:r>
      <w:proofErr w:type="spellStart"/>
      <w:r w:rsidRPr="00F870F4">
        <w:rPr>
          <w:rFonts w:ascii="Arial" w:hAnsi="Arial" w:cs="Arial"/>
          <w:sz w:val="22"/>
          <w:szCs w:val="22"/>
        </w:rPr>
        <w:t>Bybee</w:t>
      </w:r>
      <w:proofErr w:type="spellEnd"/>
      <w:r w:rsidRPr="00F870F4">
        <w:rPr>
          <w:rFonts w:ascii="Arial" w:hAnsi="Arial" w:cs="Arial"/>
          <w:sz w:val="22"/>
          <w:szCs w:val="22"/>
        </w:rPr>
        <w:t xml:space="preserve"> D and Sullivan CM (2007) ‘</w:t>
      </w:r>
      <w:r w:rsidRPr="00F870F4">
        <w:rPr>
          <w:rFonts w:ascii="Arial" w:hAnsi="Arial" w:cs="Arial"/>
          <w:i/>
          <w:iCs/>
          <w:sz w:val="22"/>
          <w:szCs w:val="22"/>
        </w:rPr>
        <w:t>Abusive men's use of children to control their partners</w:t>
      </w:r>
      <w:r>
        <w:rPr>
          <w:rFonts w:ascii="Arial" w:hAnsi="Arial" w:cs="Arial"/>
          <w:i/>
          <w:iCs/>
          <w:sz w:val="22"/>
          <w:szCs w:val="22"/>
        </w:rPr>
        <w:t xml:space="preserve"> </w:t>
      </w:r>
      <w:r w:rsidRPr="00F870F4">
        <w:rPr>
          <w:rFonts w:ascii="Arial" w:hAnsi="Arial" w:cs="Arial"/>
          <w:i/>
          <w:iCs/>
          <w:sz w:val="22"/>
          <w:szCs w:val="22"/>
        </w:rPr>
        <w:t>and ex-partners’</w:t>
      </w:r>
      <w:r w:rsidRPr="00F870F4">
        <w:rPr>
          <w:rFonts w:ascii="Arial" w:hAnsi="Arial" w:cs="Arial"/>
          <w:sz w:val="22"/>
          <w:szCs w:val="22"/>
        </w:rPr>
        <w:t>, European Psychologist, Vol 12, 54–61.</w:t>
      </w:r>
    </w:p>
    <w:p w14:paraId="3CF29830" w14:textId="77777777" w:rsidR="007E1AF8" w:rsidRPr="00F870F4" w:rsidRDefault="007E1AF8" w:rsidP="007E1AF8">
      <w:pPr>
        <w:spacing w:line="360" w:lineRule="auto"/>
        <w:jc w:val="both"/>
        <w:rPr>
          <w:rFonts w:ascii="Arial" w:hAnsi="Arial" w:cs="Arial"/>
          <w:sz w:val="22"/>
          <w:szCs w:val="22"/>
        </w:rPr>
      </w:pPr>
    </w:p>
    <w:p w14:paraId="41C53617" w14:textId="77777777" w:rsidR="007E1AF8" w:rsidRPr="00F870F4" w:rsidRDefault="007E1AF8" w:rsidP="007E1AF8">
      <w:pPr>
        <w:spacing w:line="360" w:lineRule="auto"/>
        <w:jc w:val="both"/>
        <w:rPr>
          <w:rFonts w:ascii="Arial" w:hAnsi="Arial" w:cs="Arial"/>
          <w:color w:val="333333"/>
          <w:sz w:val="22"/>
          <w:szCs w:val="22"/>
          <w:shd w:val="clear" w:color="auto" w:fill="FFFFFF"/>
        </w:rPr>
      </w:pPr>
      <w:r w:rsidRPr="00F870F4">
        <w:rPr>
          <w:rFonts w:ascii="Arial" w:hAnsi="Arial" w:cs="Arial"/>
          <w:color w:val="333333"/>
          <w:sz w:val="22"/>
          <w:szCs w:val="22"/>
          <w:shd w:val="clear" w:color="auto" w:fill="FFFFFF"/>
        </w:rPr>
        <w:t xml:space="preserve">Brennan IR, Burton V, </w:t>
      </w:r>
      <w:proofErr w:type="spellStart"/>
      <w:r w:rsidRPr="00F870F4">
        <w:rPr>
          <w:rFonts w:ascii="Arial" w:hAnsi="Arial" w:cs="Arial"/>
          <w:color w:val="333333"/>
          <w:sz w:val="22"/>
          <w:szCs w:val="22"/>
          <w:shd w:val="clear" w:color="auto" w:fill="FFFFFF"/>
        </w:rPr>
        <w:t>Gormally</w:t>
      </w:r>
      <w:proofErr w:type="spellEnd"/>
      <w:r w:rsidRPr="00F870F4">
        <w:rPr>
          <w:rFonts w:ascii="Arial" w:hAnsi="Arial" w:cs="Arial"/>
          <w:color w:val="333333"/>
          <w:sz w:val="22"/>
          <w:szCs w:val="22"/>
          <w:shd w:val="clear" w:color="auto" w:fill="FFFFFF"/>
        </w:rPr>
        <w:t xml:space="preserve"> S, and O’Leary, N (2016) ‘</w:t>
      </w:r>
      <w:r w:rsidRPr="00F870F4">
        <w:rPr>
          <w:rStyle w:val="Emphasis"/>
          <w:rFonts w:ascii="Arial" w:hAnsi="Arial" w:cs="Arial"/>
          <w:color w:val="333333"/>
          <w:sz w:val="22"/>
          <w:szCs w:val="22"/>
          <w:shd w:val="clear" w:color="auto" w:fill="FFFFFF"/>
        </w:rPr>
        <w:t>An exploration of domestic abuse patterns and service provision in Humberside’</w:t>
      </w:r>
      <w:r w:rsidRPr="00F870F4">
        <w:rPr>
          <w:rFonts w:ascii="Arial" w:hAnsi="Arial" w:cs="Arial"/>
          <w:color w:val="333333"/>
          <w:sz w:val="22"/>
          <w:szCs w:val="22"/>
          <w:shd w:val="clear" w:color="auto" w:fill="FFFFFF"/>
        </w:rPr>
        <w:t xml:space="preserve"> Hull, England: University of Hull. Available at: </w:t>
      </w:r>
      <w:hyperlink r:id="rId6" w:history="1">
        <w:r w:rsidRPr="00F870F4">
          <w:rPr>
            <w:rStyle w:val="Hyperlink"/>
            <w:rFonts w:ascii="Arial" w:hAnsi="Arial" w:cs="Arial"/>
            <w:color w:val="006ACC"/>
            <w:sz w:val="22"/>
            <w:szCs w:val="22"/>
            <w:shd w:val="clear" w:color="auto" w:fill="FFFFFF"/>
          </w:rPr>
          <w:t>https://hydra.hull.ac.uk/resources/hull:14106</w:t>
        </w:r>
      </w:hyperlink>
      <w:r w:rsidRPr="00F870F4">
        <w:rPr>
          <w:rFonts w:ascii="Arial" w:hAnsi="Arial" w:cs="Arial"/>
          <w:color w:val="333333"/>
          <w:sz w:val="22"/>
          <w:szCs w:val="22"/>
          <w:shd w:val="clear" w:color="auto" w:fill="FFFFFF"/>
        </w:rPr>
        <w:t>. [Accessed on: 12/01/23]</w:t>
      </w:r>
    </w:p>
    <w:p w14:paraId="45B8E33A" w14:textId="77777777" w:rsidR="007E1AF8" w:rsidRPr="00F870F4" w:rsidRDefault="007E1AF8" w:rsidP="007E1AF8">
      <w:pPr>
        <w:spacing w:line="360" w:lineRule="auto"/>
        <w:jc w:val="both"/>
        <w:rPr>
          <w:rFonts w:ascii="Arial" w:hAnsi="Arial" w:cs="Arial"/>
          <w:sz w:val="22"/>
          <w:szCs w:val="22"/>
        </w:rPr>
      </w:pPr>
    </w:p>
    <w:p w14:paraId="60F1FDDD"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r w:rsidRPr="00F870F4">
        <w:rPr>
          <w:rFonts w:ascii="Arial" w:eastAsiaTheme="minorHAnsi" w:hAnsi="Arial" w:cs="Arial"/>
          <w:sz w:val="22"/>
          <w:szCs w:val="22"/>
          <w:lang w:eastAsia="en-US"/>
        </w:rPr>
        <w:t xml:space="preserve">Callaghan, J; Alexander, JH; </w:t>
      </w:r>
      <w:proofErr w:type="spellStart"/>
      <w:r w:rsidRPr="00F870F4">
        <w:rPr>
          <w:rFonts w:ascii="Arial" w:eastAsiaTheme="minorHAnsi" w:hAnsi="Arial" w:cs="Arial"/>
          <w:sz w:val="22"/>
          <w:szCs w:val="22"/>
          <w:lang w:eastAsia="en-US"/>
        </w:rPr>
        <w:t>Fellin</w:t>
      </w:r>
      <w:proofErr w:type="spellEnd"/>
      <w:r w:rsidRPr="00F870F4">
        <w:rPr>
          <w:rFonts w:ascii="Arial" w:eastAsiaTheme="minorHAnsi" w:hAnsi="Arial" w:cs="Arial"/>
          <w:sz w:val="22"/>
          <w:szCs w:val="22"/>
          <w:lang w:eastAsia="en-US"/>
        </w:rPr>
        <w:t xml:space="preserve"> LC and Sixsmith, J (2015) ‘</w:t>
      </w:r>
      <w:r w:rsidRPr="00F870F4">
        <w:rPr>
          <w:rFonts w:ascii="Arial" w:eastAsiaTheme="minorHAnsi" w:hAnsi="Arial" w:cs="Arial"/>
          <w:i/>
          <w:iCs/>
          <w:sz w:val="22"/>
          <w:szCs w:val="22"/>
          <w:lang w:eastAsia="en-US"/>
        </w:rPr>
        <w:t>Beyond "witnessing": children’s experiences of coercive control in domestic violence and abuse’,</w:t>
      </w:r>
      <w:r w:rsidRPr="00F870F4">
        <w:rPr>
          <w:rFonts w:ascii="Arial" w:eastAsiaTheme="minorHAnsi" w:hAnsi="Arial" w:cs="Arial"/>
          <w:sz w:val="22"/>
          <w:szCs w:val="22"/>
          <w:lang w:eastAsia="en-US"/>
        </w:rPr>
        <w:t xml:space="preserve"> Journal of Interpersonal Violence.</w:t>
      </w:r>
    </w:p>
    <w:p w14:paraId="3EA4E04D" w14:textId="77777777" w:rsidR="007E1AF8" w:rsidRPr="00F870F4" w:rsidRDefault="007E1AF8" w:rsidP="007E1AF8">
      <w:pPr>
        <w:spacing w:line="360" w:lineRule="auto"/>
        <w:jc w:val="both"/>
        <w:rPr>
          <w:rFonts w:ascii="Arial" w:hAnsi="Arial" w:cs="Arial"/>
          <w:color w:val="2A2A2A"/>
          <w:sz w:val="22"/>
          <w:szCs w:val="22"/>
          <w:shd w:val="clear" w:color="auto" w:fill="FFFFFF"/>
        </w:rPr>
      </w:pPr>
    </w:p>
    <w:p w14:paraId="563DBBB8" w14:textId="77777777" w:rsidR="007E1AF8" w:rsidRPr="00F870F4" w:rsidRDefault="007E1AF8" w:rsidP="007E1AF8">
      <w:pPr>
        <w:spacing w:line="360" w:lineRule="auto"/>
        <w:jc w:val="both"/>
        <w:rPr>
          <w:rFonts w:ascii="Arial" w:hAnsi="Arial" w:cs="Arial"/>
          <w:sz w:val="22"/>
          <w:szCs w:val="22"/>
        </w:rPr>
      </w:pPr>
      <w:r w:rsidRPr="00F870F4">
        <w:rPr>
          <w:rFonts w:ascii="Arial" w:hAnsi="Arial" w:cs="Arial"/>
          <w:sz w:val="22"/>
          <w:szCs w:val="22"/>
        </w:rPr>
        <w:t>Day, A and Bowen, E (2015</w:t>
      </w:r>
      <w:r w:rsidRPr="00F870F4">
        <w:rPr>
          <w:rFonts w:ascii="Arial" w:hAnsi="Arial" w:cs="Arial"/>
          <w:i/>
          <w:iCs/>
          <w:sz w:val="22"/>
          <w:szCs w:val="22"/>
        </w:rPr>
        <w:t>) ‘Offending competency and coercive control in intimate partner violence’,</w:t>
      </w:r>
      <w:r w:rsidRPr="00F870F4">
        <w:rPr>
          <w:rFonts w:ascii="Arial" w:hAnsi="Arial" w:cs="Arial"/>
          <w:sz w:val="22"/>
          <w:szCs w:val="22"/>
        </w:rPr>
        <w:t xml:space="preserve"> Aggression and Violent Behaviour, Vol 20, 62-71</w:t>
      </w:r>
    </w:p>
    <w:p w14:paraId="19576234" w14:textId="77777777" w:rsidR="007E1AF8" w:rsidRPr="00F870F4" w:rsidRDefault="007E1AF8" w:rsidP="007E1AF8">
      <w:pPr>
        <w:spacing w:line="360" w:lineRule="auto"/>
        <w:jc w:val="both"/>
        <w:rPr>
          <w:rFonts w:ascii="Arial" w:hAnsi="Arial" w:cs="Arial"/>
          <w:sz w:val="22"/>
          <w:szCs w:val="22"/>
        </w:rPr>
      </w:pPr>
    </w:p>
    <w:p w14:paraId="485F2EFF" w14:textId="77777777" w:rsidR="007E1AF8" w:rsidRPr="00F870F4" w:rsidRDefault="007E1AF8" w:rsidP="007E1AF8">
      <w:pPr>
        <w:spacing w:line="360" w:lineRule="auto"/>
        <w:jc w:val="both"/>
        <w:rPr>
          <w:rFonts w:ascii="Arial" w:hAnsi="Arial" w:cs="Arial"/>
          <w:sz w:val="22"/>
          <w:szCs w:val="22"/>
        </w:rPr>
      </w:pPr>
      <w:proofErr w:type="spellStart"/>
      <w:r w:rsidRPr="00F870F4">
        <w:rPr>
          <w:rFonts w:ascii="Arial" w:hAnsi="Arial" w:cs="Arial"/>
          <w:sz w:val="22"/>
          <w:szCs w:val="22"/>
        </w:rPr>
        <w:t>Dobash</w:t>
      </w:r>
      <w:proofErr w:type="spellEnd"/>
      <w:r w:rsidRPr="00F870F4">
        <w:rPr>
          <w:rFonts w:ascii="Arial" w:hAnsi="Arial" w:cs="Arial"/>
          <w:sz w:val="22"/>
          <w:szCs w:val="22"/>
        </w:rPr>
        <w:t xml:space="preserve">, RW and </w:t>
      </w:r>
      <w:proofErr w:type="spellStart"/>
      <w:r w:rsidRPr="00F870F4">
        <w:rPr>
          <w:rFonts w:ascii="Arial" w:hAnsi="Arial" w:cs="Arial"/>
          <w:sz w:val="22"/>
          <w:szCs w:val="22"/>
        </w:rPr>
        <w:t>Dobash</w:t>
      </w:r>
      <w:proofErr w:type="spellEnd"/>
      <w:r w:rsidRPr="00F870F4">
        <w:rPr>
          <w:rFonts w:ascii="Arial" w:hAnsi="Arial" w:cs="Arial"/>
          <w:sz w:val="22"/>
          <w:szCs w:val="22"/>
        </w:rPr>
        <w:t xml:space="preserve">, RP (1979) </w:t>
      </w:r>
      <w:r w:rsidRPr="00F870F4">
        <w:rPr>
          <w:rFonts w:ascii="Arial" w:hAnsi="Arial" w:cs="Arial"/>
          <w:i/>
          <w:iCs/>
          <w:sz w:val="22"/>
          <w:szCs w:val="22"/>
        </w:rPr>
        <w:t>‘Wives: The “appropriate” victims of marital violence’</w:t>
      </w:r>
      <w:r w:rsidRPr="00F870F4">
        <w:rPr>
          <w:rFonts w:ascii="Arial" w:hAnsi="Arial" w:cs="Arial"/>
          <w:sz w:val="22"/>
          <w:szCs w:val="22"/>
        </w:rPr>
        <w:t>, Journal of Family Issues, Vol 8, 291−305.</w:t>
      </w:r>
    </w:p>
    <w:p w14:paraId="069AB8C5"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p>
    <w:p w14:paraId="78AEFFA8"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proofErr w:type="spellStart"/>
      <w:r w:rsidRPr="00F870F4">
        <w:rPr>
          <w:rFonts w:ascii="Arial" w:eastAsiaTheme="minorHAnsi" w:hAnsi="Arial" w:cs="Arial"/>
          <w:sz w:val="22"/>
          <w:szCs w:val="22"/>
          <w:lang w:eastAsia="en-US"/>
        </w:rPr>
        <w:t>Dobash</w:t>
      </w:r>
      <w:proofErr w:type="spellEnd"/>
      <w:r w:rsidRPr="00F870F4">
        <w:rPr>
          <w:rFonts w:ascii="Arial" w:eastAsiaTheme="minorHAnsi" w:hAnsi="Arial" w:cs="Arial"/>
          <w:sz w:val="22"/>
          <w:szCs w:val="22"/>
          <w:lang w:eastAsia="en-US"/>
        </w:rPr>
        <w:t xml:space="preserve">, R and </w:t>
      </w:r>
      <w:proofErr w:type="spellStart"/>
      <w:r w:rsidRPr="00F870F4">
        <w:rPr>
          <w:rFonts w:ascii="Arial" w:eastAsiaTheme="minorHAnsi" w:hAnsi="Arial" w:cs="Arial"/>
          <w:sz w:val="22"/>
          <w:szCs w:val="22"/>
          <w:lang w:eastAsia="en-US"/>
        </w:rPr>
        <w:t>Dobash</w:t>
      </w:r>
      <w:proofErr w:type="spellEnd"/>
      <w:r w:rsidRPr="00F870F4">
        <w:rPr>
          <w:rFonts w:ascii="Arial" w:eastAsiaTheme="minorHAnsi" w:hAnsi="Arial" w:cs="Arial"/>
          <w:sz w:val="22"/>
          <w:szCs w:val="22"/>
          <w:lang w:eastAsia="en-US"/>
        </w:rPr>
        <w:t>, R (2015) When men murder women. Oxford, UK: Oxford University Press.</w:t>
      </w:r>
    </w:p>
    <w:p w14:paraId="6C92C2AB" w14:textId="77777777" w:rsidR="007E1AF8" w:rsidRPr="00F870F4" w:rsidRDefault="007E1AF8" w:rsidP="007E1AF8">
      <w:pPr>
        <w:shd w:val="clear" w:color="auto" w:fill="FFFFFF"/>
        <w:spacing w:line="360" w:lineRule="auto"/>
        <w:jc w:val="both"/>
        <w:rPr>
          <w:rFonts w:ascii="Arial" w:hAnsi="Arial" w:cs="Arial"/>
          <w:sz w:val="22"/>
          <w:szCs w:val="22"/>
        </w:rPr>
      </w:pPr>
    </w:p>
    <w:p w14:paraId="55431707" w14:textId="77777777" w:rsidR="007E1AF8" w:rsidRPr="00F870F4" w:rsidRDefault="007E1AF8" w:rsidP="007E1AF8">
      <w:pPr>
        <w:shd w:val="clear" w:color="auto" w:fill="FFFFFF"/>
        <w:spacing w:line="360" w:lineRule="auto"/>
        <w:jc w:val="both"/>
        <w:rPr>
          <w:rFonts w:ascii="Arial" w:hAnsi="Arial" w:cs="Arial"/>
          <w:b/>
          <w:bCs/>
          <w:caps/>
          <w:color w:val="14797B"/>
          <w:sz w:val="22"/>
          <w:szCs w:val="22"/>
        </w:rPr>
      </w:pPr>
      <w:r w:rsidRPr="00F870F4">
        <w:rPr>
          <w:rFonts w:ascii="Arial" w:hAnsi="Arial" w:cs="Arial"/>
          <w:sz w:val="22"/>
          <w:szCs w:val="22"/>
        </w:rPr>
        <w:t xml:space="preserve">Downes, N; Kelly, L and </w:t>
      </w:r>
      <w:proofErr w:type="spellStart"/>
      <w:r w:rsidRPr="00F870F4">
        <w:rPr>
          <w:rFonts w:ascii="Arial" w:hAnsi="Arial" w:cs="Arial"/>
          <w:sz w:val="22"/>
          <w:szCs w:val="22"/>
        </w:rPr>
        <w:t>Westmarland</w:t>
      </w:r>
      <w:proofErr w:type="spellEnd"/>
      <w:r w:rsidRPr="00F870F4">
        <w:rPr>
          <w:rFonts w:ascii="Arial" w:hAnsi="Arial" w:cs="Arial"/>
          <w:sz w:val="22"/>
          <w:szCs w:val="22"/>
        </w:rPr>
        <w:t xml:space="preserve">, N (2019) </w:t>
      </w:r>
      <w:r w:rsidRPr="00F870F4">
        <w:rPr>
          <w:rFonts w:ascii="Arial" w:hAnsi="Arial" w:cs="Arial"/>
          <w:i/>
          <w:iCs/>
          <w:sz w:val="22"/>
          <w:szCs w:val="22"/>
        </w:rPr>
        <w:t>'`It's a work in progress' : men's accounts of gender and change in their use of coercive control.'</w:t>
      </w:r>
      <w:r w:rsidRPr="00F870F4">
        <w:rPr>
          <w:rFonts w:ascii="Arial" w:hAnsi="Arial" w:cs="Arial"/>
          <w:sz w:val="22"/>
          <w:szCs w:val="22"/>
        </w:rPr>
        <w:t>, Journal of gender-based violence, Vol 3 (3) 267-282.</w:t>
      </w:r>
      <w:hyperlink r:id="rId7" w:anchor="body-ref-bibr43-1748895817728381" w:history="1">
        <w:r w:rsidRPr="00F870F4">
          <w:rPr>
            <w:rFonts w:ascii="Arial" w:hAnsi="Arial" w:cs="Arial"/>
            <w:b/>
            <w:bCs/>
            <w:caps/>
            <w:color w:val="14797B"/>
            <w:sz w:val="22"/>
            <w:szCs w:val="22"/>
          </w:rPr>
          <w:br/>
        </w:r>
      </w:hyperlink>
    </w:p>
    <w:p w14:paraId="09D73998" w14:textId="77777777" w:rsidR="007E1AF8" w:rsidRPr="00F870F4" w:rsidRDefault="007E1AF8" w:rsidP="007E1AF8">
      <w:pPr>
        <w:spacing w:line="360" w:lineRule="auto"/>
        <w:jc w:val="both"/>
        <w:rPr>
          <w:rFonts w:ascii="Arial" w:eastAsiaTheme="minorHAnsi" w:hAnsi="Arial" w:cs="Arial"/>
          <w:sz w:val="22"/>
          <w:szCs w:val="22"/>
          <w:lang w:eastAsia="en-US"/>
        </w:rPr>
      </w:pPr>
      <w:proofErr w:type="spellStart"/>
      <w:r w:rsidRPr="00F870F4">
        <w:rPr>
          <w:rFonts w:ascii="Arial" w:eastAsiaTheme="minorHAnsi" w:hAnsi="Arial" w:cs="Arial"/>
          <w:sz w:val="22"/>
          <w:szCs w:val="22"/>
          <w:lang w:eastAsia="en-US"/>
        </w:rPr>
        <w:t>Follingstad</w:t>
      </w:r>
      <w:proofErr w:type="spellEnd"/>
      <w:r w:rsidRPr="00F870F4">
        <w:rPr>
          <w:rFonts w:ascii="Arial" w:eastAsiaTheme="minorHAnsi" w:hAnsi="Arial" w:cs="Arial"/>
          <w:sz w:val="22"/>
          <w:szCs w:val="22"/>
          <w:lang w:eastAsia="en-US"/>
        </w:rPr>
        <w:t xml:space="preserve"> D (2007) </w:t>
      </w:r>
      <w:r w:rsidRPr="00F870F4">
        <w:rPr>
          <w:rFonts w:ascii="Arial" w:eastAsiaTheme="minorHAnsi" w:hAnsi="Arial" w:cs="Arial"/>
          <w:i/>
          <w:iCs/>
          <w:sz w:val="22"/>
          <w:szCs w:val="22"/>
          <w:lang w:eastAsia="en-US"/>
        </w:rPr>
        <w:t>‘</w:t>
      </w:r>
      <w:proofErr w:type="gramStart"/>
      <w:r w:rsidRPr="00F870F4">
        <w:rPr>
          <w:rFonts w:ascii="Arial" w:eastAsiaTheme="minorHAnsi" w:hAnsi="Arial" w:cs="Arial"/>
          <w:i/>
          <w:iCs/>
          <w:sz w:val="22"/>
          <w:szCs w:val="22"/>
          <w:lang w:eastAsia="en-US"/>
        </w:rPr>
        <w:t>Rethinking</w:t>
      </w:r>
      <w:proofErr w:type="gramEnd"/>
      <w:r w:rsidRPr="00F870F4">
        <w:rPr>
          <w:rFonts w:ascii="Arial" w:eastAsiaTheme="minorHAnsi" w:hAnsi="Arial" w:cs="Arial"/>
          <w:i/>
          <w:iCs/>
          <w:sz w:val="22"/>
          <w:szCs w:val="22"/>
          <w:lang w:eastAsia="en-US"/>
        </w:rPr>
        <w:t xml:space="preserve"> current approaches to psychological abuse: Conceptual and methodological issues’</w:t>
      </w:r>
      <w:r w:rsidRPr="00F870F4">
        <w:rPr>
          <w:rFonts w:ascii="Arial" w:eastAsiaTheme="minorHAnsi" w:hAnsi="Arial" w:cs="Arial"/>
          <w:sz w:val="22"/>
          <w:szCs w:val="22"/>
          <w:lang w:eastAsia="en-US"/>
        </w:rPr>
        <w:t xml:space="preserve">. Aggression and Violent </w:t>
      </w:r>
      <w:proofErr w:type="spellStart"/>
      <w:r w:rsidRPr="00F870F4">
        <w:rPr>
          <w:rFonts w:ascii="Arial" w:eastAsiaTheme="minorHAnsi" w:hAnsi="Arial" w:cs="Arial"/>
          <w:sz w:val="22"/>
          <w:szCs w:val="22"/>
          <w:lang w:eastAsia="en-US"/>
        </w:rPr>
        <w:t>Behavior</w:t>
      </w:r>
      <w:proofErr w:type="spellEnd"/>
      <w:r w:rsidRPr="00F870F4">
        <w:rPr>
          <w:rFonts w:ascii="Arial" w:eastAsiaTheme="minorHAnsi" w:hAnsi="Arial" w:cs="Arial"/>
          <w:sz w:val="22"/>
          <w:szCs w:val="22"/>
          <w:lang w:eastAsia="en-US"/>
        </w:rPr>
        <w:t>, Vol 12(4), 439-458.</w:t>
      </w:r>
    </w:p>
    <w:p w14:paraId="20C92BBA" w14:textId="77777777" w:rsidR="007E1AF8" w:rsidRPr="00F870F4" w:rsidRDefault="007E1AF8" w:rsidP="007E1AF8">
      <w:pPr>
        <w:spacing w:line="360" w:lineRule="auto"/>
        <w:jc w:val="both"/>
        <w:rPr>
          <w:rFonts w:ascii="Arial" w:hAnsi="Arial" w:cs="Arial"/>
          <w:color w:val="2E414F"/>
          <w:sz w:val="22"/>
          <w:szCs w:val="22"/>
          <w:shd w:val="clear" w:color="auto" w:fill="FFFFFF"/>
        </w:rPr>
      </w:pPr>
    </w:p>
    <w:p w14:paraId="609F3830" w14:textId="77777777" w:rsidR="007E1AF8" w:rsidRPr="00F870F4" w:rsidRDefault="007E1AF8" w:rsidP="007E1AF8">
      <w:pPr>
        <w:spacing w:line="360" w:lineRule="auto"/>
        <w:jc w:val="both"/>
        <w:rPr>
          <w:rFonts w:ascii="Arial" w:hAnsi="Arial" w:cs="Arial"/>
          <w:color w:val="2E414F"/>
          <w:sz w:val="22"/>
          <w:szCs w:val="22"/>
          <w:shd w:val="clear" w:color="auto" w:fill="FFFFFF"/>
        </w:rPr>
      </w:pPr>
      <w:proofErr w:type="spellStart"/>
      <w:r w:rsidRPr="00F870F4">
        <w:rPr>
          <w:rFonts w:ascii="Arial" w:hAnsi="Arial" w:cs="Arial"/>
          <w:color w:val="2E414F"/>
          <w:sz w:val="22"/>
          <w:szCs w:val="22"/>
          <w:shd w:val="clear" w:color="auto" w:fill="FFFFFF"/>
        </w:rPr>
        <w:t>Hamberger</w:t>
      </w:r>
      <w:proofErr w:type="spellEnd"/>
      <w:r w:rsidRPr="00F870F4">
        <w:rPr>
          <w:rFonts w:ascii="Arial" w:hAnsi="Arial" w:cs="Arial"/>
          <w:color w:val="2E414F"/>
          <w:sz w:val="22"/>
          <w:szCs w:val="22"/>
          <w:shd w:val="clear" w:color="auto" w:fill="FFFFFF"/>
        </w:rPr>
        <w:t xml:space="preserve">, LK; Larsen, SE and </w:t>
      </w:r>
      <w:proofErr w:type="spellStart"/>
      <w:r w:rsidRPr="00F870F4">
        <w:rPr>
          <w:rFonts w:ascii="Arial" w:hAnsi="Arial" w:cs="Arial"/>
          <w:color w:val="2E414F"/>
          <w:sz w:val="22"/>
          <w:szCs w:val="22"/>
          <w:shd w:val="clear" w:color="auto" w:fill="FFFFFF"/>
        </w:rPr>
        <w:t>Lehrner</w:t>
      </w:r>
      <w:proofErr w:type="spellEnd"/>
      <w:r w:rsidRPr="00F870F4">
        <w:rPr>
          <w:rFonts w:ascii="Arial" w:hAnsi="Arial" w:cs="Arial"/>
          <w:color w:val="2E414F"/>
          <w:sz w:val="22"/>
          <w:szCs w:val="22"/>
          <w:shd w:val="clear" w:color="auto" w:fill="FFFFFF"/>
        </w:rPr>
        <w:t xml:space="preserve">, AL (2017) </w:t>
      </w:r>
      <w:r w:rsidRPr="00F870F4">
        <w:rPr>
          <w:rFonts w:ascii="Arial" w:hAnsi="Arial" w:cs="Arial"/>
          <w:i/>
          <w:iCs/>
          <w:color w:val="2E414F"/>
          <w:sz w:val="22"/>
          <w:szCs w:val="22"/>
          <w:shd w:val="clear" w:color="auto" w:fill="FFFFFF"/>
        </w:rPr>
        <w:t>‘Coercive control in intimate partner violence’</w:t>
      </w:r>
      <w:r w:rsidRPr="00F870F4">
        <w:rPr>
          <w:rFonts w:ascii="Arial" w:hAnsi="Arial" w:cs="Arial"/>
          <w:color w:val="2E414F"/>
          <w:sz w:val="22"/>
          <w:szCs w:val="22"/>
          <w:shd w:val="clear" w:color="auto" w:fill="FFFFFF"/>
        </w:rPr>
        <w:t>, </w:t>
      </w:r>
      <w:r w:rsidRPr="00F870F4">
        <w:rPr>
          <w:rStyle w:val="Emphasis"/>
          <w:rFonts w:ascii="Arial" w:hAnsi="Arial" w:cs="Arial"/>
          <w:i w:val="0"/>
          <w:iCs w:val="0"/>
          <w:color w:val="2E414F"/>
          <w:sz w:val="22"/>
          <w:szCs w:val="22"/>
        </w:rPr>
        <w:t xml:space="preserve">Aggression and Violent </w:t>
      </w:r>
      <w:proofErr w:type="spellStart"/>
      <w:r w:rsidRPr="00F870F4">
        <w:rPr>
          <w:rStyle w:val="Emphasis"/>
          <w:rFonts w:ascii="Arial" w:hAnsi="Arial" w:cs="Arial"/>
          <w:i w:val="0"/>
          <w:iCs w:val="0"/>
          <w:color w:val="2E414F"/>
          <w:sz w:val="22"/>
          <w:szCs w:val="22"/>
        </w:rPr>
        <w:t>Behavior</w:t>
      </w:r>
      <w:proofErr w:type="spellEnd"/>
      <w:r w:rsidRPr="00F870F4">
        <w:rPr>
          <w:rStyle w:val="Emphasis"/>
          <w:rFonts w:ascii="Arial" w:hAnsi="Arial" w:cs="Arial"/>
          <w:i w:val="0"/>
          <w:iCs w:val="0"/>
          <w:color w:val="2E414F"/>
          <w:sz w:val="22"/>
          <w:szCs w:val="22"/>
        </w:rPr>
        <w:t>, Vol 37</w:t>
      </w:r>
      <w:r w:rsidRPr="00F870F4">
        <w:rPr>
          <w:rFonts w:ascii="Arial" w:hAnsi="Arial" w:cs="Arial"/>
          <w:color w:val="2E414F"/>
          <w:sz w:val="22"/>
          <w:szCs w:val="22"/>
          <w:shd w:val="clear" w:color="auto" w:fill="FFFFFF"/>
        </w:rPr>
        <w:t>, 1-11.</w:t>
      </w:r>
    </w:p>
    <w:p w14:paraId="573B7D6D" w14:textId="77777777" w:rsidR="007E1AF8" w:rsidRPr="00F870F4" w:rsidRDefault="007E1AF8" w:rsidP="007E1AF8">
      <w:pPr>
        <w:spacing w:line="360" w:lineRule="auto"/>
        <w:jc w:val="both"/>
        <w:rPr>
          <w:rFonts w:ascii="Arial" w:hAnsi="Arial" w:cs="Arial"/>
          <w:color w:val="333333"/>
          <w:sz w:val="22"/>
          <w:szCs w:val="22"/>
          <w:shd w:val="clear" w:color="auto" w:fill="FFFFFF"/>
        </w:rPr>
      </w:pPr>
      <w:r w:rsidRPr="00F870F4">
        <w:rPr>
          <w:rFonts w:ascii="Arial" w:hAnsi="Arial" w:cs="Arial"/>
          <w:color w:val="333333"/>
          <w:sz w:val="22"/>
          <w:szCs w:val="22"/>
          <w:shd w:val="clear" w:color="auto" w:fill="FFFFFF"/>
        </w:rPr>
        <w:t xml:space="preserve">Hester M (2013) </w:t>
      </w:r>
      <w:r w:rsidRPr="00F870F4">
        <w:rPr>
          <w:rFonts w:ascii="Arial" w:hAnsi="Arial" w:cs="Arial"/>
          <w:i/>
          <w:iCs/>
          <w:color w:val="333333"/>
          <w:sz w:val="22"/>
          <w:szCs w:val="22"/>
          <w:shd w:val="clear" w:color="auto" w:fill="FFFFFF"/>
        </w:rPr>
        <w:t>‘Who does what to whom? Gender and domestic violence perpetrators in English police records’</w:t>
      </w:r>
      <w:r w:rsidRPr="00F870F4">
        <w:rPr>
          <w:rFonts w:ascii="Arial" w:hAnsi="Arial" w:cs="Arial"/>
          <w:color w:val="333333"/>
          <w:sz w:val="22"/>
          <w:szCs w:val="22"/>
          <w:shd w:val="clear" w:color="auto" w:fill="FFFFFF"/>
        </w:rPr>
        <w:t>, </w:t>
      </w:r>
      <w:r w:rsidRPr="00F870F4">
        <w:rPr>
          <w:rStyle w:val="Emphasis"/>
          <w:rFonts w:ascii="Arial" w:hAnsi="Arial" w:cs="Arial"/>
          <w:i w:val="0"/>
          <w:iCs w:val="0"/>
          <w:color w:val="333333"/>
          <w:sz w:val="22"/>
          <w:szCs w:val="22"/>
          <w:shd w:val="clear" w:color="auto" w:fill="FFFFFF"/>
        </w:rPr>
        <w:t>European Journal of Criminology, Vol</w:t>
      </w:r>
      <w:r w:rsidRPr="00F870F4">
        <w:rPr>
          <w:rFonts w:ascii="Arial" w:hAnsi="Arial" w:cs="Arial"/>
          <w:i/>
          <w:iCs/>
          <w:color w:val="333333"/>
          <w:sz w:val="22"/>
          <w:szCs w:val="22"/>
          <w:shd w:val="clear" w:color="auto" w:fill="FFFFFF"/>
        </w:rPr>
        <w:t> </w:t>
      </w:r>
      <w:r w:rsidRPr="00F870F4">
        <w:rPr>
          <w:rFonts w:ascii="Arial" w:hAnsi="Arial" w:cs="Arial"/>
          <w:color w:val="333333"/>
          <w:sz w:val="22"/>
          <w:szCs w:val="22"/>
          <w:shd w:val="clear" w:color="auto" w:fill="FFFFFF"/>
        </w:rPr>
        <w:t>10(5), 623–637.</w:t>
      </w:r>
    </w:p>
    <w:p w14:paraId="20479F55" w14:textId="77777777" w:rsidR="007E1AF8" w:rsidRPr="00F870F4" w:rsidRDefault="007E1AF8" w:rsidP="007E1AF8">
      <w:pPr>
        <w:spacing w:line="360" w:lineRule="auto"/>
        <w:jc w:val="both"/>
        <w:rPr>
          <w:rFonts w:ascii="Arial" w:hAnsi="Arial" w:cs="Arial"/>
          <w:sz w:val="22"/>
          <w:szCs w:val="22"/>
        </w:rPr>
      </w:pPr>
    </w:p>
    <w:p w14:paraId="76B84675" w14:textId="77777777" w:rsidR="007E1AF8" w:rsidRPr="00F870F4" w:rsidRDefault="007E1AF8" w:rsidP="007E1AF8">
      <w:pPr>
        <w:spacing w:line="360" w:lineRule="auto"/>
        <w:jc w:val="both"/>
        <w:rPr>
          <w:rFonts w:ascii="Arial" w:hAnsi="Arial" w:cs="Arial"/>
          <w:sz w:val="22"/>
          <w:szCs w:val="22"/>
        </w:rPr>
      </w:pPr>
      <w:proofErr w:type="spellStart"/>
      <w:r w:rsidRPr="00F870F4">
        <w:rPr>
          <w:rFonts w:ascii="Arial" w:hAnsi="Arial" w:cs="Arial"/>
          <w:sz w:val="22"/>
          <w:szCs w:val="22"/>
        </w:rPr>
        <w:t>Heward</w:t>
      </w:r>
      <w:proofErr w:type="spellEnd"/>
      <w:r w:rsidRPr="00F870F4">
        <w:rPr>
          <w:rFonts w:ascii="Arial" w:hAnsi="Arial" w:cs="Arial"/>
          <w:sz w:val="22"/>
          <w:szCs w:val="22"/>
        </w:rPr>
        <w:t xml:space="preserve">-Belle S (2016) </w:t>
      </w:r>
      <w:r w:rsidRPr="00F870F4">
        <w:rPr>
          <w:rFonts w:ascii="Arial" w:hAnsi="Arial" w:cs="Arial"/>
          <w:i/>
          <w:iCs/>
          <w:sz w:val="22"/>
          <w:szCs w:val="22"/>
        </w:rPr>
        <w:t>‘The diverse fathering practices of men who perpetrate domestic violence’</w:t>
      </w:r>
      <w:r w:rsidRPr="00F870F4">
        <w:rPr>
          <w:rFonts w:ascii="Arial" w:hAnsi="Arial" w:cs="Arial"/>
          <w:sz w:val="22"/>
          <w:szCs w:val="22"/>
        </w:rPr>
        <w:t xml:space="preserve">, </w:t>
      </w:r>
      <w:proofErr w:type="gramStart"/>
      <w:r w:rsidRPr="00F870F4">
        <w:rPr>
          <w:rFonts w:ascii="Arial" w:hAnsi="Arial" w:cs="Arial"/>
          <w:sz w:val="22"/>
          <w:szCs w:val="22"/>
        </w:rPr>
        <w:t>Australian  Social</w:t>
      </w:r>
      <w:proofErr w:type="gramEnd"/>
      <w:r w:rsidRPr="00F870F4">
        <w:rPr>
          <w:rFonts w:ascii="Arial" w:hAnsi="Arial" w:cs="Arial"/>
          <w:sz w:val="22"/>
          <w:szCs w:val="22"/>
        </w:rPr>
        <w:t xml:space="preserve">  Work, Vol 69, 323–337.</w:t>
      </w:r>
    </w:p>
    <w:p w14:paraId="1673FAC1" w14:textId="77777777" w:rsidR="007E1AF8" w:rsidRPr="00F870F4" w:rsidRDefault="007E1AF8" w:rsidP="007E1AF8">
      <w:pPr>
        <w:spacing w:line="360" w:lineRule="auto"/>
        <w:jc w:val="both"/>
        <w:rPr>
          <w:rFonts w:ascii="Arial" w:eastAsiaTheme="minorHAnsi" w:hAnsi="Arial" w:cs="Arial"/>
          <w:sz w:val="22"/>
          <w:szCs w:val="22"/>
          <w:lang w:eastAsia="en-US"/>
        </w:rPr>
      </w:pPr>
    </w:p>
    <w:p w14:paraId="7A678884" w14:textId="77777777" w:rsidR="007E1AF8" w:rsidRPr="00F870F4" w:rsidRDefault="007E1AF8" w:rsidP="007E1AF8">
      <w:pPr>
        <w:spacing w:line="360" w:lineRule="auto"/>
        <w:jc w:val="both"/>
        <w:rPr>
          <w:rFonts w:ascii="Arial" w:eastAsiaTheme="minorHAnsi" w:hAnsi="Arial" w:cs="Arial"/>
          <w:sz w:val="22"/>
          <w:szCs w:val="22"/>
          <w:lang w:eastAsia="en-US"/>
        </w:rPr>
      </w:pPr>
      <w:r w:rsidRPr="00F870F4">
        <w:rPr>
          <w:rFonts w:ascii="Arial" w:eastAsiaTheme="minorHAnsi" w:hAnsi="Arial" w:cs="Arial"/>
          <w:sz w:val="22"/>
          <w:szCs w:val="22"/>
          <w:lang w:eastAsia="en-US"/>
        </w:rPr>
        <w:t xml:space="preserve">HM Government (2018) Transforming the Response to Domestic Abuse, Available at: </w:t>
      </w:r>
      <w:hyperlink r:id="rId8" w:history="1">
        <w:r w:rsidRPr="00F870F4">
          <w:rPr>
            <w:rStyle w:val="Hyperlink"/>
            <w:rFonts w:ascii="Arial" w:eastAsiaTheme="minorHAnsi" w:hAnsi="Arial" w:cs="Arial"/>
            <w:sz w:val="22"/>
            <w:szCs w:val="22"/>
            <w:lang w:eastAsia="en-US"/>
          </w:rPr>
          <w:t>https://consult.justice.gov.uk/homeoffice-moj/domestic-abuse-consultation/supporting_documents/Transforming%20the%20response%20to%20domestic%20abuse.pdf</w:t>
        </w:r>
      </w:hyperlink>
      <w:r w:rsidRPr="00F870F4">
        <w:rPr>
          <w:rFonts w:ascii="Arial" w:eastAsiaTheme="minorHAnsi" w:hAnsi="Arial" w:cs="Arial"/>
          <w:sz w:val="22"/>
          <w:szCs w:val="22"/>
          <w:lang w:eastAsia="en-US"/>
        </w:rPr>
        <w:t xml:space="preserve"> [Accessed on: 02/01/23]</w:t>
      </w:r>
    </w:p>
    <w:p w14:paraId="70ED17F3" w14:textId="77777777" w:rsidR="007E1AF8" w:rsidRPr="00F870F4" w:rsidRDefault="007E1AF8" w:rsidP="007E1AF8">
      <w:pPr>
        <w:autoSpaceDE w:val="0"/>
        <w:autoSpaceDN w:val="0"/>
        <w:adjustRightInd w:val="0"/>
        <w:spacing w:line="360" w:lineRule="auto"/>
        <w:jc w:val="both"/>
        <w:rPr>
          <w:rFonts w:ascii="Arial" w:eastAsiaTheme="minorHAnsi" w:hAnsi="Arial" w:cs="Arial"/>
          <w:color w:val="000000"/>
          <w:sz w:val="22"/>
          <w:szCs w:val="22"/>
          <w:lang w:eastAsia="en-US"/>
        </w:rPr>
      </w:pPr>
    </w:p>
    <w:p w14:paraId="52BCC9F9"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r w:rsidRPr="00F870F4">
        <w:rPr>
          <w:rFonts w:ascii="Arial" w:eastAsiaTheme="minorHAnsi" w:hAnsi="Arial" w:cs="Arial"/>
          <w:color w:val="000000"/>
          <w:sz w:val="22"/>
          <w:szCs w:val="22"/>
          <w:lang w:eastAsia="en-US"/>
        </w:rPr>
        <w:t xml:space="preserve">HMIC/HMCPSI, </w:t>
      </w:r>
      <w:r w:rsidRPr="00F870F4">
        <w:rPr>
          <w:rFonts w:ascii="Arial" w:eastAsiaTheme="minorHAnsi" w:hAnsi="Arial" w:cs="Arial"/>
          <w:color w:val="000085"/>
          <w:sz w:val="22"/>
          <w:szCs w:val="22"/>
          <w:lang w:eastAsia="en-US"/>
        </w:rPr>
        <w:t>2017</w:t>
      </w:r>
      <w:r w:rsidRPr="00F870F4">
        <w:rPr>
          <w:rFonts w:ascii="Arial" w:eastAsiaTheme="minorHAnsi" w:hAnsi="Arial" w:cs="Arial"/>
          <w:color w:val="000000"/>
          <w:sz w:val="22"/>
          <w:szCs w:val="22"/>
          <w:lang w:eastAsia="en-US"/>
        </w:rPr>
        <w:t>. Living in fear – the police and CPS response to harassment and stalking. Available at:</w:t>
      </w:r>
      <w:r w:rsidRPr="00F870F4">
        <w:rPr>
          <w:rFonts w:ascii="Arial" w:eastAsiaTheme="minorHAnsi" w:hAnsi="Arial" w:cs="Arial"/>
          <w:sz w:val="22"/>
          <w:szCs w:val="22"/>
          <w:lang w:eastAsia="en-US"/>
        </w:rPr>
        <w:t xml:space="preserve"> </w:t>
      </w:r>
      <w:hyperlink r:id="rId9" w:history="1">
        <w:r w:rsidRPr="00F870F4">
          <w:rPr>
            <w:rStyle w:val="Hyperlink"/>
            <w:rFonts w:ascii="Arial" w:eastAsiaTheme="minorHAnsi" w:hAnsi="Arial" w:cs="Arial"/>
            <w:sz w:val="22"/>
            <w:szCs w:val="22"/>
            <w:lang w:eastAsia="en-US"/>
          </w:rPr>
          <w:t>https://www.justiceinspectorates.gov.uk/hmicfrs/wp-content/uploads/living-in-fear-the-police-and-cps-response-to-harassment-and-stalking.pdf</w:t>
        </w:r>
      </w:hyperlink>
      <w:r w:rsidRPr="00F870F4">
        <w:rPr>
          <w:rFonts w:ascii="Arial" w:eastAsiaTheme="minorHAnsi" w:hAnsi="Arial" w:cs="Arial"/>
          <w:sz w:val="22"/>
          <w:szCs w:val="22"/>
          <w:lang w:eastAsia="en-US"/>
        </w:rPr>
        <w:t xml:space="preserve"> [Accessed on: 16/01/23]</w:t>
      </w:r>
    </w:p>
    <w:p w14:paraId="2F9D49AC" w14:textId="77777777" w:rsidR="007E1AF8" w:rsidRPr="00F870F4" w:rsidRDefault="007E1AF8" w:rsidP="007E1AF8">
      <w:pPr>
        <w:autoSpaceDE w:val="0"/>
        <w:autoSpaceDN w:val="0"/>
        <w:adjustRightInd w:val="0"/>
        <w:spacing w:line="360" w:lineRule="auto"/>
        <w:jc w:val="both"/>
        <w:rPr>
          <w:rFonts w:ascii="Arial" w:hAnsi="Arial" w:cs="Arial"/>
          <w:color w:val="000000"/>
          <w:sz w:val="22"/>
          <w:szCs w:val="22"/>
        </w:rPr>
      </w:pPr>
    </w:p>
    <w:p w14:paraId="40201AC2" w14:textId="77777777" w:rsidR="007E1AF8" w:rsidRPr="00F870F4" w:rsidRDefault="007E1AF8" w:rsidP="007E1AF8">
      <w:pPr>
        <w:autoSpaceDE w:val="0"/>
        <w:autoSpaceDN w:val="0"/>
        <w:adjustRightInd w:val="0"/>
        <w:spacing w:line="360" w:lineRule="auto"/>
        <w:jc w:val="both"/>
        <w:rPr>
          <w:rFonts w:ascii="Arial" w:hAnsi="Arial" w:cs="Arial"/>
          <w:color w:val="000000"/>
          <w:sz w:val="22"/>
          <w:szCs w:val="22"/>
        </w:rPr>
      </w:pPr>
      <w:r w:rsidRPr="00F870F4">
        <w:rPr>
          <w:rFonts w:ascii="Arial" w:hAnsi="Arial" w:cs="Arial"/>
          <w:color w:val="000000"/>
          <w:sz w:val="22"/>
          <w:szCs w:val="22"/>
        </w:rPr>
        <w:t>Home Office (2015) Statutory Guidance Framework: Controlling and Coercive Behaviour</w:t>
      </w:r>
    </w:p>
    <w:p w14:paraId="2AAF6510" w14:textId="77777777" w:rsidR="007E1AF8" w:rsidRPr="00F870F4" w:rsidRDefault="007E1AF8" w:rsidP="007E1AF8">
      <w:pPr>
        <w:spacing w:line="360" w:lineRule="auto"/>
        <w:jc w:val="both"/>
        <w:rPr>
          <w:rFonts w:ascii="Arial" w:hAnsi="Arial" w:cs="Arial"/>
          <w:color w:val="000000"/>
          <w:sz w:val="22"/>
          <w:szCs w:val="22"/>
        </w:rPr>
      </w:pPr>
      <w:r w:rsidRPr="00F870F4">
        <w:rPr>
          <w:rFonts w:ascii="Arial" w:hAnsi="Arial" w:cs="Arial"/>
          <w:color w:val="000000"/>
          <w:sz w:val="22"/>
          <w:szCs w:val="22"/>
        </w:rPr>
        <w:t xml:space="preserve">in Intimate or Family Relationship, </w:t>
      </w:r>
      <w:r w:rsidRPr="00F870F4">
        <w:rPr>
          <w:rFonts w:ascii="Arial" w:hAnsi="Arial" w:cs="Arial"/>
          <w:sz w:val="22"/>
          <w:szCs w:val="22"/>
        </w:rPr>
        <w:t xml:space="preserve"> Available at : </w:t>
      </w:r>
      <w:hyperlink r:id="rId10" w:history="1">
        <w:r w:rsidRPr="00F870F4">
          <w:rPr>
            <w:rStyle w:val="Hyperlink"/>
            <w:rFonts w:ascii="Arial" w:hAnsi="Arial" w:cs="Arial"/>
            <w:sz w:val="22"/>
            <w:szCs w:val="22"/>
          </w:rPr>
          <w:t>https://assets.publishing.service.gov.uk/government/uploads/system/uploads/attachment_data/file/482528/Controlling_or_coercive_behaviour_-_statutory_guidance.pdf</w:t>
        </w:r>
      </w:hyperlink>
      <w:r w:rsidRPr="00F870F4">
        <w:rPr>
          <w:rFonts w:ascii="Arial" w:hAnsi="Arial" w:cs="Arial"/>
          <w:color w:val="000000"/>
          <w:sz w:val="22"/>
          <w:szCs w:val="22"/>
        </w:rPr>
        <w:t xml:space="preserve"> [Accessed on: 15/11/2022]</w:t>
      </w:r>
    </w:p>
    <w:p w14:paraId="25C4CF76" w14:textId="77777777" w:rsidR="007E1AF8" w:rsidRPr="00F870F4" w:rsidRDefault="007E1AF8" w:rsidP="007E1AF8">
      <w:pPr>
        <w:spacing w:line="360" w:lineRule="auto"/>
        <w:ind w:left="360"/>
        <w:jc w:val="both"/>
        <w:rPr>
          <w:rFonts w:ascii="Arial" w:hAnsi="Arial" w:cs="Arial"/>
          <w:color w:val="000000"/>
          <w:sz w:val="22"/>
          <w:szCs w:val="22"/>
        </w:rPr>
      </w:pPr>
    </w:p>
    <w:p w14:paraId="0A57A1A3" w14:textId="77777777" w:rsidR="007E1AF8" w:rsidRPr="00F870F4" w:rsidRDefault="007E1AF8" w:rsidP="007E1AF8">
      <w:pPr>
        <w:autoSpaceDE w:val="0"/>
        <w:autoSpaceDN w:val="0"/>
        <w:adjustRightInd w:val="0"/>
        <w:spacing w:line="360" w:lineRule="auto"/>
        <w:jc w:val="both"/>
        <w:rPr>
          <w:rFonts w:ascii="Arial" w:hAnsi="Arial" w:cs="Arial"/>
          <w:sz w:val="22"/>
          <w:szCs w:val="22"/>
        </w:rPr>
      </w:pPr>
      <w:r w:rsidRPr="00F870F4">
        <w:rPr>
          <w:rFonts w:ascii="Arial" w:eastAsiaTheme="minorHAnsi" w:hAnsi="Arial" w:cs="Arial"/>
          <w:sz w:val="22"/>
          <w:szCs w:val="22"/>
          <w:lang w:eastAsia="en-US"/>
        </w:rPr>
        <w:t>Johnson, H; Eriksson, L; Mazerolle, P and Wortley, R (2017</w:t>
      </w:r>
      <w:r w:rsidRPr="00F870F4">
        <w:rPr>
          <w:rFonts w:ascii="Arial" w:eastAsiaTheme="minorHAnsi" w:hAnsi="Arial" w:cs="Arial"/>
          <w:i/>
          <w:iCs/>
          <w:sz w:val="22"/>
          <w:szCs w:val="22"/>
          <w:lang w:eastAsia="en-US"/>
        </w:rPr>
        <w:t>) ‘</w:t>
      </w:r>
      <w:r w:rsidRPr="00F870F4">
        <w:rPr>
          <w:rFonts w:ascii="Arial" w:hAnsi="Arial" w:cs="Arial"/>
          <w:i/>
          <w:iCs/>
          <w:sz w:val="22"/>
          <w:szCs w:val="22"/>
        </w:rPr>
        <w:t>Intimate Femicide: The Role of Coercive Control’</w:t>
      </w:r>
      <w:r w:rsidRPr="00F870F4">
        <w:rPr>
          <w:rFonts w:ascii="Arial" w:hAnsi="Arial" w:cs="Arial"/>
          <w:sz w:val="22"/>
          <w:szCs w:val="22"/>
        </w:rPr>
        <w:t>, Feminist Criminology, Vol 14(1), 3-23.</w:t>
      </w:r>
    </w:p>
    <w:p w14:paraId="5EE08D6E" w14:textId="77777777" w:rsidR="007E1AF8" w:rsidRPr="00F870F4" w:rsidRDefault="007E1AF8" w:rsidP="007E1AF8">
      <w:pPr>
        <w:autoSpaceDE w:val="0"/>
        <w:autoSpaceDN w:val="0"/>
        <w:adjustRightInd w:val="0"/>
        <w:spacing w:line="360" w:lineRule="auto"/>
        <w:jc w:val="both"/>
        <w:rPr>
          <w:rFonts w:ascii="Arial" w:hAnsi="Arial" w:cs="Arial"/>
          <w:sz w:val="22"/>
          <w:szCs w:val="22"/>
        </w:rPr>
      </w:pPr>
    </w:p>
    <w:p w14:paraId="679E9D09" w14:textId="77777777" w:rsidR="007E1AF8" w:rsidRPr="00F870F4" w:rsidRDefault="007E1AF8" w:rsidP="007E1AF8">
      <w:pPr>
        <w:autoSpaceDE w:val="0"/>
        <w:autoSpaceDN w:val="0"/>
        <w:adjustRightInd w:val="0"/>
        <w:spacing w:line="360" w:lineRule="auto"/>
        <w:jc w:val="both"/>
        <w:rPr>
          <w:rFonts w:ascii="Arial" w:hAnsi="Arial" w:cs="Arial"/>
          <w:sz w:val="22"/>
          <w:szCs w:val="22"/>
        </w:rPr>
      </w:pPr>
      <w:r w:rsidRPr="00F870F4">
        <w:rPr>
          <w:rFonts w:ascii="Arial" w:hAnsi="Arial" w:cs="Arial"/>
          <w:sz w:val="22"/>
          <w:szCs w:val="22"/>
        </w:rPr>
        <w:t xml:space="preserve">Katz, E (2019) </w:t>
      </w:r>
      <w:r w:rsidRPr="00F870F4">
        <w:rPr>
          <w:rFonts w:ascii="Arial" w:hAnsi="Arial" w:cs="Arial"/>
          <w:i/>
          <w:iCs/>
          <w:sz w:val="22"/>
          <w:szCs w:val="22"/>
        </w:rPr>
        <w:t>‘Coercive Control, Domestic Violence, and a Five-Factor Framework: Five Factors That Influence Closeness, Distance, and Strain in Mother–Child Relationships’,</w:t>
      </w:r>
      <w:r w:rsidRPr="00F870F4">
        <w:rPr>
          <w:rFonts w:ascii="Arial" w:hAnsi="Arial" w:cs="Arial"/>
          <w:sz w:val="22"/>
          <w:szCs w:val="22"/>
        </w:rPr>
        <w:t xml:space="preserve"> Violence against Women, Vol. 25(15), 1829–1853.</w:t>
      </w:r>
    </w:p>
    <w:p w14:paraId="4AFB4792" w14:textId="77777777" w:rsidR="007E1AF8" w:rsidRPr="00F870F4" w:rsidRDefault="007E1AF8" w:rsidP="007E1AF8">
      <w:pPr>
        <w:autoSpaceDE w:val="0"/>
        <w:autoSpaceDN w:val="0"/>
        <w:adjustRightInd w:val="0"/>
        <w:spacing w:line="360" w:lineRule="auto"/>
        <w:jc w:val="both"/>
        <w:rPr>
          <w:rFonts w:ascii="Arial" w:hAnsi="Arial" w:cs="Arial"/>
          <w:sz w:val="22"/>
          <w:szCs w:val="22"/>
        </w:rPr>
      </w:pPr>
    </w:p>
    <w:p w14:paraId="24F59C0F" w14:textId="77777777" w:rsidR="007E1AF8" w:rsidRPr="00F870F4" w:rsidRDefault="007E1AF8" w:rsidP="007E1AF8">
      <w:pPr>
        <w:autoSpaceDE w:val="0"/>
        <w:autoSpaceDN w:val="0"/>
        <w:adjustRightInd w:val="0"/>
        <w:spacing w:line="360" w:lineRule="auto"/>
        <w:jc w:val="both"/>
        <w:rPr>
          <w:rFonts w:ascii="Arial" w:hAnsi="Arial" w:cs="Arial"/>
          <w:sz w:val="22"/>
          <w:szCs w:val="22"/>
        </w:rPr>
      </w:pPr>
      <w:proofErr w:type="spellStart"/>
      <w:r w:rsidRPr="00F870F4">
        <w:rPr>
          <w:rFonts w:ascii="Arial" w:hAnsi="Arial" w:cs="Arial"/>
          <w:sz w:val="22"/>
          <w:szCs w:val="22"/>
        </w:rPr>
        <w:t>Korkodeilou</w:t>
      </w:r>
      <w:proofErr w:type="spellEnd"/>
      <w:r w:rsidRPr="00F870F4">
        <w:rPr>
          <w:rFonts w:ascii="Arial" w:hAnsi="Arial" w:cs="Arial"/>
          <w:sz w:val="22"/>
          <w:szCs w:val="22"/>
        </w:rPr>
        <w:t xml:space="preserve">, J. (2017). </w:t>
      </w:r>
      <w:r w:rsidRPr="00F870F4">
        <w:rPr>
          <w:rFonts w:ascii="Arial" w:hAnsi="Arial" w:cs="Arial"/>
          <w:i/>
          <w:iCs/>
          <w:sz w:val="22"/>
          <w:szCs w:val="22"/>
        </w:rPr>
        <w:t xml:space="preserve">“No place to hide”: Stalking victimization and its psycho-social effects’, </w:t>
      </w:r>
      <w:r w:rsidRPr="00F870F4">
        <w:rPr>
          <w:rFonts w:ascii="Arial" w:hAnsi="Arial" w:cs="Arial"/>
          <w:sz w:val="22"/>
          <w:szCs w:val="22"/>
        </w:rPr>
        <w:t>International Review of Victimology, Vol 23, 17-32.</w:t>
      </w:r>
    </w:p>
    <w:p w14:paraId="7D70B420" w14:textId="77777777" w:rsidR="007E1AF8" w:rsidRPr="00F870F4" w:rsidRDefault="007E1AF8" w:rsidP="007E1AF8">
      <w:pPr>
        <w:spacing w:line="360" w:lineRule="auto"/>
        <w:jc w:val="both"/>
        <w:rPr>
          <w:rFonts w:ascii="Arial" w:eastAsiaTheme="minorHAnsi" w:hAnsi="Arial" w:cs="Arial"/>
          <w:sz w:val="22"/>
          <w:szCs w:val="22"/>
          <w:lang w:eastAsia="en-US"/>
        </w:rPr>
      </w:pPr>
    </w:p>
    <w:p w14:paraId="67BB372B" w14:textId="77777777" w:rsidR="007E1AF8" w:rsidRPr="00F870F4" w:rsidRDefault="007E1AF8" w:rsidP="007E1AF8">
      <w:pPr>
        <w:spacing w:line="360" w:lineRule="auto"/>
        <w:jc w:val="both"/>
        <w:rPr>
          <w:rFonts w:ascii="Arial" w:eastAsiaTheme="minorHAnsi" w:hAnsi="Arial" w:cs="Arial"/>
          <w:sz w:val="22"/>
          <w:szCs w:val="22"/>
          <w:lang w:eastAsia="en-US"/>
        </w:rPr>
      </w:pPr>
      <w:r w:rsidRPr="00F870F4">
        <w:rPr>
          <w:rFonts w:ascii="Arial" w:eastAsiaTheme="minorHAnsi" w:hAnsi="Arial" w:cs="Arial"/>
          <w:sz w:val="22"/>
          <w:szCs w:val="22"/>
          <w:lang w:eastAsia="en-US"/>
        </w:rPr>
        <w:t xml:space="preserve">Lammers M, Ritchie J and Robertson N (2005) </w:t>
      </w:r>
      <w:r w:rsidRPr="00F870F4">
        <w:rPr>
          <w:rFonts w:ascii="Arial" w:eastAsiaTheme="minorHAnsi" w:hAnsi="Arial" w:cs="Arial"/>
          <w:i/>
          <w:iCs/>
          <w:sz w:val="22"/>
          <w:szCs w:val="22"/>
          <w:lang w:eastAsia="en-US"/>
        </w:rPr>
        <w:t>‘Women’s experience of emotional abuse in intimate relationships: A qualitative study’</w:t>
      </w:r>
      <w:r w:rsidRPr="00F870F4">
        <w:rPr>
          <w:rFonts w:ascii="Arial" w:eastAsiaTheme="minorHAnsi" w:hAnsi="Arial" w:cs="Arial"/>
          <w:sz w:val="22"/>
          <w:szCs w:val="22"/>
          <w:lang w:eastAsia="en-US"/>
        </w:rPr>
        <w:t>, Journal of Emotional Abuse, Vol 5(1), 29–64.</w:t>
      </w:r>
    </w:p>
    <w:p w14:paraId="14405D17" w14:textId="77777777" w:rsidR="007E1AF8" w:rsidRPr="00F870F4" w:rsidRDefault="007E1AF8" w:rsidP="007E1AF8">
      <w:pPr>
        <w:spacing w:line="360" w:lineRule="auto"/>
        <w:jc w:val="both"/>
        <w:rPr>
          <w:rFonts w:ascii="Arial" w:hAnsi="Arial" w:cs="Arial"/>
          <w:sz w:val="22"/>
          <w:szCs w:val="22"/>
        </w:rPr>
      </w:pPr>
    </w:p>
    <w:p w14:paraId="0440077D" w14:textId="77777777" w:rsidR="007E1AF8" w:rsidRPr="00F870F4" w:rsidRDefault="007E1AF8" w:rsidP="007E1AF8">
      <w:pPr>
        <w:spacing w:line="360" w:lineRule="auto"/>
        <w:jc w:val="both"/>
        <w:rPr>
          <w:rFonts w:ascii="Arial" w:hAnsi="Arial" w:cs="Arial"/>
          <w:sz w:val="22"/>
          <w:szCs w:val="22"/>
        </w:rPr>
      </w:pPr>
      <w:r w:rsidRPr="00F870F4">
        <w:rPr>
          <w:rFonts w:ascii="Arial" w:hAnsi="Arial" w:cs="Arial"/>
          <w:sz w:val="22"/>
          <w:szCs w:val="22"/>
        </w:rPr>
        <w:t xml:space="preserve">Lehmann P; Simmons CA and Pillai VK (2012) </w:t>
      </w:r>
      <w:r w:rsidRPr="00F870F4">
        <w:rPr>
          <w:rFonts w:ascii="Arial" w:hAnsi="Arial" w:cs="Arial"/>
          <w:i/>
          <w:iCs/>
          <w:sz w:val="22"/>
          <w:szCs w:val="22"/>
        </w:rPr>
        <w:t xml:space="preserve">‘The validation of the Checklist of Controlling </w:t>
      </w:r>
      <w:proofErr w:type="spellStart"/>
      <w:r w:rsidRPr="00F870F4">
        <w:rPr>
          <w:rFonts w:ascii="Arial" w:hAnsi="Arial" w:cs="Arial"/>
          <w:i/>
          <w:iCs/>
          <w:sz w:val="22"/>
          <w:szCs w:val="22"/>
        </w:rPr>
        <w:t>Behaviors</w:t>
      </w:r>
      <w:proofErr w:type="spellEnd"/>
      <w:r w:rsidRPr="00F870F4">
        <w:rPr>
          <w:rFonts w:ascii="Arial" w:hAnsi="Arial" w:cs="Arial"/>
          <w:i/>
          <w:iCs/>
          <w:sz w:val="22"/>
          <w:szCs w:val="22"/>
        </w:rPr>
        <w:t xml:space="preserve"> (CCB): Assessing coercive control in abusive relationships’</w:t>
      </w:r>
      <w:r w:rsidRPr="00F870F4">
        <w:rPr>
          <w:rFonts w:ascii="Arial" w:hAnsi="Arial" w:cs="Arial"/>
          <w:sz w:val="22"/>
          <w:szCs w:val="22"/>
        </w:rPr>
        <w:t>, Violence Against Women</w:t>
      </w:r>
      <w:r w:rsidRPr="00F870F4">
        <w:rPr>
          <w:rFonts w:ascii="Arial" w:hAnsi="Arial" w:cs="Arial"/>
          <w:i/>
          <w:iCs/>
          <w:sz w:val="22"/>
          <w:szCs w:val="22"/>
        </w:rPr>
        <w:t xml:space="preserve">, </w:t>
      </w:r>
      <w:r w:rsidRPr="00F870F4">
        <w:rPr>
          <w:rFonts w:ascii="Arial" w:hAnsi="Arial" w:cs="Arial"/>
          <w:sz w:val="22"/>
          <w:szCs w:val="22"/>
        </w:rPr>
        <w:t>Vol</w:t>
      </w:r>
      <w:r w:rsidRPr="00F870F4">
        <w:rPr>
          <w:rFonts w:ascii="Arial" w:hAnsi="Arial" w:cs="Arial"/>
          <w:i/>
          <w:iCs/>
          <w:sz w:val="22"/>
          <w:szCs w:val="22"/>
        </w:rPr>
        <w:t xml:space="preserve"> </w:t>
      </w:r>
      <w:r w:rsidRPr="00F870F4">
        <w:rPr>
          <w:rFonts w:ascii="Arial" w:hAnsi="Arial" w:cs="Arial"/>
          <w:sz w:val="22"/>
          <w:szCs w:val="22"/>
        </w:rPr>
        <w:t>18(8), 913-933.</w:t>
      </w:r>
    </w:p>
    <w:p w14:paraId="276BE881" w14:textId="77777777" w:rsidR="007E1AF8" w:rsidRPr="00F870F4" w:rsidRDefault="007E1AF8" w:rsidP="007E1AF8">
      <w:pPr>
        <w:autoSpaceDE w:val="0"/>
        <w:autoSpaceDN w:val="0"/>
        <w:adjustRightInd w:val="0"/>
        <w:spacing w:line="360" w:lineRule="auto"/>
        <w:jc w:val="both"/>
        <w:rPr>
          <w:rFonts w:ascii="Arial" w:hAnsi="Arial" w:cs="Arial"/>
          <w:sz w:val="22"/>
          <w:szCs w:val="22"/>
        </w:rPr>
      </w:pPr>
    </w:p>
    <w:p w14:paraId="71C36923" w14:textId="77777777" w:rsidR="007E1AF8" w:rsidRPr="00F870F4" w:rsidRDefault="007E1AF8" w:rsidP="007E1AF8">
      <w:pPr>
        <w:autoSpaceDE w:val="0"/>
        <w:autoSpaceDN w:val="0"/>
        <w:adjustRightInd w:val="0"/>
        <w:spacing w:line="360" w:lineRule="auto"/>
        <w:jc w:val="both"/>
        <w:rPr>
          <w:rFonts w:ascii="Arial" w:hAnsi="Arial" w:cs="Arial"/>
          <w:sz w:val="22"/>
          <w:szCs w:val="22"/>
        </w:rPr>
      </w:pPr>
      <w:r w:rsidRPr="00F870F4">
        <w:rPr>
          <w:rFonts w:ascii="Arial" w:hAnsi="Arial" w:cs="Arial"/>
          <w:sz w:val="22"/>
          <w:szCs w:val="22"/>
        </w:rPr>
        <w:t xml:space="preserve">Logan, TK and Walker, R (2019) </w:t>
      </w:r>
      <w:r w:rsidRPr="00F870F4">
        <w:rPr>
          <w:rFonts w:ascii="Arial" w:hAnsi="Arial" w:cs="Arial"/>
          <w:i/>
          <w:iCs/>
          <w:sz w:val="22"/>
          <w:szCs w:val="22"/>
        </w:rPr>
        <w:t>‘The impact of stalking-related fear and gender on personal safety outcomes’</w:t>
      </w:r>
      <w:r w:rsidRPr="00F870F4">
        <w:rPr>
          <w:rFonts w:ascii="Arial" w:hAnsi="Arial" w:cs="Arial"/>
          <w:sz w:val="22"/>
          <w:szCs w:val="22"/>
        </w:rPr>
        <w:t>, Journal of Interpersonal Violence, Vol 36, (13-14).</w:t>
      </w:r>
    </w:p>
    <w:p w14:paraId="70A56078" w14:textId="77777777" w:rsidR="007E1AF8" w:rsidRPr="00F870F4" w:rsidRDefault="007E1AF8" w:rsidP="007E1AF8">
      <w:pPr>
        <w:spacing w:line="360" w:lineRule="auto"/>
        <w:jc w:val="both"/>
        <w:rPr>
          <w:rFonts w:ascii="Arial" w:hAnsi="Arial" w:cs="Arial"/>
          <w:sz w:val="22"/>
          <w:szCs w:val="22"/>
        </w:rPr>
      </w:pPr>
    </w:p>
    <w:p w14:paraId="1372C612" w14:textId="77777777" w:rsidR="007E1AF8" w:rsidRPr="00F870F4" w:rsidRDefault="007E1AF8" w:rsidP="007E1AF8">
      <w:pPr>
        <w:spacing w:line="360" w:lineRule="auto"/>
        <w:jc w:val="both"/>
        <w:rPr>
          <w:rFonts w:ascii="Arial" w:eastAsiaTheme="minorHAnsi" w:hAnsi="Arial" w:cs="Arial"/>
          <w:sz w:val="22"/>
          <w:szCs w:val="22"/>
          <w:lang w:eastAsia="en-US"/>
        </w:rPr>
      </w:pPr>
      <w:r w:rsidRPr="00F870F4">
        <w:rPr>
          <w:rFonts w:ascii="Arial" w:hAnsi="Arial" w:cs="Arial"/>
          <w:sz w:val="22"/>
          <w:szCs w:val="22"/>
        </w:rPr>
        <w:t xml:space="preserve">McLeod, D (2018) </w:t>
      </w:r>
      <w:r w:rsidRPr="00F870F4">
        <w:rPr>
          <w:rFonts w:ascii="Arial" w:eastAsiaTheme="minorHAnsi" w:hAnsi="Arial" w:cs="Arial"/>
          <w:sz w:val="22"/>
          <w:szCs w:val="22"/>
          <w:lang w:eastAsia="en-US"/>
        </w:rPr>
        <w:t xml:space="preserve">Coercive control: Impacts on children and young people in the family environment, Research in Practice, Available at: </w:t>
      </w:r>
      <w:hyperlink r:id="rId11" w:history="1">
        <w:r w:rsidRPr="00F870F4">
          <w:rPr>
            <w:rStyle w:val="Hyperlink"/>
            <w:rFonts w:ascii="Arial" w:eastAsiaTheme="minorHAnsi" w:hAnsi="Arial" w:cs="Arial"/>
            <w:sz w:val="22"/>
            <w:szCs w:val="22"/>
            <w:lang w:eastAsia="en-US"/>
          </w:rPr>
          <w:t>https://www.basw.co.uk/system/files/resources/CoercivecontrolImpactsonchildrenlitreview.pdf</w:t>
        </w:r>
      </w:hyperlink>
      <w:r w:rsidRPr="00F870F4">
        <w:rPr>
          <w:rFonts w:ascii="Arial" w:eastAsiaTheme="minorHAnsi" w:hAnsi="Arial" w:cs="Arial"/>
          <w:sz w:val="22"/>
          <w:szCs w:val="22"/>
          <w:lang w:eastAsia="en-US"/>
        </w:rPr>
        <w:t xml:space="preserve"> [Accessed on: 02/01/23]</w:t>
      </w:r>
    </w:p>
    <w:p w14:paraId="3525585D" w14:textId="77777777" w:rsidR="007E1AF8" w:rsidRPr="00F870F4" w:rsidRDefault="007E1AF8" w:rsidP="007E1AF8">
      <w:pPr>
        <w:spacing w:line="360" w:lineRule="auto"/>
        <w:jc w:val="both"/>
        <w:rPr>
          <w:rFonts w:ascii="Arial" w:hAnsi="Arial" w:cs="Arial"/>
          <w:color w:val="1C1D1E"/>
          <w:sz w:val="22"/>
          <w:szCs w:val="22"/>
          <w:shd w:val="clear" w:color="auto" w:fill="FFFFFF"/>
        </w:rPr>
      </w:pPr>
    </w:p>
    <w:p w14:paraId="74BBA79F" w14:textId="77777777" w:rsidR="007E1AF8" w:rsidRPr="00F870F4" w:rsidRDefault="007E1AF8" w:rsidP="007E1AF8">
      <w:pPr>
        <w:spacing w:line="360" w:lineRule="auto"/>
        <w:jc w:val="both"/>
        <w:rPr>
          <w:rFonts w:ascii="Arial" w:hAnsi="Arial" w:cs="Arial"/>
          <w:color w:val="1C1D1E"/>
          <w:sz w:val="22"/>
          <w:szCs w:val="22"/>
          <w:shd w:val="clear" w:color="auto" w:fill="FFFFFF"/>
        </w:rPr>
      </w:pPr>
      <w:r w:rsidRPr="00F870F4">
        <w:rPr>
          <w:rFonts w:ascii="Arial" w:hAnsi="Arial" w:cs="Arial"/>
          <w:color w:val="1C1D1E"/>
          <w:sz w:val="22"/>
          <w:szCs w:val="22"/>
          <w:shd w:val="clear" w:color="auto" w:fill="FFFFFF"/>
        </w:rPr>
        <w:t xml:space="preserve">Miller, J. and White, NA (2003) </w:t>
      </w:r>
      <w:r w:rsidRPr="00F870F4">
        <w:rPr>
          <w:rFonts w:ascii="Arial" w:hAnsi="Arial" w:cs="Arial"/>
          <w:i/>
          <w:iCs/>
          <w:color w:val="1C1D1E"/>
          <w:sz w:val="22"/>
          <w:szCs w:val="22"/>
          <w:shd w:val="clear" w:color="auto" w:fill="FFFFFF"/>
        </w:rPr>
        <w:t>‘Gender and Adolescent Relationship Violence: A Contextual Examination’,</w:t>
      </w:r>
      <w:r w:rsidRPr="00F870F4">
        <w:rPr>
          <w:rFonts w:ascii="Arial" w:hAnsi="Arial" w:cs="Arial"/>
          <w:color w:val="1C1D1E"/>
          <w:sz w:val="22"/>
          <w:szCs w:val="22"/>
          <w:shd w:val="clear" w:color="auto" w:fill="FFFFFF"/>
        </w:rPr>
        <w:t xml:space="preserve"> Criminology, Vol 41, 1207-1248</w:t>
      </w:r>
    </w:p>
    <w:p w14:paraId="5E1A75AC" w14:textId="77777777" w:rsidR="007E1AF8" w:rsidRPr="00F870F4" w:rsidRDefault="007E1AF8" w:rsidP="007E1AF8">
      <w:pPr>
        <w:autoSpaceDE w:val="0"/>
        <w:autoSpaceDN w:val="0"/>
        <w:adjustRightInd w:val="0"/>
        <w:spacing w:line="360" w:lineRule="auto"/>
        <w:jc w:val="both"/>
        <w:rPr>
          <w:rFonts w:ascii="Arial" w:hAnsi="Arial" w:cs="Arial"/>
          <w:sz w:val="22"/>
          <w:szCs w:val="22"/>
        </w:rPr>
      </w:pPr>
    </w:p>
    <w:p w14:paraId="38212B84" w14:textId="77777777" w:rsidR="007E1AF8" w:rsidRPr="00F870F4" w:rsidRDefault="007E1AF8" w:rsidP="007E1AF8">
      <w:pPr>
        <w:autoSpaceDE w:val="0"/>
        <w:autoSpaceDN w:val="0"/>
        <w:adjustRightInd w:val="0"/>
        <w:spacing w:line="360" w:lineRule="auto"/>
        <w:jc w:val="both"/>
        <w:rPr>
          <w:rFonts w:ascii="Arial" w:hAnsi="Arial" w:cs="Arial"/>
          <w:sz w:val="22"/>
          <w:szCs w:val="22"/>
        </w:rPr>
      </w:pPr>
      <w:r w:rsidRPr="00F870F4">
        <w:rPr>
          <w:rFonts w:ascii="Arial" w:hAnsi="Arial" w:cs="Arial"/>
          <w:sz w:val="22"/>
          <w:szCs w:val="22"/>
        </w:rPr>
        <w:t xml:space="preserve">Mitchell, JE and Raghavan, C (2021) </w:t>
      </w:r>
      <w:r w:rsidRPr="00F870F4">
        <w:rPr>
          <w:rFonts w:ascii="Arial" w:hAnsi="Arial" w:cs="Arial"/>
          <w:i/>
          <w:iCs/>
          <w:sz w:val="22"/>
          <w:szCs w:val="22"/>
        </w:rPr>
        <w:t xml:space="preserve">‘The Impact of Coercive Control on Use of Specific Sexual Coercion Tactics’, </w:t>
      </w:r>
      <w:r w:rsidRPr="00F870F4">
        <w:rPr>
          <w:rFonts w:ascii="Arial" w:hAnsi="Arial" w:cs="Arial"/>
          <w:sz w:val="22"/>
          <w:szCs w:val="22"/>
        </w:rPr>
        <w:t>Violence against Women, Vol 27(2), 187-206</w:t>
      </w:r>
    </w:p>
    <w:p w14:paraId="6B8F2D3C" w14:textId="77777777" w:rsidR="007E1AF8" w:rsidRDefault="007E1AF8" w:rsidP="007E1AF8">
      <w:pPr>
        <w:spacing w:line="360" w:lineRule="auto"/>
        <w:jc w:val="both"/>
        <w:rPr>
          <w:rFonts w:ascii="Arial" w:hAnsi="Arial" w:cs="Arial"/>
          <w:color w:val="333333"/>
          <w:sz w:val="22"/>
          <w:szCs w:val="22"/>
          <w:shd w:val="clear" w:color="auto" w:fill="FFFFFF"/>
        </w:rPr>
      </w:pPr>
    </w:p>
    <w:p w14:paraId="6EC73F2B"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proofErr w:type="spellStart"/>
      <w:r w:rsidRPr="00F870F4">
        <w:rPr>
          <w:rFonts w:ascii="Arial" w:eastAsiaTheme="minorHAnsi" w:hAnsi="Arial" w:cs="Arial"/>
          <w:sz w:val="22"/>
          <w:szCs w:val="22"/>
          <w:lang w:eastAsia="en-US"/>
        </w:rPr>
        <w:t>Myhill</w:t>
      </w:r>
      <w:proofErr w:type="spellEnd"/>
      <w:r w:rsidRPr="00F870F4">
        <w:rPr>
          <w:rFonts w:ascii="Arial" w:eastAsiaTheme="minorHAnsi" w:hAnsi="Arial" w:cs="Arial"/>
          <w:sz w:val="22"/>
          <w:szCs w:val="22"/>
          <w:lang w:eastAsia="en-US"/>
        </w:rPr>
        <w:t xml:space="preserve">, A; Johnson, K; McNeill, A; </w:t>
      </w:r>
      <w:proofErr w:type="spellStart"/>
      <w:r w:rsidRPr="00F870F4">
        <w:rPr>
          <w:rFonts w:ascii="Arial" w:eastAsiaTheme="minorHAnsi" w:hAnsi="Arial" w:cs="Arial"/>
          <w:sz w:val="22"/>
          <w:szCs w:val="22"/>
          <w:lang w:eastAsia="en-US"/>
        </w:rPr>
        <w:t>Critchfield</w:t>
      </w:r>
      <w:proofErr w:type="spellEnd"/>
      <w:r w:rsidRPr="00F870F4">
        <w:rPr>
          <w:rFonts w:ascii="Arial" w:eastAsiaTheme="minorHAnsi" w:hAnsi="Arial" w:cs="Arial"/>
          <w:sz w:val="22"/>
          <w:szCs w:val="22"/>
          <w:lang w:eastAsia="en-US"/>
        </w:rPr>
        <w:t xml:space="preserve">, E and </w:t>
      </w:r>
      <w:proofErr w:type="spellStart"/>
      <w:r w:rsidRPr="00F870F4">
        <w:rPr>
          <w:rFonts w:ascii="Arial" w:eastAsiaTheme="minorHAnsi" w:hAnsi="Arial" w:cs="Arial"/>
          <w:sz w:val="22"/>
          <w:szCs w:val="22"/>
          <w:lang w:eastAsia="en-US"/>
        </w:rPr>
        <w:t>Westmarland</w:t>
      </w:r>
      <w:proofErr w:type="spellEnd"/>
      <w:r w:rsidRPr="00F870F4">
        <w:rPr>
          <w:rFonts w:ascii="Arial" w:eastAsiaTheme="minorHAnsi" w:hAnsi="Arial" w:cs="Arial"/>
          <w:sz w:val="22"/>
          <w:szCs w:val="22"/>
          <w:lang w:eastAsia="en-US"/>
        </w:rPr>
        <w:t xml:space="preserve">, N (2022) </w:t>
      </w:r>
      <w:r w:rsidRPr="00F870F4">
        <w:rPr>
          <w:rFonts w:ascii="Arial" w:eastAsiaTheme="minorHAnsi" w:hAnsi="Arial" w:cs="Arial"/>
          <w:i/>
          <w:iCs/>
          <w:sz w:val="22"/>
          <w:szCs w:val="22"/>
          <w:lang w:eastAsia="en-US"/>
        </w:rPr>
        <w:t>‘A genuine one usually sticks out a mile’: policing coercive control in England and Wales’,</w:t>
      </w:r>
      <w:r w:rsidRPr="00F870F4">
        <w:rPr>
          <w:rFonts w:ascii="Arial" w:eastAsiaTheme="minorHAnsi" w:hAnsi="Arial" w:cs="Arial"/>
          <w:sz w:val="22"/>
          <w:szCs w:val="22"/>
          <w:lang w:eastAsia="en-US"/>
        </w:rPr>
        <w:t xml:space="preserve"> Policing and Society</w:t>
      </w:r>
    </w:p>
    <w:p w14:paraId="6CCF55DF" w14:textId="77777777" w:rsidR="007E1AF8" w:rsidRPr="00F870F4" w:rsidRDefault="007E1AF8" w:rsidP="007E1AF8">
      <w:pPr>
        <w:spacing w:line="360" w:lineRule="auto"/>
        <w:jc w:val="both"/>
        <w:rPr>
          <w:rFonts w:ascii="Arial" w:hAnsi="Arial" w:cs="Arial"/>
          <w:color w:val="333333"/>
          <w:sz w:val="22"/>
          <w:szCs w:val="22"/>
          <w:shd w:val="clear" w:color="auto" w:fill="FFFFFF"/>
        </w:rPr>
      </w:pPr>
    </w:p>
    <w:p w14:paraId="691E3296" w14:textId="77777777" w:rsidR="007E1AF8" w:rsidRDefault="007E1AF8" w:rsidP="007E1AF8">
      <w:pPr>
        <w:spacing w:line="360" w:lineRule="auto"/>
        <w:jc w:val="both"/>
        <w:rPr>
          <w:rFonts w:ascii="Arial" w:hAnsi="Arial" w:cs="Arial"/>
          <w:color w:val="333333"/>
          <w:sz w:val="22"/>
          <w:szCs w:val="22"/>
          <w:shd w:val="clear" w:color="auto" w:fill="FFFFFF"/>
        </w:rPr>
      </w:pPr>
      <w:proofErr w:type="spellStart"/>
      <w:r w:rsidRPr="00F870F4">
        <w:rPr>
          <w:rFonts w:ascii="Arial" w:hAnsi="Arial" w:cs="Arial"/>
          <w:color w:val="333333"/>
          <w:sz w:val="22"/>
          <w:szCs w:val="22"/>
          <w:shd w:val="clear" w:color="auto" w:fill="FFFFFF"/>
        </w:rPr>
        <w:t>Myhill</w:t>
      </w:r>
      <w:proofErr w:type="spellEnd"/>
      <w:r w:rsidRPr="00F870F4">
        <w:rPr>
          <w:rFonts w:ascii="Arial" w:hAnsi="Arial" w:cs="Arial"/>
          <w:color w:val="333333"/>
          <w:sz w:val="22"/>
          <w:szCs w:val="22"/>
          <w:shd w:val="clear" w:color="auto" w:fill="FFFFFF"/>
        </w:rPr>
        <w:t xml:space="preserve"> A, Johnson K (2016) </w:t>
      </w:r>
      <w:r w:rsidRPr="00F870F4">
        <w:rPr>
          <w:rFonts w:ascii="Arial" w:hAnsi="Arial" w:cs="Arial"/>
          <w:i/>
          <w:iCs/>
          <w:color w:val="333333"/>
          <w:sz w:val="22"/>
          <w:szCs w:val="22"/>
          <w:shd w:val="clear" w:color="auto" w:fill="FFFFFF"/>
        </w:rPr>
        <w:t>‘Police use of discretion in response to domestic violence’,</w:t>
      </w:r>
      <w:r w:rsidRPr="00F870F4">
        <w:rPr>
          <w:rFonts w:ascii="Arial" w:hAnsi="Arial" w:cs="Arial"/>
          <w:color w:val="333333"/>
          <w:sz w:val="22"/>
          <w:szCs w:val="22"/>
          <w:shd w:val="clear" w:color="auto" w:fill="FFFFFF"/>
        </w:rPr>
        <w:t> </w:t>
      </w:r>
      <w:r w:rsidRPr="00F870F4">
        <w:rPr>
          <w:rStyle w:val="Emphasis"/>
          <w:rFonts w:ascii="Arial" w:hAnsi="Arial" w:cs="Arial"/>
          <w:i w:val="0"/>
          <w:iCs w:val="0"/>
          <w:color w:val="333333"/>
          <w:sz w:val="22"/>
          <w:szCs w:val="22"/>
          <w:shd w:val="clear" w:color="auto" w:fill="FFFFFF"/>
        </w:rPr>
        <w:t>Criminology &amp; Criminal Justice, Vol</w:t>
      </w:r>
      <w:r w:rsidRPr="00F870F4">
        <w:rPr>
          <w:rFonts w:ascii="Arial" w:hAnsi="Arial" w:cs="Arial"/>
          <w:color w:val="333333"/>
          <w:sz w:val="22"/>
          <w:szCs w:val="22"/>
          <w:shd w:val="clear" w:color="auto" w:fill="FFFFFF"/>
        </w:rPr>
        <w:t> 16(1), 3–20.</w:t>
      </w:r>
    </w:p>
    <w:p w14:paraId="468797F5" w14:textId="77777777" w:rsidR="007E1AF8" w:rsidRPr="00F870F4" w:rsidRDefault="007E1AF8" w:rsidP="007E1AF8">
      <w:pPr>
        <w:spacing w:line="360" w:lineRule="auto"/>
        <w:jc w:val="both"/>
        <w:rPr>
          <w:rFonts w:ascii="Arial" w:hAnsi="Arial" w:cs="Arial"/>
          <w:color w:val="333333"/>
          <w:sz w:val="22"/>
          <w:szCs w:val="22"/>
          <w:shd w:val="clear" w:color="auto" w:fill="FCFCFC"/>
        </w:rPr>
      </w:pPr>
    </w:p>
    <w:p w14:paraId="5ADD6852" w14:textId="77777777" w:rsidR="007E1AF8" w:rsidRPr="00F870F4" w:rsidRDefault="007E1AF8" w:rsidP="007E1AF8">
      <w:pPr>
        <w:spacing w:line="360" w:lineRule="auto"/>
        <w:jc w:val="both"/>
        <w:rPr>
          <w:rFonts w:ascii="Arial" w:hAnsi="Arial" w:cs="Arial"/>
          <w:color w:val="333333"/>
          <w:sz w:val="22"/>
          <w:szCs w:val="22"/>
          <w:shd w:val="clear" w:color="auto" w:fill="FCFCFC"/>
        </w:rPr>
      </w:pPr>
      <w:r w:rsidRPr="00F870F4">
        <w:rPr>
          <w:rFonts w:ascii="Arial" w:hAnsi="Arial" w:cs="Arial"/>
          <w:color w:val="333333"/>
          <w:sz w:val="22"/>
          <w:szCs w:val="22"/>
          <w:shd w:val="clear" w:color="auto" w:fill="FCFCFC"/>
        </w:rPr>
        <w:t xml:space="preserve">NSW Government (2022). NSW Domestic Violence Death Review Team Report 2019-2021. Domestic Violence Death Review Team: NSW. Available at: </w:t>
      </w:r>
      <w:hyperlink r:id="rId12" w:history="1">
        <w:r w:rsidRPr="00F870F4">
          <w:rPr>
            <w:rStyle w:val="Hyperlink"/>
            <w:rFonts w:ascii="Arial" w:hAnsi="Arial" w:cs="Arial"/>
            <w:sz w:val="22"/>
            <w:szCs w:val="22"/>
            <w:shd w:val="clear" w:color="auto" w:fill="FCFCFC"/>
          </w:rPr>
          <w:t>https://www.coroners.nsw.gov.au/coroners-court/resources/domestic-violence-death-review.html</w:t>
        </w:r>
      </w:hyperlink>
      <w:r w:rsidRPr="00F870F4">
        <w:rPr>
          <w:rFonts w:ascii="Arial" w:hAnsi="Arial" w:cs="Arial"/>
          <w:color w:val="333333"/>
          <w:sz w:val="22"/>
          <w:szCs w:val="22"/>
          <w:shd w:val="clear" w:color="auto" w:fill="FCFCFC"/>
        </w:rPr>
        <w:t xml:space="preserve"> [Accessed on 06/01/23]</w:t>
      </w:r>
    </w:p>
    <w:p w14:paraId="7AF7F537" w14:textId="77777777" w:rsidR="007E1AF8" w:rsidRPr="00F870F4" w:rsidRDefault="007E1AF8" w:rsidP="007E1AF8">
      <w:pPr>
        <w:spacing w:line="360" w:lineRule="auto"/>
        <w:jc w:val="both"/>
        <w:rPr>
          <w:rFonts w:ascii="Arial" w:eastAsiaTheme="minorHAnsi" w:hAnsi="Arial" w:cs="Arial"/>
          <w:sz w:val="22"/>
          <w:szCs w:val="22"/>
          <w:lang w:eastAsia="en-US"/>
        </w:rPr>
      </w:pPr>
    </w:p>
    <w:p w14:paraId="1587409C" w14:textId="77777777" w:rsidR="007E1AF8" w:rsidRPr="00F870F4" w:rsidRDefault="007E1AF8" w:rsidP="007E1AF8">
      <w:pPr>
        <w:spacing w:line="360" w:lineRule="auto"/>
        <w:jc w:val="both"/>
        <w:rPr>
          <w:rFonts w:ascii="Arial" w:eastAsiaTheme="minorHAnsi" w:hAnsi="Arial" w:cs="Arial"/>
          <w:sz w:val="22"/>
          <w:szCs w:val="22"/>
          <w:lang w:eastAsia="en-US"/>
        </w:rPr>
      </w:pPr>
      <w:r w:rsidRPr="00F870F4">
        <w:rPr>
          <w:rFonts w:ascii="Arial" w:eastAsiaTheme="minorHAnsi" w:hAnsi="Arial" w:cs="Arial"/>
          <w:sz w:val="22"/>
          <w:szCs w:val="22"/>
          <w:lang w:eastAsia="en-US"/>
        </w:rPr>
        <w:t xml:space="preserve">ONS (2022) Domestic abuse and the criminal justice system. Available at: </w:t>
      </w:r>
      <w:hyperlink r:id="rId13" w:history="1">
        <w:r w:rsidRPr="00F870F4">
          <w:rPr>
            <w:rStyle w:val="Hyperlink"/>
            <w:rFonts w:ascii="Arial" w:eastAsiaTheme="minorHAnsi" w:hAnsi="Arial" w:cs="Arial"/>
            <w:sz w:val="22"/>
            <w:szCs w:val="22"/>
            <w:lang w:eastAsia="en-US"/>
          </w:rPr>
          <w:t>https://www.ons.gov.uk/peoplepopulationandcommunity/crimeandjustice/datasets/domesticabuseandthecriminaljusticesystemappendixtables</w:t>
        </w:r>
      </w:hyperlink>
      <w:r w:rsidRPr="00F870F4">
        <w:rPr>
          <w:rFonts w:ascii="Arial" w:eastAsiaTheme="minorHAnsi" w:hAnsi="Arial" w:cs="Arial"/>
          <w:sz w:val="22"/>
          <w:szCs w:val="22"/>
          <w:lang w:eastAsia="en-US"/>
        </w:rPr>
        <w:t xml:space="preserve"> [Accessed on: 02/01/23]</w:t>
      </w:r>
    </w:p>
    <w:p w14:paraId="00C65D71" w14:textId="77777777" w:rsidR="007E1AF8" w:rsidRPr="00F870F4" w:rsidRDefault="007E1AF8" w:rsidP="007E1AF8">
      <w:pPr>
        <w:spacing w:line="360" w:lineRule="auto"/>
        <w:jc w:val="both"/>
        <w:rPr>
          <w:rFonts w:ascii="Arial" w:eastAsiaTheme="minorHAnsi" w:hAnsi="Arial" w:cs="Arial"/>
          <w:sz w:val="22"/>
          <w:szCs w:val="22"/>
          <w:lang w:eastAsia="en-US"/>
        </w:rPr>
      </w:pPr>
    </w:p>
    <w:p w14:paraId="54FB7770" w14:textId="77777777" w:rsidR="007E1AF8" w:rsidRPr="00F870F4" w:rsidRDefault="007E1AF8" w:rsidP="007E1AF8">
      <w:pPr>
        <w:spacing w:line="360" w:lineRule="auto"/>
        <w:jc w:val="both"/>
        <w:rPr>
          <w:rFonts w:ascii="Arial" w:eastAsiaTheme="minorHAnsi" w:hAnsi="Arial" w:cs="Arial"/>
          <w:sz w:val="22"/>
          <w:szCs w:val="22"/>
          <w:lang w:eastAsia="en-US"/>
        </w:rPr>
      </w:pPr>
      <w:r w:rsidRPr="00F870F4">
        <w:rPr>
          <w:rFonts w:ascii="Arial" w:eastAsiaTheme="minorHAnsi" w:hAnsi="Arial" w:cs="Arial"/>
          <w:sz w:val="22"/>
          <w:szCs w:val="22"/>
          <w:lang w:eastAsia="en-US"/>
        </w:rPr>
        <w:t xml:space="preserve">ONS (2022a) Domestic abuse prevalence and trends, England and Wales: year ending March. Available at:  </w:t>
      </w:r>
      <w:hyperlink r:id="rId14" w:history="1">
        <w:r w:rsidRPr="00F870F4">
          <w:rPr>
            <w:rStyle w:val="Hyperlink"/>
            <w:rFonts w:ascii="Arial" w:eastAsiaTheme="minorHAnsi" w:hAnsi="Arial" w:cs="Arial"/>
            <w:sz w:val="22"/>
            <w:szCs w:val="22"/>
            <w:lang w:eastAsia="en-US"/>
          </w:rPr>
          <w:t>https://www.ons.gov.uk/peoplepopulationandcommunity/crimeandjustice/articles/domesticabuseprevalenceandtrendsenglandandwales/yearendingmarch2022</w:t>
        </w:r>
      </w:hyperlink>
      <w:r w:rsidRPr="00F870F4">
        <w:rPr>
          <w:rFonts w:ascii="Arial" w:eastAsiaTheme="minorHAnsi" w:hAnsi="Arial" w:cs="Arial"/>
          <w:sz w:val="22"/>
          <w:szCs w:val="22"/>
          <w:lang w:eastAsia="en-US"/>
        </w:rPr>
        <w:t xml:space="preserve"> [Accessed on: 02/01/23]</w:t>
      </w:r>
    </w:p>
    <w:p w14:paraId="4E21F727"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p>
    <w:p w14:paraId="081374F4"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r w:rsidRPr="00F870F4">
        <w:rPr>
          <w:rFonts w:ascii="Arial" w:eastAsiaTheme="minorHAnsi" w:hAnsi="Arial" w:cs="Arial"/>
          <w:sz w:val="22"/>
          <w:szCs w:val="22"/>
          <w:lang w:eastAsia="en-US"/>
        </w:rPr>
        <w:t xml:space="preserve">Regan, L; Kelly, L; Morris, A and </w:t>
      </w:r>
      <w:proofErr w:type="spellStart"/>
      <w:r w:rsidRPr="00F870F4">
        <w:rPr>
          <w:rFonts w:ascii="Arial" w:eastAsiaTheme="minorHAnsi" w:hAnsi="Arial" w:cs="Arial"/>
          <w:sz w:val="22"/>
          <w:szCs w:val="22"/>
          <w:lang w:eastAsia="en-US"/>
        </w:rPr>
        <w:t>Dibb</w:t>
      </w:r>
      <w:proofErr w:type="spellEnd"/>
      <w:r w:rsidRPr="00F870F4">
        <w:rPr>
          <w:rFonts w:ascii="Arial" w:eastAsiaTheme="minorHAnsi" w:hAnsi="Arial" w:cs="Arial"/>
          <w:sz w:val="22"/>
          <w:szCs w:val="22"/>
          <w:lang w:eastAsia="en-US"/>
        </w:rPr>
        <w:t xml:space="preserve">, R (2007) </w:t>
      </w:r>
      <w:r w:rsidRPr="00F870F4">
        <w:rPr>
          <w:rFonts w:ascii="Arial" w:eastAsiaTheme="minorHAnsi" w:hAnsi="Arial" w:cs="Arial"/>
          <w:i/>
          <w:iCs/>
          <w:sz w:val="22"/>
          <w:szCs w:val="22"/>
          <w:lang w:eastAsia="en-US"/>
        </w:rPr>
        <w:t xml:space="preserve">“If only we’d known”: An exploratory study of seven intimate partner homicides in </w:t>
      </w:r>
      <w:proofErr w:type="spellStart"/>
      <w:r w:rsidRPr="00F870F4">
        <w:rPr>
          <w:rFonts w:ascii="Arial" w:eastAsiaTheme="minorHAnsi" w:hAnsi="Arial" w:cs="Arial"/>
          <w:i/>
          <w:iCs/>
          <w:sz w:val="22"/>
          <w:szCs w:val="22"/>
          <w:lang w:eastAsia="en-US"/>
        </w:rPr>
        <w:t>Engleshire</w:t>
      </w:r>
      <w:proofErr w:type="spellEnd"/>
      <w:r w:rsidRPr="00F870F4">
        <w:rPr>
          <w:rFonts w:ascii="Arial" w:eastAsiaTheme="minorHAnsi" w:hAnsi="Arial" w:cs="Arial"/>
          <w:i/>
          <w:iCs/>
          <w:sz w:val="22"/>
          <w:szCs w:val="22"/>
          <w:lang w:eastAsia="en-US"/>
        </w:rPr>
        <w:t>. London, England: London Metropolitan University, Child and Woman Abuse Studies Unit’.</w:t>
      </w:r>
      <w:r w:rsidRPr="00F870F4">
        <w:rPr>
          <w:rFonts w:ascii="Arial" w:eastAsiaTheme="minorHAnsi" w:hAnsi="Arial" w:cs="Arial"/>
          <w:sz w:val="22"/>
          <w:szCs w:val="22"/>
          <w:lang w:eastAsia="en-US"/>
        </w:rPr>
        <w:t xml:space="preserve"> Available at: </w:t>
      </w:r>
      <w:hyperlink r:id="rId15" w:history="1">
        <w:r w:rsidRPr="00F870F4">
          <w:rPr>
            <w:rStyle w:val="Hyperlink"/>
            <w:rFonts w:ascii="Arial" w:eastAsiaTheme="minorHAnsi" w:hAnsi="Arial" w:cs="Arial"/>
            <w:sz w:val="22"/>
            <w:szCs w:val="22"/>
            <w:lang w:eastAsia="en-US"/>
          </w:rPr>
          <w:t>https://cwasu.org/wp-content/uploads/2016/07/if.pdf</w:t>
        </w:r>
      </w:hyperlink>
      <w:r w:rsidRPr="00F870F4">
        <w:rPr>
          <w:rFonts w:ascii="Arial" w:eastAsiaTheme="minorHAnsi" w:hAnsi="Arial" w:cs="Arial"/>
          <w:sz w:val="22"/>
          <w:szCs w:val="22"/>
          <w:lang w:eastAsia="en-US"/>
        </w:rPr>
        <w:t xml:space="preserve"> [Accessed on: 09/01/23]</w:t>
      </w:r>
    </w:p>
    <w:p w14:paraId="6D7A69B0" w14:textId="77777777" w:rsidR="007E1AF8" w:rsidRPr="00F870F4" w:rsidRDefault="007E1AF8" w:rsidP="007E1AF8">
      <w:pPr>
        <w:spacing w:line="360" w:lineRule="auto"/>
        <w:jc w:val="both"/>
        <w:rPr>
          <w:rFonts w:ascii="Arial" w:hAnsi="Arial" w:cs="Arial"/>
          <w:color w:val="333333"/>
          <w:sz w:val="22"/>
          <w:szCs w:val="22"/>
          <w:shd w:val="clear" w:color="auto" w:fill="FFFFFF"/>
        </w:rPr>
      </w:pPr>
    </w:p>
    <w:p w14:paraId="0C3575DC" w14:textId="77777777" w:rsidR="007E1AF8" w:rsidRPr="00F870F4" w:rsidRDefault="007E1AF8" w:rsidP="007E1AF8">
      <w:pPr>
        <w:spacing w:line="360" w:lineRule="auto"/>
        <w:jc w:val="both"/>
        <w:rPr>
          <w:rFonts w:ascii="Arial" w:hAnsi="Arial" w:cs="Arial"/>
          <w:color w:val="333333"/>
          <w:sz w:val="22"/>
          <w:szCs w:val="22"/>
          <w:shd w:val="clear" w:color="auto" w:fill="FFFFFF"/>
        </w:rPr>
      </w:pPr>
      <w:r w:rsidRPr="00F870F4">
        <w:rPr>
          <w:rFonts w:ascii="Arial" w:hAnsi="Arial" w:cs="Arial"/>
          <w:color w:val="333333"/>
          <w:sz w:val="22"/>
          <w:szCs w:val="22"/>
          <w:shd w:val="clear" w:color="auto" w:fill="FFFFFF"/>
        </w:rPr>
        <w:t xml:space="preserve">Robinson AL, </w:t>
      </w:r>
      <w:proofErr w:type="spellStart"/>
      <w:r w:rsidRPr="00F870F4">
        <w:rPr>
          <w:rFonts w:ascii="Arial" w:hAnsi="Arial" w:cs="Arial"/>
          <w:color w:val="333333"/>
          <w:sz w:val="22"/>
          <w:szCs w:val="22"/>
          <w:shd w:val="clear" w:color="auto" w:fill="FFFFFF"/>
        </w:rPr>
        <w:t>Pinchevsky</w:t>
      </w:r>
      <w:proofErr w:type="spellEnd"/>
      <w:r w:rsidRPr="00F870F4">
        <w:rPr>
          <w:rFonts w:ascii="Arial" w:hAnsi="Arial" w:cs="Arial"/>
          <w:color w:val="333333"/>
          <w:sz w:val="22"/>
          <w:szCs w:val="22"/>
          <w:shd w:val="clear" w:color="auto" w:fill="FFFFFF"/>
        </w:rPr>
        <w:t xml:space="preserve"> GM, Guthrie J (2016) ‘Under the radar: Policing non-violent domestic abuse in the US and UK’. </w:t>
      </w:r>
      <w:r w:rsidRPr="00F870F4">
        <w:rPr>
          <w:rStyle w:val="Emphasis"/>
          <w:rFonts w:ascii="Arial" w:hAnsi="Arial" w:cs="Arial"/>
          <w:i w:val="0"/>
          <w:iCs w:val="0"/>
          <w:color w:val="333333"/>
          <w:sz w:val="22"/>
          <w:szCs w:val="22"/>
          <w:shd w:val="clear" w:color="auto" w:fill="FFFFFF"/>
        </w:rPr>
        <w:t>International Journal of Comparative and Applied Criminal Justice</w:t>
      </w:r>
      <w:r w:rsidRPr="00F870F4">
        <w:rPr>
          <w:rFonts w:ascii="Arial" w:hAnsi="Arial" w:cs="Arial"/>
          <w:color w:val="333333"/>
          <w:sz w:val="22"/>
          <w:szCs w:val="22"/>
          <w:shd w:val="clear" w:color="auto" w:fill="FFFFFF"/>
        </w:rPr>
        <w:t>, Vol 40(3), 195–208.</w:t>
      </w:r>
    </w:p>
    <w:p w14:paraId="79F72234" w14:textId="77777777" w:rsidR="007E1AF8" w:rsidRPr="00F870F4" w:rsidRDefault="007E1AF8" w:rsidP="007E1AF8">
      <w:pPr>
        <w:autoSpaceDE w:val="0"/>
        <w:autoSpaceDN w:val="0"/>
        <w:adjustRightInd w:val="0"/>
        <w:spacing w:line="360" w:lineRule="auto"/>
        <w:jc w:val="both"/>
        <w:rPr>
          <w:rFonts w:ascii="Arial" w:eastAsiaTheme="minorHAnsi" w:hAnsi="Arial" w:cs="Arial"/>
          <w:i/>
          <w:iCs/>
          <w:sz w:val="22"/>
          <w:szCs w:val="22"/>
          <w:lang w:eastAsia="en-US"/>
        </w:rPr>
      </w:pPr>
    </w:p>
    <w:p w14:paraId="18E82851"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r w:rsidRPr="00F870F4">
        <w:rPr>
          <w:rFonts w:ascii="Arial" w:eastAsiaTheme="minorHAnsi" w:hAnsi="Arial" w:cs="Arial"/>
          <w:sz w:val="22"/>
          <w:szCs w:val="22"/>
          <w:lang w:eastAsia="en-US"/>
        </w:rPr>
        <w:t xml:space="preserve">Robinson, A; </w:t>
      </w:r>
      <w:proofErr w:type="spellStart"/>
      <w:r w:rsidRPr="00F870F4">
        <w:rPr>
          <w:rFonts w:ascii="Arial" w:eastAsiaTheme="minorHAnsi" w:hAnsi="Arial" w:cs="Arial"/>
          <w:sz w:val="22"/>
          <w:szCs w:val="22"/>
          <w:lang w:eastAsia="en-US"/>
        </w:rPr>
        <w:t>Pinchevsky</w:t>
      </w:r>
      <w:proofErr w:type="spellEnd"/>
      <w:r w:rsidRPr="00F870F4">
        <w:rPr>
          <w:rFonts w:ascii="Arial" w:eastAsiaTheme="minorHAnsi" w:hAnsi="Arial" w:cs="Arial"/>
          <w:sz w:val="22"/>
          <w:szCs w:val="22"/>
          <w:lang w:eastAsia="en-US"/>
        </w:rPr>
        <w:t>, G and Guthrie, J (2018) ‘A small constellation: Risk factors informing police perceptions of domestic abuse’, Policing and Society, Vol 28, 189-204.</w:t>
      </w:r>
    </w:p>
    <w:p w14:paraId="1D5F75FB" w14:textId="77777777" w:rsidR="007E1AF8" w:rsidRPr="00F870F4" w:rsidRDefault="007E1AF8" w:rsidP="007E1AF8">
      <w:pPr>
        <w:spacing w:line="360" w:lineRule="auto"/>
        <w:jc w:val="both"/>
        <w:rPr>
          <w:rFonts w:ascii="Arial" w:hAnsi="Arial" w:cs="Arial"/>
          <w:color w:val="333333"/>
          <w:sz w:val="22"/>
          <w:szCs w:val="22"/>
          <w:shd w:val="clear" w:color="auto" w:fill="FFFFFF"/>
        </w:rPr>
      </w:pPr>
    </w:p>
    <w:p w14:paraId="723DEDC1" w14:textId="77777777" w:rsidR="007E1AF8" w:rsidRPr="00F870F4" w:rsidRDefault="007E1AF8" w:rsidP="007E1AF8">
      <w:pPr>
        <w:spacing w:line="360" w:lineRule="auto"/>
        <w:jc w:val="both"/>
        <w:rPr>
          <w:rFonts w:ascii="Arial" w:hAnsi="Arial" w:cs="Arial"/>
          <w:color w:val="333333"/>
          <w:sz w:val="22"/>
          <w:szCs w:val="22"/>
          <w:shd w:val="clear" w:color="auto" w:fill="FFFFFF"/>
        </w:rPr>
      </w:pPr>
      <w:r w:rsidRPr="00F870F4">
        <w:rPr>
          <w:rFonts w:ascii="Arial" w:hAnsi="Arial" w:cs="Arial"/>
          <w:color w:val="333333"/>
          <w:sz w:val="22"/>
          <w:szCs w:val="22"/>
          <w:shd w:val="clear" w:color="auto" w:fill="FFFFFF"/>
        </w:rPr>
        <w:t>Stark, E (2007) ‘</w:t>
      </w:r>
      <w:r w:rsidRPr="00F870F4">
        <w:rPr>
          <w:rStyle w:val="Emphasis"/>
          <w:rFonts w:ascii="Arial" w:hAnsi="Arial" w:cs="Arial"/>
          <w:color w:val="333333"/>
          <w:sz w:val="22"/>
          <w:szCs w:val="22"/>
          <w:shd w:val="clear" w:color="auto" w:fill="FFFFFF"/>
        </w:rPr>
        <w:t>Coercive Control: How Men Entrap Women in Personal Life</w:t>
      </w:r>
      <w:r w:rsidRPr="00F870F4">
        <w:rPr>
          <w:rFonts w:ascii="Arial" w:hAnsi="Arial" w:cs="Arial"/>
          <w:color w:val="333333"/>
          <w:sz w:val="22"/>
          <w:szCs w:val="22"/>
          <w:shd w:val="clear" w:color="auto" w:fill="FFFFFF"/>
        </w:rPr>
        <w:t>’, Oxford: Oxford University Press.</w:t>
      </w:r>
    </w:p>
    <w:p w14:paraId="4CD70192" w14:textId="77777777" w:rsidR="007E1AF8" w:rsidRPr="00F870F4" w:rsidRDefault="007E1AF8" w:rsidP="007E1AF8">
      <w:pPr>
        <w:shd w:val="clear" w:color="auto" w:fill="FFFFFF"/>
        <w:spacing w:line="360" w:lineRule="auto"/>
        <w:jc w:val="both"/>
        <w:rPr>
          <w:rFonts w:ascii="Arial" w:hAnsi="Arial" w:cs="Arial"/>
          <w:sz w:val="22"/>
          <w:szCs w:val="22"/>
        </w:rPr>
      </w:pPr>
    </w:p>
    <w:p w14:paraId="6F640CA3" w14:textId="1748BE9C" w:rsidR="007E1AF8" w:rsidRDefault="007E1AF8" w:rsidP="007E1AF8">
      <w:pPr>
        <w:shd w:val="clear" w:color="auto" w:fill="FFFFFF"/>
        <w:spacing w:line="360" w:lineRule="auto"/>
        <w:jc w:val="both"/>
        <w:rPr>
          <w:rFonts w:ascii="Arial" w:hAnsi="Arial" w:cs="Arial"/>
          <w:sz w:val="22"/>
          <w:szCs w:val="22"/>
        </w:rPr>
      </w:pPr>
      <w:r w:rsidRPr="00F870F4">
        <w:rPr>
          <w:rFonts w:ascii="Arial" w:hAnsi="Arial" w:cs="Arial"/>
          <w:sz w:val="22"/>
          <w:szCs w:val="22"/>
        </w:rPr>
        <w:t xml:space="preserve">Villarreal, A (2007) </w:t>
      </w:r>
      <w:r w:rsidRPr="00F870F4">
        <w:rPr>
          <w:rFonts w:ascii="Arial" w:hAnsi="Arial" w:cs="Arial"/>
          <w:i/>
          <w:iCs/>
          <w:sz w:val="22"/>
          <w:szCs w:val="22"/>
        </w:rPr>
        <w:t>‘Women’s Employment Status, Coercive Control, and Intimate Partner Violence in Mexico’</w:t>
      </w:r>
      <w:r w:rsidRPr="00F870F4">
        <w:rPr>
          <w:rFonts w:ascii="Arial" w:hAnsi="Arial" w:cs="Arial"/>
          <w:sz w:val="22"/>
          <w:szCs w:val="22"/>
        </w:rPr>
        <w:t>, Journal of Marriage and Family, Vol 69, 418-434</w:t>
      </w:r>
    </w:p>
    <w:p w14:paraId="5CC51CD8" w14:textId="10F070D3" w:rsidR="005A3ACF" w:rsidRDefault="005A3ACF" w:rsidP="007E1AF8">
      <w:pPr>
        <w:shd w:val="clear" w:color="auto" w:fill="FFFFFF"/>
        <w:spacing w:line="360" w:lineRule="auto"/>
        <w:jc w:val="both"/>
        <w:rPr>
          <w:rFonts w:ascii="Arial" w:hAnsi="Arial" w:cs="Arial"/>
          <w:sz w:val="22"/>
          <w:szCs w:val="22"/>
        </w:rPr>
      </w:pPr>
    </w:p>
    <w:p w14:paraId="732506C5" w14:textId="193E7AE5" w:rsidR="005A3ACF" w:rsidRPr="005A3ACF" w:rsidRDefault="005A3ACF" w:rsidP="005A3ACF">
      <w:pPr>
        <w:autoSpaceDE w:val="0"/>
        <w:autoSpaceDN w:val="0"/>
        <w:adjustRightInd w:val="0"/>
        <w:spacing w:line="360" w:lineRule="auto"/>
        <w:jc w:val="both"/>
        <w:rPr>
          <w:rFonts w:ascii="Arial" w:hAnsi="Arial" w:cs="Arial"/>
          <w:sz w:val="22"/>
          <w:szCs w:val="22"/>
        </w:rPr>
      </w:pPr>
      <w:proofErr w:type="spellStart"/>
      <w:r w:rsidRPr="005A3ACF">
        <w:rPr>
          <w:rFonts w:ascii="Arial" w:hAnsi="Arial" w:cs="Arial"/>
          <w:sz w:val="22"/>
          <w:szCs w:val="22"/>
        </w:rPr>
        <w:t>Walklate</w:t>
      </w:r>
      <w:proofErr w:type="spellEnd"/>
      <w:r w:rsidRPr="005A3ACF">
        <w:rPr>
          <w:rFonts w:ascii="Arial" w:hAnsi="Arial" w:cs="Arial"/>
          <w:sz w:val="22"/>
          <w:szCs w:val="22"/>
        </w:rPr>
        <w:t xml:space="preserve">, S., Fitz-Gibbon, K. and McCulloch, J (2018) </w:t>
      </w:r>
      <w:r w:rsidRPr="005A3ACF">
        <w:rPr>
          <w:rFonts w:ascii="Arial" w:hAnsi="Arial" w:cs="Arial"/>
          <w:i/>
          <w:iCs/>
          <w:sz w:val="22"/>
          <w:szCs w:val="22"/>
        </w:rPr>
        <w:t>‘Is More Law the Answer? Seeking Justice for Victims of Intimate Partner Violence Through the Reform of Legal Categories’</w:t>
      </w:r>
      <w:r w:rsidRPr="005A3ACF">
        <w:rPr>
          <w:rFonts w:ascii="Arial" w:hAnsi="Arial" w:cs="Arial"/>
          <w:sz w:val="22"/>
          <w:szCs w:val="22"/>
        </w:rPr>
        <w:t>, Criminology and Criminal Justice, Vol</w:t>
      </w:r>
      <w:r>
        <w:rPr>
          <w:rFonts w:ascii="Arial" w:hAnsi="Arial" w:cs="Arial"/>
          <w:sz w:val="22"/>
          <w:szCs w:val="22"/>
        </w:rPr>
        <w:t xml:space="preserve"> </w:t>
      </w:r>
      <w:r w:rsidRPr="005A3ACF">
        <w:rPr>
          <w:rFonts w:ascii="Arial" w:hAnsi="Arial" w:cs="Arial"/>
          <w:sz w:val="22"/>
          <w:szCs w:val="22"/>
        </w:rPr>
        <w:t>18(2).</w:t>
      </w:r>
    </w:p>
    <w:p w14:paraId="6C45B7CE"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p>
    <w:p w14:paraId="49A95DEF" w14:textId="77777777" w:rsidR="007E1AF8" w:rsidRPr="00F870F4" w:rsidRDefault="007E1AF8" w:rsidP="007E1AF8">
      <w:pPr>
        <w:autoSpaceDE w:val="0"/>
        <w:autoSpaceDN w:val="0"/>
        <w:adjustRightInd w:val="0"/>
        <w:spacing w:line="360" w:lineRule="auto"/>
        <w:jc w:val="both"/>
        <w:rPr>
          <w:rFonts w:ascii="Arial" w:eastAsiaTheme="minorHAnsi" w:hAnsi="Arial" w:cs="Arial"/>
          <w:sz w:val="22"/>
          <w:szCs w:val="22"/>
          <w:lang w:eastAsia="en-US"/>
        </w:rPr>
      </w:pPr>
      <w:r w:rsidRPr="00F870F4">
        <w:rPr>
          <w:rFonts w:ascii="Arial" w:eastAsiaTheme="minorHAnsi" w:hAnsi="Arial" w:cs="Arial"/>
          <w:sz w:val="22"/>
          <w:szCs w:val="22"/>
          <w:lang w:eastAsia="en-US"/>
        </w:rPr>
        <w:t xml:space="preserve">Weiner, C (2017) </w:t>
      </w:r>
      <w:r w:rsidRPr="00F870F4">
        <w:rPr>
          <w:rFonts w:ascii="Arial" w:eastAsiaTheme="minorHAnsi" w:hAnsi="Arial" w:cs="Arial"/>
          <w:i/>
          <w:iCs/>
          <w:sz w:val="22"/>
          <w:szCs w:val="22"/>
          <w:lang w:eastAsia="en-US"/>
        </w:rPr>
        <w:t>‘Seeing What is ‘Invisible in Plain Sight’: Policing Coercive Control’,</w:t>
      </w:r>
      <w:r w:rsidRPr="00F870F4">
        <w:rPr>
          <w:rFonts w:ascii="Arial" w:eastAsiaTheme="minorHAnsi" w:hAnsi="Arial" w:cs="Arial"/>
          <w:sz w:val="22"/>
          <w:szCs w:val="22"/>
          <w:lang w:eastAsia="en-US"/>
        </w:rPr>
        <w:t xml:space="preserve"> The Howard Journal of Crime and Justice, Vol 56(4), 500-515</w:t>
      </w:r>
    </w:p>
    <w:p w14:paraId="01857CA9" w14:textId="77777777" w:rsidR="007E1AF8" w:rsidRPr="00F870F4" w:rsidRDefault="007E1AF8" w:rsidP="007E1AF8">
      <w:pPr>
        <w:autoSpaceDE w:val="0"/>
        <w:autoSpaceDN w:val="0"/>
        <w:adjustRightInd w:val="0"/>
        <w:spacing w:line="360" w:lineRule="auto"/>
        <w:jc w:val="both"/>
        <w:rPr>
          <w:rFonts w:ascii="Arial" w:hAnsi="Arial" w:cs="Arial"/>
          <w:sz w:val="22"/>
          <w:szCs w:val="22"/>
        </w:rPr>
      </w:pPr>
    </w:p>
    <w:p w14:paraId="40CE5E6A" w14:textId="42F65B5D" w:rsidR="007E1AF8" w:rsidRDefault="007E1AF8" w:rsidP="007E1AF8">
      <w:pPr>
        <w:autoSpaceDE w:val="0"/>
        <w:autoSpaceDN w:val="0"/>
        <w:adjustRightInd w:val="0"/>
        <w:spacing w:line="360" w:lineRule="auto"/>
        <w:jc w:val="both"/>
        <w:rPr>
          <w:rFonts w:ascii="Arial" w:hAnsi="Arial" w:cs="Arial"/>
          <w:sz w:val="22"/>
          <w:szCs w:val="22"/>
        </w:rPr>
      </w:pPr>
      <w:r w:rsidRPr="00F870F4">
        <w:rPr>
          <w:rFonts w:ascii="Arial" w:hAnsi="Arial" w:cs="Arial"/>
          <w:sz w:val="22"/>
          <w:szCs w:val="22"/>
        </w:rPr>
        <w:t>Worsley, JD; Wheatcroft, JM; Short, E and Corcoran, R (2017) ‘Victims’ voices: Understanding the emotional impact of cyberstalking and individuals’ coping responses’ Sage Open, Vol 7(2), 1-13.</w:t>
      </w:r>
    </w:p>
    <w:p w14:paraId="182DDE84" w14:textId="32BE24CD" w:rsidR="007E1AF8" w:rsidRDefault="007E1AF8" w:rsidP="00631CE3">
      <w:pPr>
        <w:spacing w:line="360" w:lineRule="auto"/>
        <w:jc w:val="both"/>
        <w:rPr>
          <w:rFonts w:ascii="Arial" w:hAnsi="Arial" w:cs="Arial"/>
          <w:sz w:val="22"/>
          <w:szCs w:val="22"/>
        </w:rPr>
      </w:pPr>
    </w:p>
    <w:p w14:paraId="4396A4D0" w14:textId="053D9F53" w:rsidR="007E1AF8" w:rsidRDefault="007E1AF8" w:rsidP="00631CE3">
      <w:pPr>
        <w:spacing w:line="360" w:lineRule="auto"/>
        <w:jc w:val="both"/>
        <w:rPr>
          <w:rFonts w:ascii="Arial" w:hAnsi="Arial" w:cs="Arial"/>
          <w:sz w:val="22"/>
          <w:szCs w:val="22"/>
        </w:rPr>
      </w:pPr>
    </w:p>
    <w:p w14:paraId="2815EBE0" w14:textId="6C06B71B" w:rsidR="007E1AF8" w:rsidRDefault="007E1AF8" w:rsidP="00631CE3">
      <w:pPr>
        <w:spacing w:line="360" w:lineRule="auto"/>
        <w:jc w:val="both"/>
        <w:rPr>
          <w:rFonts w:ascii="Arial" w:hAnsi="Arial" w:cs="Arial"/>
          <w:sz w:val="22"/>
          <w:szCs w:val="22"/>
        </w:rPr>
      </w:pPr>
    </w:p>
    <w:p w14:paraId="58AB72A1" w14:textId="44597303" w:rsidR="007E1AF8" w:rsidRDefault="007E1AF8" w:rsidP="00631CE3">
      <w:pPr>
        <w:spacing w:line="360" w:lineRule="auto"/>
        <w:jc w:val="both"/>
        <w:rPr>
          <w:rFonts w:ascii="Arial" w:hAnsi="Arial" w:cs="Arial"/>
          <w:sz w:val="22"/>
          <w:szCs w:val="22"/>
        </w:rPr>
      </w:pPr>
    </w:p>
    <w:p w14:paraId="369E22D7" w14:textId="6BAB6965" w:rsidR="007E1AF8" w:rsidRDefault="007E1AF8" w:rsidP="00631CE3">
      <w:pPr>
        <w:spacing w:line="360" w:lineRule="auto"/>
        <w:jc w:val="both"/>
        <w:rPr>
          <w:rFonts w:ascii="Arial" w:hAnsi="Arial" w:cs="Arial"/>
          <w:sz w:val="22"/>
          <w:szCs w:val="22"/>
        </w:rPr>
      </w:pPr>
    </w:p>
    <w:p w14:paraId="29F738FC" w14:textId="0C51E79A" w:rsidR="007E1AF8" w:rsidRDefault="007E1AF8" w:rsidP="00631CE3">
      <w:pPr>
        <w:spacing w:line="360" w:lineRule="auto"/>
        <w:jc w:val="both"/>
        <w:rPr>
          <w:rFonts w:ascii="Arial" w:hAnsi="Arial" w:cs="Arial"/>
          <w:sz w:val="22"/>
          <w:szCs w:val="22"/>
        </w:rPr>
      </w:pPr>
    </w:p>
    <w:p w14:paraId="3D2EC06F" w14:textId="459932B9" w:rsidR="007E1AF8" w:rsidRDefault="007E1AF8" w:rsidP="00631CE3">
      <w:pPr>
        <w:spacing w:line="360" w:lineRule="auto"/>
        <w:jc w:val="both"/>
        <w:rPr>
          <w:rFonts w:ascii="Arial" w:hAnsi="Arial" w:cs="Arial"/>
          <w:sz w:val="22"/>
          <w:szCs w:val="22"/>
        </w:rPr>
      </w:pPr>
    </w:p>
    <w:p w14:paraId="213BB93A" w14:textId="0B3DADA1" w:rsidR="007E1AF8" w:rsidRDefault="007E1AF8" w:rsidP="00631CE3">
      <w:pPr>
        <w:spacing w:line="360" w:lineRule="auto"/>
        <w:jc w:val="both"/>
        <w:rPr>
          <w:rFonts w:ascii="Arial" w:hAnsi="Arial" w:cs="Arial"/>
          <w:sz w:val="22"/>
          <w:szCs w:val="22"/>
        </w:rPr>
      </w:pPr>
    </w:p>
    <w:p w14:paraId="583ABEDF" w14:textId="60B9527E" w:rsidR="007E1AF8" w:rsidRDefault="007E1AF8" w:rsidP="00631CE3">
      <w:pPr>
        <w:spacing w:line="360" w:lineRule="auto"/>
        <w:jc w:val="both"/>
        <w:rPr>
          <w:rFonts w:ascii="Arial" w:hAnsi="Arial" w:cs="Arial"/>
          <w:sz w:val="22"/>
          <w:szCs w:val="22"/>
        </w:rPr>
      </w:pPr>
    </w:p>
    <w:p w14:paraId="409E91AD" w14:textId="1E4774E3" w:rsidR="007E1AF8" w:rsidRDefault="007E1AF8" w:rsidP="00631CE3">
      <w:pPr>
        <w:spacing w:line="360" w:lineRule="auto"/>
        <w:jc w:val="both"/>
        <w:rPr>
          <w:rFonts w:ascii="Arial" w:hAnsi="Arial" w:cs="Arial"/>
          <w:sz w:val="22"/>
          <w:szCs w:val="22"/>
        </w:rPr>
      </w:pPr>
    </w:p>
    <w:p w14:paraId="365BF68B" w14:textId="010DF051" w:rsidR="007E1AF8" w:rsidRDefault="007E1AF8" w:rsidP="00631CE3">
      <w:pPr>
        <w:spacing w:line="360" w:lineRule="auto"/>
        <w:jc w:val="both"/>
        <w:rPr>
          <w:rFonts w:ascii="Arial" w:hAnsi="Arial" w:cs="Arial"/>
          <w:sz w:val="22"/>
          <w:szCs w:val="22"/>
        </w:rPr>
      </w:pPr>
    </w:p>
    <w:p w14:paraId="0EC90149" w14:textId="5043074A" w:rsidR="007E1AF8" w:rsidRDefault="007E1AF8" w:rsidP="00631CE3">
      <w:pPr>
        <w:spacing w:line="360" w:lineRule="auto"/>
        <w:jc w:val="both"/>
        <w:rPr>
          <w:rFonts w:ascii="Arial" w:hAnsi="Arial" w:cs="Arial"/>
          <w:sz w:val="22"/>
          <w:szCs w:val="22"/>
        </w:rPr>
      </w:pPr>
    </w:p>
    <w:p w14:paraId="367B88F3" w14:textId="3C419304" w:rsidR="007E1AF8" w:rsidRDefault="007E1AF8" w:rsidP="00631CE3">
      <w:pPr>
        <w:spacing w:line="360" w:lineRule="auto"/>
        <w:jc w:val="both"/>
        <w:rPr>
          <w:rFonts w:ascii="Arial" w:hAnsi="Arial" w:cs="Arial"/>
          <w:sz w:val="22"/>
          <w:szCs w:val="22"/>
        </w:rPr>
      </w:pPr>
    </w:p>
    <w:p w14:paraId="3AB1D7E5" w14:textId="53B4450E" w:rsidR="007E1AF8" w:rsidRDefault="007E1AF8" w:rsidP="00631CE3">
      <w:pPr>
        <w:spacing w:line="360" w:lineRule="auto"/>
        <w:jc w:val="both"/>
        <w:rPr>
          <w:rFonts w:ascii="Arial" w:hAnsi="Arial" w:cs="Arial"/>
          <w:sz w:val="22"/>
          <w:szCs w:val="22"/>
        </w:rPr>
      </w:pPr>
    </w:p>
    <w:p w14:paraId="45CA1442" w14:textId="74781093" w:rsidR="007E1AF8" w:rsidRDefault="007E1AF8" w:rsidP="00631CE3">
      <w:pPr>
        <w:spacing w:line="360" w:lineRule="auto"/>
        <w:jc w:val="both"/>
        <w:rPr>
          <w:rFonts w:ascii="Arial" w:hAnsi="Arial" w:cs="Arial"/>
          <w:sz w:val="22"/>
          <w:szCs w:val="22"/>
        </w:rPr>
      </w:pPr>
    </w:p>
    <w:p w14:paraId="3D20C71F" w14:textId="2D83C382" w:rsidR="007E1AF8" w:rsidRDefault="007E1AF8" w:rsidP="00631CE3">
      <w:pPr>
        <w:spacing w:line="360" w:lineRule="auto"/>
        <w:jc w:val="both"/>
        <w:rPr>
          <w:rFonts w:ascii="Arial" w:hAnsi="Arial" w:cs="Arial"/>
          <w:sz w:val="22"/>
          <w:szCs w:val="22"/>
        </w:rPr>
      </w:pPr>
    </w:p>
    <w:p w14:paraId="32F02480" w14:textId="41B506E9" w:rsidR="007E1AF8" w:rsidRDefault="007E1AF8" w:rsidP="00631CE3">
      <w:pPr>
        <w:spacing w:line="360" w:lineRule="auto"/>
        <w:jc w:val="both"/>
        <w:rPr>
          <w:rFonts w:ascii="Arial" w:hAnsi="Arial" w:cs="Arial"/>
          <w:sz w:val="22"/>
          <w:szCs w:val="22"/>
        </w:rPr>
      </w:pPr>
    </w:p>
    <w:p w14:paraId="58D6EC43" w14:textId="4832BB74" w:rsidR="007E1AF8" w:rsidRDefault="007E1AF8" w:rsidP="00631CE3">
      <w:pPr>
        <w:spacing w:line="360" w:lineRule="auto"/>
        <w:jc w:val="both"/>
        <w:rPr>
          <w:rFonts w:ascii="Arial" w:hAnsi="Arial" w:cs="Arial"/>
          <w:sz w:val="22"/>
          <w:szCs w:val="22"/>
        </w:rPr>
      </w:pPr>
    </w:p>
    <w:p w14:paraId="5D4E274F" w14:textId="77777777" w:rsidR="007E1AF8" w:rsidRDefault="007E1AF8" w:rsidP="00631CE3">
      <w:pPr>
        <w:spacing w:line="360" w:lineRule="auto"/>
        <w:jc w:val="both"/>
        <w:rPr>
          <w:rFonts w:ascii="Arial" w:hAnsi="Arial" w:cs="Arial"/>
          <w:sz w:val="22"/>
          <w:szCs w:val="22"/>
        </w:rPr>
      </w:pPr>
    </w:p>
    <w:p w14:paraId="499A112E" w14:textId="77777777" w:rsidR="007E1AF8" w:rsidRPr="00631CE3" w:rsidRDefault="007E1AF8" w:rsidP="00631CE3">
      <w:pPr>
        <w:spacing w:line="360" w:lineRule="auto"/>
        <w:jc w:val="both"/>
        <w:rPr>
          <w:rFonts w:ascii="Arial" w:hAnsi="Arial" w:cs="Arial"/>
          <w:sz w:val="22"/>
          <w:szCs w:val="22"/>
        </w:rPr>
      </w:pPr>
    </w:p>
    <w:p w14:paraId="75950B17" w14:textId="71D767BD" w:rsidR="004C16DB" w:rsidRPr="00631CE3" w:rsidRDefault="004C16DB" w:rsidP="00631CE3">
      <w:pPr>
        <w:spacing w:line="360" w:lineRule="auto"/>
        <w:jc w:val="both"/>
        <w:rPr>
          <w:rFonts w:ascii="Arial" w:hAnsi="Arial" w:cs="Arial"/>
          <w:sz w:val="22"/>
          <w:szCs w:val="22"/>
        </w:rPr>
      </w:pPr>
    </w:p>
    <w:p w14:paraId="1A29F20D" w14:textId="6733A2B8" w:rsidR="007509F0" w:rsidRPr="005E73D8" w:rsidRDefault="007509F0" w:rsidP="007509F0">
      <w:pPr>
        <w:autoSpaceDE w:val="0"/>
        <w:autoSpaceDN w:val="0"/>
        <w:adjustRightInd w:val="0"/>
        <w:rPr>
          <w:rFonts w:ascii="ÕÊ=" w:eastAsiaTheme="minorHAnsi" w:hAnsi="ÕÊ=" w:cs="ÕÊ="/>
          <w:i/>
          <w:iCs/>
          <w:sz w:val="20"/>
          <w:szCs w:val="20"/>
          <w:lang w:eastAsia="en-US"/>
        </w:rPr>
      </w:pPr>
    </w:p>
    <w:sectPr w:rsidR="007509F0" w:rsidRPr="005E73D8" w:rsidSect="0032796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9C4B110" w14:textId="77777777" w:rsidR="0004519B" w:rsidRDefault="0004519B" w:rsidP="0004519B">
      <w:r>
        <w:separator/>
      </w:r>
    </w:p>
  </w:endnote>
  <w:endnote w:type="continuationSeparator" w:id="0">
    <w:p w14:paraId="625025FA" w14:textId="77777777" w:rsidR="0004519B" w:rsidRDefault="0004519B" w:rsidP="000451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foTextPro">
    <w:altName w:val="InfoTextPro"/>
    <w:panose1 w:val="00000000000000000000"/>
    <w:charset w:val="00"/>
    <w:family w:val="swiss"/>
    <w:notTrueType/>
    <w:pitch w:val="default"/>
    <w:sig w:usb0="00000003" w:usb1="00000000" w:usb2="00000000" w:usb3="00000000" w:csb0="00000001"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ÕÊ=">
    <w:altName w:val="Calibri"/>
    <w:panose1 w:val="00000000000000000000"/>
    <w:charset w:val="4D"/>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0CE67F" w14:textId="77777777" w:rsidR="0004519B" w:rsidRDefault="0004519B" w:rsidP="0004519B">
      <w:r>
        <w:separator/>
      </w:r>
    </w:p>
  </w:footnote>
  <w:footnote w:type="continuationSeparator" w:id="0">
    <w:p w14:paraId="44BE98A0" w14:textId="77777777" w:rsidR="0004519B" w:rsidRDefault="0004519B" w:rsidP="0004519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2958"/>
    <w:rsid w:val="000048F5"/>
    <w:rsid w:val="00016F4E"/>
    <w:rsid w:val="0003472E"/>
    <w:rsid w:val="0004519B"/>
    <w:rsid w:val="00071378"/>
    <w:rsid w:val="000B5A5C"/>
    <w:rsid w:val="000D72E4"/>
    <w:rsid w:val="00105AAA"/>
    <w:rsid w:val="00127DD8"/>
    <w:rsid w:val="00131176"/>
    <w:rsid w:val="00133003"/>
    <w:rsid w:val="0016112B"/>
    <w:rsid w:val="001761B9"/>
    <w:rsid w:val="0017625C"/>
    <w:rsid w:val="001C7914"/>
    <w:rsid w:val="001E0D81"/>
    <w:rsid w:val="001E276A"/>
    <w:rsid w:val="001E71F8"/>
    <w:rsid w:val="002322D3"/>
    <w:rsid w:val="00255633"/>
    <w:rsid w:val="00290416"/>
    <w:rsid w:val="002D1590"/>
    <w:rsid w:val="002D5422"/>
    <w:rsid w:val="00307DA7"/>
    <w:rsid w:val="00327964"/>
    <w:rsid w:val="00340C91"/>
    <w:rsid w:val="003479A8"/>
    <w:rsid w:val="003524F9"/>
    <w:rsid w:val="00366609"/>
    <w:rsid w:val="003E0E69"/>
    <w:rsid w:val="003F6EF3"/>
    <w:rsid w:val="00414142"/>
    <w:rsid w:val="0041424C"/>
    <w:rsid w:val="00426F75"/>
    <w:rsid w:val="00452EE7"/>
    <w:rsid w:val="00466CB1"/>
    <w:rsid w:val="004A5A1C"/>
    <w:rsid w:val="004C16DB"/>
    <w:rsid w:val="004C2145"/>
    <w:rsid w:val="004F12B3"/>
    <w:rsid w:val="004F5C6E"/>
    <w:rsid w:val="00555BE2"/>
    <w:rsid w:val="005954AB"/>
    <w:rsid w:val="005A145C"/>
    <w:rsid w:val="005A3ACF"/>
    <w:rsid w:val="005A6944"/>
    <w:rsid w:val="005D58CF"/>
    <w:rsid w:val="005D65C5"/>
    <w:rsid w:val="005E029B"/>
    <w:rsid w:val="005E73D8"/>
    <w:rsid w:val="005F6AD5"/>
    <w:rsid w:val="006223F3"/>
    <w:rsid w:val="00631CE3"/>
    <w:rsid w:val="006441CD"/>
    <w:rsid w:val="00654D85"/>
    <w:rsid w:val="006A12D3"/>
    <w:rsid w:val="006F44C9"/>
    <w:rsid w:val="00734441"/>
    <w:rsid w:val="00737621"/>
    <w:rsid w:val="007421E4"/>
    <w:rsid w:val="007447B2"/>
    <w:rsid w:val="007509F0"/>
    <w:rsid w:val="007E1AF8"/>
    <w:rsid w:val="007E6285"/>
    <w:rsid w:val="007E6EFD"/>
    <w:rsid w:val="007F0FFF"/>
    <w:rsid w:val="008343EB"/>
    <w:rsid w:val="00837E67"/>
    <w:rsid w:val="00843EEF"/>
    <w:rsid w:val="008B3BE5"/>
    <w:rsid w:val="008D453A"/>
    <w:rsid w:val="00904345"/>
    <w:rsid w:val="00907DC0"/>
    <w:rsid w:val="00910E69"/>
    <w:rsid w:val="009163DE"/>
    <w:rsid w:val="00931BB4"/>
    <w:rsid w:val="00942559"/>
    <w:rsid w:val="00944AF9"/>
    <w:rsid w:val="009525CD"/>
    <w:rsid w:val="00965730"/>
    <w:rsid w:val="009664C2"/>
    <w:rsid w:val="0097524C"/>
    <w:rsid w:val="0099362B"/>
    <w:rsid w:val="009B3EE9"/>
    <w:rsid w:val="009B530E"/>
    <w:rsid w:val="009D6366"/>
    <w:rsid w:val="00A14FC4"/>
    <w:rsid w:val="00A15715"/>
    <w:rsid w:val="00A824E6"/>
    <w:rsid w:val="00A91BB1"/>
    <w:rsid w:val="00A96CD6"/>
    <w:rsid w:val="00AB4496"/>
    <w:rsid w:val="00AB58E1"/>
    <w:rsid w:val="00AB76EB"/>
    <w:rsid w:val="00AD6600"/>
    <w:rsid w:val="00AE307A"/>
    <w:rsid w:val="00AF443A"/>
    <w:rsid w:val="00B143D4"/>
    <w:rsid w:val="00B56C91"/>
    <w:rsid w:val="00B76078"/>
    <w:rsid w:val="00B90391"/>
    <w:rsid w:val="00BF38DE"/>
    <w:rsid w:val="00C04C8C"/>
    <w:rsid w:val="00C05839"/>
    <w:rsid w:val="00C459F4"/>
    <w:rsid w:val="00C62EC2"/>
    <w:rsid w:val="00C65064"/>
    <w:rsid w:val="00C66E00"/>
    <w:rsid w:val="00CA5F90"/>
    <w:rsid w:val="00CA7190"/>
    <w:rsid w:val="00CF2C2A"/>
    <w:rsid w:val="00D44703"/>
    <w:rsid w:val="00D50F29"/>
    <w:rsid w:val="00DB02E0"/>
    <w:rsid w:val="00DC4F50"/>
    <w:rsid w:val="00DC5F4A"/>
    <w:rsid w:val="00E36FF0"/>
    <w:rsid w:val="00E44303"/>
    <w:rsid w:val="00E4562F"/>
    <w:rsid w:val="00E4783C"/>
    <w:rsid w:val="00E617CB"/>
    <w:rsid w:val="00E61DE0"/>
    <w:rsid w:val="00EA545B"/>
    <w:rsid w:val="00EB3D78"/>
    <w:rsid w:val="00F04AD6"/>
    <w:rsid w:val="00F16206"/>
    <w:rsid w:val="00F42958"/>
    <w:rsid w:val="00F435F9"/>
    <w:rsid w:val="00F85F56"/>
    <w:rsid w:val="00FF6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33F7C7"/>
  <w14:defaultImageDpi w14:val="32767"/>
  <w15:chartTrackingRefBased/>
  <w15:docId w15:val="{4856D9BA-3A4A-124E-AB79-CD65B60EC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145C"/>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3">
    <w:name w:val="Pa3"/>
    <w:basedOn w:val="Normal"/>
    <w:next w:val="Normal"/>
    <w:uiPriority w:val="99"/>
    <w:rsid w:val="00C66E00"/>
    <w:pPr>
      <w:autoSpaceDE w:val="0"/>
      <w:autoSpaceDN w:val="0"/>
      <w:adjustRightInd w:val="0"/>
      <w:spacing w:line="221" w:lineRule="atLeast"/>
    </w:pPr>
    <w:rPr>
      <w:rFonts w:ascii="InfoTextPro" w:hAnsi="InfoTextPro"/>
    </w:rPr>
  </w:style>
  <w:style w:type="character" w:styleId="Hyperlink">
    <w:name w:val="Hyperlink"/>
    <w:basedOn w:val="DefaultParagraphFont"/>
    <w:uiPriority w:val="99"/>
    <w:unhideWhenUsed/>
    <w:rsid w:val="004C16DB"/>
    <w:rPr>
      <w:color w:val="0000FF"/>
      <w:u w:val="single"/>
    </w:rPr>
  </w:style>
  <w:style w:type="character" w:customStyle="1" w:styleId="nlmstring-name">
    <w:name w:val="nlm_string-name"/>
    <w:basedOn w:val="DefaultParagraphFont"/>
    <w:rsid w:val="004C16DB"/>
  </w:style>
  <w:style w:type="character" w:customStyle="1" w:styleId="journalname">
    <w:name w:val="journalname"/>
    <w:basedOn w:val="DefaultParagraphFont"/>
    <w:rsid w:val="004C16DB"/>
  </w:style>
  <w:style w:type="character" w:customStyle="1" w:styleId="year">
    <w:name w:val="year"/>
    <w:basedOn w:val="DefaultParagraphFont"/>
    <w:rsid w:val="004C16DB"/>
  </w:style>
  <w:style w:type="character" w:customStyle="1" w:styleId="volume">
    <w:name w:val="volume"/>
    <w:basedOn w:val="DefaultParagraphFont"/>
    <w:rsid w:val="004C16DB"/>
  </w:style>
  <w:style w:type="character" w:customStyle="1" w:styleId="issue">
    <w:name w:val="issue"/>
    <w:basedOn w:val="DefaultParagraphFont"/>
    <w:rsid w:val="004C16DB"/>
  </w:style>
  <w:style w:type="character" w:customStyle="1" w:styleId="page">
    <w:name w:val="page"/>
    <w:basedOn w:val="DefaultParagraphFont"/>
    <w:rsid w:val="004C16DB"/>
  </w:style>
  <w:style w:type="character" w:styleId="Emphasis">
    <w:name w:val="Emphasis"/>
    <w:basedOn w:val="DefaultParagraphFont"/>
    <w:uiPriority w:val="20"/>
    <w:qFormat/>
    <w:rsid w:val="00466CB1"/>
    <w:rPr>
      <w:i/>
      <w:iCs/>
    </w:rPr>
  </w:style>
  <w:style w:type="character" w:customStyle="1" w:styleId="UnresolvedMention">
    <w:name w:val="Unresolved Mention"/>
    <w:basedOn w:val="DefaultParagraphFont"/>
    <w:uiPriority w:val="99"/>
    <w:rsid w:val="008343EB"/>
    <w:rPr>
      <w:color w:val="605E5C"/>
      <w:shd w:val="clear" w:color="auto" w:fill="E1DFDD"/>
    </w:rPr>
  </w:style>
  <w:style w:type="character" w:customStyle="1" w:styleId="lookup-resultcontent">
    <w:name w:val="lookup-result__content"/>
    <w:rsid w:val="00C62EC2"/>
  </w:style>
  <w:style w:type="paragraph" w:customStyle="1" w:styleId="legclearfix">
    <w:name w:val="legclearfix"/>
    <w:basedOn w:val="Normal"/>
    <w:rsid w:val="00AB4496"/>
    <w:pPr>
      <w:spacing w:before="100" w:beforeAutospacing="1" w:after="100" w:afterAutospacing="1"/>
    </w:pPr>
  </w:style>
  <w:style w:type="character" w:customStyle="1" w:styleId="legds">
    <w:name w:val="legds"/>
    <w:basedOn w:val="DefaultParagraphFont"/>
    <w:rsid w:val="00AB4496"/>
  </w:style>
  <w:style w:type="character" w:styleId="FollowedHyperlink">
    <w:name w:val="FollowedHyperlink"/>
    <w:basedOn w:val="DefaultParagraphFont"/>
    <w:uiPriority w:val="99"/>
    <w:semiHidden/>
    <w:unhideWhenUsed/>
    <w:rsid w:val="007E6285"/>
    <w:rPr>
      <w:color w:val="954F72" w:themeColor="followedHyperlink"/>
      <w:u w:val="single"/>
    </w:rPr>
  </w:style>
  <w:style w:type="paragraph" w:customStyle="1" w:styleId="Default">
    <w:name w:val="Default"/>
    <w:rsid w:val="0016112B"/>
    <w:pPr>
      <w:autoSpaceDE w:val="0"/>
      <w:autoSpaceDN w:val="0"/>
      <w:adjustRightInd w:val="0"/>
    </w:pPr>
    <w:rPr>
      <w:rFonts w:ascii="Georgia" w:hAnsi="Georgia" w:cs="Georgia"/>
      <w:color w:val="00000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97530">
      <w:bodyDiv w:val="1"/>
      <w:marLeft w:val="0"/>
      <w:marRight w:val="0"/>
      <w:marTop w:val="0"/>
      <w:marBottom w:val="0"/>
      <w:divBdr>
        <w:top w:val="none" w:sz="0" w:space="0" w:color="auto"/>
        <w:left w:val="none" w:sz="0" w:space="0" w:color="auto"/>
        <w:bottom w:val="none" w:sz="0" w:space="0" w:color="auto"/>
        <w:right w:val="none" w:sz="0" w:space="0" w:color="auto"/>
      </w:divBdr>
    </w:div>
    <w:div w:id="725834917">
      <w:bodyDiv w:val="1"/>
      <w:marLeft w:val="0"/>
      <w:marRight w:val="0"/>
      <w:marTop w:val="0"/>
      <w:marBottom w:val="0"/>
      <w:divBdr>
        <w:top w:val="none" w:sz="0" w:space="0" w:color="auto"/>
        <w:left w:val="none" w:sz="0" w:space="0" w:color="auto"/>
        <w:bottom w:val="none" w:sz="0" w:space="0" w:color="auto"/>
        <w:right w:val="none" w:sz="0" w:space="0" w:color="auto"/>
      </w:divBdr>
    </w:div>
    <w:div w:id="1416240111">
      <w:bodyDiv w:val="1"/>
      <w:marLeft w:val="0"/>
      <w:marRight w:val="0"/>
      <w:marTop w:val="0"/>
      <w:marBottom w:val="0"/>
      <w:divBdr>
        <w:top w:val="none" w:sz="0" w:space="0" w:color="auto"/>
        <w:left w:val="none" w:sz="0" w:space="0" w:color="auto"/>
        <w:bottom w:val="none" w:sz="0" w:space="0" w:color="auto"/>
        <w:right w:val="none" w:sz="0" w:space="0" w:color="auto"/>
      </w:divBdr>
    </w:div>
    <w:div w:id="1624997138">
      <w:bodyDiv w:val="1"/>
      <w:marLeft w:val="0"/>
      <w:marRight w:val="0"/>
      <w:marTop w:val="0"/>
      <w:marBottom w:val="0"/>
      <w:divBdr>
        <w:top w:val="none" w:sz="0" w:space="0" w:color="auto"/>
        <w:left w:val="none" w:sz="0" w:space="0" w:color="auto"/>
        <w:bottom w:val="none" w:sz="0" w:space="0" w:color="auto"/>
        <w:right w:val="none" w:sz="0" w:space="0" w:color="auto"/>
      </w:divBdr>
      <w:divsChild>
        <w:div w:id="2090467567">
          <w:marLeft w:val="0"/>
          <w:marRight w:val="0"/>
          <w:marTop w:val="0"/>
          <w:marBottom w:val="0"/>
          <w:divBdr>
            <w:top w:val="none" w:sz="0" w:space="0" w:color="auto"/>
            <w:left w:val="none" w:sz="0" w:space="0" w:color="auto"/>
            <w:bottom w:val="none" w:sz="0" w:space="0" w:color="auto"/>
            <w:right w:val="none" w:sz="0" w:space="0" w:color="auto"/>
          </w:divBdr>
        </w:div>
      </w:divsChild>
    </w:div>
    <w:div w:id="1777825583">
      <w:bodyDiv w:val="1"/>
      <w:marLeft w:val="0"/>
      <w:marRight w:val="0"/>
      <w:marTop w:val="0"/>
      <w:marBottom w:val="0"/>
      <w:divBdr>
        <w:top w:val="none" w:sz="0" w:space="0" w:color="auto"/>
        <w:left w:val="none" w:sz="0" w:space="0" w:color="auto"/>
        <w:bottom w:val="none" w:sz="0" w:space="0" w:color="auto"/>
        <w:right w:val="none" w:sz="0" w:space="0" w:color="auto"/>
      </w:divBdr>
    </w:div>
    <w:div w:id="1944411021">
      <w:bodyDiv w:val="1"/>
      <w:marLeft w:val="0"/>
      <w:marRight w:val="0"/>
      <w:marTop w:val="0"/>
      <w:marBottom w:val="0"/>
      <w:divBdr>
        <w:top w:val="none" w:sz="0" w:space="0" w:color="auto"/>
        <w:left w:val="none" w:sz="0" w:space="0" w:color="auto"/>
        <w:bottom w:val="none" w:sz="0" w:space="0" w:color="auto"/>
        <w:right w:val="none" w:sz="0" w:space="0" w:color="auto"/>
      </w:divBdr>
      <w:divsChild>
        <w:div w:id="1758095879">
          <w:marLeft w:val="0"/>
          <w:marRight w:val="0"/>
          <w:marTop w:val="0"/>
          <w:marBottom w:val="120"/>
          <w:divBdr>
            <w:top w:val="none" w:sz="0" w:space="0" w:color="auto"/>
            <w:left w:val="none" w:sz="0" w:space="0" w:color="auto"/>
            <w:bottom w:val="none" w:sz="0" w:space="0" w:color="auto"/>
            <w:right w:val="none" w:sz="0" w:space="0" w:color="auto"/>
          </w:divBdr>
        </w:div>
        <w:div w:id="1055082177">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ult.justice.gov.uk/homeoffice-moj/domestic-abuse-consultation/supporting_documents/Transforming%20the%20response%20to%20domestic%20abuse.pdf" TargetMode="External"/><Relationship Id="rId13" Type="http://schemas.openxmlformats.org/officeDocument/2006/relationships/hyperlink" Target="https://www.ons.gov.uk/peoplepopulationandcommunity/crimeandjustice/datasets/domesticabuseandthecriminaljusticesystemappendixtables" TargetMode="External"/><Relationship Id="rId3" Type="http://schemas.openxmlformats.org/officeDocument/2006/relationships/webSettings" Target="webSettings.xml"/><Relationship Id="rId7" Type="http://schemas.openxmlformats.org/officeDocument/2006/relationships/hyperlink" Target="https://journals.sagepub.com/doi/full/10.1177/1748895817728381" TargetMode="External"/><Relationship Id="rId12" Type="http://schemas.openxmlformats.org/officeDocument/2006/relationships/hyperlink" Target="https://www.coroners.nsw.gov.au/coroners-court/resources/domestic-violence-death-review.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hydra.hull.ac.uk/resources/hull:14106" TargetMode="External"/><Relationship Id="rId11" Type="http://schemas.openxmlformats.org/officeDocument/2006/relationships/hyperlink" Target="https://www.basw.co.uk/system/files/resources/CoercivecontrolImpactsonchildrenlitreview.pdf" TargetMode="External"/><Relationship Id="rId5" Type="http://schemas.openxmlformats.org/officeDocument/2006/relationships/endnotes" Target="endnotes.xml"/><Relationship Id="rId15" Type="http://schemas.openxmlformats.org/officeDocument/2006/relationships/hyperlink" Target="https://cwasu.org/wp-content/uploads/2016/07/if.pdf" TargetMode="External"/><Relationship Id="rId10" Type="http://schemas.openxmlformats.org/officeDocument/2006/relationships/hyperlink" Target="https://assets.publishing.service.gov.uk/government/uploads/system/uploads/attachment_data/file/482528/Controlling_or_coercive_behaviour_-_statutory_guidance.pdf" TargetMode="External"/><Relationship Id="rId4" Type="http://schemas.openxmlformats.org/officeDocument/2006/relationships/footnotes" Target="footnotes.xml"/><Relationship Id="rId9" Type="http://schemas.openxmlformats.org/officeDocument/2006/relationships/hyperlink" Target="https://www.justiceinspectorates.gov.uk/hmicfrs/wp-content/uploads/living-in-fear-the-police-and-cps-response-to-harassment-and-stalking.pdf" TargetMode="External"/><Relationship Id="rId14" Type="http://schemas.openxmlformats.org/officeDocument/2006/relationships/hyperlink" Target="https://www.ons.gov.uk/peoplepopulationandcommunity/crimeandjustice/articles/domesticabuseprevalenceandtrendsenglandandwales/yearendingmarch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3602</Words>
  <Characters>20535</Characters>
  <Application>Microsoft Office Word</Application>
  <DocSecurity>4</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Noble</dc:creator>
  <cp:keywords/>
  <dc:description/>
  <cp:lastModifiedBy>Elias, Nathan</cp:lastModifiedBy>
  <cp:revision>2</cp:revision>
  <dcterms:created xsi:type="dcterms:W3CDTF">2023-01-20T21:31:00Z</dcterms:created>
  <dcterms:modified xsi:type="dcterms:W3CDTF">2023-01-20T21:31:00Z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2023-01-20T21:31:32Z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0d0d8c21-60d6-4bdf-a767-0dd9d79e714a</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