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b/>
          <w:bCs/>
          <w:lang w:val="en-US"/>
        </w:rPr>
        <w:id w:val="102394367"/>
        <w:docPartObj>
          <w:docPartGallery w:val="Cover Pages"/>
          <w:docPartUnique/>
        </w:docPartObj>
      </w:sdtPr>
      <w:sdtEndPr/>
      <w:sdtContent>
        <w:p w14:paraId="0942EBFE" w14:textId="295FECB0" w:rsidR="00C721D1" w:rsidRPr="00874541" w:rsidRDefault="00C721D1" w:rsidP="00A21250">
          <w:pPr>
            <w:rPr>
              <w:rFonts w:ascii="Arial" w:hAnsi="Arial" w:cs="Arial"/>
              <w:b/>
              <w:bCs/>
              <w:lang w:val="en-US"/>
            </w:rPr>
          </w:pPr>
          <w:r w:rsidRPr="00874541">
            <w:rPr>
              <w:rFonts w:ascii="Arial" w:hAnsi="Arial" w:cs="Arial"/>
              <w:noProof/>
            </w:rPr>
            <w:drawing>
              <wp:inline distT="0" distB="0" distL="0" distR="0" wp14:anchorId="3F422B23" wp14:editId="687DBB60">
                <wp:extent cx="1813560" cy="723900"/>
                <wp:effectExtent l="0" t="0" r="0" b="0"/>
                <wp:docPr id="2009393363"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3560" cy="723900"/>
                        </a:xfrm>
                        <a:prstGeom prst="rect">
                          <a:avLst/>
                        </a:prstGeom>
                        <a:noFill/>
                        <a:ln>
                          <a:noFill/>
                        </a:ln>
                      </pic:spPr>
                    </pic:pic>
                  </a:graphicData>
                </a:graphic>
              </wp:inline>
            </w:drawing>
          </w:r>
        </w:p>
        <w:p w14:paraId="07007827" w14:textId="77777777" w:rsidR="00C721D1" w:rsidRPr="00874541" w:rsidRDefault="00C721D1" w:rsidP="00C721D1">
          <w:pPr>
            <w:spacing w:line="360" w:lineRule="auto"/>
            <w:jc w:val="center"/>
            <w:rPr>
              <w:rFonts w:ascii="Arial" w:hAnsi="Arial" w:cs="Arial"/>
              <w:b/>
              <w:bCs/>
              <w:lang w:val="en-US"/>
            </w:rPr>
          </w:pPr>
        </w:p>
        <w:p w14:paraId="0F079ECF" w14:textId="77777777" w:rsidR="00C721D1" w:rsidRPr="002A4102" w:rsidRDefault="00C721D1" w:rsidP="00C721D1">
          <w:pPr>
            <w:spacing w:line="360" w:lineRule="auto"/>
            <w:jc w:val="center"/>
            <w:rPr>
              <w:rFonts w:ascii="Arial" w:hAnsi="Arial" w:cs="Arial"/>
              <w:b/>
              <w:bCs/>
              <w:sz w:val="32"/>
              <w:szCs w:val="32"/>
              <w:lang w:val="en-US"/>
            </w:rPr>
          </w:pPr>
        </w:p>
        <w:p w14:paraId="59796DBD" w14:textId="380E134F" w:rsidR="00C721D1" w:rsidRPr="002A4102" w:rsidRDefault="00C721D1" w:rsidP="00C721D1">
          <w:pPr>
            <w:spacing w:line="360" w:lineRule="auto"/>
            <w:jc w:val="center"/>
            <w:rPr>
              <w:rFonts w:ascii="Arial" w:hAnsi="Arial" w:cs="Arial"/>
              <w:b/>
              <w:bCs/>
              <w:sz w:val="32"/>
              <w:szCs w:val="32"/>
              <w:lang w:val="en-US"/>
            </w:rPr>
          </w:pPr>
          <w:r w:rsidRPr="002A4102">
            <w:rPr>
              <w:rFonts w:ascii="Arial" w:hAnsi="Arial" w:cs="Arial"/>
              <w:b/>
              <w:bCs/>
              <w:sz w:val="32"/>
              <w:szCs w:val="32"/>
              <w:lang w:val="en-US"/>
            </w:rPr>
            <w:t>Module Code: LCHS7003</w:t>
          </w:r>
        </w:p>
        <w:p w14:paraId="2273D40A" w14:textId="77777777" w:rsidR="00C721D1" w:rsidRPr="002A4102" w:rsidRDefault="00C721D1" w:rsidP="00C721D1">
          <w:pPr>
            <w:spacing w:line="360" w:lineRule="auto"/>
            <w:jc w:val="center"/>
            <w:rPr>
              <w:rFonts w:ascii="Arial" w:hAnsi="Arial" w:cs="Arial"/>
              <w:b/>
              <w:bCs/>
              <w:sz w:val="32"/>
              <w:szCs w:val="32"/>
              <w:lang w:val="en-US"/>
            </w:rPr>
          </w:pPr>
          <w:r w:rsidRPr="002A4102">
            <w:rPr>
              <w:rFonts w:ascii="Arial" w:hAnsi="Arial" w:cs="Arial"/>
              <w:b/>
              <w:bCs/>
              <w:sz w:val="32"/>
              <w:szCs w:val="32"/>
              <w:lang w:val="en-US"/>
            </w:rPr>
            <w:t>Module Title: Community Care and Management of Longer-term Conditions</w:t>
          </w:r>
        </w:p>
        <w:p w14:paraId="509A3815" w14:textId="77777777" w:rsidR="00C721D1" w:rsidRPr="002A4102" w:rsidRDefault="00C721D1" w:rsidP="00C721D1">
          <w:pPr>
            <w:spacing w:line="360" w:lineRule="auto"/>
            <w:jc w:val="center"/>
            <w:rPr>
              <w:rFonts w:ascii="Arial" w:hAnsi="Arial" w:cs="Arial"/>
              <w:b/>
              <w:bCs/>
              <w:sz w:val="32"/>
              <w:szCs w:val="32"/>
              <w:lang w:val="en-US"/>
            </w:rPr>
          </w:pPr>
          <w:r w:rsidRPr="002A4102">
            <w:rPr>
              <w:rFonts w:ascii="Arial" w:hAnsi="Arial" w:cs="Arial"/>
              <w:b/>
              <w:bCs/>
              <w:sz w:val="32"/>
              <w:szCs w:val="32"/>
              <w:lang w:val="en-US"/>
            </w:rPr>
            <w:t>Lecturer’s Name: Dr Aishat Bakre</w:t>
          </w:r>
        </w:p>
        <w:p w14:paraId="47665D2A" w14:textId="77777777" w:rsidR="00C721D1" w:rsidRPr="002A4102" w:rsidRDefault="00C721D1" w:rsidP="00C721D1">
          <w:pPr>
            <w:spacing w:line="360" w:lineRule="auto"/>
            <w:jc w:val="center"/>
            <w:rPr>
              <w:rFonts w:ascii="Arial" w:hAnsi="Arial" w:cs="Arial"/>
              <w:b/>
              <w:bCs/>
              <w:sz w:val="32"/>
              <w:szCs w:val="32"/>
              <w:lang w:val="en-US"/>
            </w:rPr>
          </w:pPr>
          <w:r w:rsidRPr="002A4102">
            <w:rPr>
              <w:rFonts w:ascii="Arial" w:hAnsi="Arial" w:cs="Arial"/>
              <w:b/>
              <w:bCs/>
              <w:sz w:val="32"/>
              <w:szCs w:val="32"/>
              <w:lang w:val="en-US"/>
            </w:rPr>
            <w:t>Assignment Title: Component 1 Information Booklet of Long-term Condition Management</w:t>
          </w:r>
        </w:p>
        <w:p w14:paraId="3D10DE70" w14:textId="77777777" w:rsidR="00C721D1" w:rsidRPr="002A4102" w:rsidRDefault="00C721D1" w:rsidP="00C721D1">
          <w:pPr>
            <w:spacing w:line="360" w:lineRule="auto"/>
            <w:jc w:val="center"/>
            <w:rPr>
              <w:rFonts w:ascii="Arial" w:hAnsi="Arial" w:cs="Arial"/>
              <w:b/>
              <w:bCs/>
              <w:sz w:val="32"/>
              <w:szCs w:val="32"/>
              <w:lang w:val="en-US"/>
            </w:rPr>
          </w:pPr>
          <w:r w:rsidRPr="002A4102">
            <w:rPr>
              <w:rFonts w:ascii="Arial" w:hAnsi="Arial" w:cs="Arial"/>
              <w:b/>
              <w:bCs/>
              <w:sz w:val="32"/>
              <w:szCs w:val="32"/>
              <w:lang w:val="en-US"/>
            </w:rPr>
            <w:t>Topic: Chronic Obstructive Pulmonary Disease (COPD) Management</w:t>
          </w:r>
        </w:p>
        <w:p w14:paraId="4B3241C8" w14:textId="29BD7FA2" w:rsidR="00C721D1" w:rsidRPr="002A4102" w:rsidRDefault="00C721D1" w:rsidP="00C721D1">
          <w:pPr>
            <w:spacing w:line="360" w:lineRule="auto"/>
            <w:jc w:val="center"/>
            <w:rPr>
              <w:rFonts w:ascii="Arial" w:hAnsi="Arial" w:cs="Arial"/>
              <w:b/>
              <w:bCs/>
              <w:sz w:val="32"/>
              <w:szCs w:val="32"/>
              <w:lang w:val="en-US"/>
            </w:rPr>
          </w:pPr>
          <w:r w:rsidRPr="002A4102">
            <w:rPr>
              <w:rFonts w:ascii="Arial" w:hAnsi="Arial" w:cs="Arial"/>
              <w:b/>
              <w:bCs/>
              <w:sz w:val="32"/>
              <w:szCs w:val="32"/>
              <w:lang w:val="en-US"/>
            </w:rPr>
            <w:t>Student Name:</w:t>
          </w:r>
          <w:r w:rsidR="00672A1A">
            <w:rPr>
              <w:rFonts w:ascii="Arial" w:hAnsi="Arial" w:cs="Arial"/>
              <w:b/>
              <w:bCs/>
              <w:sz w:val="32"/>
              <w:szCs w:val="32"/>
              <w:lang w:val="en-US"/>
            </w:rPr>
            <w:t xml:space="preserve"> Geetha Marimuthu</w:t>
          </w:r>
        </w:p>
        <w:p w14:paraId="6212805A" w14:textId="523B6B33" w:rsidR="00C721D1" w:rsidRPr="002A4102" w:rsidRDefault="00C721D1" w:rsidP="00C721D1">
          <w:pPr>
            <w:spacing w:line="360" w:lineRule="auto"/>
            <w:jc w:val="center"/>
            <w:rPr>
              <w:rFonts w:ascii="Arial" w:hAnsi="Arial" w:cs="Arial"/>
              <w:b/>
              <w:bCs/>
              <w:sz w:val="32"/>
              <w:szCs w:val="32"/>
              <w:lang w:val="en-US"/>
            </w:rPr>
          </w:pPr>
          <w:r w:rsidRPr="002A4102">
            <w:rPr>
              <w:rFonts w:ascii="Arial" w:hAnsi="Arial" w:cs="Arial"/>
              <w:b/>
              <w:bCs/>
              <w:sz w:val="32"/>
              <w:szCs w:val="32"/>
              <w:lang w:val="en-US"/>
            </w:rPr>
            <w:t>Student ID:</w:t>
          </w:r>
          <w:r w:rsidR="00672A1A">
            <w:rPr>
              <w:rFonts w:ascii="Arial" w:hAnsi="Arial" w:cs="Arial"/>
              <w:b/>
              <w:bCs/>
              <w:sz w:val="32"/>
              <w:szCs w:val="32"/>
              <w:lang w:val="en-US"/>
            </w:rPr>
            <w:t xml:space="preserve"> 2528691</w:t>
          </w:r>
        </w:p>
        <w:p w14:paraId="2C782473" w14:textId="77777777" w:rsidR="00A21250" w:rsidRPr="00874541" w:rsidRDefault="00A21250">
          <w:pPr>
            <w:jc w:val="left"/>
            <w:rPr>
              <w:rFonts w:ascii="Arial" w:hAnsi="Arial" w:cs="Arial"/>
              <w:b/>
              <w:bCs/>
              <w:lang w:val="en-US"/>
            </w:rPr>
          </w:pPr>
          <w:r w:rsidRPr="00874541">
            <w:rPr>
              <w:rFonts w:ascii="Arial" w:hAnsi="Arial" w:cs="Arial"/>
              <w:b/>
              <w:bCs/>
              <w:lang w:val="en-US"/>
            </w:rPr>
            <w:br w:type="page"/>
          </w:r>
        </w:p>
        <w:p w14:paraId="6D5D4645" w14:textId="38373687" w:rsidR="00C371B0" w:rsidRPr="00874541" w:rsidRDefault="007509B1" w:rsidP="007509B1">
          <w:pPr>
            <w:ind w:left="-1418"/>
            <w:rPr>
              <w:rFonts w:ascii="Arial" w:hAnsi="Arial" w:cs="Arial"/>
              <w:b/>
              <w:bCs/>
              <w:lang w:val="en-US"/>
            </w:rPr>
          </w:pPr>
          <w:r w:rsidRPr="00874541">
            <w:rPr>
              <w:rFonts w:ascii="Arial" w:hAnsi="Arial" w:cs="Arial"/>
              <w:b/>
              <w:bCs/>
              <w:noProof/>
              <w:lang w:val="en-US"/>
            </w:rPr>
            <w:lastRenderedPageBreak/>
            <w:drawing>
              <wp:inline distT="0" distB="0" distL="0" distR="0" wp14:anchorId="0B49128B" wp14:editId="46F3F075">
                <wp:extent cx="7742555" cy="8935139"/>
                <wp:effectExtent l="0" t="0" r="0" b="0"/>
                <wp:docPr id="7744583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458326" name="Picture 774458326"/>
                        <pic:cNvPicPr/>
                      </pic:nvPicPr>
                      <pic:blipFill>
                        <a:blip r:embed="rId9">
                          <a:extLst>
                            <a:ext uri="{28A0092B-C50C-407E-A947-70E740481C1C}">
                              <a14:useLocalDpi xmlns:a14="http://schemas.microsoft.com/office/drawing/2010/main" val="0"/>
                            </a:ext>
                          </a:extLst>
                        </a:blip>
                        <a:stretch>
                          <a:fillRect/>
                        </a:stretch>
                      </pic:blipFill>
                      <pic:spPr>
                        <a:xfrm>
                          <a:off x="0" y="0"/>
                          <a:ext cx="7756831" cy="8951614"/>
                        </a:xfrm>
                        <a:prstGeom prst="rect">
                          <a:avLst/>
                        </a:prstGeom>
                      </pic:spPr>
                    </pic:pic>
                  </a:graphicData>
                </a:graphic>
              </wp:inline>
            </w:drawing>
          </w:r>
          <w:r w:rsidR="00C371B0" w:rsidRPr="00874541">
            <w:rPr>
              <w:rFonts w:ascii="Arial" w:hAnsi="Arial" w:cs="Arial"/>
              <w:b/>
              <w:bCs/>
              <w:lang w:val="en-US"/>
            </w:rPr>
            <w:br w:type="page"/>
          </w:r>
        </w:p>
      </w:sdtContent>
    </w:sdt>
    <w:p w14:paraId="1483E00E" w14:textId="2FE2A2E3" w:rsidR="00EA02F2" w:rsidRPr="00874541" w:rsidRDefault="00EA02F2" w:rsidP="00403577">
      <w:pPr>
        <w:spacing w:line="360" w:lineRule="auto"/>
        <w:rPr>
          <w:rFonts w:ascii="Arial" w:hAnsi="Arial" w:cs="Arial"/>
          <w:sz w:val="20"/>
          <w:szCs w:val="20"/>
          <w:lang w:val="en-US"/>
        </w:rPr>
      </w:pPr>
    </w:p>
    <w:sdt>
      <w:sdtPr>
        <w:rPr>
          <w:rFonts w:eastAsiaTheme="minorHAnsi" w:cstheme="minorBidi"/>
          <w:b w:val="0"/>
          <w:kern w:val="2"/>
          <w:sz w:val="24"/>
          <w:szCs w:val="24"/>
          <w:lang w:val="en-IN"/>
          <w14:ligatures w14:val="standardContextual"/>
        </w:rPr>
        <w:id w:val="-1486073941"/>
        <w:docPartObj>
          <w:docPartGallery w:val="Table of Contents"/>
          <w:docPartUnique/>
        </w:docPartObj>
      </w:sdtPr>
      <w:sdtEndPr>
        <w:rPr>
          <w:bCs/>
          <w:noProof/>
        </w:rPr>
      </w:sdtEndPr>
      <w:sdtContent>
        <w:p w14:paraId="13631E5A" w14:textId="4A9BBD37" w:rsidR="00874541" w:rsidRPr="00874541" w:rsidRDefault="00874541" w:rsidP="00874541">
          <w:pPr>
            <w:pStyle w:val="TOCHeading"/>
            <w:spacing w:line="360" w:lineRule="auto"/>
            <w:rPr>
              <w:rFonts w:ascii="Arial" w:hAnsi="Arial" w:cs="Arial"/>
              <w:sz w:val="24"/>
              <w:szCs w:val="24"/>
            </w:rPr>
          </w:pPr>
          <w:r w:rsidRPr="00874541">
            <w:rPr>
              <w:rFonts w:ascii="Arial" w:hAnsi="Arial" w:cs="Arial"/>
              <w:sz w:val="24"/>
              <w:szCs w:val="24"/>
            </w:rPr>
            <w:t>Table of Contents</w:t>
          </w:r>
        </w:p>
        <w:p w14:paraId="602C189F" w14:textId="507C2E1D" w:rsidR="00874541" w:rsidRPr="00874541" w:rsidRDefault="00874541" w:rsidP="00874541">
          <w:pPr>
            <w:pStyle w:val="TOC1"/>
            <w:tabs>
              <w:tab w:val="right" w:leader="dot" w:pos="9016"/>
            </w:tabs>
            <w:spacing w:line="360" w:lineRule="auto"/>
            <w:rPr>
              <w:rFonts w:ascii="Arial" w:eastAsiaTheme="minorEastAsia" w:hAnsi="Arial" w:cs="Arial"/>
              <w:noProof/>
              <w:lang w:eastAsia="en-IN"/>
            </w:rPr>
          </w:pPr>
          <w:r w:rsidRPr="00874541">
            <w:rPr>
              <w:rFonts w:ascii="Arial" w:hAnsi="Arial" w:cs="Arial"/>
            </w:rPr>
            <w:fldChar w:fldCharType="begin"/>
          </w:r>
          <w:r w:rsidRPr="00874541">
            <w:rPr>
              <w:rFonts w:ascii="Arial" w:hAnsi="Arial" w:cs="Arial"/>
            </w:rPr>
            <w:instrText xml:space="preserve"> TOC \o "1-3" \h \z \u </w:instrText>
          </w:r>
          <w:r w:rsidRPr="00874541">
            <w:rPr>
              <w:rFonts w:ascii="Arial" w:hAnsi="Arial" w:cs="Arial"/>
            </w:rPr>
            <w:fldChar w:fldCharType="separate"/>
          </w:r>
          <w:hyperlink w:anchor="_Toc233368041" w:history="1">
            <w:r w:rsidRPr="00874541">
              <w:rPr>
                <w:rStyle w:val="Hyperlink"/>
                <w:rFonts w:ascii="Arial" w:hAnsi="Arial" w:cs="Arial"/>
                <w:noProof/>
              </w:rPr>
              <w:t xml:space="preserve">1 Explanation, Evaluation </w:t>
            </w:r>
            <w:r w:rsidR="006872F8">
              <w:rPr>
                <w:rStyle w:val="Hyperlink"/>
                <w:rFonts w:ascii="Arial" w:hAnsi="Arial" w:cs="Arial"/>
                <w:noProof/>
              </w:rPr>
              <w:t>an</w:t>
            </w:r>
            <w:r w:rsidRPr="00874541">
              <w:rPr>
                <w:rStyle w:val="Hyperlink"/>
                <w:rFonts w:ascii="Arial" w:hAnsi="Arial" w:cs="Arial"/>
                <w:noProof/>
              </w:rPr>
              <w:t>d Epidemiology of COPD</w:t>
            </w:r>
            <w:r w:rsidRPr="00874541">
              <w:rPr>
                <w:rFonts w:ascii="Arial" w:hAnsi="Arial" w:cs="Arial"/>
                <w:noProof/>
                <w:webHidden/>
              </w:rPr>
              <w:tab/>
            </w:r>
            <w:r w:rsidRPr="00874541">
              <w:rPr>
                <w:rFonts w:ascii="Arial" w:hAnsi="Arial" w:cs="Arial"/>
                <w:noProof/>
                <w:webHidden/>
              </w:rPr>
              <w:fldChar w:fldCharType="begin"/>
            </w:r>
            <w:r w:rsidRPr="00874541">
              <w:rPr>
                <w:rFonts w:ascii="Arial" w:hAnsi="Arial" w:cs="Arial"/>
                <w:noProof/>
                <w:webHidden/>
              </w:rPr>
              <w:instrText xml:space="preserve"> PAGEREF _Toc233368041 \h </w:instrText>
            </w:r>
            <w:r w:rsidRPr="00874541">
              <w:rPr>
                <w:rFonts w:ascii="Arial" w:hAnsi="Arial" w:cs="Arial"/>
                <w:noProof/>
                <w:webHidden/>
              </w:rPr>
            </w:r>
            <w:r w:rsidRPr="00874541">
              <w:rPr>
                <w:rFonts w:ascii="Arial" w:hAnsi="Arial" w:cs="Arial"/>
                <w:noProof/>
                <w:webHidden/>
              </w:rPr>
              <w:fldChar w:fldCharType="separate"/>
            </w:r>
            <w:r>
              <w:rPr>
                <w:rFonts w:ascii="Arial" w:hAnsi="Arial" w:cs="Arial"/>
                <w:noProof/>
                <w:webHidden/>
              </w:rPr>
              <w:t>4</w:t>
            </w:r>
            <w:r w:rsidRPr="00874541">
              <w:rPr>
                <w:rFonts w:ascii="Arial" w:hAnsi="Arial" w:cs="Arial"/>
                <w:noProof/>
                <w:webHidden/>
              </w:rPr>
              <w:fldChar w:fldCharType="end"/>
            </w:r>
          </w:hyperlink>
        </w:p>
        <w:p w14:paraId="16B96408" w14:textId="479E0031" w:rsidR="00874541" w:rsidRPr="00874541" w:rsidRDefault="00A94E71" w:rsidP="00874541">
          <w:pPr>
            <w:pStyle w:val="TOC2"/>
            <w:tabs>
              <w:tab w:val="right" w:leader="dot" w:pos="9016"/>
            </w:tabs>
            <w:spacing w:line="360" w:lineRule="auto"/>
            <w:rPr>
              <w:rFonts w:ascii="Arial" w:eastAsiaTheme="minorEastAsia" w:hAnsi="Arial" w:cs="Arial"/>
              <w:noProof/>
              <w:lang w:eastAsia="en-IN"/>
            </w:rPr>
          </w:pPr>
          <w:hyperlink w:anchor="_Toc233368042" w:history="1">
            <w:r w:rsidR="00874541" w:rsidRPr="00874541">
              <w:rPr>
                <w:rStyle w:val="Hyperlink"/>
                <w:rFonts w:ascii="Arial" w:hAnsi="Arial" w:cs="Arial"/>
                <w:noProof/>
              </w:rPr>
              <w:t>Comprehensive definition and clinical manifestations</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_Toc233368042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4</w:t>
            </w:r>
            <w:r w:rsidR="00874541" w:rsidRPr="00874541">
              <w:rPr>
                <w:rFonts w:ascii="Arial" w:hAnsi="Arial" w:cs="Arial"/>
                <w:noProof/>
                <w:webHidden/>
              </w:rPr>
              <w:fldChar w:fldCharType="end"/>
            </w:r>
          </w:hyperlink>
        </w:p>
        <w:p w14:paraId="613F3955" w14:textId="534D810C" w:rsidR="00874541" w:rsidRPr="00874541" w:rsidRDefault="00A94E71" w:rsidP="00874541">
          <w:pPr>
            <w:pStyle w:val="TOC2"/>
            <w:tabs>
              <w:tab w:val="right" w:leader="dot" w:pos="9016"/>
            </w:tabs>
            <w:spacing w:line="360" w:lineRule="auto"/>
            <w:rPr>
              <w:rFonts w:ascii="Arial" w:eastAsiaTheme="minorEastAsia" w:hAnsi="Arial" w:cs="Arial"/>
              <w:noProof/>
              <w:lang w:eastAsia="en-IN"/>
            </w:rPr>
          </w:pPr>
          <w:hyperlink w:anchor="_Toc233368043" w:history="1">
            <w:r w:rsidR="00874541" w:rsidRPr="00874541">
              <w:rPr>
                <w:rStyle w:val="Hyperlink"/>
                <w:rFonts w:ascii="Arial" w:hAnsi="Arial" w:cs="Arial"/>
                <w:noProof/>
              </w:rPr>
              <w:t>Global Burden and Prevalence Profile</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_Toc233368043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6</w:t>
            </w:r>
            <w:r w:rsidR="00874541" w:rsidRPr="00874541">
              <w:rPr>
                <w:rFonts w:ascii="Arial" w:hAnsi="Arial" w:cs="Arial"/>
                <w:noProof/>
                <w:webHidden/>
              </w:rPr>
              <w:fldChar w:fldCharType="end"/>
            </w:r>
          </w:hyperlink>
        </w:p>
        <w:p w14:paraId="51875515" w14:textId="7F29FEC5" w:rsidR="00874541" w:rsidRPr="00874541" w:rsidRDefault="00A94E71" w:rsidP="00874541">
          <w:pPr>
            <w:pStyle w:val="TOC2"/>
            <w:tabs>
              <w:tab w:val="right" w:leader="dot" w:pos="9016"/>
            </w:tabs>
            <w:spacing w:line="360" w:lineRule="auto"/>
            <w:rPr>
              <w:rFonts w:ascii="Arial" w:eastAsiaTheme="minorEastAsia" w:hAnsi="Arial" w:cs="Arial"/>
              <w:noProof/>
              <w:lang w:eastAsia="en-IN"/>
            </w:rPr>
          </w:pPr>
          <w:hyperlink w:anchor="_Toc233368044" w:history="1">
            <w:r w:rsidR="00874541" w:rsidRPr="00874541">
              <w:rPr>
                <w:rStyle w:val="Hyperlink"/>
                <w:rFonts w:ascii="Arial" w:hAnsi="Arial" w:cs="Arial"/>
                <w:noProof/>
              </w:rPr>
              <w:t>Risk Factors and Aetiology</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_Toc233368044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7</w:t>
            </w:r>
            <w:r w:rsidR="00874541" w:rsidRPr="00874541">
              <w:rPr>
                <w:rFonts w:ascii="Arial" w:hAnsi="Arial" w:cs="Arial"/>
                <w:noProof/>
                <w:webHidden/>
              </w:rPr>
              <w:fldChar w:fldCharType="end"/>
            </w:r>
          </w:hyperlink>
        </w:p>
        <w:p w14:paraId="4FD7F359" w14:textId="20891C64" w:rsidR="00874541" w:rsidRPr="00874541" w:rsidRDefault="00A94E71" w:rsidP="00874541">
          <w:pPr>
            <w:pStyle w:val="TOC1"/>
            <w:tabs>
              <w:tab w:val="right" w:leader="dot" w:pos="9016"/>
            </w:tabs>
            <w:spacing w:line="360" w:lineRule="auto"/>
            <w:rPr>
              <w:rFonts w:ascii="Arial" w:eastAsiaTheme="minorEastAsia" w:hAnsi="Arial" w:cs="Arial"/>
              <w:noProof/>
              <w:lang w:eastAsia="en-IN"/>
            </w:rPr>
          </w:pPr>
          <w:hyperlink w:anchor="_Toc233368045" w:history="1">
            <w:r w:rsidR="00874541" w:rsidRPr="00874541">
              <w:rPr>
                <w:rStyle w:val="Hyperlink"/>
                <w:rFonts w:ascii="Arial" w:hAnsi="Arial" w:cs="Arial"/>
                <w:noProof/>
              </w:rPr>
              <w:t>2 Multi-Dimensional Impact of COPD and NHS Treatment Pathways</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_Toc233368045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9</w:t>
            </w:r>
            <w:r w:rsidR="00874541" w:rsidRPr="00874541">
              <w:rPr>
                <w:rFonts w:ascii="Arial" w:hAnsi="Arial" w:cs="Arial"/>
                <w:noProof/>
                <w:webHidden/>
              </w:rPr>
              <w:fldChar w:fldCharType="end"/>
            </w:r>
          </w:hyperlink>
        </w:p>
        <w:p w14:paraId="2A9F8CAD" w14:textId="3D6CB2A2" w:rsidR="00874541" w:rsidRPr="00874541" w:rsidRDefault="00A94E71" w:rsidP="00874541">
          <w:pPr>
            <w:pStyle w:val="TOC2"/>
            <w:tabs>
              <w:tab w:val="right" w:leader="dot" w:pos="9016"/>
            </w:tabs>
            <w:spacing w:line="360" w:lineRule="auto"/>
            <w:rPr>
              <w:rFonts w:ascii="Arial" w:eastAsiaTheme="minorEastAsia" w:hAnsi="Arial" w:cs="Arial"/>
              <w:noProof/>
              <w:lang w:eastAsia="en-IN"/>
            </w:rPr>
          </w:pPr>
          <w:hyperlink w:anchor="_Toc233368046" w:history="1">
            <w:r w:rsidR="00874541" w:rsidRPr="00874541">
              <w:rPr>
                <w:rStyle w:val="Hyperlink"/>
                <w:rFonts w:ascii="Arial" w:hAnsi="Arial" w:cs="Arial"/>
                <w:noProof/>
              </w:rPr>
              <w:t>Physical, Psychological and Social Implications</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_Toc233368046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9</w:t>
            </w:r>
            <w:r w:rsidR="00874541" w:rsidRPr="00874541">
              <w:rPr>
                <w:rFonts w:ascii="Arial" w:hAnsi="Arial" w:cs="Arial"/>
                <w:noProof/>
                <w:webHidden/>
              </w:rPr>
              <w:fldChar w:fldCharType="end"/>
            </w:r>
          </w:hyperlink>
        </w:p>
        <w:p w14:paraId="45E49F8A" w14:textId="407F2CFC" w:rsidR="00874541" w:rsidRPr="00874541" w:rsidRDefault="00A94E71" w:rsidP="00874541">
          <w:pPr>
            <w:pStyle w:val="TOC2"/>
            <w:tabs>
              <w:tab w:val="right" w:leader="dot" w:pos="9016"/>
            </w:tabs>
            <w:spacing w:line="360" w:lineRule="auto"/>
            <w:rPr>
              <w:rFonts w:ascii="Arial" w:eastAsiaTheme="minorEastAsia" w:hAnsi="Arial" w:cs="Arial"/>
              <w:noProof/>
              <w:lang w:eastAsia="en-IN"/>
            </w:rPr>
          </w:pPr>
          <w:hyperlink w:anchor="_Toc233368047" w:history="1">
            <w:r w:rsidR="00874541" w:rsidRPr="00874541">
              <w:rPr>
                <w:rStyle w:val="Hyperlink"/>
                <w:rFonts w:ascii="Arial" w:hAnsi="Arial" w:cs="Arial"/>
                <w:noProof/>
              </w:rPr>
              <w:t>Wider Implications for Families and Caregivers</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_Toc233368047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12</w:t>
            </w:r>
            <w:r w:rsidR="00874541" w:rsidRPr="00874541">
              <w:rPr>
                <w:rFonts w:ascii="Arial" w:hAnsi="Arial" w:cs="Arial"/>
                <w:noProof/>
                <w:webHidden/>
              </w:rPr>
              <w:fldChar w:fldCharType="end"/>
            </w:r>
          </w:hyperlink>
        </w:p>
        <w:p w14:paraId="6EC9510A" w14:textId="59DD6B40" w:rsidR="00874541" w:rsidRPr="00874541" w:rsidRDefault="00A94E71" w:rsidP="00874541">
          <w:pPr>
            <w:pStyle w:val="TOC2"/>
            <w:tabs>
              <w:tab w:val="right" w:leader="dot" w:pos="9016"/>
            </w:tabs>
            <w:spacing w:line="360" w:lineRule="auto"/>
            <w:rPr>
              <w:rFonts w:ascii="Arial" w:eastAsiaTheme="minorEastAsia" w:hAnsi="Arial" w:cs="Arial"/>
              <w:noProof/>
              <w:lang w:eastAsia="en-IN"/>
            </w:rPr>
          </w:pPr>
          <w:hyperlink w:anchor="_Toc233368048" w:history="1">
            <w:r w:rsidR="00874541" w:rsidRPr="00874541">
              <w:rPr>
                <w:rStyle w:val="Hyperlink"/>
                <w:rFonts w:ascii="Arial" w:hAnsi="Arial" w:cs="Arial"/>
                <w:noProof/>
              </w:rPr>
              <w:t>Evidence-Based NHS Treatment Pathways</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_Toc233368048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12</w:t>
            </w:r>
            <w:r w:rsidR="00874541" w:rsidRPr="00874541">
              <w:rPr>
                <w:rFonts w:ascii="Arial" w:hAnsi="Arial" w:cs="Arial"/>
                <w:noProof/>
                <w:webHidden/>
              </w:rPr>
              <w:fldChar w:fldCharType="end"/>
            </w:r>
          </w:hyperlink>
        </w:p>
        <w:p w14:paraId="3C36D9A7" w14:textId="23902BA0" w:rsidR="00874541" w:rsidRPr="00874541" w:rsidRDefault="00A94E71" w:rsidP="00874541">
          <w:pPr>
            <w:pStyle w:val="TOC1"/>
            <w:tabs>
              <w:tab w:val="right" w:leader="dot" w:pos="9016"/>
            </w:tabs>
            <w:spacing w:line="360" w:lineRule="auto"/>
            <w:rPr>
              <w:rFonts w:ascii="Arial" w:eastAsiaTheme="minorEastAsia" w:hAnsi="Arial" w:cs="Arial"/>
              <w:noProof/>
              <w:lang w:eastAsia="en-IN"/>
            </w:rPr>
          </w:pPr>
          <w:hyperlink w:anchor="_Toc233368049" w:history="1">
            <w:r w:rsidR="00874541" w:rsidRPr="00874541">
              <w:rPr>
                <w:rStyle w:val="Hyperlink"/>
                <w:rFonts w:ascii="Arial" w:hAnsi="Arial" w:cs="Arial"/>
                <w:noProof/>
              </w:rPr>
              <w:t>3 Theoretical Frameworks and Models for Improved Outcomes</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_Toc233368049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14</w:t>
            </w:r>
            <w:r w:rsidR="00874541" w:rsidRPr="00874541">
              <w:rPr>
                <w:rFonts w:ascii="Arial" w:hAnsi="Arial" w:cs="Arial"/>
                <w:noProof/>
                <w:webHidden/>
              </w:rPr>
              <w:fldChar w:fldCharType="end"/>
            </w:r>
          </w:hyperlink>
        </w:p>
        <w:p w14:paraId="1F48C099" w14:textId="5A1E213A" w:rsidR="00874541" w:rsidRPr="00874541" w:rsidRDefault="00A94E71" w:rsidP="00874541">
          <w:pPr>
            <w:pStyle w:val="TOC2"/>
            <w:tabs>
              <w:tab w:val="right" w:leader="dot" w:pos="9016"/>
            </w:tabs>
            <w:spacing w:line="360" w:lineRule="auto"/>
            <w:rPr>
              <w:rFonts w:ascii="Arial" w:eastAsiaTheme="minorEastAsia" w:hAnsi="Arial" w:cs="Arial"/>
              <w:noProof/>
              <w:lang w:eastAsia="en-IN"/>
            </w:rPr>
          </w:pPr>
          <w:hyperlink w:anchor="_Toc233368050" w:history="1">
            <w:r w:rsidR="00874541" w:rsidRPr="00874541">
              <w:rPr>
                <w:rStyle w:val="Hyperlink"/>
                <w:rFonts w:ascii="Arial" w:hAnsi="Arial" w:cs="Arial"/>
                <w:noProof/>
              </w:rPr>
              <w:t>UK Model: The House of Care Framework</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_Toc233368050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14</w:t>
            </w:r>
            <w:r w:rsidR="00874541" w:rsidRPr="00874541">
              <w:rPr>
                <w:rFonts w:ascii="Arial" w:hAnsi="Arial" w:cs="Arial"/>
                <w:noProof/>
                <w:webHidden/>
              </w:rPr>
              <w:fldChar w:fldCharType="end"/>
            </w:r>
          </w:hyperlink>
        </w:p>
        <w:p w14:paraId="45117AC2" w14:textId="475ADB16" w:rsidR="00874541" w:rsidRPr="00874541" w:rsidRDefault="00A94E71" w:rsidP="00874541">
          <w:pPr>
            <w:pStyle w:val="TOC2"/>
            <w:tabs>
              <w:tab w:val="right" w:leader="dot" w:pos="9016"/>
            </w:tabs>
            <w:spacing w:line="360" w:lineRule="auto"/>
            <w:rPr>
              <w:rFonts w:ascii="Arial" w:eastAsiaTheme="minorEastAsia" w:hAnsi="Arial" w:cs="Arial"/>
              <w:noProof/>
              <w:lang w:eastAsia="en-IN"/>
            </w:rPr>
          </w:pPr>
          <w:hyperlink w:anchor="_Toc233368051" w:history="1">
            <w:r w:rsidR="00874541" w:rsidRPr="00874541">
              <w:rPr>
                <w:rStyle w:val="Hyperlink"/>
                <w:rFonts w:ascii="Arial" w:hAnsi="Arial" w:cs="Arial"/>
                <w:noProof/>
              </w:rPr>
              <w:t>International Model: The Chronic Care Model (CCM):</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_Toc233368051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15</w:t>
            </w:r>
            <w:r w:rsidR="00874541" w:rsidRPr="00874541">
              <w:rPr>
                <w:rFonts w:ascii="Arial" w:hAnsi="Arial" w:cs="Arial"/>
                <w:noProof/>
                <w:webHidden/>
              </w:rPr>
              <w:fldChar w:fldCharType="end"/>
            </w:r>
          </w:hyperlink>
        </w:p>
        <w:p w14:paraId="4A9F41C3" w14:textId="55FD107F" w:rsidR="00874541" w:rsidRPr="00874541" w:rsidRDefault="00A94E71" w:rsidP="00874541">
          <w:pPr>
            <w:pStyle w:val="TOC2"/>
            <w:tabs>
              <w:tab w:val="right" w:leader="dot" w:pos="9016"/>
            </w:tabs>
            <w:spacing w:line="360" w:lineRule="auto"/>
            <w:rPr>
              <w:rFonts w:ascii="Arial" w:eastAsiaTheme="minorEastAsia" w:hAnsi="Arial" w:cs="Arial"/>
              <w:noProof/>
              <w:lang w:eastAsia="en-IN"/>
            </w:rPr>
          </w:pPr>
          <w:hyperlink w:anchor="_Toc233368052" w:history="1">
            <w:r w:rsidR="00874541" w:rsidRPr="00874541">
              <w:rPr>
                <w:rStyle w:val="Hyperlink"/>
                <w:rFonts w:ascii="Arial" w:hAnsi="Arial" w:cs="Arial"/>
                <w:noProof/>
              </w:rPr>
              <w:t>Comparative Analysis of the Models</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_Toc233368052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16</w:t>
            </w:r>
            <w:r w:rsidR="00874541" w:rsidRPr="00874541">
              <w:rPr>
                <w:rFonts w:ascii="Arial" w:hAnsi="Arial" w:cs="Arial"/>
                <w:noProof/>
                <w:webHidden/>
              </w:rPr>
              <w:fldChar w:fldCharType="end"/>
            </w:r>
          </w:hyperlink>
        </w:p>
        <w:p w14:paraId="5AAAB526" w14:textId="7B0D45B6" w:rsidR="00874541" w:rsidRPr="00874541" w:rsidRDefault="00A94E71" w:rsidP="00874541">
          <w:pPr>
            <w:pStyle w:val="TOC1"/>
            <w:tabs>
              <w:tab w:val="right" w:leader="dot" w:pos="9016"/>
            </w:tabs>
            <w:spacing w:line="360" w:lineRule="auto"/>
            <w:rPr>
              <w:rFonts w:ascii="Arial" w:eastAsiaTheme="minorEastAsia" w:hAnsi="Arial" w:cs="Arial"/>
              <w:noProof/>
              <w:lang w:eastAsia="en-IN"/>
            </w:rPr>
          </w:pPr>
          <w:hyperlink w:anchor="_Toc233368053" w:history="1">
            <w:r w:rsidR="00874541" w:rsidRPr="00874541">
              <w:rPr>
                <w:rStyle w:val="Hyperlink"/>
                <w:rFonts w:ascii="Arial" w:hAnsi="Arial" w:cs="Arial"/>
                <w:noProof/>
              </w:rPr>
              <w:t>4 Political Analysis: UK Health and Social Care Agendas</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_Toc233368053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17</w:t>
            </w:r>
            <w:r w:rsidR="00874541" w:rsidRPr="00874541">
              <w:rPr>
                <w:rFonts w:ascii="Arial" w:hAnsi="Arial" w:cs="Arial"/>
                <w:noProof/>
                <w:webHidden/>
              </w:rPr>
              <w:fldChar w:fldCharType="end"/>
            </w:r>
          </w:hyperlink>
        </w:p>
        <w:p w14:paraId="61F44E71" w14:textId="56CE3E4B" w:rsidR="00874541" w:rsidRPr="00874541" w:rsidRDefault="00A94E71" w:rsidP="00874541">
          <w:pPr>
            <w:pStyle w:val="TOC2"/>
            <w:tabs>
              <w:tab w:val="right" w:leader="dot" w:pos="9016"/>
            </w:tabs>
            <w:spacing w:line="360" w:lineRule="auto"/>
            <w:rPr>
              <w:rFonts w:ascii="Arial" w:eastAsiaTheme="minorEastAsia" w:hAnsi="Arial" w:cs="Arial"/>
              <w:noProof/>
              <w:lang w:eastAsia="en-IN"/>
            </w:rPr>
          </w:pPr>
          <w:hyperlink w:anchor="_Toc233368054" w:history="1">
            <w:r w:rsidR="00874541" w:rsidRPr="00874541">
              <w:rPr>
                <w:rStyle w:val="Hyperlink"/>
                <w:rFonts w:ascii="Arial" w:hAnsi="Arial" w:cs="Arial"/>
                <w:noProof/>
              </w:rPr>
              <w:t>The NHS Long Term Plan (2019-2029)</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_Toc233368054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17</w:t>
            </w:r>
            <w:r w:rsidR="00874541" w:rsidRPr="00874541">
              <w:rPr>
                <w:rFonts w:ascii="Arial" w:hAnsi="Arial" w:cs="Arial"/>
                <w:noProof/>
                <w:webHidden/>
              </w:rPr>
              <w:fldChar w:fldCharType="end"/>
            </w:r>
          </w:hyperlink>
        </w:p>
        <w:p w14:paraId="74722482" w14:textId="37789DED" w:rsidR="00874541" w:rsidRPr="00874541" w:rsidRDefault="00A94E71" w:rsidP="00874541">
          <w:pPr>
            <w:pStyle w:val="TOC2"/>
            <w:tabs>
              <w:tab w:val="right" w:leader="dot" w:pos="9016"/>
            </w:tabs>
            <w:spacing w:line="360" w:lineRule="auto"/>
            <w:rPr>
              <w:rFonts w:ascii="Arial" w:eastAsiaTheme="minorEastAsia" w:hAnsi="Arial" w:cs="Arial"/>
              <w:noProof/>
              <w:lang w:eastAsia="en-IN"/>
            </w:rPr>
          </w:pPr>
          <w:hyperlink w:anchor="_Toc233368055" w:history="1">
            <w:r w:rsidR="00874541" w:rsidRPr="00874541">
              <w:rPr>
                <w:rStyle w:val="Hyperlink"/>
                <w:rFonts w:ascii="Arial" w:hAnsi="Arial" w:cs="Arial"/>
                <w:noProof/>
              </w:rPr>
              <w:t>Gold Standard Clinical Guidance: National Institute for Health and Care Excellence Guidelines</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_Toc233368055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17</w:t>
            </w:r>
            <w:r w:rsidR="00874541" w:rsidRPr="00874541">
              <w:rPr>
                <w:rFonts w:ascii="Arial" w:hAnsi="Arial" w:cs="Arial"/>
                <w:noProof/>
                <w:webHidden/>
              </w:rPr>
              <w:fldChar w:fldCharType="end"/>
            </w:r>
          </w:hyperlink>
        </w:p>
        <w:p w14:paraId="59EF78CD" w14:textId="670A2CE6" w:rsidR="00874541" w:rsidRPr="00874541" w:rsidRDefault="00A94E71" w:rsidP="00874541">
          <w:pPr>
            <w:pStyle w:val="TOC2"/>
            <w:tabs>
              <w:tab w:val="right" w:leader="dot" w:pos="9016"/>
            </w:tabs>
            <w:spacing w:line="360" w:lineRule="auto"/>
            <w:rPr>
              <w:rFonts w:ascii="Arial" w:eastAsiaTheme="minorEastAsia" w:hAnsi="Arial" w:cs="Arial"/>
              <w:noProof/>
              <w:lang w:eastAsia="en-IN"/>
            </w:rPr>
          </w:pPr>
          <w:hyperlink w:anchor="_Toc233368056" w:history="1">
            <w:r w:rsidR="00874541" w:rsidRPr="00874541">
              <w:rPr>
                <w:rStyle w:val="Hyperlink"/>
                <w:rFonts w:ascii="Arial" w:hAnsi="Arial" w:cs="Arial"/>
                <w:noProof/>
              </w:rPr>
              <w:t>Major Political Initiatives: Core20PLUS5 Framework</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_Toc233368056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18</w:t>
            </w:r>
            <w:r w:rsidR="00874541" w:rsidRPr="00874541">
              <w:rPr>
                <w:rFonts w:ascii="Arial" w:hAnsi="Arial" w:cs="Arial"/>
                <w:noProof/>
                <w:webHidden/>
              </w:rPr>
              <w:fldChar w:fldCharType="end"/>
            </w:r>
          </w:hyperlink>
        </w:p>
        <w:p w14:paraId="52FA27C3" w14:textId="42E9DDE7" w:rsidR="00874541" w:rsidRPr="00874541" w:rsidRDefault="00A94E71" w:rsidP="00874541">
          <w:pPr>
            <w:pStyle w:val="TOC1"/>
            <w:tabs>
              <w:tab w:val="right" w:leader="dot" w:pos="9016"/>
            </w:tabs>
            <w:spacing w:line="360" w:lineRule="auto"/>
            <w:rPr>
              <w:rFonts w:ascii="Arial" w:eastAsiaTheme="minorEastAsia" w:hAnsi="Arial" w:cs="Arial"/>
              <w:noProof/>
              <w:lang w:eastAsia="en-IN"/>
            </w:rPr>
          </w:pPr>
          <w:hyperlink w:anchor="_Toc233368057" w:history="1">
            <w:r w:rsidR="00874541" w:rsidRPr="00874541">
              <w:rPr>
                <w:rStyle w:val="Hyperlink"/>
                <w:rFonts w:ascii="Arial" w:hAnsi="Arial" w:cs="Arial"/>
                <w:noProof/>
              </w:rPr>
              <w:t>5 Person-Centred Recommendations for Practice</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_Toc233368057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18</w:t>
            </w:r>
            <w:r w:rsidR="00874541" w:rsidRPr="00874541">
              <w:rPr>
                <w:rFonts w:ascii="Arial" w:hAnsi="Arial" w:cs="Arial"/>
                <w:noProof/>
                <w:webHidden/>
              </w:rPr>
              <w:fldChar w:fldCharType="end"/>
            </w:r>
          </w:hyperlink>
        </w:p>
        <w:p w14:paraId="61D45521" w14:textId="1958A0FE" w:rsidR="00874541" w:rsidRPr="00874541" w:rsidRDefault="00A94E71" w:rsidP="00874541">
          <w:pPr>
            <w:pStyle w:val="TOC1"/>
            <w:tabs>
              <w:tab w:val="right" w:leader="dot" w:pos="9016"/>
            </w:tabs>
            <w:spacing w:line="360" w:lineRule="auto"/>
            <w:rPr>
              <w:rFonts w:ascii="Arial" w:eastAsiaTheme="minorEastAsia" w:hAnsi="Arial" w:cs="Arial"/>
              <w:noProof/>
              <w:lang w:eastAsia="en-IN"/>
            </w:rPr>
          </w:pPr>
          <w:hyperlink w:anchor="_Toc233368058" w:history="1">
            <w:r w:rsidR="00874541" w:rsidRPr="00874541">
              <w:rPr>
                <w:rStyle w:val="Hyperlink"/>
                <w:rFonts w:ascii="Arial" w:hAnsi="Arial" w:cs="Arial"/>
                <w:noProof/>
              </w:rPr>
              <w:t>References</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_Toc233368058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19</w:t>
            </w:r>
            <w:r w:rsidR="00874541" w:rsidRPr="00874541">
              <w:rPr>
                <w:rFonts w:ascii="Arial" w:hAnsi="Arial" w:cs="Arial"/>
                <w:noProof/>
                <w:webHidden/>
              </w:rPr>
              <w:fldChar w:fldCharType="end"/>
            </w:r>
          </w:hyperlink>
        </w:p>
        <w:p w14:paraId="165EAEDD" w14:textId="77777777" w:rsidR="00874541" w:rsidRPr="00874541" w:rsidRDefault="00874541" w:rsidP="00874541">
          <w:pPr>
            <w:spacing w:line="360" w:lineRule="auto"/>
            <w:rPr>
              <w:rFonts w:ascii="Arial" w:hAnsi="Arial" w:cs="Arial"/>
              <w:b/>
              <w:bCs/>
              <w:noProof/>
            </w:rPr>
          </w:pPr>
          <w:r w:rsidRPr="00874541">
            <w:rPr>
              <w:rFonts w:ascii="Arial" w:hAnsi="Arial" w:cs="Arial"/>
              <w:b/>
              <w:bCs/>
              <w:noProof/>
            </w:rPr>
            <w:fldChar w:fldCharType="end"/>
          </w:r>
          <w:r w:rsidRPr="00874541">
            <w:rPr>
              <w:rFonts w:ascii="Arial" w:hAnsi="Arial" w:cs="Arial"/>
              <w:b/>
              <w:bCs/>
              <w:noProof/>
            </w:rPr>
            <w:t xml:space="preserve">Table of Figures </w:t>
          </w:r>
        </w:p>
        <w:p w14:paraId="1C03BF0B" w14:textId="59FB9382" w:rsidR="00874541" w:rsidRPr="00874541" w:rsidRDefault="00874541" w:rsidP="00874541">
          <w:pPr>
            <w:pStyle w:val="TableofFigures"/>
            <w:tabs>
              <w:tab w:val="right" w:leader="dot" w:pos="9016"/>
            </w:tabs>
            <w:spacing w:line="360" w:lineRule="auto"/>
            <w:rPr>
              <w:rFonts w:ascii="Arial" w:hAnsi="Arial" w:cs="Arial"/>
              <w:noProof/>
            </w:rPr>
          </w:pPr>
          <w:r w:rsidRPr="00874541">
            <w:rPr>
              <w:rFonts w:ascii="Arial" w:hAnsi="Arial" w:cs="Arial"/>
            </w:rPr>
            <w:fldChar w:fldCharType="begin"/>
          </w:r>
          <w:r w:rsidRPr="00874541">
            <w:rPr>
              <w:rFonts w:ascii="Arial" w:hAnsi="Arial" w:cs="Arial"/>
            </w:rPr>
            <w:instrText xml:space="preserve"> TOC \h \z \c "Figure" </w:instrText>
          </w:r>
          <w:r w:rsidRPr="00874541">
            <w:rPr>
              <w:rFonts w:ascii="Arial" w:hAnsi="Arial" w:cs="Arial"/>
            </w:rPr>
            <w:fldChar w:fldCharType="separate"/>
          </w:r>
          <w:hyperlink w:anchor="_Toc233368068" w:history="1">
            <w:r w:rsidRPr="00874541">
              <w:rPr>
                <w:rStyle w:val="Hyperlink"/>
                <w:rFonts w:ascii="Arial" w:hAnsi="Arial" w:cs="Arial"/>
                <w:noProof/>
              </w:rPr>
              <w:t>Figure 1: COPD</w:t>
            </w:r>
            <w:r w:rsidRPr="00874541">
              <w:rPr>
                <w:rFonts w:ascii="Arial" w:hAnsi="Arial" w:cs="Arial"/>
                <w:noProof/>
                <w:webHidden/>
              </w:rPr>
              <w:tab/>
            </w:r>
            <w:r w:rsidRPr="00874541">
              <w:rPr>
                <w:rFonts w:ascii="Arial" w:hAnsi="Arial" w:cs="Arial"/>
                <w:noProof/>
                <w:webHidden/>
              </w:rPr>
              <w:fldChar w:fldCharType="begin"/>
            </w:r>
            <w:r w:rsidRPr="00874541">
              <w:rPr>
                <w:rFonts w:ascii="Arial" w:hAnsi="Arial" w:cs="Arial"/>
                <w:noProof/>
                <w:webHidden/>
              </w:rPr>
              <w:instrText xml:space="preserve"> PAGEREF _Toc233368068 \h </w:instrText>
            </w:r>
            <w:r w:rsidRPr="00874541">
              <w:rPr>
                <w:rFonts w:ascii="Arial" w:hAnsi="Arial" w:cs="Arial"/>
                <w:noProof/>
                <w:webHidden/>
              </w:rPr>
            </w:r>
            <w:r w:rsidRPr="00874541">
              <w:rPr>
                <w:rFonts w:ascii="Arial" w:hAnsi="Arial" w:cs="Arial"/>
                <w:noProof/>
                <w:webHidden/>
              </w:rPr>
              <w:fldChar w:fldCharType="separate"/>
            </w:r>
            <w:r w:rsidRPr="00874541">
              <w:rPr>
                <w:rFonts w:ascii="Arial" w:hAnsi="Arial" w:cs="Arial"/>
                <w:noProof/>
                <w:webHidden/>
              </w:rPr>
              <w:t>3</w:t>
            </w:r>
            <w:r w:rsidRPr="00874541">
              <w:rPr>
                <w:rFonts w:ascii="Arial" w:hAnsi="Arial" w:cs="Arial"/>
                <w:noProof/>
                <w:webHidden/>
              </w:rPr>
              <w:fldChar w:fldCharType="end"/>
            </w:r>
          </w:hyperlink>
        </w:p>
        <w:p w14:paraId="56C4DC77" w14:textId="529BFCC9" w:rsidR="00874541" w:rsidRPr="00874541" w:rsidRDefault="00A94E71" w:rsidP="00874541">
          <w:pPr>
            <w:pStyle w:val="TableofFigures"/>
            <w:tabs>
              <w:tab w:val="right" w:leader="dot" w:pos="9016"/>
            </w:tabs>
            <w:spacing w:line="360" w:lineRule="auto"/>
            <w:rPr>
              <w:rFonts w:ascii="Arial" w:hAnsi="Arial" w:cs="Arial"/>
              <w:noProof/>
            </w:rPr>
          </w:pPr>
          <w:hyperlink w:anchor="_Toc233368069" w:history="1">
            <w:r w:rsidR="00874541" w:rsidRPr="00874541">
              <w:rPr>
                <w:rStyle w:val="Hyperlink"/>
                <w:rFonts w:ascii="Arial" w:hAnsi="Arial" w:cs="Arial"/>
                <w:noProof/>
              </w:rPr>
              <w:t>Figure 2: COPD phenotypes</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_Toc233368069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sidRPr="00874541">
              <w:rPr>
                <w:rFonts w:ascii="Arial" w:hAnsi="Arial" w:cs="Arial"/>
                <w:noProof/>
                <w:webHidden/>
              </w:rPr>
              <w:t>4</w:t>
            </w:r>
            <w:r w:rsidR="00874541" w:rsidRPr="00874541">
              <w:rPr>
                <w:rFonts w:ascii="Arial" w:hAnsi="Arial" w:cs="Arial"/>
                <w:noProof/>
                <w:webHidden/>
              </w:rPr>
              <w:fldChar w:fldCharType="end"/>
            </w:r>
          </w:hyperlink>
        </w:p>
        <w:p w14:paraId="594AA868" w14:textId="64EAD469" w:rsidR="00874541" w:rsidRPr="00874541" w:rsidRDefault="00A94E71" w:rsidP="00874541">
          <w:pPr>
            <w:pStyle w:val="TableofFigures"/>
            <w:tabs>
              <w:tab w:val="right" w:leader="dot" w:pos="9016"/>
            </w:tabs>
            <w:spacing w:line="360" w:lineRule="auto"/>
            <w:rPr>
              <w:rFonts w:ascii="Arial" w:hAnsi="Arial" w:cs="Arial"/>
              <w:noProof/>
            </w:rPr>
          </w:pPr>
          <w:hyperlink w:anchor="_Toc233368070" w:history="1">
            <w:r w:rsidR="00874541" w:rsidRPr="00874541">
              <w:rPr>
                <w:rStyle w:val="Hyperlink"/>
                <w:rFonts w:ascii="Arial" w:hAnsi="Arial" w:cs="Arial"/>
                <w:noProof/>
              </w:rPr>
              <w:t>Figure 3: COPD Management Strategies, Based on Stages</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_Toc233368070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sidRPr="00874541">
              <w:rPr>
                <w:rFonts w:ascii="Arial" w:hAnsi="Arial" w:cs="Arial"/>
                <w:noProof/>
                <w:webHidden/>
              </w:rPr>
              <w:t>5</w:t>
            </w:r>
            <w:r w:rsidR="00874541" w:rsidRPr="00874541">
              <w:rPr>
                <w:rFonts w:ascii="Arial" w:hAnsi="Arial" w:cs="Arial"/>
                <w:noProof/>
                <w:webHidden/>
              </w:rPr>
              <w:fldChar w:fldCharType="end"/>
            </w:r>
          </w:hyperlink>
        </w:p>
        <w:p w14:paraId="202B7C31" w14:textId="7BAAF24A" w:rsidR="00874541" w:rsidRPr="00874541" w:rsidRDefault="00A94E71" w:rsidP="00874541">
          <w:pPr>
            <w:pStyle w:val="TableofFigures"/>
            <w:tabs>
              <w:tab w:val="right" w:leader="dot" w:pos="9016"/>
            </w:tabs>
            <w:spacing w:line="360" w:lineRule="auto"/>
            <w:rPr>
              <w:rFonts w:ascii="Arial" w:hAnsi="Arial" w:cs="Arial"/>
              <w:noProof/>
            </w:rPr>
          </w:pPr>
          <w:hyperlink w:anchor="_Toc233368071" w:history="1">
            <w:r w:rsidR="00874541" w:rsidRPr="00874541">
              <w:rPr>
                <w:rStyle w:val="Hyperlink"/>
                <w:rFonts w:ascii="Arial" w:hAnsi="Arial" w:cs="Arial"/>
                <w:noProof/>
              </w:rPr>
              <w:t>Figure 4: Risk Factors and Aetiology</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_Toc233368071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sidRPr="00874541">
              <w:rPr>
                <w:rFonts w:ascii="Arial" w:hAnsi="Arial" w:cs="Arial"/>
                <w:noProof/>
                <w:webHidden/>
              </w:rPr>
              <w:t>6</w:t>
            </w:r>
            <w:r w:rsidR="00874541" w:rsidRPr="00874541">
              <w:rPr>
                <w:rFonts w:ascii="Arial" w:hAnsi="Arial" w:cs="Arial"/>
                <w:noProof/>
                <w:webHidden/>
              </w:rPr>
              <w:fldChar w:fldCharType="end"/>
            </w:r>
          </w:hyperlink>
        </w:p>
        <w:p w14:paraId="3F48388C" w14:textId="62C6132F" w:rsidR="00874541" w:rsidRPr="00874541" w:rsidRDefault="00A94E71" w:rsidP="00874541">
          <w:pPr>
            <w:pStyle w:val="TableofFigures"/>
            <w:tabs>
              <w:tab w:val="right" w:leader="dot" w:pos="9016"/>
            </w:tabs>
            <w:spacing w:line="360" w:lineRule="auto"/>
            <w:rPr>
              <w:rFonts w:ascii="Arial" w:hAnsi="Arial" w:cs="Arial"/>
              <w:noProof/>
            </w:rPr>
          </w:pPr>
          <w:hyperlink w:anchor="_Toc233368072" w:history="1">
            <w:r w:rsidR="00874541" w:rsidRPr="00874541">
              <w:rPr>
                <w:rStyle w:val="Hyperlink"/>
                <w:rFonts w:ascii="Arial" w:hAnsi="Arial" w:cs="Arial"/>
                <w:noProof/>
              </w:rPr>
              <w:t>Figure 5: Downward spiral of COPD exacerbations</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_Toc233368072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sidRPr="00874541">
              <w:rPr>
                <w:rFonts w:ascii="Arial" w:hAnsi="Arial" w:cs="Arial"/>
                <w:noProof/>
                <w:webHidden/>
              </w:rPr>
              <w:t>8</w:t>
            </w:r>
            <w:r w:rsidR="00874541" w:rsidRPr="00874541">
              <w:rPr>
                <w:rFonts w:ascii="Arial" w:hAnsi="Arial" w:cs="Arial"/>
                <w:noProof/>
                <w:webHidden/>
              </w:rPr>
              <w:fldChar w:fldCharType="end"/>
            </w:r>
          </w:hyperlink>
        </w:p>
        <w:p w14:paraId="50AE170B" w14:textId="5BE1C0C6" w:rsidR="00874541" w:rsidRPr="00874541" w:rsidRDefault="00A94E71" w:rsidP="00874541">
          <w:pPr>
            <w:pStyle w:val="TableofFigures"/>
            <w:tabs>
              <w:tab w:val="right" w:leader="dot" w:pos="9016"/>
            </w:tabs>
            <w:spacing w:line="360" w:lineRule="auto"/>
            <w:rPr>
              <w:rFonts w:ascii="Arial" w:hAnsi="Arial" w:cs="Arial"/>
              <w:noProof/>
            </w:rPr>
          </w:pPr>
          <w:hyperlink w:anchor="_Toc233368073" w:history="1">
            <w:r w:rsidR="00874541" w:rsidRPr="00874541">
              <w:rPr>
                <w:rStyle w:val="Hyperlink"/>
                <w:rFonts w:ascii="Arial" w:hAnsi="Arial" w:cs="Arial"/>
                <w:noProof/>
              </w:rPr>
              <w:t>Figure 6: The Panic Cycle</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_Toc233368073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sidRPr="00874541">
              <w:rPr>
                <w:rFonts w:ascii="Arial" w:hAnsi="Arial" w:cs="Arial"/>
                <w:noProof/>
                <w:webHidden/>
              </w:rPr>
              <w:t>9</w:t>
            </w:r>
            <w:r w:rsidR="00874541" w:rsidRPr="00874541">
              <w:rPr>
                <w:rFonts w:ascii="Arial" w:hAnsi="Arial" w:cs="Arial"/>
                <w:noProof/>
                <w:webHidden/>
              </w:rPr>
              <w:fldChar w:fldCharType="end"/>
            </w:r>
          </w:hyperlink>
        </w:p>
        <w:p w14:paraId="41B6E613" w14:textId="59B63897" w:rsidR="00874541" w:rsidRPr="00874541" w:rsidRDefault="00A94E71" w:rsidP="00874541">
          <w:pPr>
            <w:pStyle w:val="TableofFigures"/>
            <w:tabs>
              <w:tab w:val="right" w:leader="dot" w:pos="9016"/>
            </w:tabs>
            <w:spacing w:line="360" w:lineRule="auto"/>
            <w:rPr>
              <w:rFonts w:ascii="Arial" w:hAnsi="Arial" w:cs="Arial"/>
              <w:noProof/>
            </w:rPr>
          </w:pPr>
          <w:hyperlink w:anchor="_Toc233368074" w:history="1">
            <w:r w:rsidR="00874541" w:rsidRPr="00874541">
              <w:rPr>
                <w:rStyle w:val="Hyperlink"/>
                <w:rFonts w:ascii="Arial" w:hAnsi="Arial" w:cs="Arial"/>
                <w:noProof/>
              </w:rPr>
              <w:t>Figure 7: Cycle of panic disorder</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_Toc233368074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sidRPr="00874541">
              <w:rPr>
                <w:rFonts w:ascii="Arial" w:hAnsi="Arial" w:cs="Arial"/>
                <w:noProof/>
                <w:webHidden/>
              </w:rPr>
              <w:t>10</w:t>
            </w:r>
            <w:r w:rsidR="00874541" w:rsidRPr="00874541">
              <w:rPr>
                <w:rFonts w:ascii="Arial" w:hAnsi="Arial" w:cs="Arial"/>
                <w:noProof/>
                <w:webHidden/>
              </w:rPr>
              <w:fldChar w:fldCharType="end"/>
            </w:r>
          </w:hyperlink>
        </w:p>
        <w:p w14:paraId="20A54204" w14:textId="7A8548DA" w:rsidR="00874541" w:rsidRPr="00874541" w:rsidRDefault="00A94E71" w:rsidP="00874541">
          <w:pPr>
            <w:pStyle w:val="TableofFigures"/>
            <w:tabs>
              <w:tab w:val="right" w:leader="dot" w:pos="9016"/>
            </w:tabs>
            <w:spacing w:line="360" w:lineRule="auto"/>
            <w:rPr>
              <w:rFonts w:ascii="Arial" w:hAnsi="Arial" w:cs="Arial"/>
              <w:noProof/>
            </w:rPr>
          </w:pPr>
          <w:hyperlink w:anchor="_Toc233368075" w:history="1">
            <w:r w:rsidR="00874541" w:rsidRPr="00874541">
              <w:rPr>
                <w:rStyle w:val="Hyperlink"/>
                <w:rFonts w:ascii="Arial" w:hAnsi="Arial" w:cs="Arial"/>
                <w:noProof/>
              </w:rPr>
              <w:t>Figure 8: Potential benefits of LAMA/LABA combination therapy compared to LAMA or LABA monotherapy in patients with COPD.</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_Toc233368075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sidRPr="00874541">
              <w:rPr>
                <w:rFonts w:ascii="Arial" w:hAnsi="Arial" w:cs="Arial"/>
                <w:noProof/>
                <w:webHidden/>
              </w:rPr>
              <w:t>12</w:t>
            </w:r>
            <w:r w:rsidR="00874541" w:rsidRPr="00874541">
              <w:rPr>
                <w:rFonts w:ascii="Arial" w:hAnsi="Arial" w:cs="Arial"/>
                <w:noProof/>
                <w:webHidden/>
              </w:rPr>
              <w:fldChar w:fldCharType="end"/>
            </w:r>
          </w:hyperlink>
        </w:p>
        <w:p w14:paraId="7EE2687E" w14:textId="0F8A2858" w:rsidR="00874541" w:rsidRPr="00874541" w:rsidRDefault="00A94E71" w:rsidP="00874541">
          <w:pPr>
            <w:pStyle w:val="TableofFigures"/>
            <w:tabs>
              <w:tab w:val="right" w:leader="dot" w:pos="9016"/>
            </w:tabs>
            <w:spacing w:line="360" w:lineRule="auto"/>
            <w:rPr>
              <w:rFonts w:ascii="Arial" w:hAnsi="Arial" w:cs="Arial"/>
              <w:noProof/>
            </w:rPr>
          </w:pPr>
          <w:hyperlink w:anchor="_Toc233368076" w:history="1">
            <w:r w:rsidR="00874541" w:rsidRPr="00874541">
              <w:rPr>
                <w:rStyle w:val="Hyperlink"/>
                <w:rFonts w:ascii="Arial" w:hAnsi="Arial" w:cs="Arial"/>
                <w:noProof/>
              </w:rPr>
              <w:t>Figure 9: House of Care Model</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_Toc233368076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sidRPr="00874541">
              <w:rPr>
                <w:rFonts w:ascii="Arial" w:hAnsi="Arial" w:cs="Arial"/>
                <w:noProof/>
                <w:webHidden/>
              </w:rPr>
              <w:t>13</w:t>
            </w:r>
            <w:r w:rsidR="00874541" w:rsidRPr="00874541">
              <w:rPr>
                <w:rFonts w:ascii="Arial" w:hAnsi="Arial" w:cs="Arial"/>
                <w:noProof/>
                <w:webHidden/>
              </w:rPr>
              <w:fldChar w:fldCharType="end"/>
            </w:r>
          </w:hyperlink>
        </w:p>
        <w:p w14:paraId="4ECFB032" w14:textId="57441A0F" w:rsidR="00874541" w:rsidRPr="00874541" w:rsidRDefault="00A94E71" w:rsidP="00874541">
          <w:pPr>
            <w:pStyle w:val="TableofFigures"/>
            <w:tabs>
              <w:tab w:val="right" w:leader="dot" w:pos="9016"/>
            </w:tabs>
            <w:spacing w:line="360" w:lineRule="auto"/>
            <w:rPr>
              <w:rFonts w:ascii="Arial" w:hAnsi="Arial" w:cs="Arial"/>
              <w:noProof/>
            </w:rPr>
          </w:pPr>
          <w:hyperlink w:anchor="_Toc233368077" w:history="1">
            <w:r w:rsidR="00874541" w:rsidRPr="00874541">
              <w:rPr>
                <w:rStyle w:val="Hyperlink"/>
                <w:rFonts w:ascii="Arial" w:hAnsi="Arial" w:cs="Arial"/>
                <w:noProof/>
              </w:rPr>
              <w:t>Figure 10: Wagner's chronic care model</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_Toc233368077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sidRPr="00874541">
              <w:rPr>
                <w:rFonts w:ascii="Arial" w:hAnsi="Arial" w:cs="Arial"/>
                <w:noProof/>
                <w:webHidden/>
              </w:rPr>
              <w:t>15</w:t>
            </w:r>
            <w:r w:rsidR="00874541" w:rsidRPr="00874541">
              <w:rPr>
                <w:rFonts w:ascii="Arial" w:hAnsi="Arial" w:cs="Arial"/>
                <w:noProof/>
                <w:webHidden/>
              </w:rPr>
              <w:fldChar w:fldCharType="end"/>
            </w:r>
          </w:hyperlink>
        </w:p>
        <w:p w14:paraId="5C90303F" w14:textId="10A742E9" w:rsidR="00874541" w:rsidRDefault="00874541" w:rsidP="00874541">
          <w:pPr>
            <w:spacing w:line="360" w:lineRule="auto"/>
          </w:pPr>
          <w:r w:rsidRPr="00874541">
            <w:rPr>
              <w:rFonts w:ascii="Arial" w:hAnsi="Arial" w:cs="Arial"/>
            </w:rPr>
            <w:fldChar w:fldCharType="end"/>
          </w:r>
        </w:p>
      </w:sdtContent>
    </w:sdt>
    <w:p w14:paraId="49707E29" w14:textId="77777777" w:rsidR="00EA02F2" w:rsidRPr="00874541" w:rsidRDefault="00EA02F2" w:rsidP="00403577">
      <w:pPr>
        <w:spacing w:line="360" w:lineRule="auto"/>
        <w:rPr>
          <w:rFonts w:ascii="Arial" w:hAnsi="Arial" w:cs="Arial"/>
          <w:lang w:val="en-US"/>
        </w:rPr>
      </w:pPr>
      <w:r w:rsidRPr="00874541">
        <w:rPr>
          <w:rFonts w:ascii="Arial" w:hAnsi="Arial" w:cs="Arial"/>
          <w:lang w:val="en-US"/>
        </w:rPr>
        <w:br w:type="page"/>
      </w:r>
    </w:p>
    <w:p w14:paraId="3554DBE0" w14:textId="2BA69D2E" w:rsidR="00EA02F2" w:rsidRPr="00874541" w:rsidRDefault="00EA02F2" w:rsidP="00403577">
      <w:pPr>
        <w:pStyle w:val="Heading1"/>
        <w:rPr>
          <w:rFonts w:ascii="Arial" w:hAnsi="Arial" w:cs="Arial"/>
        </w:rPr>
      </w:pPr>
      <w:bookmarkStart w:id="0" w:name="_Toc233368041"/>
      <w:r w:rsidRPr="00874541">
        <w:rPr>
          <w:rFonts w:ascii="Arial" w:hAnsi="Arial" w:cs="Arial"/>
        </w:rPr>
        <w:lastRenderedPageBreak/>
        <w:t>1 Explanation, Evaluation and Epidemiology of COPD</w:t>
      </w:r>
      <w:bookmarkEnd w:id="0"/>
      <w:r w:rsidRPr="00874541">
        <w:rPr>
          <w:rFonts w:ascii="Arial" w:hAnsi="Arial" w:cs="Arial"/>
        </w:rPr>
        <w:t xml:space="preserve"> </w:t>
      </w:r>
    </w:p>
    <w:p w14:paraId="4981664D" w14:textId="4D3CEA52" w:rsidR="00EA02F2" w:rsidRPr="00874541" w:rsidRDefault="00EA02F2" w:rsidP="00403577">
      <w:pPr>
        <w:pStyle w:val="Heading2"/>
        <w:rPr>
          <w:rFonts w:ascii="Arial" w:hAnsi="Arial" w:cs="Arial"/>
        </w:rPr>
      </w:pPr>
      <w:bookmarkStart w:id="1" w:name="_Toc233368042"/>
      <w:r w:rsidRPr="00874541">
        <w:rPr>
          <w:rFonts w:ascii="Arial" w:hAnsi="Arial" w:cs="Arial"/>
        </w:rPr>
        <w:t>Comprehensive definition and clinical manifestations</w:t>
      </w:r>
      <w:bookmarkEnd w:id="1"/>
      <w:r w:rsidRPr="00874541">
        <w:rPr>
          <w:rFonts w:ascii="Arial" w:hAnsi="Arial" w:cs="Arial"/>
        </w:rPr>
        <w:t xml:space="preserve"> </w:t>
      </w:r>
    </w:p>
    <w:p w14:paraId="1D58144B" w14:textId="77777777" w:rsidR="00712BCD" w:rsidRPr="00874541" w:rsidRDefault="00712BCD" w:rsidP="00AF4343">
      <w:pPr>
        <w:keepNext/>
        <w:ind w:left="-284"/>
        <w:jc w:val="center"/>
        <w:rPr>
          <w:rFonts w:ascii="Arial" w:hAnsi="Arial" w:cs="Arial"/>
        </w:rPr>
      </w:pPr>
      <w:r w:rsidRPr="00874541">
        <w:rPr>
          <w:rFonts w:ascii="Arial" w:hAnsi="Arial" w:cs="Arial"/>
          <w:noProof/>
          <w:lang w:val="en-US"/>
        </w:rPr>
        <w:drawing>
          <wp:inline distT="0" distB="0" distL="0" distR="0" wp14:anchorId="340F28EC" wp14:editId="431A98F3">
            <wp:extent cx="5731510" cy="3300095"/>
            <wp:effectExtent l="228600" t="228600" r="231140" b="224155"/>
            <wp:docPr id="1549513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513265" name=""/>
                    <pic:cNvPicPr/>
                  </pic:nvPicPr>
                  <pic:blipFill>
                    <a:blip r:embed="rId10">
                      <a:extLst>
                        <a:ext uri="{BEBA8EAE-BF5A-486C-A8C5-ECC9F3942E4B}">
                          <a14:imgProps xmlns:a14="http://schemas.microsoft.com/office/drawing/2010/main">
                            <a14:imgLayer r:embed="rId11">
                              <a14:imgEffect>
                                <a14:sharpenSoften amount="50000"/>
                              </a14:imgEffect>
                              <a14:imgEffect>
                                <a14:colorTemperature colorTemp="11200"/>
                              </a14:imgEffect>
                              <a14:imgEffect>
                                <a14:brightnessContrast bright="-20000" contrast="40000"/>
                              </a14:imgEffect>
                            </a14:imgLayer>
                          </a14:imgProps>
                        </a:ext>
                      </a:extLst>
                    </a:blip>
                    <a:stretch>
                      <a:fillRect/>
                    </a:stretch>
                  </pic:blipFill>
                  <pic:spPr>
                    <a:xfrm>
                      <a:off x="0" y="0"/>
                      <a:ext cx="5731510" cy="330009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1E5BA5EB" w14:textId="339DB586" w:rsidR="00712BCD" w:rsidRPr="00874541" w:rsidRDefault="00712BCD" w:rsidP="00712BCD">
      <w:pPr>
        <w:pStyle w:val="Caption"/>
        <w:jc w:val="center"/>
        <w:rPr>
          <w:rFonts w:ascii="Arial" w:hAnsi="Arial" w:cs="Arial"/>
        </w:rPr>
      </w:pPr>
      <w:bookmarkStart w:id="2" w:name="_Toc233368068"/>
      <w:r w:rsidRPr="00874541">
        <w:rPr>
          <w:rFonts w:ascii="Arial" w:hAnsi="Arial" w:cs="Arial"/>
        </w:rPr>
        <w:t xml:space="preserve">Figure </w:t>
      </w:r>
      <w:r w:rsidRPr="00874541">
        <w:rPr>
          <w:rFonts w:ascii="Arial" w:hAnsi="Arial" w:cs="Arial"/>
        </w:rPr>
        <w:fldChar w:fldCharType="begin"/>
      </w:r>
      <w:r w:rsidRPr="00874541">
        <w:rPr>
          <w:rFonts w:ascii="Arial" w:hAnsi="Arial" w:cs="Arial"/>
        </w:rPr>
        <w:instrText xml:space="preserve"> SEQ Figure \* ARABIC </w:instrText>
      </w:r>
      <w:r w:rsidRPr="00874541">
        <w:rPr>
          <w:rFonts w:ascii="Arial" w:hAnsi="Arial" w:cs="Arial"/>
        </w:rPr>
        <w:fldChar w:fldCharType="separate"/>
      </w:r>
      <w:r w:rsidR="005A2BF2" w:rsidRPr="00874541">
        <w:rPr>
          <w:rFonts w:ascii="Arial" w:hAnsi="Arial" w:cs="Arial"/>
          <w:noProof/>
        </w:rPr>
        <w:t>1</w:t>
      </w:r>
      <w:r w:rsidRPr="00874541">
        <w:rPr>
          <w:rFonts w:ascii="Arial" w:hAnsi="Arial" w:cs="Arial"/>
        </w:rPr>
        <w:fldChar w:fldCharType="end"/>
      </w:r>
      <w:r w:rsidRPr="00874541">
        <w:rPr>
          <w:rFonts w:ascii="Arial" w:hAnsi="Arial" w:cs="Arial"/>
        </w:rPr>
        <w:t>: COPD</w:t>
      </w:r>
      <w:bookmarkEnd w:id="2"/>
    </w:p>
    <w:p w14:paraId="790DED8E" w14:textId="345A498F" w:rsidR="00712BCD" w:rsidRPr="00874541" w:rsidRDefault="00712BCD" w:rsidP="00712BCD">
      <w:pPr>
        <w:jc w:val="center"/>
        <w:rPr>
          <w:rFonts w:ascii="Arial" w:hAnsi="Arial" w:cs="Arial"/>
          <w:lang w:val="en-US"/>
        </w:rPr>
      </w:pPr>
      <w:r w:rsidRPr="00874541">
        <w:rPr>
          <w:rFonts w:ascii="Arial" w:hAnsi="Arial" w:cs="Arial"/>
          <w:lang w:val="en-US"/>
        </w:rPr>
        <w:t>(Source: Alpine Biomedical, 2026)</w:t>
      </w:r>
    </w:p>
    <w:p w14:paraId="620B834A" w14:textId="2261D826" w:rsidR="00EA02F2" w:rsidRPr="00874541" w:rsidRDefault="00451921" w:rsidP="002B7242">
      <w:pPr>
        <w:spacing w:line="360" w:lineRule="auto"/>
        <w:rPr>
          <w:rFonts w:ascii="Arial" w:hAnsi="Arial" w:cs="Arial"/>
          <w:lang w:val="en-US"/>
        </w:rPr>
      </w:pPr>
      <w:r w:rsidRPr="00874541">
        <w:rPr>
          <w:rFonts w:ascii="Arial" w:hAnsi="Arial" w:cs="Arial"/>
          <w:lang w:val="en-US"/>
        </w:rPr>
        <w:t xml:space="preserve">Chronic Obstructive Pulmonary Disease (COPD) is viewed </w:t>
      </w:r>
      <w:r w:rsidR="00403577" w:rsidRPr="00874541">
        <w:rPr>
          <w:rFonts w:ascii="Arial" w:hAnsi="Arial" w:cs="Arial"/>
          <w:lang w:val="en-US"/>
        </w:rPr>
        <w:t>as a</w:t>
      </w:r>
      <w:r w:rsidRPr="00874541">
        <w:rPr>
          <w:rFonts w:ascii="Arial" w:hAnsi="Arial" w:cs="Arial"/>
          <w:lang w:val="en-US"/>
        </w:rPr>
        <w:t xml:space="preserve"> heterogeneous, progressive lung condition that is </w:t>
      </w:r>
      <w:r w:rsidR="00403577" w:rsidRPr="00874541">
        <w:rPr>
          <w:rFonts w:ascii="Arial" w:hAnsi="Arial" w:cs="Arial"/>
          <w:lang w:val="en-US"/>
        </w:rPr>
        <w:t>characterised</w:t>
      </w:r>
      <w:r w:rsidRPr="00874541">
        <w:rPr>
          <w:rFonts w:ascii="Arial" w:hAnsi="Arial" w:cs="Arial"/>
          <w:lang w:val="en-US"/>
        </w:rPr>
        <w:t xml:space="preserve"> by chronic, debilitating respiratory symptoms. These major symptoms consist of the chronic productive cough, persistent </w:t>
      </w:r>
      <w:r w:rsidR="007509B1" w:rsidRPr="00874541">
        <w:rPr>
          <w:rFonts w:ascii="Arial" w:hAnsi="Arial" w:cs="Arial"/>
          <w:lang w:val="en-US"/>
        </w:rPr>
        <w:t>dyspnea</w:t>
      </w:r>
      <w:r w:rsidRPr="00874541">
        <w:rPr>
          <w:rFonts w:ascii="Arial" w:hAnsi="Arial" w:cs="Arial"/>
          <w:lang w:val="en-US"/>
        </w:rPr>
        <w:t xml:space="preserve"> and excessive sputum production. </w:t>
      </w:r>
      <w:r w:rsidR="007E7C1B" w:rsidRPr="00874541">
        <w:rPr>
          <w:rFonts w:ascii="Arial" w:hAnsi="Arial" w:cs="Arial"/>
          <w:lang w:val="en-US"/>
        </w:rPr>
        <w:t xml:space="preserve">As per </w:t>
      </w:r>
      <w:r w:rsidR="007509B1" w:rsidRPr="00874541">
        <w:rPr>
          <w:rFonts w:ascii="Arial" w:hAnsi="Arial" w:cs="Arial"/>
          <w:lang w:val="en-US"/>
        </w:rPr>
        <w:t xml:space="preserve">the </w:t>
      </w:r>
      <w:r w:rsidRPr="00874541">
        <w:rPr>
          <w:rFonts w:ascii="Arial" w:hAnsi="Arial" w:cs="Arial"/>
          <w:lang w:val="en-US"/>
        </w:rPr>
        <w:t>Global Initiative for Chronic Obstructive Lung Disease</w:t>
      </w:r>
      <w:r w:rsidR="007E7C1B" w:rsidRPr="00874541">
        <w:rPr>
          <w:rFonts w:ascii="Arial" w:hAnsi="Arial" w:cs="Arial"/>
          <w:lang w:val="en-US"/>
        </w:rPr>
        <w:t xml:space="preserve"> (2025), these manifestations stem from the permanent abnormalities in conducting </w:t>
      </w:r>
      <w:r w:rsidR="003C7456" w:rsidRPr="00874541">
        <w:rPr>
          <w:rFonts w:ascii="Arial" w:hAnsi="Arial" w:cs="Arial"/>
          <w:lang w:val="en-US"/>
        </w:rPr>
        <w:t xml:space="preserve">and </w:t>
      </w:r>
      <w:r w:rsidR="007E7C1B" w:rsidRPr="00874541">
        <w:rPr>
          <w:rFonts w:ascii="Arial" w:hAnsi="Arial" w:cs="Arial"/>
          <w:lang w:val="en-US"/>
        </w:rPr>
        <w:t xml:space="preserve">parenchymal alveoli and airways, which </w:t>
      </w:r>
      <w:r w:rsidR="007509B1" w:rsidRPr="00874541">
        <w:rPr>
          <w:rFonts w:ascii="Arial" w:hAnsi="Arial" w:cs="Arial"/>
          <w:lang w:val="en-US"/>
        </w:rPr>
        <w:t>lead</w:t>
      </w:r>
      <w:r w:rsidR="007E7C1B" w:rsidRPr="00874541">
        <w:rPr>
          <w:rFonts w:ascii="Arial" w:hAnsi="Arial" w:cs="Arial"/>
          <w:lang w:val="en-US"/>
        </w:rPr>
        <w:t xml:space="preserve"> to persistent and largely irreversible limitations in airflow. Locally, </w:t>
      </w:r>
      <w:r w:rsidR="007509B1" w:rsidRPr="00874541">
        <w:rPr>
          <w:rFonts w:ascii="Arial" w:hAnsi="Arial" w:cs="Arial"/>
          <w:lang w:val="en-US"/>
        </w:rPr>
        <w:t xml:space="preserve">the </w:t>
      </w:r>
      <w:r w:rsidR="002B7242" w:rsidRPr="00874541">
        <w:rPr>
          <w:rFonts w:ascii="Arial" w:hAnsi="Arial" w:cs="Arial"/>
        </w:rPr>
        <w:t xml:space="preserve">National Institute for Health and Care Excellence </w:t>
      </w:r>
      <w:r w:rsidR="007E7C1B" w:rsidRPr="00874541">
        <w:rPr>
          <w:rFonts w:ascii="Arial" w:hAnsi="Arial" w:cs="Arial"/>
          <w:lang w:val="en-US"/>
        </w:rPr>
        <w:t xml:space="preserve">(2019), defines this pathology using the structural airway </w:t>
      </w:r>
      <w:r w:rsidR="007509B1" w:rsidRPr="00874541">
        <w:rPr>
          <w:rFonts w:ascii="Arial" w:hAnsi="Arial" w:cs="Arial"/>
          <w:lang w:val="en-US"/>
        </w:rPr>
        <w:t>remodelling</w:t>
      </w:r>
      <w:r w:rsidR="007E7C1B" w:rsidRPr="00874541">
        <w:rPr>
          <w:rFonts w:ascii="Arial" w:hAnsi="Arial" w:cs="Arial"/>
          <w:lang w:val="en-US"/>
        </w:rPr>
        <w:t xml:space="preserve"> and small changes in the airway that critically restrict the dynamics of expiratory flow. From the global epidemiological standpoint, </w:t>
      </w:r>
      <w:r w:rsidR="003C7456" w:rsidRPr="00874541">
        <w:rPr>
          <w:rFonts w:ascii="Arial" w:hAnsi="Arial" w:cs="Arial"/>
          <w:lang w:val="en-US"/>
        </w:rPr>
        <w:t xml:space="preserve">WHO (2024), focuses </w:t>
      </w:r>
      <w:r w:rsidR="007509B1" w:rsidRPr="00874541">
        <w:rPr>
          <w:rFonts w:ascii="Arial" w:hAnsi="Arial" w:cs="Arial"/>
          <w:lang w:val="en-US"/>
        </w:rPr>
        <w:t xml:space="preserve">on the fact </w:t>
      </w:r>
      <w:r w:rsidR="003C7456" w:rsidRPr="00874541">
        <w:rPr>
          <w:rFonts w:ascii="Arial" w:hAnsi="Arial" w:cs="Arial"/>
          <w:lang w:val="en-US"/>
        </w:rPr>
        <w:t xml:space="preserve">that this obstruction is driven by the long-term toxicity and sustained injury of the tissue. Finally, the clinical consensus updates given by Agusti et al. (2023), confirm that the structural baseline consists of the critical interplay of the chronic bronchitis and destructive emphysema phenotypes, which collectively accelerate functional respiratory decline over time. </w:t>
      </w:r>
    </w:p>
    <w:p w14:paraId="50F3B33B" w14:textId="77777777" w:rsidR="002B7242" w:rsidRPr="00874541" w:rsidRDefault="002B7242" w:rsidP="002B7242">
      <w:pPr>
        <w:keepNext/>
        <w:spacing w:line="360" w:lineRule="auto"/>
        <w:jc w:val="center"/>
        <w:rPr>
          <w:rFonts w:ascii="Arial" w:hAnsi="Arial" w:cs="Arial"/>
        </w:rPr>
      </w:pPr>
      <w:r w:rsidRPr="00874541">
        <w:rPr>
          <w:rFonts w:ascii="Arial" w:hAnsi="Arial" w:cs="Arial"/>
          <w:b/>
          <w:bCs/>
          <w:noProof/>
          <w:sz w:val="36"/>
          <w:szCs w:val="36"/>
          <w:lang w:val="en-US"/>
        </w:rPr>
        <w:lastRenderedPageBreak/>
        <w:drawing>
          <wp:inline distT="0" distB="0" distL="0" distR="0" wp14:anchorId="15832D5D" wp14:editId="41716DF0">
            <wp:extent cx="5265876" cy="3444538"/>
            <wp:effectExtent l="228600" t="228600" r="220980" b="232410"/>
            <wp:docPr id="858553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553028" name=""/>
                    <pic:cNvPicPr/>
                  </pic:nvPicPr>
                  <pic:blipFill>
                    <a:blip r:embed="rId12">
                      <a:extLst>
                        <a:ext uri="{BEBA8EAE-BF5A-486C-A8C5-ECC9F3942E4B}">
                          <a14:imgProps xmlns:a14="http://schemas.microsoft.com/office/drawing/2010/main">
                            <a14:imgLayer r:embed="rId13">
                              <a14:imgEffect>
                                <a14:colorTemperature colorTemp="8800"/>
                              </a14:imgEffect>
                              <a14:imgEffect>
                                <a14:saturation sat="300000"/>
                              </a14:imgEffect>
                              <a14:imgEffect>
                                <a14:brightnessContrast bright="-20000" contrast="40000"/>
                              </a14:imgEffect>
                            </a14:imgLayer>
                          </a14:imgProps>
                        </a:ext>
                      </a:extLst>
                    </a:blip>
                    <a:stretch>
                      <a:fillRect/>
                    </a:stretch>
                  </pic:blipFill>
                  <pic:spPr>
                    <a:xfrm>
                      <a:off x="0" y="0"/>
                      <a:ext cx="5265876" cy="3444538"/>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302FADA2" w14:textId="35E60299" w:rsidR="002B7242" w:rsidRPr="00874541" w:rsidRDefault="002B7242" w:rsidP="002B7242">
      <w:pPr>
        <w:pStyle w:val="Caption"/>
        <w:jc w:val="center"/>
        <w:rPr>
          <w:rFonts w:ascii="Arial" w:hAnsi="Arial" w:cs="Arial"/>
        </w:rPr>
      </w:pPr>
      <w:bookmarkStart w:id="3" w:name="_Toc233368069"/>
      <w:r w:rsidRPr="00874541">
        <w:rPr>
          <w:rFonts w:ascii="Arial" w:hAnsi="Arial" w:cs="Arial"/>
        </w:rPr>
        <w:t xml:space="preserve">Figure </w:t>
      </w:r>
      <w:r w:rsidRPr="00874541">
        <w:rPr>
          <w:rFonts w:ascii="Arial" w:hAnsi="Arial" w:cs="Arial"/>
        </w:rPr>
        <w:fldChar w:fldCharType="begin"/>
      </w:r>
      <w:r w:rsidRPr="00874541">
        <w:rPr>
          <w:rFonts w:ascii="Arial" w:hAnsi="Arial" w:cs="Arial"/>
        </w:rPr>
        <w:instrText xml:space="preserve"> SEQ Figure \* ARABIC </w:instrText>
      </w:r>
      <w:r w:rsidRPr="00874541">
        <w:rPr>
          <w:rFonts w:ascii="Arial" w:hAnsi="Arial" w:cs="Arial"/>
        </w:rPr>
        <w:fldChar w:fldCharType="separate"/>
      </w:r>
      <w:r w:rsidR="005A2BF2" w:rsidRPr="00874541">
        <w:rPr>
          <w:rFonts w:ascii="Arial" w:hAnsi="Arial" w:cs="Arial"/>
          <w:noProof/>
        </w:rPr>
        <w:t>2</w:t>
      </w:r>
      <w:r w:rsidRPr="00874541">
        <w:rPr>
          <w:rFonts w:ascii="Arial" w:hAnsi="Arial" w:cs="Arial"/>
        </w:rPr>
        <w:fldChar w:fldCharType="end"/>
      </w:r>
      <w:r w:rsidRPr="00874541">
        <w:rPr>
          <w:rFonts w:ascii="Arial" w:hAnsi="Arial" w:cs="Arial"/>
        </w:rPr>
        <w:t>: COPD phenotypes</w:t>
      </w:r>
      <w:bookmarkEnd w:id="3"/>
    </w:p>
    <w:p w14:paraId="3024F978" w14:textId="77777777" w:rsidR="002B7242" w:rsidRPr="00874541" w:rsidRDefault="002B7242" w:rsidP="002B7242">
      <w:pPr>
        <w:jc w:val="center"/>
        <w:rPr>
          <w:rFonts w:ascii="Arial" w:hAnsi="Arial" w:cs="Arial"/>
          <w:lang w:val="en-US"/>
        </w:rPr>
      </w:pPr>
      <w:r w:rsidRPr="00874541">
        <w:rPr>
          <w:rFonts w:ascii="Arial" w:hAnsi="Arial" w:cs="Arial"/>
          <w:lang w:val="en-US"/>
        </w:rPr>
        <w:t xml:space="preserve">(Source: </w:t>
      </w:r>
      <w:r w:rsidRPr="00874541">
        <w:rPr>
          <w:rFonts w:ascii="Arial" w:eastAsiaTheme="minorEastAsia" w:hAnsi="Arial" w:cs="Arial"/>
        </w:rPr>
        <w:t>Rodrigues et al., 2021)</w:t>
      </w:r>
    </w:p>
    <w:p w14:paraId="57BBF751" w14:textId="69DB2D19" w:rsidR="00451921" w:rsidRPr="00874541" w:rsidRDefault="00F06B77" w:rsidP="002B7242">
      <w:pPr>
        <w:spacing w:line="360" w:lineRule="auto"/>
        <w:rPr>
          <w:rFonts w:ascii="Arial" w:hAnsi="Arial" w:cs="Arial"/>
          <w:lang w:val="en-US"/>
        </w:rPr>
      </w:pPr>
      <w:r w:rsidRPr="00874541">
        <w:rPr>
          <w:rFonts w:ascii="Arial" w:hAnsi="Arial" w:cs="Arial"/>
          <w:lang w:val="en-US"/>
        </w:rPr>
        <w:t xml:space="preserve">Cellular exposure to inhaled toxic substances triggers a sustained, chronic </w:t>
      </w:r>
      <w:r w:rsidR="00403577" w:rsidRPr="00874541">
        <w:rPr>
          <w:rFonts w:ascii="Arial" w:hAnsi="Arial" w:cs="Arial"/>
          <w:lang w:val="en-US"/>
        </w:rPr>
        <w:t>inflammatory</w:t>
      </w:r>
      <w:r w:rsidRPr="00874541">
        <w:rPr>
          <w:rFonts w:ascii="Arial" w:hAnsi="Arial" w:cs="Arial"/>
          <w:lang w:val="en-US"/>
        </w:rPr>
        <w:t xml:space="preserve"> response within the respiratory </w:t>
      </w:r>
      <w:r w:rsidR="00403577" w:rsidRPr="00874541">
        <w:rPr>
          <w:rFonts w:ascii="Arial" w:hAnsi="Arial" w:cs="Arial"/>
          <w:lang w:val="en-US"/>
        </w:rPr>
        <w:t>tract</w:t>
      </w:r>
      <w:r w:rsidRPr="00874541">
        <w:rPr>
          <w:rFonts w:ascii="Arial" w:hAnsi="Arial" w:cs="Arial"/>
          <w:lang w:val="en-US"/>
        </w:rPr>
        <w:t xml:space="preserve">. This constant inflammation contributes to </w:t>
      </w:r>
      <w:r w:rsidR="003A6C99" w:rsidRPr="00874541">
        <w:rPr>
          <w:rFonts w:ascii="Arial" w:hAnsi="Arial" w:cs="Arial"/>
          <w:lang w:val="en-US"/>
        </w:rPr>
        <w:t xml:space="preserve">mucous gland hypertrophy, hypersecretion and </w:t>
      </w:r>
      <w:r w:rsidR="00403577" w:rsidRPr="00874541">
        <w:rPr>
          <w:rFonts w:ascii="Arial" w:hAnsi="Arial" w:cs="Arial"/>
          <w:lang w:val="en-US"/>
        </w:rPr>
        <w:t>goblet</w:t>
      </w:r>
      <w:r w:rsidR="003A6C99" w:rsidRPr="00874541">
        <w:rPr>
          <w:rFonts w:ascii="Arial" w:hAnsi="Arial" w:cs="Arial"/>
          <w:lang w:val="en-US"/>
        </w:rPr>
        <w:t xml:space="preserve"> cell hyperplasia. Over time, the structural tissue remodelling occurs. </w:t>
      </w:r>
      <w:r w:rsidR="00403577" w:rsidRPr="00874541">
        <w:rPr>
          <w:rFonts w:ascii="Arial" w:hAnsi="Arial" w:cs="Arial"/>
          <w:lang w:val="en-US"/>
        </w:rPr>
        <w:t>This</w:t>
      </w:r>
      <w:r w:rsidR="003A6C99" w:rsidRPr="00874541">
        <w:rPr>
          <w:rFonts w:ascii="Arial" w:hAnsi="Arial" w:cs="Arial"/>
          <w:lang w:val="en-US"/>
        </w:rPr>
        <w:t xml:space="preserve"> leads to smooth muscle hypertrophy and fibrotic scarring that increasingly leads to the small peripheral airways (</w:t>
      </w:r>
      <w:r w:rsidR="002B7242" w:rsidRPr="00874541">
        <w:rPr>
          <w:rFonts w:ascii="Arial" w:hAnsi="Arial" w:cs="Arial"/>
        </w:rPr>
        <w:t>National Institute for Health and Care Excellence</w:t>
      </w:r>
      <w:r w:rsidR="003A6C99" w:rsidRPr="00874541">
        <w:rPr>
          <w:rFonts w:ascii="Arial" w:hAnsi="Arial" w:cs="Arial"/>
          <w:lang w:val="en-US"/>
        </w:rPr>
        <w:t xml:space="preserve">, 2019). </w:t>
      </w:r>
    </w:p>
    <w:p w14:paraId="063B5972" w14:textId="0E69E52D" w:rsidR="003A6C99" w:rsidRPr="00874541" w:rsidRDefault="003A6C99" w:rsidP="002B7242">
      <w:pPr>
        <w:spacing w:line="360" w:lineRule="auto"/>
        <w:rPr>
          <w:rFonts w:ascii="Arial" w:hAnsi="Arial" w:cs="Arial"/>
          <w:lang w:val="en-US"/>
        </w:rPr>
      </w:pPr>
      <w:r w:rsidRPr="00874541">
        <w:rPr>
          <w:rFonts w:ascii="Arial" w:hAnsi="Arial" w:cs="Arial"/>
          <w:lang w:val="en-US"/>
        </w:rPr>
        <w:t xml:space="preserve">Emphysema consist of the permanent destruction of the alveolar walls without the obvious fibrosis. This structural breakdown contributes to the natural recoil of the lungs, which is vital to keep the airways patent during expiration. Consequently, the patients face dynamic hyperinflation, severe ventilation-perfusion (V/Q) mismatch and vital gas trapping that </w:t>
      </w:r>
      <w:r w:rsidR="00403577" w:rsidRPr="00874541">
        <w:rPr>
          <w:rFonts w:ascii="Arial" w:hAnsi="Arial" w:cs="Arial"/>
          <w:lang w:val="en-US"/>
        </w:rPr>
        <w:t>lead</w:t>
      </w:r>
      <w:r w:rsidRPr="00874541">
        <w:rPr>
          <w:rFonts w:ascii="Arial" w:hAnsi="Arial" w:cs="Arial"/>
          <w:lang w:val="en-US"/>
        </w:rPr>
        <w:t xml:space="preserve"> to chronic hypoxemia (Agusti et al., 2023). </w:t>
      </w:r>
    </w:p>
    <w:p w14:paraId="5F3DD965" w14:textId="0F899C3C" w:rsidR="003A6C99" w:rsidRPr="00874541" w:rsidRDefault="007B7295" w:rsidP="002B7242">
      <w:pPr>
        <w:spacing w:line="360" w:lineRule="auto"/>
        <w:rPr>
          <w:rFonts w:ascii="Arial" w:hAnsi="Arial" w:cs="Arial"/>
          <w:lang w:val="en-US"/>
        </w:rPr>
      </w:pPr>
      <w:r w:rsidRPr="00874541">
        <w:rPr>
          <w:rFonts w:ascii="Arial" w:hAnsi="Arial" w:cs="Arial"/>
          <w:lang w:val="en-US"/>
        </w:rPr>
        <w:t xml:space="preserve">COPD is no longer seen as </w:t>
      </w:r>
      <w:r w:rsidR="00403577" w:rsidRPr="00874541">
        <w:rPr>
          <w:rFonts w:ascii="Arial" w:hAnsi="Arial" w:cs="Arial"/>
          <w:lang w:val="en-US"/>
        </w:rPr>
        <w:t>a</w:t>
      </w:r>
      <w:r w:rsidRPr="00874541">
        <w:rPr>
          <w:rFonts w:ascii="Arial" w:hAnsi="Arial" w:cs="Arial"/>
          <w:lang w:val="en-US"/>
        </w:rPr>
        <w:t xml:space="preserve"> disease that is isolated to the lungs. The </w:t>
      </w:r>
      <w:r w:rsidR="00403577" w:rsidRPr="00874541">
        <w:rPr>
          <w:rFonts w:ascii="Arial" w:hAnsi="Arial" w:cs="Arial"/>
          <w:lang w:val="en-US"/>
        </w:rPr>
        <w:t>localised</w:t>
      </w:r>
      <w:r w:rsidRPr="00874541">
        <w:rPr>
          <w:rFonts w:ascii="Arial" w:hAnsi="Arial" w:cs="Arial"/>
          <w:lang w:val="en-US"/>
        </w:rPr>
        <w:t xml:space="preserve"> pulmonary inflammatory process spills over into the systemic circulation, which leads to the systemic inflammation that contributes to skeletal muscle wasting, enhanced cardiovascular risks and endothelial dysfunction (Barnes, 2020). </w:t>
      </w:r>
    </w:p>
    <w:p w14:paraId="0AC10D3E" w14:textId="2D3B55B5" w:rsidR="007B7295" w:rsidRPr="00874541" w:rsidRDefault="007B7295" w:rsidP="002B7242">
      <w:pPr>
        <w:spacing w:line="360" w:lineRule="auto"/>
        <w:rPr>
          <w:rFonts w:ascii="Arial" w:hAnsi="Arial" w:cs="Arial"/>
          <w:lang w:val="en-US"/>
        </w:rPr>
      </w:pPr>
      <w:r w:rsidRPr="00874541">
        <w:rPr>
          <w:rFonts w:ascii="Arial" w:hAnsi="Arial" w:cs="Arial"/>
          <w:lang w:val="en-US"/>
        </w:rPr>
        <w:lastRenderedPageBreak/>
        <w:t xml:space="preserve">The clinical course of COPD is interspersed </w:t>
      </w:r>
      <w:r w:rsidR="00403577" w:rsidRPr="00874541">
        <w:rPr>
          <w:rFonts w:ascii="Arial" w:hAnsi="Arial" w:cs="Arial"/>
          <w:lang w:val="en-US"/>
        </w:rPr>
        <w:t>with</w:t>
      </w:r>
      <w:r w:rsidRPr="00874541">
        <w:rPr>
          <w:rFonts w:ascii="Arial" w:hAnsi="Arial" w:cs="Arial"/>
          <w:lang w:val="en-US"/>
        </w:rPr>
        <w:t xml:space="preserve"> acute exacerbations, </w:t>
      </w:r>
      <w:r w:rsidR="00403577" w:rsidRPr="00874541">
        <w:rPr>
          <w:rFonts w:ascii="Arial" w:hAnsi="Arial" w:cs="Arial"/>
          <w:lang w:val="en-US"/>
        </w:rPr>
        <w:t>which</w:t>
      </w:r>
      <w:r w:rsidRPr="00874541">
        <w:rPr>
          <w:rFonts w:ascii="Arial" w:hAnsi="Arial" w:cs="Arial"/>
          <w:lang w:val="en-US"/>
        </w:rPr>
        <w:t xml:space="preserve"> are </w:t>
      </w:r>
      <w:r w:rsidR="00403577" w:rsidRPr="00874541">
        <w:rPr>
          <w:rFonts w:ascii="Arial" w:hAnsi="Arial" w:cs="Arial"/>
          <w:lang w:val="en-US"/>
        </w:rPr>
        <w:t>characterised</w:t>
      </w:r>
      <w:r w:rsidRPr="00874541">
        <w:rPr>
          <w:rFonts w:ascii="Arial" w:hAnsi="Arial" w:cs="Arial"/>
          <w:lang w:val="en-US"/>
        </w:rPr>
        <w:t xml:space="preserve"> by the critical, sudden worsening </w:t>
      </w:r>
      <w:r w:rsidR="00403577" w:rsidRPr="00874541">
        <w:rPr>
          <w:rFonts w:ascii="Arial" w:hAnsi="Arial" w:cs="Arial"/>
          <w:lang w:val="en-US"/>
        </w:rPr>
        <w:t>of</w:t>
      </w:r>
      <w:r w:rsidRPr="00874541">
        <w:rPr>
          <w:rFonts w:ascii="Arial" w:hAnsi="Arial" w:cs="Arial"/>
          <w:lang w:val="en-US"/>
        </w:rPr>
        <w:t xml:space="preserve"> the baseline respiratory symptoms. These episodes are critically triggered by bacterial or viral infections or environmental pollutants. They need the additional medical therapy and</w:t>
      </w:r>
      <w:r w:rsidR="00403577" w:rsidRPr="00874541">
        <w:rPr>
          <w:rFonts w:ascii="Arial" w:hAnsi="Arial" w:cs="Arial"/>
          <w:lang w:val="en-US"/>
        </w:rPr>
        <w:t>,</w:t>
      </w:r>
      <w:r w:rsidRPr="00874541">
        <w:rPr>
          <w:rFonts w:ascii="Arial" w:hAnsi="Arial" w:cs="Arial"/>
          <w:lang w:val="en-US"/>
        </w:rPr>
        <w:t xml:space="preserve"> importantly</w:t>
      </w:r>
      <w:r w:rsidR="00403577" w:rsidRPr="00874541">
        <w:rPr>
          <w:rFonts w:ascii="Arial" w:hAnsi="Arial" w:cs="Arial"/>
          <w:lang w:val="en-US"/>
        </w:rPr>
        <w:t>,</w:t>
      </w:r>
      <w:r w:rsidRPr="00874541">
        <w:rPr>
          <w:rFonts w:ascii="Arial" w:hAnsi="Arial" w:cs="Arial"/>
          <w:lang w:val="en-US"/>
        </w:rPr>
        <w:t xml:space="preserve"> </w:t>
      </w:r>
      <w:r w:rsidR="00403577" w:rsidRPr="00874541">
        <w:rPr>
          <w:rFonts w:ascii="Arial" w:hAnsi="Arial" w:cs="Arial"/>
          <w:lang w:val="en-US"/>
        </w:rPr>
        <w:t xml:space="preserve">to </w:t>
      </w:r>
      <w:r w:rsidRPr="00874541">
        <w:rPr>
          <w:rFonts w:ascii="Arial" w:hAnsi="Arial" w:cs="Arial"/>
          <w:lang w:val="en-US"/>
        </w:rPr>
        <w:t xml:space="preserve">speed up the long-term decline in lung function (Wedzicha et al., 2021). </w:t>
      </w:r>
    </w:p>
    <w:p w14:paraId="1E433DD6" w14:textId="77777777" w:rsidR="007B7295" w:rsidRPr="00874541" w:rsidRDefault="007B7295" w:rsidP="00403577">
      <w:pPr>
        <w:pStyle w:val="Heading2"/>
        <w:rPr>
          <w:rFonts w:ascii="Arial" w:hAnsi="Arial" w:cs="Arial"/>
        </w:rPr>
      </w:pPr>
      <w:bookmarkStart w:id="4" w:name="_Toc233368043"/>
      <w:r w:rsidRPr="00874541">
        <w:rPr>
          <w:rFonts w:ascii="Arial" w:hAnsi="Arial" w:cs="Arial"/>
        </w:rPr>
        <w:t>Global Burden and Prevalence Profile</w:t>
      </w:r>
      <w:bookmarkEnd w:id="4"/>
      <w:r w:rsidRPr="00874541">
        <w:rPr>
          <w:rFonts w:ascii="Arial" w:hAnsi="Arial" w:cs="Arial"/>
        </w:rPr>
        <w:t xml:space="preserve"> </w:t>
      </w:r>
    </w:p>
    <w:p w14:paraId="00EC9AE1" w14:textId="77777777" w:rsidR="00436326" w:rsidRPr="00874541" w:rsidRDefault="00436326" w:rsidP="00436326">
      <w:pPr>
        <w:keepNext/>
        <w:jc w:val="center"/>
        <w:rPr>
          <w:rFonts w:ascii="Arial" w:hAnsi="Arial" w:cs="Arial"/>
        </w:rPr>
      </w:pPr>
      <w:r w:rsidRPr="00874541">
        <w:rPr>
          <w:rFonts w:ascii="Arial" w:hAnsi="Arial" w:cs="Arial"/>
          <w:noProof/>
          <w:lang w:val="en-US"/>
        </w:rPr>
        <w:drawing>
          <wp:inline distT="0" distB="0" distL="0" distR="0" wp14:anchorId="52BE5F0D" wp14:editId="6765A711">
            <wp:extent cx="5448300" cy="3632200"/>
            <wp:effectExtent l="228600" t="228600" r="228600" b="234950"/>
            <wp:docPr id="175041567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BEBA8EAE-BF5A-486C-A8C5-ECC9F3942E4B}">
                          <a14:imgProps xmlns:a14="http://schemas.microsoft.com/office/drawing/2010/main">
                            <a14:imgLayer r:embed="rId15">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448300" cy="3632200"/>
                    </a:xfrm>
                    <a:prstGeom prst="rect">
                      <a:avLst/>
                    </a:prstGeom>
                    <a:ln w="228600" cap="sq" cmpd="thickThin">
                      <a:solidFill>
                        <a:schemeClr val="tx2"/>
                      </a:solidFill>
                      <a:prstDash val="solid"/>
                      <a:miter lim="800000"/>
                    </a:ln>
                    <a:effectLst>
                      <a:innerShdw blurRad="76200">
                        <a:srgbClr val="000000"/>
                      </a:innerShdw>
                    </a:effectLst>
                  </pic:spPr>
                </pic:pic>
              </a:graphicData>
            </a:graphic>
          </wp:inline>
        </w:drawing>
      </w:r>
    </w:p>
    <w:p w14:paraId="35C44F66" w14:textId="243CFBDB" w:rsidR="00436326" w:rsidRPr="00874541" w:rsidRDefault="00436326" w:rsidP="00436326">
      <w:pPr>
        <w:pStyle w:val="Caption"/>
        <w:jc w:val="center"/>
        <w:rPr>
          <w:rFonts w:ascii="Arial" w:hAnsi="Arial" w:cs="Arial"/>
        </w:rPr>
      </w:pPr>
      <w:bookmarkStart w:id="5" w:name="_Toc233368070"/>
      <w:r w:rsidRPr="00874541">
        <w:rPr>
          <w:rFonts w:ascii="Arial" w:hAnsi="Arial" w:cs="Arial"/>
        </w:rPr>
        <w:t xml:space="preserve">Figure </w:t>
      </w:r>
      <w:r w:rsidRPr="00874541">
        <w:rPr>
          <w:rFonts w:ascii="Arial" w:hAnsi="Arial" w:cs="Arial"/>
        </w:rPr>
        <w:fldChar w:fldCharType="begin"/>
      </w:r>
      <w:r w:rsidRPr="00874541">
        <w:rPr>
          <w:rFonts w:ascii="Arial" w:hAnsi="Arial" w:cs="Arial"/>
        </w:rPr>
        <w:instrText xml:space="preserve"> SEQ Figure \* ARABIC </w:instrText>
      </w:r>
      <w:r w:rsidRPr="00874541">
        <w:rPr>
          <w:rFonts w:ascii="Arial" w:hAnsi="Arial" w:cs="Arial"/>
        </w:rPr>
        <w:fldChar w:fldCharType="separate"/>
      </w:r>
      <w:r w:rsidR="005A2BF2" w:rsidRPr="00874541">
        <w:rPr>
          <w:rFonts w:ascii="Arial" w:hAnsi="Arial" w:cs="Arial"/>
          <w:noProof/>
        </w:rPr>
        <w:t>3</w:t>
      </w:r>
      <w:r w:rsidRPr="00874541">
        <w:rPr>
          <w:rFonts w:ascii="Arial" w:hAnsi="Arial" w:cs="Arial"/>
        </w:rPr>
        <w:fldChar w:fldCharType="end"/>
      </w:r>
      <w:r w:rsidRPr="00874541">
        <w:rPr>
          <w:rFonts w:ascii="Arial" w:hAnsi="Arial" w:cs="Arial"/>
        </w:rPr>
        <w:t>: COPD Management Strategies, Based on Stages</w:t>
      </w:r>
      <w:bookmarkEnd w:id="5"/>
    </w:p>
    <w:p w14:paraId="12D6EFAD" w14:textId="2B8C4B18" w:rsidR="00436326" w:rsidRPr="00874541" w:rsidRDefault="00436326" w:rsidP="00436326">
      <w:pPr>
        <w:pStyle w:val="Caption"/>
        <w:jc w:val="center"/>
        <w:rPr>
          <w:rFonts w:ascii="Arial" w:hAnsi="Arial" w:cs="Arial"/>
        </w:rPr>
      </w:pPr>
      <w:r w:rsidRPr="00874541">
        <w:rPr>
          <w:rFonts w:ascii="Arial" w:hAnsi="Arial" w:cs="Arial"/>
        </w:rPr>
        <w:t>(Source: Bezack, 2025)</w:t>
      </w:r>
    </w:p>
    <w:p w14:paraId="647B051C" w14:textId="4936114E" w:rsidR="007B7295" w:rsidRPr="00874541" w:rsidRDefault="007B7295" w:rsidP="00C371B0">
      <w:pPr>
        <w:spacing w:line="360" w:lineRule="auto"/>
        <w:ind w:left="142"/>
        <w:rPr>
          <w:rFonts w:ascii="Arial" w:hAnsi="Arial" w:cs="Arial"/>
          <w:lang w:val="en-US"/>
        </w:rPr>
      </w:pPr>
      <w:r w:rsidRPr="00874541">
        <w:rPr>
          <w:rFonts w:ascii="Arial" w:hAnsi="Arial" w:cs="Arial"/>
          <w:lang w:val="en-US"/>
        </w:rPr>
        <w:t xml:space="preserve">On </w:t>
      </w:r>
      <w:r w:rsidR="007509B1" w:rsidRPr="00874541">
        <w:rPr>
          <w:rFonts w:ascii="Arial" w:hAnsi="Arial" w:cs="Arial"/>
          <w:lang w:val="en-US"/>
        </w:rPr>
        <w:t>a</w:t>
      </w:r>
      <w:r w:rsidRPr="00874541">
        <w:rPr>
          <w:rFonts w:ascii="Arial" w:hAnsi="Arial" w:cs="Arial"/>
          <w:lang w:val="en-US"/>
        </w:rPr>
        <w:t xml:space="preserve"> global scale, COPD </w:t>
      </w:r>
      <w:r w:rsidR="007509B1" w:rsidRPr="00874541">
        <w:rPr>
          <w:rFonts w:ascii="Arial" w:hAnsi="Arial" w:cs="Arial"/>
          <w:lang w:val="en-US"/>
        </w:rPr>
        <w:t>poses</w:t>
      </w:r>
      <w:r w:rsidRPr="00874541">
        <w:rPr>
          <w:rFonts w:ascii="Arial" w:hAnsi="Arial" w:cs="Arial"/>
          <w:lang w:val="en-US"/>
        </w:rPr>
        <w:t xml:space="preserve"> a critical challenge for public health and stands as the third leading cause of death globally. It leads to about 3.3 million deaths on </w:t>
      </w:r>
      <w:r w:rsidR="00403577" w:rsidRPr="00874541">
        <w:rPr>
          <w:rFonts w:ascii="Arial" w:hAnsi="Arial" w:cs="Arial"/>
          <w:lang w:val="en-US"/>
        </w:rPr>
        <w:t xml:space="preserve">a </w:t>
      </w:r>
      <w:r w:rsidRPr="00874541">
        <w:rPr>
          <w:rFonts w:ascii="Arial" w:hAnsi="Arial" w:cs="Arial"/>
          <w:lang w:val="en-US"/>
        </w:rPr>
        <w:t xml:space="preserve">yearly basis, which shows roughly 6 </w:t>
      </w:r>
      <w:r w:rsidR="00403577" w:rsidRPr="00874541">
        <w:rPr>
          <w:rFonts w:ascii="Arial" w:hAnsi="Arial" w:cs="Arial"/>
          <w:lang w:val="en-US"/>
        </w:rPr>
        <w:t>per cent</w:t>
      </w:r>
      <w:r w:rsidRPr="00874541">
        <w:rPr>
          <w:rFonts w:ascii="Arial" w:hAnsi="Arial" w:cs="Arial"/>
          <w:lang w:val="en-US"/>
        </w:rPr>
        <w:t xml:space="preserve"> of all global deaths, </w:t>
      </w:r>
      <w:r w:rsidR="00403577" w:rsidRPr="00874541">
        <w:rPr>
          <w:rFonts w:ascii="Arial" w:hAnsi="Arial" w:cs="Arial"/>
          <w:lang w:val="en-US"/>
        </w:rPr>
        <w:t>and</w:t>
      </w:r>
      <w:r w:rsidRPr="00874541">
        <w:rPr>
          <w:rFonts w:ascii="Arial" w:hAnsi="Arial" w:cs="Arial"/>
          <w:lang w:val="en-US"/>
        </w:rPr>
        <w:t xml:space="preserve"> </w:t>
      </w:r>
      <w:r w:rsidR="00403577" w:rsidRPr="00874541">
        <w:rPr>
          <w:rFonts w:ascii="Arial" w:hAnsi="Arial" w:cs="Arial"/>
          <w:lang w:val="en-US"/>
        </w:rPr>
        <w:t>poses an</w:t>
      </w:r>
      <w:r w:rsidRPr="00874541">
        <w:rPr>
          <w:rFonts w:ascii="Arial" w:hAnsi="Arial" w:cs="Arial"/>
          <w:lang w:val="en-US"/>
        </w:rPr>
        <w:t xml:space="preserve"> increasing threat to the </w:t>
      </w:r>
      <w:r w:rsidR="00403577" w:rsidRPr="00874541">
        <w:rPr>
          <w:rFonts w:ascii="Arial" w:hAnsi="Arial" w:cs="Arial"/>
          <w:lang w:val="en-US"/>
        </w:rPr>
        <w:t>ageing</w:t>
      </w:r>
      <w:r w:rsidRPr="00874541">
        <w:rPr>
          <w:rFonts w:ascii="Arial" w:hAnsi="Arial" w:cs="Arial"/>
          <w:lang w:val="en-US"/>
        </w:rPr>
        <w:t xml:space="preserve"> populations (World Health Organisation, 2024). </w:t>
      </w:r>
    </w:p>
    <w:p w14:paraId="1DE1D772" w14:textId="6399B207" w:rsidR="0009015B" w:rsidRPr="00874541" w:rsidRDefault="007F2889" w:rsidP="00C371B0">
      <w:pPr>
        <w:spacing w:line="360" w:lineRule="auto"/>
        <w:ind w:left="142"/>
        <w:rPr>
          <w:rFonts w:ascii="Arial" w:hAnsi="Arial" w:cs="Arial"/>
          <w:lang w:val="en-US"/>
        </w:rPr>
      </w:pPr>
      <w:r w:rsidRPr="00874541">
        <w:rPr>
          <w:rFonts w:ascii="Arial" w:hAnsi="Arial" w:cs="Arial"/>
          <w:lang w:val="en-US"/>
        </w:rPr>
        <w:t>The overall global prevalence of COPD among people aged 30 years and older is predicted at about 20.3%</w:t>
      </w:r>
      <w:r w:rsidR="00403577" w:rsidRPr="00874541">
        <w:rPr>
          <w:rFonts w:ascii="Arial" w:hAnsi="Arial" w:cs="Arial"/>
          <w:lang w:val="en-US"/>
        </w:rPr>
        <w:t>,</w:t>
      </w:r>
      <w:r w:rsidRPr="00874541">
        <w:rPr>
          <w:rFonts w:ascii="Arial" w:hAnsi="Arial" w:cs="Arial"/>
          <w:lang w:val="en-US"/>
        </w:rPr>
        <w:t xml:space="preserve"> translating to more than 390 million cases globally. The burden is moving towards the middle- and low-income nations due to the high rates of biomass fuel exposure and increasing prevalence of smoking (Adeloye et al., 2022). </w:t>
      </w:r>
    </w:p>
    <w:p w14:paraId="21340802" w14:textId="1A4FA045" w:rsidR="007F2889" w:rsidRPr="00874541" w:rsidRDefault="0013142A" w:rsidP="00C371B0">
      <w:pPr>
        <w:spacing w:line="360" w:lineRule="auto"/>
        <w:ind w:left="142"/>
        <w:rPr>
          <w:rFonts w:ascii="Arial" w:hAnsi="Arial" w:cs="Arial"/>
          <w:lang w:val="en-US"/>
        </w:rPr>
      </w:pPr>
      <w:r w:rsidRPr="00874541">
        <w:rPr>
          <w:rFonts w:ascii="Arial" w:hAnsi="Arial" w:cs="Arial"/>
          <w:lang w:val="en-US"/>
        </w:rPr>
        <w:lastRenderedPageBreak/>
        <w:t xml:space="preserve">Within the UK, about 1.4 million people are currently diagnosed with COPD. This </w:t>
      </w:r>
      <w:r w:rsidR="00403577" w:rsidRPr="00874541">
        <w:rPr>
          <w:rFonts w:ascii="Arial" w:hAnsi="Arial" w:cs="Arial"/>
          <w:lang w:val="en-US"/>
        </w:rPr>
        <w:t>affects</w:t>
      </w:r>
      <w:r w:rsidRPr="00874541">
        <w:rPr>
          <w:rFonts w:ascii="Arial" w:hAnsi="Arial" w:cs="Arial"/>
          <w:lang w:val="en-US"/>
        </w:rPr>
        <w:t xml:space="preserve"> about 2 </w:t>
      </w:r>
      <w:r w:rsidR="00403577" w:rsidRPr="00874541">
        <w:rPr>
          <w:rFonts w:ascii="Arial" w:hAnsi="Arial" w:cs="Arial"/>
          <w:lang w:val="en-US"/>
        </w:rPr>
        <w:t>per cent</w:t>
      </w:r>
      <w:r w:rsidRPr="00874541">
        <w:rPr>
          <w:rFonts w:ascii="Arial" w:hAnsi="Arial" w:cs="Arial"/>
          <w:lang w:val="en-US"/>
        </w:rPr>
        <w:t xml:space="preserve"> of the whole population of the UK, making it the second most common chronic respiratory condition across the nation, surpassed only by asthma. </w:t>
      </w:r>
    </w:p>
    <w:p w14:paraId="286DE677" w14:textId="2ED2CFFE" w:rsidR="0013142A" w:rsidRPr="00874541" w:rsidRDefault="0013142A" w:rsidP="00C371B0">
      <w:pPr>
        <w:spacing w:line="360" w:lineRule="auto"/>
        <w:ind w:left="142"/>
        <w:rPr>
          <w:rFonts w:ascii="Arial" w:hAnsi="Arial" w:cs="Arial"/>
          <w:lang w:val="en-US"/>
        </w:rPr>
      </w:pPr>
      <w:r w:rsidRPr="00874541">
        <w:rPr>
          <w:rFonts w:ascii="Arial" w:hAnsi="Arial" w:cs="Arial"/>
          <w:lang w:val="en-US"/>
        </w:rPr>
        <w:t xml:space="preserve">Epidemiological </w:t>
      </w:r>
      <w:r w:rsidR="00403577" w:rsidRPr="00874541">
        <w:rPr>
          <w:rFonts w:ascii="Arial" w:hAnsi="Arial" w:cs="Arial"/>
          <w:lang w:val="en-US"/>
        </w:rPr>
        <w:t>modelling</w:t>
      </w:r>
      <w:r w:rsidRPr="00874541">
        <w:rPr>
          <w:rFonts w:ascii="Arial" w:hAnsi="Arial" w:cs="Arial"/>
          <w:lang w:val="en-US"/>
        </w:rPr>
        <w:t xml:space="preserve"> from the national dataset </w:t>
      </w:r>
      <w:r w:rsidR="00403577" w:rsidRPr="00874541">
        <w:rPr>
          <w:rFonts w:ascii="Arial" w:hAnsi="Arial" w:cs="Arial"/>
          <w:lang w:val="en-US"/>
        </w:rPr>
        <w:t>suggests</w:t>
      </w:r>
      <w:r w:rsidRPr="00874541">
        <w:rPr>
          <w:rFonts w:ascii="Arial" w:hAnsi="Arial" w:cs="Arial"/>
          <w:lang w:val="en-US"/>
        </w:rPr>
        <w:t xml:space="preserve"> that </w:t>
      </w:r>
      <w:r w:rsidR="00403577" w:rsidRPr="00874541">
        <w:rPr>
          <w:rFonts w:ascii="Arial" w:hAnsi="Arial" w:cs="Arial"/>
          <w:lang w:val="en-US"/>
        </w:rPr>
        <w:t xml:space="preserve">an </w:t>
      </w:r>
      <w:r w:rsidRPr="00874541">
        <w:rPr>
          <w:rFonts w:ascii="Arial" w:hAnsi="Arial" w:cs="Arial"/>
          <w:lang w:val="en-US"/>
        </w:rPr>
        <w:t xml:space="preserve">additional 2 million people in the UK remain completely undiagnosed. Several people misinterpret early signs, such as a morning cough or mild exertional breathlessness, as the normal results of long-term or </w:t>
      </w:r>
      <w:r w:rsidR="007509B1" w:rsidRPr="00874541">
        <w:rPr>
          <w:rFonts w:ascii="Arial" w:hAnsi="Arial" w:cs="Arial"/>
          <w:lang w:val="en-US"/>
        </w:rPr>
        <w:t>newly acquired</w:t>
      </w:r>
      <w:r w:rsidRPr="00874541">
        <w:rPr>
          <w:rFonts w:ascii="Arial" w:hAnsi="Arial" w:cs="Arial"/>
          <w:lang w:val="en-US"/>
        </w:rPr>
        <w:t xml:space="preserve"> smoking habits. </w:t>
      </w:r>
    </w:p>
    <w:p w14:paraId="4525A3BD" w14:textId="3152F4A4" w:rsidR="0013142A" w:rsidRPr="00874541" w:rsidRDefault="0013142A" w:rsidP="00C371B0">
      <w:pPr>
        <w:spacing w:line="360" w:lineRule="auto"/>
        <w:ind w:left="142"/>
        <w:rPr>
          <w:rFonts w:ascii="Arial" w:hAnsi="Arial" w:cs="Arial"/>
          <w:lang w:val="en-US"/>
        </w:rPr>
      </w:pPr>
      <w:r w:rsidRPr="00874541">
        <w:rPr>
          <w:rFonts w:ascii="Arial" w:hAnsi="Arial" w:cs="Arial"/>
          <w:lang w:val="en-US"/>
        </w:rPr>
        <w:t>In the UK, COPD is closely related to socioeconomic deprivation. Emergency hospital admission rates, prevalence rates, and mortality rates are up to three times higher in the most deprived geographic areas in comparison to the most affluent areas, presenting clear health inequalities</w:t>
      </w:r>
      <w:r w:rsidR="00446812" w:rsidRPr="00874541">
        <w:rPr>
          <w:rFonts w:ascii="Arial" w:hAnsi="Arial" w:cs="Arial"/>
          <w:lang w:val="en-US"/>
        </w:rPr>
        <w:t>.</w:t>
      </w:r>
    </w:p>
    <w:p w14:paraId="0A43D5AD" w14:textId="56800893" w:rsidR="0013142A" w:rsidRPr="00874541" w:rsidRDefault="0013142A" w:rsidP="00C371B0">
      <w:pPr>
        <w:spacing w:line="360" w:lineRule="auto"/>
        <w:ind w:left="142"/>
        <w:rPr>
          <w:rFonts w:ascii="Arial" w:hAnsi="Arial" w:cs="Arial"/>
        </w:rPr>
      </w:pPr>
      <w:r w:rsidRPr="00874541">
        <w:rPr>
          <w:rFonts w:ascii="Arial" w:hAnsi="Arial" w:cs="Arial"/>
          <w:lang w:val="en-US"/>
        </w:rPr>
        <w:t xml:space="preserve">Financially, COPD is among the costliest conditions that are managed by the National Health Service (NHS). It costs direct clinical services more than </w:t>
      </w:r>
      <w:r w:rsidRPr="00874541">
        <w:rPr>
          <w:rFonts w:ascii="Arial" w:hAnsi="Arial" w:cs="Arial"/>
        </w:rPr>
        <w:t xml:space="preserve">£1.9 billion on </w:t>
      </w:r>
      <w:r w:rsidR="00403577" w:rsidRPr="00874541">
        <w:rPr>
          <w:rFonts w:ascii="Arial" w:hAnsi="Arial" w:cs="Arial"/>
        </w:rPr>
        <w:t>a</w:t>
      </w:r>
      <w:r w:rsidRPr="00874541">
        <w:rPr>
          <w:rFonts w:ascii="Arial" w:hAnsi="Arial" w:cs="Arial"/>
        </w:rPr>
        <w:t xml:space="preserve"> yearly basis. The majority of these funds are spent on emergency hospital admissions, which makes it </w:t>
      </w:r>
      <w:r w:rsidR="00403577" w:rsidRPr="00874541">
        <w:rPr>
          <w:rFonts w:ascii="Arial" w:hAnsi="Arial" w:cs="Arial"/>
        </w:rPr>
        <w:t>a</w:t>
      </w:r>
      <w:r w:rsidRPr="00874541">
        <w:rPr>
          <w:rFonts w:ascii="Arial" w:hAnsi="Arial" w:cs="Arial"/>
        </w:rPr>
        <w:t xml:space="preserve"> critical emphasis for preventive </w:t>
      </w:r>
      <w:r w:rsidR="00403577" w:rsidRPr="00874541">
        <w:rPr>
          <w:rFonts w:ascii="Arial" w:hAnsi="Arial" w:cs="Arial"/>
        </w:rPr>
        <w:t>health policies</w:t>
      </w:r>
      <w:r w:rsidRPr="00874541">
        <w:rPr>
          <w:rFonts w:ascii="Arial" w:hAnsi="Arial" w:cs="Arial"/>
        </w:rPr>
        <w:t xml:space="preserve">. </w:t>
      </w:r>
    </w:p>
    <w:p w14:paraId="22FC6A03" w14:textId="581FF518" w:rsidR="0013142A" w:rsidRPr="00874541" w:rsidRDefault="0013142A" w:rsidP="00403577">
      <w:pPr>
        <w:pStyle w:val="Heading2"/>
        <w:rPr>
          <w:rFonts w:ascii="Arial" w:hAnsi="Arial" w:cs="Arial"/>
        </w:rPr>
      </w:pPr>
      <w:bookmarkStart w:id="6" w:name="_Toc233368044"/>
      <w:r w:rsidRPr="00874541">
        <w:rPr>
          <w:rFonts w:ascii="Arial" w:hAnsi="Arial" w:cs="Arial"/>
        </w:rPr>
        <w:t>Risk Factors and Aetiology</w:t>
      </w:r>
      <w:bookmarkEnd w:id="6"/>
      <w:r w:rsidRPr="00874541">
        <w:rPr>
          <w:rFonts w:ascii="Arial" w:hAnsi="Arial" w:cs="Arial"/>
        </w:rPr>
        <w:t xml:space="preserve"> </w:t>
      </w:r>
    </w:p>
    <w:p w14:paraId="1CDE2C5B" w14:textId="77777777" w:rsidR="007F7650" w:rsidRPr="00874541" w:rsidRDefault="0013142A" w:rsidP="00403577">
      <w:pPr>
        <w:keepNext/>
        <w:spacing w:line="360" w:lineRule="auto"/>
        <w:jc w:val="center"/>
        <w:rPr>
          <w:rFonts w:ascii="Arial" w:hAnsi="Arial" w:cs="Arial"/>
        </w:rPr>
      </w:pPr>
      <w:r w:rsidRPr="00874541">
        <w:rPr>
          <w:rFonts w:ascii="Arial" w:hAnsi="Arial" w:cs="Arial"/>
          <w:noProof/>
          <w:lang w:val="en-US"/>
        </w:rPr>
        <w:drawing>
          <wp:inline distT="0" distB="0" distL="0" distR="0" wp14:anchorId="30AA26D9" wp14:editId="3E54A44D">
            <wp:extent cx="5446568" cy="3122468"/>
            <wp:effectExtent l="57150" t="57150" r="97155" b="78105"/>
            <wp:docPr id="65809282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7641F822" w14:textId="2558E1CF" w:rsidR="0013142A" w:rsidRPr="00874541" w:rsidRDefault="007F7650" w:rsidP="00403577">
      <w:pPr>
        <w:pStyle w:val="Caption"/>
        <w:spacing w:line="360" w:lineRule="auto"/>
        <w:jc w:val="center"/>
        <w:rPr>
          <w:rFonts w:ascii="Arial" w:hAnsi="Arial" w:cs="Arial"/>
          <w:szCs w:val="24"/>
        </w:rPr>
      </w:pPr>
      <w:bookmarkStart w:id="7" w:name="_Toc233368071"/>
      <w:r w:rsidRPr="00874541">
        <w:rPr>
          <w:rFonts w:ascii="Arial" w:hAnsi="Arial" w:cs="Arial"/>
          <w:szCs w:val="24"/>
        </w:rPr>
        <w:t xml:space="preserve">Figure </w:t>
      </w:r>
      <w:r w:rsidRPr="00874541">
        <w:rPr>
          <w:rFonts w:ascii="Arial" w:hAnsi="Arial" w:cs="Arial"/>
          <w:szCs w:val="24"/>
        </w:rPr>
        <w:fldChar w:fldCharType="begin"/>
      </w:r>
      <w:r w:rsidRPr="00874541">
        <w:rPr>
          <w:rFonts w:ascii="Arial" w:hAnsi="Arial" w:cs="Arial"/>
          <w:szCs w:val="24"/>
        </w:rPr>
        <w:instrText xml:space="preserve"> SEQ Figure \* ARABIC </w:instrText>
      </w:r>
      <w:r w:rsidRPr="00874541">
        <w:rPr>
          <w:rFonts w:ascii="Arial" w:hAnsi="Arial" w:cs="Arial"/>
          <w:szCs w:val="24"/>
        </w:rPr>
        <w:fldChar w:fldCharType="separate"/>
      </w:r>
      <w:r w:rsidR="005A2BF2" w:rsidRPr="00874541">
        <w:rPr>
          <w:rFonts w:ascii="Arial" w:hAnsi="Arial" w:cs="Arial"/>
          <w:noProof/>
          <w:szCs w:val="24"/>
        </w:rPr>
        <w:t>4</w:t>
      </w:r>
      <w:r w:rsidRPr="00874541">
        <w:rPr>
          <w:rFonts w:ascii="Arial" w:hAnsi="Arial" w:cs="Arial"/>
          <w:szCs w:val="24"/>
        </w:rPr>
        <w:fldChar w:fldCharType="end"/>
      </w:r>
      <w:r w:rsidRPr="00874541">
        <w:rPr>
          <w:rFonts w:ascii="Arial" w:hAnsi="Arial" w:cs="Arial"/>
          <w:szCs w:val="24"/>
        </w:rPr>
        <w:t>: Risk Factors and Aetiology</w:t>
      </w:r>
      <w:bookmarkEnd w:id="7"/>
    </w:p>
    <w:p w14:paraId="55BC81E6" w14:textId="59877B9C" w:rsidR="007F7650" w:rsidRPr="00874541" w:rsidRDefault="007F7650" w:rsidP="00403577">
      <w:pPr>
        <w:spacing w:line="360" w:lineRule="auto"/>
        <w:jc w:val="center"/>
        <w:rPr>
          <w:rFonts w:ascii="Arial" w:hAnsi="Arial" w:cs="Arial"/>
          <w:lang w:val="en-US"/>
        </w:rPr>
      </w:pPr>
      <w:r w:rsidRPr="00874541">
        <w:rPr>
          <w:rFonts w:ascii="Arial" w:hAnsi="Arial" w:cs="Arial"/>
          <w:lang w:val="en-US"/>
        </w:rPr>
        <w:t>(Source: Author, 2026)</w:t>
      </w:r>
    </w:p>
    <w:p w14:paraId="2CA4DBED" w14:textId="54B7351C" w:rsidR="007F7650" w:rsidRPr="00874541" w:rsidRDefault="007F7650" w:rsidP="00C371B0">
      <w:pPr>
        <w:spacing w:line="360" w:lineRule="auto"/>
        <w:rPr>
          <w:rFonts w:ascii="Arial" w:hAnsi="Arial" w:cs="Arial"/>
          <w:lang w:val="en-US"/>
        </w:rPr>
      </w:pPr>
      <w:r w:rsidRPr="00874541">
        <w:rPr>
          <w:rFonts w:ascii="Arial" w:hAnsi="Arial" w:cs="Arial"/>
          <w:lang w:val="en-US"/>
        </w:rPr>
        <w:lastRenderedPageBreak/>
        <w:t xml:space="preserve">Non-smokers who face chronic exposure to secondhand smoke face </w:t>
      </w:r>
      <w:r w:rsidR="007509B1" w:rsidRPr="00874541">
        <w:rPr>
          <w:rFonts w:ascii="Arial" w:hAnsi="Arial" w:cs="Arial"/>
          <w:lang w:val="en-US"/>
        </w:rPr>
        <w:t>a</w:t>
      </w:r>
      <w:r w:rsidRPr="00874541">
        <w:rPr>
          <w:rFonts w:ascii="Arial" w:hAnsi="Arial" w:cs="Arial"/>
          <w:lang w:val="en-US"/>
        </w:rPr>
        <w:t xml:space="preserve"> </w:t>
      </w:r>
      <w:r w:rsidR="007509B1" w:rsidRPr="00874541">
        <w:rPr>
          <w:rFonts w:ascii="Arial" w:hAnsi="Arial" w:cs="Arial"/>
          <w:lang w:val="en-US"/>
        </w:rPr>
        <w:t>significantly</w:t>
      </w:r>
      <w:r w:rsidRPr="00874541">
        <w:rPr>
          <w:rFonts w:ascii="Arial" w:hAnsi="Arial" w:cs="Arial"/>
          <w:lang w:val="en-US"/>
        </w:rPr>
        <w:t xml:space="preserve"> increased risk of developing airflow limitation. Inhaled toxins damage the epithelial cells and impair the normal mechanism of ciliary clearance of the lungs (Vogelmeier et al., 2021). </w:t>
      </w:r>
    </w:p>
    <w:p w14:paraId="231FA9A7" w14:textId="0E9E69CA" w:rsidR="007F7650" w:rsidRPr="00874541" w:rsidRDefault="007F7650" w:rsidP="00C371B0">
      <w:pPr>
        <w:spacing w:line="360" w:lineRule="auto"/>
        <w:rPr>
          <w:rFonts w:ascii="Arial" w:hAnsi="Arial" w:cs="Arial"/>
          <w:lang w:val="en-US"/>
        </w:rPr>
      </w:pPr>
      <w:r w:rsidRPr="00874541">
        <w:rPr>
          <w:rFonts w:ascii="Arial" w:hAnsi="Arial" w:cs="Arial"/>
          <w:lang w:val="en-US"/>
        </w:rPr>
        <w:t xml:space="preserve">Cigarette smoking is found to </w:t>
      </w:r>
      <w:r w:rsidR="00403577" w:rsidRPr="00874541">
        <w:rPr>
          <w:rFonts w:ascii="Arial" w:hAnsi="Arial" w:cs="Arial"/>
          <w:lang w:val="en-US"/>
        </w:rPr>
        <w:t xml:space="preserve">be </w:t>
      </w:r>
      <w:r w:rsidRPr="00874541">
        <w:rPr>
          <w:rFonts w:ascii="Arial" w:hAnsi="Arial" w:cs="Arial"/>
          <w:lang w:val="en-US"/>
        </w:rPr>
        <w:t>the major cause of COPD in high-income nations. It leads to 70% to 80% of the documented disease burden in the UK by driving oxidative stress and activating inflammatory cascades (</w:t>
      </w:r>
      <w:r w:rsidR="002B7242" w:rsidRPr="00874541">
        <w:rPr>
          <w:rFonts w:ascii="Arial" w:hAnsi="Arial" w:cs="Arial"/>
        </w:rPr>
        <w:t>National Institute for Health and Care Excellence</w:t>
      </w:r>
      <w:r w:rsidRPr="00874541">
        <w:rPr>
          <w:rFonts w:ascii="Arial" w:hAnsi="Arial" w:cs="Arial"/>
          <w:lang w:val="en-US"/>
        </w:rPr>
        <w:t xml:space="preserve">, 2019). </w:t>
      </w:r>
    </w:p>
    <w:p w14:paraId="1421C7B0" w14:textId="6E4D32C3" w:rsidR="007F7650" w:rsidRPr="00874541" w:rsidRDefault="007F7650" w:rsidP="00C371B0">
      <w:pPr>
        <w:spacing w:line="360" w:lineRule="auto"/>
        <w:rPr>
          <w:rFonts w:ascii="Arial" w:hAnsi="Arial" w:cs="Arial"/>
          <w:lang w:val="en-US"/>
        </w:rPr>
      </w:pPr>
      <w:r w:rsidRPr="00874541">
        <w:rPr>
          <w:rFonts w:ascii="Arial" w:hAnsi="Arial" w:cs="Arial"/>
          <w:lang w:val="en-US"/>
        </w:rPr>
        <w:t xml:space="preserve">On </w:t>
      </w:r>
      <w:r w:rsidR="00403577" w:rsidRPr="00874541">
        <w:rPr>
          <w:rFonts w:ascii="Arial" w:hAnsi="Arial" w:cs="Arial"/>
          <w:lang w:val="en-US"/>
        </w:rPr>
        <w:t>a</w:t>
      </w:r>
      <w:r w:rsidRPr="00874541">
        <w:rPr>
          <w:rFonts w:ascii="Arial" w:hAnsi="Arial" w:cs="Arial"/>
          <w:lang w:val="en-US"/>
        </w:rPr>
        <w:t xml:space="preserve"> global </w:t>
      </w:r>
      <w:r w:rsidR="00403577" w:rsidRPr="00874541">
        <w:rPr>
          <w:rFonts w:ascii="Arial" w:hAnsi="Arial" w:cs="Arial"/>
          <w:lang w:val="en-US"/>
        </w:rPr>
        <w:t>scale</w:t>
      </w:r>
      <w:r w:rsidRPr="00874541">
        <w:rPr>
          <w:rFonts w:ascii="Arial" w:hAnsi="Arial" w:cs="Arial"/>
          <w:lang w:val="en-US"/>
        </w:rPr>
        <w:t xml:space="preserve">, the burning </w:t>
      </w:r>
      <w:r w:rsidR="00403577" w:rsidRPr="00874541">
        <w:rPr>
          <w:rFonts w:ascii="Arial" w:hAnsi="Arial" w:cs="Arial"/>
          <w:lang w:val="en-US"/>
        </w:rPr>
        <w:t xml:space="preserve">of </w:t>
      </w:r>
      <w:r w:rsidRPr="00874541">
        <w:rPr>
          <w:rFonts w:ascii="Arial" w:hAnsi="Arial" w:cs="Arial"/>
          <w:lang w:val="en-US"/>
        </w:rPr>
        <w:t xml:space="preserve">biomass fuels (like animal dung, wood, and crop residues) in open fires or inefficient stoves for heating and cooking </w:t>
      </w:r>
      <w:r w:rsidR="00403577" w:rsidRPr="00874541">
        <w:rPr>
          <w:rFonts w:ascii="Arial" w:hAnsi="Arial" w:cs="Arial"/>
          <w:lang w:val="en-US"/>
        </w:rPr>
        <w:t>is a</w:t>
      </w:r>
      <w:r w:rsidRPr="00874541">
        <w:rPr>
          <w:rFonts w:ascii="Arial" w:hAnsi="Arial" w:cs="Arial"/>
          <w:lang w:val="en-US"/>
        </w:rPr>
        <w:t xml:space="preserve"> major </w:t>
      </w:r>
      <w:r w:rsidR="00403577" w:rsidRPr="00874541">
        <w:rPr>
          <w:rFonts w:ascii="Arial" w:hAnsi="Arial" w:cs="Arial"/>
          <w:lang w:val="en-US"/>
        </w:rPr>
        <w:t>reason for</w:t>
      </w:r>
      <w:r w:rsidRPr="00874541">
        <w:rPr>
          <w:rFonts w:ascii="Arial" w:hAnsi="Arial" w:cs="Arial"/>
          <w:lang w:val="en-US"/>
        </w:rPr>
        <w:t xml:space="preserve"> COPD. This exposure especially affects the children and women in the rural areas of the developing nations (WHO, 2024). </w:t>
      </w:r>
    </w:p>
    <w:p w14:paraId="13F184C1" w14:textId="22A14E84" w:rsidR="007F7650" w:rsidRPr="00874541" w:rsidRDefault="007F7650" w:rsidP="00C371B0">
      <w:pPr>
        <w:spacing w:line="360" w:lineRule="auto"/>
        <w:rPr>
          <w:rFonts w:ascii="Arial" w:hAnsi="Arial" w:cs="Arial"/>
          <w:lang w:val="en-US"/>
        </w:rPr>
      </w:pPr>
      <w:r w:rsidRPr="00874541">
        <w:rPr>
          <w:rFonts w:ascii="Arial" w:hAnsi="Arial" w:cs="Arial"/>
          <w:lang w:val="en-US"/>
        </w:rPr>
        <w:t>High concentrations of the ambient particulate matter (PM</w:t>
      </w:r>
      <w:r w:rsidRPr="00874541">
        <w:rPr>
          <w:rFonts w:ascii="Arial" w:hAnsi="Arial" w:cs="Arial"/>
          <w:vertAlign w:val="subscript"/>
          <w:lang w:val="en-US"/>
        </w:rPr>
        <w:t>2.5</w:t>
      </w:r>
      <w:r w:rsidRPr="00874541">
        <w:rPr>
          <w:rFonts w:ascii="Arial" w:hAnsi="Arial" w:cs="Arial"/>
          <w:lang w:val="en-US"/>
        </w:rPr>
        <w:t xml:space="preserve"> and PM</w:t>
      </w:r>
      <w:r w:rsidRPr="00874541">
        <w:rPr>
          <w:rFonts w:ascii="Arial" w:hAnsi="Arial" w:cs="Arial"/>
          <w:vertAlign w:val="subscript"/>
          <w:lang w:val="en-US"/>
        </w:rPr>
        <w:t>10</w:t>
      </w:r>
      <w:r w:rsidRPr="00874541">
        <w:rPr>
          <w:rFonts w:ascii="Arial" w:hAnsi="Arial" w:cs="Arial"/>
          <w:lang w:val="en-US"/>
        </w:rPr>
        <w:t>), sulfur dioxide (SO</w:t>
      </w:r>
      <w:r w:rsidRPr="00874541">
        <w:rPr>
          <w:rFonts w:ascii="Arial" w:hAnsi="Arial" w:cs="Arial"/>
          <w:vertAlign w:val="subscript"/>
          <w:lang w:val="en-US"/>
        </w:rPr>
        <w:t>2</w:t>
      </w:r>
      <w:r w:rsidRPr="00874541">
        <w:rPr>
          <w:rFonts w:ascii="Arial" w:hAnsi="Arial" w:cs="Arial"/>
          <w:lang w:val="en-US"/>
        </w:rPr>
        <w:t xml:space="preserve">) and nitrogen dioxide (NO2) </w:t>
      </w:r>
      <w:r w:rsidR="00403577" w:rsidRPr="00874541">
        <w:rPr>
          <w:rFonts w:ascii="Arial" w:hAnsi="Arial" w:cs="Arial"/>
          <w:lang w:val="en-US"/>
        </w:rPr>
        <w:t>lead</w:t>
      </w:r>
      <w:r w:rsidRPr="00874541">
        <w:rPr>
          <w:rFonts w:ascii="Arial" w:hAnsi="Arial" w:cs="Arial"/>
          <w:lang w:val="en-US"/>
        </w:rPr>
        <w:t xml:space="preserve"> to </w:t>
      </w:r>
      <w:r w:rsidR="00403577" w:rsidRPr="00874541">
        <w:rPr>
          <w:rFonts w:ascii="Arial" w:hAnsi="Arial" w:cs="Arial"/>
          <w:lang w:val="en-US"/>
        </w:rPr>
        <w:t>a</w:t>
      </w:r>
      <w:r w:rsidRPr="00874541">
        <w:rPr>
          <w:rFonts w:ascii="Arial" w:hAnsi="Arial" w:cs="Arial"/>
          <w:lang w:val="en-US"/>
        </w:rPr>
        <w:t xml:space="preserve"> quick decrease in the functions of the lungs, particularly in urban environments with vehicular traffic and heavy industrial areas (Thurston et al., 2020). </w:t>
      </w:r>
    </w:p>
    <w:p w14:paraId="25877EBE" w14:textId="137D5BED" w:rsidR="007F7650" w:rsidRPr="00874541" w:rsidRDefault="007F7650" w:rsidP="00C371B0">
      <w:pPr>
        <w:spacing w:line="360" w:lineRule="auto"/>
        <w:rPr>
          <w:rFonts w:ascii="Arial" w:hAnsi="Arial" w:cs="Arial"/>
          <w:lang w:val="en-US"/>
        </w:rPr>
      </w:pPr>
      <w:r w:rsidRPr="00874541">
        <w:rPr>
          <w:rFonts w:ascii="Arial" w:hAnsi="Arial" w:cs="Arial"/>
          <w:lang w:val="en-US"/>
        </w:rPr>
        <w:t>Exposure for the prolonged period to the chemical vapours, occupational dusts, fumes and irritants in industries like construction</w:t>
      </w:r>
      <w:r w:rsidR="00403577" w:rsidRPr="00874541">
        <w:rPr>
          <w:rFonts w:ascii="Arial" w:hAnsi="Arial" w:cs="Arial"/>
          <w:lang w:val="en-US"/>
        </w:rPr>
        <w:t>,</w:t>
      </w:r>
      <w:r w:rsidRPr="00874541">
        <w:rPr>
          <w:rFonts w:ascii="Arial" w:hAnsi="Arial" w:cs="Arial"/>
          <w:lang w:val="en-US"/>
        </w:rPr>
        <w:t xml:space="preserve"> agriculture, coal mining and textiles</w:t>
      </w:r>
      <w:r w:rsidR="007509B1" w:rsidRPr="00874541">
        <w:rPr>
          <w:rFonts w:ascii="Arial" w:hAnsi="Arial" w:cs="Arial"/>
          <w:lang w:val="en-US"/>
        </w:rPr>
        <w:t>,</w:t>
      </w:r>
      <w:r w:rsidRPr="00874541">
        <w:rPr>
          <w:rFonts w:ascii="Arial" w:hAnsi="Arial" w:cs="Arial"/>
          <w:lang w:val="en-US"/>
        </w:rPr>
        <w:t xml:space="preserve"> importantly increases the risk of developing COPD, independent of smoking status</w:t>
      </w:r>
      <w:r w:rsidR="00B70756" w:rsidRPr="00874541">
        <w:rPr>
          <w:rFonts w:ascii="Arial" w:hAnsi="Arial" w:cs="Arial"/>
          <w:lang w:val="en-US"/>
        </w:rPr>
        <w:t>.</w:t>
      </w:r>
    </w:p>
    <w:p w14:paraId="7A00DE04" w14:textId="4184F957" w:rsidR="007F7650" w:rsidRPr="00874541" w:rsidRDefault="007F7650" w:rsidP="00C371B0">
      <w:pPr>
        <w:spacing w:line="360" w:lineRule="auto"/>
        <w:rPr>
          <w:rFonts w:ascii="Arial" w:hAnsi="Arial" w:cs="Arial"/>
          <w:lang w:val="en-US"/>
        </w:rPr>
      </w:pPr>
      <w:r w:rsidRPr="00874541">
        <w:rPr>
          <w:rFonts w:ascii="Arial" w:hAnsi="Arial" w:cs="Arial"/>
          <w:lang w:val="en-US"/>
        </w:rPr>
        <w:t xml:space="preserve">Factors that affect the normal growth of </w:t>
      </w:r>
      <w:r w:rsidR="00403577" w:rsidRPr="00874541">
        <w:rPr>
          <w:rFonts w:ascii="Arial" w:hAnsi="Arial" w:cs="Arial"/>
          <w:lang w:val="en-US"/>
        </w:rPr>
        <w:t xml:space="preserve">the </w:t>
      </w:r>
      <w:r w:rsidRPr="00874541">
        <w:rPr>
          <w:rFonts w:ascii="Arial" w:hAnsi="Arial" w:cs="Arial"/>
          <w:lang w:val="en-US"/>
        </w:rPr>
        <w:t xml:space="preserve">lung during childhood (like maternal smoking during pregnancy, low birth weight, recurrent childhood respiratory infections and premature birth) decrease the maximum attained lung function in early adulthood, increasing the susceptibility to COPD later in life. </w:t>
      </w:r>
    </w:p>
    <w:p w14:paraId="646ACA49" w14:textId="255E5526" w:rsidR="007F7650" w:rsidRPr="00874541" w:rsidRDefault="007F7650" w:rsidP="00C371B0">
      <w:pPr>
        <w:spacing w:line="360" w:lineRule="auto"/>
        <w:rPr>
          <w:rFonts w:ascii="Arial" w:hAnsi="Arial" w:cs="Arial"/>
          <w:lang w:val="en-US"/>
        </w:rPr>
      </w:pPr>
      <w:r w:rsidRPr="00874541">
        <w:rPr>
          <w:rFonts w:ascii="Arial" w:hAnsi="Arial" w:cs="Arial"/>
          <w:lang w:val="en-US"/>
        </w:rPr>
        <w:t xml:space="preserve">The most clearly understood genetic risk factor in the case of COPD is Alpha-1 Antitrypsin Deficiency (AATD). This autosomal codominant genetic disorder leads to the critical lack of the circulating antiprotease protective enzyme, which leaves </w:t>
      </w:r>
      <w:r w:rsidR="004F4DA3" w:rsidRPr="00874541">
        <w:rPr>
          <w:rFonts w:ascii="Arial" w:hAnsi="Arial" w:cs="Arial"/>
          <w:lang w:val="en-US"/>
        </w:rPr>
        <w:t>the lung</w:t>
      </w:r>
      <w:r w:rsidRPr="00874541">
        <w:rPr>
          <w:rFonts w:ascii="Arial" w:hAnsi="Arial" w:cs="Arial"/>
          <w:lang w:val="en-US"/>
        </w:rPr>
        <w:t xml:space="preserve"> parenchyma vulnerable to destruction by the neutrophil elastase (Strnad et al.,</w:t>
      </w:r>
      <w:r w:rsidR="004F4DA3" w:rsidRPr="00874541">
        <w:rPr>
          <w:rFonts w:ascii="Arial" w:hAnsi="Arial" w:cs="Arial"/>
          <w:lang w:val="en-US"/>
        </w:rPr>
        <w:t xml:space="preserve"> 2020). </w:t>
      </w:r>
    </w:p>
    <w:p w14:paraId="4B546A50" w14:textId="2EF564C7" w:rsidR="004F4DA3" w:rsidRPr="00874541" w:rsidRDefault="004F4DA3" w:rsidP="00C371B0">
      <w:pPr>
        <w:spacing w:line="360" w:lineRule="auto"/>
        <w:rPr>
          <w:rFonts w:ascii="Arial" w:hAnsi="Arial" w:cs="Arial"/>
          <w:lang w:val="en-US"/>
        </w:rPr>
      </w:pPr>
      <w:r w:rsidRPr="00874541">
        <w:rPr>
          <w:rFonts w:ascii="Arial" w:hAnsi="Arial" w:cs="Arial"/>
          <w:lang w:val="en-US"/>
        </w:rPr>
        <w:t xml:space="preserve">People with persistent airway hyper-responsiveness or chronic, poorly controlled asthma exhibit increased risk of developing the fixed, non-reversible airflow limitation as they age, a condition generally known as Asthma-COPD Overlap (ACO) (Postma and Rabe, 2015). </w:t>
      </w:r>
    </w:p>
    <w:p w14:paraId="7D4C37B9" w14:textId="3E973D38" w:rsidR="004F4DA3" w:rsidRPr="00874541" w:rsidRDefault="004F4DA3" w:rsidP="00403577">
      <w:pPr>
        <w:pStyle w:val="Heading1"/>
        <w:rPr>
          <w:rFonts w:ascii="Arial" w:hAnsi="Arial" w:cs="Arial"/>
        </w:rPr>
      </w:pPr>
      <w:bookmarkStart w:id="8" w:name="_Toc233368045"/>
      <w:r w:rsidRPr="00874541">
        <w:rPr>
          <w:rFonts w:ascii="Arial" w:hAnsi="Arial" w:cs="Arial"/>
        </w:rPr>
        <w:lastRenderedPageBreak/>
        <w:t>2 Multi-Dimensional Impact of COPD and NHS Treatment Pathways</w:t>
      </w:r>
      <w:bookmarkEnd w:id="8"/>
      <w:r w:rsidRPr="00874541">
        <w:rPr>
          <w:rFonts w:ascii="Arial" w:hAnsi="Arial" w:cs="Arial"/>
        </w:rPr>
        <w:t xml:space="preserve"> </w:t>
      </w:r>
    </w:p>
    <w:p w14:paraId="68208F3F" w14:textId="46470BC9" w:rsidR="004F4DA3" w:rsidRPr="00874541" w:rsidRDefault="004F4DA3" w:rsidP="00403577">
      <w:pPr>
        <w:pStyle w:val="Heading2"/>
        <w:rPr>
          <w:rFonts w:ascii="Arial" w:hAnsi="Arial" w:cs="Arial"/>
        </w:rPr>
      </w:pPr>
      <w:bookmarkStart w:id="9" w:name="_Toc233368046"/>
      <w:r w:rsidRPr="00874541">
        <w:rPr>
          <w:rFonts w:ascii="Arial" w:hAnsi="Arial" w:cs="Arial"/>
        </w:rPr>
        <w:t>Physical, Psychological and Social Implications</w:t>
      </w:r>
      <w:bookmarkEnd w:id="9"/>
      <w:r w:rsidRPr="00874541">
        <w:rPr>
          <w:rFonts w:ascii="Arial" w:hAnsi="Arial" w:cs="Arial"/>
        </w:rPr>
        <w:t xml:space="preserve"> </w:t>
      </w:r>
    </w:p>
    <w:p w14:paraId="2F4A1290" w14:textId="58C75887" w:rsidR="004F4DA3" w:rsidRPr="00874541" w:rsidRDefault="004F4DA3" w:rsidP="00403577">
      <w:pPr>
        <w:spacing w:line="360" w:lineRule="auto"/>
        <w:rPr>
          <w:rFonts w:ascii="Arial" w:hAnsi="Arial" w:cs="Arial"/>
          <w:i/>
          <w:iCs/>
          <w:lang w:val="en-US"/>
        </w:rPr>
      </w:pPr>
      <w:r w:rsidRPr="00874541">
        <w:rPr>
          <w:rFonts w:ascii="Arial" w:hAnsi="Arial" w:cs="Arial"/>
          <w:i/>
          <w:iCs/>
          <w:lang w:val="en-US"/>
        </w:rPr>
        <w:t xml:space="preserve">Physical Implications on Individuals </w:t>
      </w:r>
    </w:p>
    <w:p w14:paraId="51986251" w14:textId="4B3C4407" w:rsidR="00712BCD" w:rsidRPr="00874541" w:rsidRDefault="006432BB" w:rsidP="00C371B0">
      <w:pPr>
        <w:spacing w:line="360" w:lineRule="auto"/>
        <w:rPr>
          <w:rFonts w:ascii="Arial" w:hAnsi="Arial" w:cs="Arial"/>
          <w:lang w:val="en-US"/>
        </w:rPr>
      </w:pPr>
      <w:r w:rsidRPr="00874541">
        <w:rPr>
          <w:rFonts w:ascii="Arial" w:hAnsi="Arial" w:cs="Arial"/>
          <w:lang w:val="en-US"/>
        </w:rPr>
        <w:t xml:space="preserve">The hallmark symptom of the increasing exertional dyspnoea forces patients to restrict their physical activity in order to avoid breathlessness. This decrease in mobility </w:t>
      </w:r>
      <w:r w:rsidR="00E8432B" w:rsidRPr="00874541">
        <w:rPr>
          <w:rFonts w:ascii="Arial" w:hAnsi="Arial" w:cs="Arial"/>
          <w:lang w:val="en-US"/>
        </w:rPr>
        <w:t xml:space="preserve">contributes to muscle deconditioning, frailty, severe peripheral skeletal muscle dysfunction, and a loss of functional independence (Halpin et al., 2021). </w:t>
      </w:r>
    </w:p>
    <w:p w14:paraId="480A3139" w14:textId="77777777" w:rsidR="00436326" w:rsidRPr="00874541" w:rsidRDefault="00436326" w:rsidP="002A257F">
      <w:pPr>
        <w:keepNext/>
        <w:spacing w:line="360" w:lineRule="auto"/>
        <w:jc w:val="center"/>
        <w:rPr>
          <w:rFonts w:ascii="Arial" w:hAnsi="Arial" w:cs="Arial"/>
        </w:rPr>
      </w:pPr>
      <w:r w:rsidRPr="00874541">
        <w:rPr>
          <w:rFonts w:ascii="Arial" w:hAnsi="Arial" w:cs="Arial"/>
          <w:noProof/>
          <w:lang w:val="en-US"/>
        </w:rPr>
        <w:drawing>
          <wp:inline distT="0" distB="0" distL="0" distR="0" wp14:anchorId="64A44E46" wp14:editId="5A7AD440">
            <wp:extent cx="5592237" cy="5471160"/>
            <wp:effectExtent l="228600" t="228600" r="237490" b="224790"/>
            <wp:docPr id="18562272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BEBA8EAE-BF5A-486C-A8C5-ECC9F3942E4B}">
                          <a14:imgProps xmlns:a14="http://schemas.microsoft.com/office/drawing/2010/main">
                            <a14:imgLayer r:embed="rId22">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604042" cy="5482709"/>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443D6AF3" w14:textId="25D306AC" w:rsidR="00436326" w:rsidRPr="00874541" w:rsidRDefault="00436326" w:rsidP="002A257F">
      <w:pPr>
        <w:pStyle w:val="Caption"/>
        <w:jc w:val="center"/>
        <w:rPr>
          <w:rFonts w:ascii="Arial" w:hAnsi="Arial" w:cs="Arial"/>
        </w:rPr>
      </w:pPr>
      <w:bookmarkStart w:id="10" w:name="_Toc233368072"/>
      <w:r w:rsidRPr="00874541">
        <w:rPr>
          <w:rFonts w:ascii="Arial" w:hAnsi="Arial" w:cs="Arial"/>
        </w:rPr>
        <w:t xml:space="preserve">Figure </w:t>
      </w:r>
      <w:r w:rsidRPr="00874541">
        <w:rPr>
          <w:rFonts w:ascii="Arial" w:hAnsi="Arial" w:cs="Arial"/>
        </w:rPr>
        <w:fldChar w:fldCharType="begin"/>
      </w:r>
      <w:r w:rsidRPr="00874541">
        <w:rPr>
          <w:rFonts w:ascii="Arial" w:hAnsi="Arial" w:cs="Arial"/>
        </w:rPr>
        <w:instrText xml:space="preserve"> SEQ Figure \* ARABIC </w:instrText>
      </w:r>
      <w:r w:rsidRPr="00874541">
        <w:rPr>
          <w:rFonts w:ascii="Arial" w:hAnsi="Arial" w:cs="Arial"/>
        </w:rPr>
        <w:fldChar w:fldCharType="separate"/>
      </w:r>
      <w:r w:rsidR="005A2BF2" w:rsidRPr="00874541">
        <w:rPr>
          <w:rFonts w:ascii="Arial" w:hAnsi="Arial" w:cs="Arial"/>
          <w:noProof/>
        </w:rPr>
        <w:t>5</w:t>
      </w:r>
      <w:r w:rsidRPr="00874541">
        <w:rPr>
          <w:rFonts w:ascii="Arial" w:hAnsi="Arial" w:cs="Arial"/>
        </w:rPr>
        <w:fldChar w:fldCharType="end"/>
      </w:r>
      <w:r w:rsidRPr="00874541">
        <w:rPr>
          <w:rFonts w:ascii="Arial" w:hAnsi="Arial" w:cs="Arial"/>
        </w:rPr>
        <w:t>: Downward spiral of COPD exacerbations</w:t>
      </w:r>
      <w:bookmarkEnd w:id="10"/>
    </w:p>
    <w:p w14:paraId="59BD83BA" w14:textId="1E14B930" w:rsidR="00436326" w:rsidRPr="00874541" w:rsidRDefault="00436326" w:rsidP="002A257F">
      <w:pPr>
        <w:jc w:val="center"/>
        <w:rPr>
          <w:rFonts w:ascii="Arial" w:hAnsi="Arial" w:cs="Arial"/>
          <w:lang w:val="en-US"/>
        </w:rPr>
      </w:pPr>
      <w:r w:rsidRPr="00874541">
        <w:rPr>
          <w:rFonts w:ascii="Arial" w:hAnsi="Arial" w:cs="Arial"/>
          <w:lang w:val="en-US"/>
        </w:rPr>
        <w:t xml:space="preserve">(Source: </w:t>
      </w:r>
      <w:r w:rsidR="002A257F" w:rsidRPr="00874541">
        <w:rPr>
          <w:rFonts w:ascii="Arial" w:eastAsiaTheme="minorEastAsia" w:hAnsi="Arial" w:cs="Arial"/>
        </w:rPr>
        <w:t>Hurst et al., 2020)</w:t>
      </w:r>
    </w:p>
    <w:p w14:paraId="4175E468" w14:textId="38B644E9" w:rsidR="00E8432B" w:rsidRPr="00874541" w:rsidRDefault="00E8432B" w:rsidP="00C371B0">
      <w:pPr>
        <w:spacing w:line="360" w:lineRule="auto"/>
        <w:rPr>
          <w:rFonts w:ascii="Arial" w:hAnsi="Arial" w:cs="Arial"/>
          <w:lang w:val="en-US"/>
        </w:rPr>
      </w:pPr>
      <w:r w:rsidRPr="00874541">
        <w:rPr>
          <w:rFonts w:ascii="Arial" w:hAnsi="Arial" w:cs="Arial"/>
          <w:lang w:val="en-US"/>
        </w:rPr>
        <w:lastRenderedPageBreak/>
        <w:t xml:space="preserve">Structural changes in the mechanism of </w:t>
      </w:r>
      <w:r w:rsidR="00403577" w:rsidRPr="00874541">
        <w:rPr>
          <w:rFonts w:ascii="Arial" w:hAnsi="Arial" w:cs="Arial"/>
          <w:lang w:val="en-US"/>
        </w:rPr>
        <w:t xml:space="preserve">the </w:t>
      </w:r>
      <w:r w:rsidRPr="00874541">
        <w:rPr>
          <w:rFonts w:ascii="Arial" w:hAnsi="Arial" w:cs="Arial"/>
          <w:lang w:val="en-US"/>
        </w:rPr>
        <w:t xml:space="preserve">lungs </w:t>
      </w:r>
      <w:r w:rsidR="00403577" w:rsidRPr="00874541">
        <w:rPr>
          <w:rFonts w:ascii="Arial" w:hAnsi="Arial" w:cs="Arial"/>
          <w:lang w:val="en-US"/>
        </w:rPr>
        <w:t>lead</w:t>
      </w:r>
      <w:r w:rsidRPr="00874541">
        <w:rPr>
          <w:rFonts w:ascii="Arial" w:hAnsi="Arial" w:cs="Arial"/>
          <w:lang w:val="en-US"/>
        </w:rPr>
        <w:t xml:space="preserve"> to oxygen desaturation and hypoventilation during sleep. This contributes to the frequent nocturnal awakening, chronic fatigue and daytime hy</w:t>
      </w:r>
      <w:r w:rsidR="002300D2" w:rsidRPr="00874541">
        <w:rPr>
          <w:rFonts w:ascii="Arial" w:hAnsi="Arial" w:cs="Arial"/>
          <w:lang w:val="en-US"/>
        </w:rPr>
        <w:t>persomnolence</w:t>
      </w:r>
      <w:r w:rsidR="007150AC" w:rsidRPr="00874541">
        <w:rPr>
          <w:rFonts w:ascii="Arial" w:hAnsi="Arial" w:cs="Arial"/>
          <w:lang w:val="en-US"/>
        </w:rPr>
        <w:t>.</w:t>
      </w:r>
    </w:p>
    <w:p w14:paraId="56AE7380" w14:textId="437E6D8C" w:rsidR="002300D2" w:rsidRPr="00874541" w:rsidRDefault="00F1349C" w:rsidP="00C371B0">
      <w:pPr>
        <w:spacing w:line="360" w:lineRule="auto"/>
        <w:rPr>
          <w:rFonts w:ascii="Arial" w:hAnsi="Arial" w:cs="Arial"/>
          <w:lang w:val="en-US"/>
        </w:rPr>
      </w:pPr>
      <w:r w:rsidRPr="00874541">
        <w:rPr>
          <w:rFonts w:ascii="Arial" w:hAnsi="Arial" w:cs="Arial"/>
          <w:lang w:val="en-US"/>
        </w:rPr>
        <w:t xml:space="preserve">Because of the shared inflammatory pathways, systemic oxidative stress, and chronic hypoxia, patients with COPD exhibit high rates of cardiovascular comorbidities, including heart failure, ischaemic heart disease and atrial fibrillation (Morgan et al., 2018). </w:t>
      </w:r>
    </w:p>
    <w:p w14:paraId="64A2B9C5" w14:textId="643D5FFC" w:rsidR="00DC4D96" w:rsidRPr="00874541" w:rsidRDefault="00F1349C" w:rsidP="00C371B0">
      <w:pPr>
        <w:spacing w:line="360" w:lineRule="auto"/>
        <w:rPr>
          <w:rFonts w:ascii="Arial" w:eastAsiaTheme="minorEastAsia" w:hAnsi="Arial" w:cs="Arial"/>
        </w:rPr>
      </w:pPr>
      <w:r w:rsidRPr="00874541">
        <w:rPr>
          <w:rFonts w:ascii="Arial" w:hAnsi="Arial" w:cs="Arial"/>
          <w:lang w:val="en-US"/>
        </w:rPr>
        <w:t xml:space="preserve">Severe, </w:t>
      </w:r>
      <w:r w:rsidR="00DC4D96" w:rsidRPr="00874541">
        <w:rPr>
          <w:rFonts w:ascii="Arial" w:hAnsi="Arial" w:cs="Arial"/>
          <w:lang w:val="en-US"/>
        </w:rPr>
        <w:t xml:space="preserve">advanced COPD is frequently crucial by pulmonary cachexia, which is the state of the involuntary loss of weight and muscle wasting. This condition is driven by high metabolic workload from breathing and elevated levels of the circulating inflammatory cytokines, like </w:t>
      </w:r>
      <m:oMath>
        <m:r>
          <w:rPr>
            <w:rFonts w:ascii="Cambria Math" w:hAnsi="Cambria Math" w:cs="Arial"/>
          </w:rPr>
          <m:t>TNF-α</m:t>
        </m:r>
      </m:oMath>
      <w:r w:rsidR="00DC4D96" w:rsidRPr="00874541">
        <w:rPr>
          <w:rFonts w:ascii="Arial" w:eastAsiaTheme="minorEastAsia" w:hAnsi="Arial" w:cs="Arial"/>
        </w:rPr>
        <w:t xml:space="preserve"> (Schols et al., 2014).</w:t>
      </w:r>
    </w:p>
    <w:p w14:paraId="3A00E3B6" w14:textId="51571415" w:rsidR="00DC4D96" w:rsidRPr="00874541" w:rsidRDefault="00DC4D96" w:rsidP="00403577">
      <w:pPr>
        <w:spacing w:line="360" w:lineRule="auto"/>
        <w:rPr>
          <w:rFonts w:ascii="Arial" w:eastAsiaTheme="minorEastAsia" w:hAnsi="Arial" w:cs="Arial"/>
          <w:i/>
          <w:iCs/>
        </w:rPr>
      </w:pPr>
      <w:r w:rsidRPr="00874541">
        <w:rPr>
          <w:rFonts w:ascii="Arial" w:eastAsiaTheme="minorEastAsia" w:hAnsi="Arial" w:cs="Arial"/>
          <w:i/>
          <w:iCs/>
        </w:rPr>
        <w:t xml:space="preserve">Psychological Impact on Individuals </w:t>
      </w:r>
    </w:p>
    <w:p w14:paraId="71668942" w14:textId="77777777" w:rsidR="002A257F" w:rsidRPr="00874541" w:rsidRDefault="002A257F" w:rsidP="002A257F">
      <w:pPr>
        <w:keepNext/>
        <w:spacing w:line="360" w:lineRule="auto"/>
        <w:jc w:val="center"/>
        <w:rPr>
          <w:rFonts w:ascii="Arial" w:hAnsi="Arial" w:cs="Arial"/>
        </w:rPr>
      </w:pPr>
      <w:r w:rsidRPr="00874541">
        <w:rPr>
          <w:rFonts w:ascii="Arial" w:eastAsiaTheme="minorEastAsia" w:hAnsi="Arial" w:cs="Arial"/>
          <w:i/>
          <w:iCs/>
          <w:noProof/>
        </w:rPr>
        <w:drawing>
          <wp:inline distT="0" distB="0" distL="0" distR="0" wp14:anchorId="1E568D02" wp14:editId="25887A21">
            <wp:extent cx="5417820" cy="3154680"/>
            <wp:effectExtent l="0" t="133350" r="11430" b="140970"/>
            <wp:docPr id="1372077673"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0BD8909C" w14:textId="0212D244" w:rsidR="002A257F" w:rsidRPr="00874541" w:rsidRDefault="002A257F" w:rsidP="002A257F">
      <w:pPr>
        <w:pStyle w:val="Caption"/>
        <w:jc w:val="center"/>
        <w:rPr>
          <w:rFonts w:ascii="Arial" w:hAnsi="Arial" w:cs="Arial"/>
        </w:rPr>
      </w:pPr>
      <w:bookmarkStart w:id="11" w:name="_Toc233368073"/>
      <w:r w:rsidRPr="00874541">
        <w:rPr>
          <w:rFonts w:ascii="Arial" w:hAnsi="Arial" w:cs="Arial"/>
        </w:rPr>
        <w:t xml:space="preserve">Figure </w:t>
      </w:r>
      <w:r w:rsidRPr="00874541">
        <w:rPr>
          <w:rFonts w:ascii="Arial" w:hAnsi="Arial" w:cs="Arial"/>
        </w:rPr>
        <w:fldChar w:fldCharType="begin"/>
      </w:r>
      <w:r w:rsidRPr="00874541">
        <w:rPr>
          <w:rFonts w:ascii="Arial" w:hAnsi="Arial" w:cs="Arial"/>
        </w:rPr>
        <w:instrText xml:space="preserve"> SEQ Figure \* ARABIC </w:instrText>
      </w:r>
      <w:r w:rsidRPr="00874541">
        <w:rPr>
          <w:rFonts w:ascii="Arial" w:hAnsi="Arial" w:cs="Arial"/>
        </w:rPr>
        <w:fldChar w:fldCharType="separate"/>
      </w:r>
      <w:r w:rsidR="005A2BF2" w:rsidRPr="00874541">
        <w:rPr>
          <w:rFonts w:ascii="Arial" w:hAnsi="Arial" w:cs="Arial"/>
          <w:noProof/>
        </w:rPr>
        <w:t>6</w:t>
      </w:r>
      <w:r w:rsidRPr="00874541">
        <w:rPr>
          <w:rFonts w:ascii="Arial" w:hAnsi="Arial" w:cs="Arial"/>
        </w:rPr>
        <w:fldChar w:fldCharType="end"/>
      </w:r>
      <w:r w:rsidRPr="00874541">
        <w:rPr>
          <w:rFonts w:ascii="Arial" w:hAnsi="Arial" w:cs="Arial"/>
        </w:rPr>
        <w:t>: The Panic Cycle</w:t>
      </w:r>
      <w:bookmarkEnd w:id="11"/>
    </w:p>
    <w:p w14:paraId="3FC93F0D" w14:textId="2C7B63B4" w:rsidR="002A257F" w:rsidRPr="00874541" w:rsidRDefault="002A257F" w:rsidP="002A257F">
      <w:pPr>
        <w:jc w:val="center"/>
        <w:rPr>
          <w:rFonts w:ascii="Arial" w:hAnsi="Arial" w:cs="Arial"/>
        </w:rPr>
      </w:pPr>
      <w:r w:rsidRPr="00874541">
        <w:rPr>
          <w:rFonts w:ascii="Arial" w:hAnsi="Arial" w:cs="Arial"/>
        </w:rPr>
        <w:t>(Source: Author, 2026)</w:t>
      </w:r>
    </w:p>
    <w:p w14:paraId="7D726C7A" w14:textId="77777777" w:rsidR="007553E9" w:rsidRPr="00874541" w:rsidRDefault="007553E9" w:rsidP="00CA78CF">
      <w:pPr>
        <w:keepNext/>
        <w:tabs>
          <w:tab w:val="left" w:pos="3261"/>
        </w:tabs>
        <w:spacing w:line="360" w:lineRule="auto"/>
        <w:jc w:val="center"/>
        <w:rPr>
          <w:rFonts w:ascii="Arial" w:hAnsi="Arial" w:cs="Arial"/>
        </w:rPr>
      </w:pPr>
      <w:r w:rsidRPr="00874541">
        <w:rPr>
          <w:rFonts w:ascii="Arial" w:eastAsiaTheme="minorEastAsia" w:hAnsi="Arial" w:cs="Arial"/>
          <w:i/>
          <w:iCs/>
          <w:noProof/>
        </w:rPr>
        <w:lastRenderedPageBreak/>
        <w:drawing>
          <wp:inline distT="0" distB="0" distL="0" distR="0" wp14:anchorId="36C30132" wp14:editId="3FCF38D8">
            <wp:extent cx="4724809" cy="2758679"/>
            <wp:effectExtent l="228600" t="228600" r="228600" b="232410"/>
            <wp:docPr id="1014659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659651" name=""/>
                    <pic:cNvPicPr/>
                  </pic:nvPicPr>
                  <pic:blipFill>
                    <a:blip r:embed="rId28">
                      <a:extLst>
                        <a:ext uri="{BEBA8EAE-BF5A-486C-A8C5-ECC9F3942E4B}">
                          <a14:imgProps xmlns:a14="http://schemas.microsoft.com/office/drawing/2010/main">
                            <a14:imgLayer r:embed="rId29">
                              <a14:imgEffect>
                                <a14:colorTemperature colorTemp="11200"/>
                              </a14:imgEffect>
                              <a14:imgEffect>
                                <a14:brightnessContrast contrast="40000"/>
                              </a14:imgEffect>
                            </a14:imgLayer>
                          </a14:imgProps>
                        </a:ext>
                      </a:extLst>
                    </a:blip>
                    <a:stretch>
                      <a:fillRect/>
                    </a:stretch>
                  </pic:blipFill>
                  <pic:spPr>
                    <a:xfrm>
                      <a:off x="0" y="0"/>
                      <a:ext cx="4724809" cy="2758679"/>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5B66D5C3" w14:textId="30885D74" w:rsidR="007553E9" w:rsidRPr="00874541" w:rsidRDefault="007553E9" w:rsidP="00CA78CF">
      <w:pPr>
        <w:pStyle w:val="Caption"/>
        <w:tabs>
          <w:tab w:val="left" w:pos="3261"/>
        </w:tabs>
        <w:jc w:val="center"/>
        <w:rPr>
          <w:rFonts w:ascii="Arial" w:hAnsi="Arial" w:cs="Arial"/>
        </w:rPr>
      </w:pPr>
      <w:bookmarkStart w:id="12" w:name="_Toc233368074"/>
      <w:r w:rsidRPr="00874541">
        <w:rPr>
          <w:rFonts w:ascii="Arial" w:hAnsi="Arial" w:cs="Arial"/>
        </w:rPr>
        <w:t xml:space="preserve">Figure </w:t>
      </w:r>
      <w:r w:rsidRPr="00874541">
        <w:rPr>
          <w:rFonts w:ascii="Arial" w:hAnsi="Arial" w:cs="Arial"/>
        </w:rPr>
        <w:fldChar w:fldCharType="begin"/>
      </w:r>
      <w:r w:rsidRPr="00874541">
        <w:rPr>
          <w:rFonts w:ascii="Arial" w:hAnsi="Arial" w:cs="Arial"/>
        </w:rPr>
        <w:instrText xml:space="preserve"> SEQ Figure \* ARABIC </w:instrText>
      </w:r>
      <w:r w:rsidRPr="00874541">
        <w:rPr>
          <w:rFonts w:ascii="Arial" w:hAnsi="Arial" w:cs="Arial"/>
        </w:rPr>
        <w:fldChar w:fldCharType="separate"/>
      </w:r>
      <w:r w:rsidR="005A2BF2" w:rsidRPr="00874541">
        <w:rPr>
          <w:rFonts w:ascii="Arial" w:hAnsi="Arial" w:cs="Arial"/>
          <w:noProof/>
        </w:rPr>
        <w:t>7</w:t>
      </w:r>
      <w:r w:rsidRPr="00874541">
        <w:rPr>
          <w:rFonts w:ascii="Arial" w:hAnsi="Arial" w:cs="Arial"/>
        </w:rPr>
        <w:fldChar w:fldCharType="end"/>
      </w:r>
      <w:r w:rsidRPr="00874541">
        <w:rPr>
          <w:rFonts w:ascii="Arial" w:hAnsi="Arial" w:cs="Arial"/>
        </w:rPr>
        <w:t>: Cycle of panic disorder</w:t>
      </w:r>
      <w:bookmarkEnd w:id="12"/>
    </w:p>
    <w:p w14:paraId="75DE8422" w14:textId="2821C31A" w:rsidR="007553E9" w:rsidRPr="00874541" w:rsidRDefault="007553E9" w:rsidP="00CA78CF">
      <w:pPr>
        <w:tabs>
          <w:tab w:val="left" w:pos="3261"/>
        </w:tabs>
        <w:jc w:val="center"/>
        <w:rPr>
          <w:rFonts w:ascii="Arial" w:hAnsi="Arial" w:cs="Arial"/>
        </w:rPr>
      </w:pPr>
      <w:r w:rsidRPr="00874541">
        <w:rPr>
          <w:rFonts w:ascii="Arial" w:hAnsi="Arial" w:cs="Arial"/>
        </w:rPr>
        <w:t xml:space="preserve">(Source: </w:t>
      </w:r>
      <w:r w:rsidRPr="00874541">
        <w:rPr>
          <w:rFonts w:ascii="Arial" w:eastAsiaTheme="minorEastAsia" w:hAnsi="Arial" w:cs="Arial"/>
        </w:rPr>
        <w:t>McMurray</w:t>
      </w:r>
      <w:r w:rsidR="002A257F" w:rsidRPr="00874541">
        <w:rPr>
          <w:rFonts w:ascii="Arial" w:eastAsiaTheme="minorEastAsia" w:hAnsi="Arial" w:cs="Arial"/>
        </w:rPr>
        <w:t xml:space="preserve"> </w:t>
      </w:r>
      <w:r w:rsidRPr="00874541">
        <w:rPr>
          <w:rFonts w:ascii="Arial" w:eastAsiaTheme="minorEastAsia" w:hAnsi="Arial" w:cs="Arial"/>
        </w:rPr>
        <w:t>and Sah, 2022)</w:t>
      </w:r>
    </w:p>
    <w:p w14:paraId="66213F47" w14:textId="2198355E" w:rsidR="00DC4D96" w:rsidRPr="00874541" w:rsidRDefault="001053D1" w:rsidP="00C371B0">
      <w:pPr>
        <w:spacing w:line="360" w:lineRule="auto"/>
        <w:rPr>
          <w:rFonts w:ascii="Arial" w:eastAsiaTheme="minorEastAsia" w:hAnsi="Arial" w:cs="Arial"/>
        </w:rPr>
      </w:pPr>
      <w:r w:rsidRPr="00874541">
        <w:rPr>
          <w:rFonts w:ascii="Arial" w:eastAsiaTheme="minorEastAsia" w:hAnsi="Arial" w:cs="Arial"/>
        </w:rPr>
        <w:t xml:space="preserve">The sudden onset of the critical breathlessness triggers acute panic and fear. This panic enhances the respiratory </w:t>
      </w:r>
      <w:r w:rsidR="00403577" w:rsidRPr="00874541">
        <w:rPr>
          <w:rFonts w:ascii="Arial" w:eastAsiaTheme="minorEastAsia" w:hAnsi="Arial" w:cs="Arial"/>
        </w:rPr>
        <w:t>rate</w:t>
      </w:r>
      <w:r w:rsidRPr="00874541">
        <w:rPr>
          <w:rFonts w:ascii="Arial" w:eastAsiaTheme="minorEastAsia" w:hAnsi="Arial" w:cs="Arial"/>
        </w:rPr>
        <w:t xml:space="preserve">, which exacerbates hyperinflation and worsens dyspnoea, contributing to </w:t>
      </w:r>
      <w:r w:rsidR="00403577" w:rsidRPr="00874541">
        <w:rPr>
          <w:rFonts w:ascii="Arial" w:eastAsiaTheme="minorEastAsia" w:hAnsi="Arial" w:cs="Arial"/>
        </w:rPr>
        <w:t xml:space="preserve">a </w:t>
      </w:r>
      <w:r w:rsidRPr="00874541">
        <w:rPr>
          <w:rFonts w:ascii="Arial" w:eastAsiaTheme="minorEastAsia" w:hAnsi="Arial" w:cs="Arial"/>
        </w:rPr>
        <w:t>distressing psychological cycle</w:t>
      </w:r>
      <w:r w:rsidR="00403577" w:rsidRPr="00874541">
        <w:rPr>
          <w:rFonts w:ascii="Arial" w:eastAsiaTheme="minorEastAsia" w:hAnsi="Arial" w:cs="Arial"/>
        </w:rPr>
        <w:t>.</w:t>
      </w:r>
    </w:p>
    <w:p w14:paraId="132630FD" w14:textId="6744236C" w:rsidR="001053D1" w:rsidRPr="00874541" w:rsidRDefault="00044662" w:rsidP="00C371B0">
      <w:pPr>
        <w:spacing w:line="360" w:lineRule="auto"/>
        <w:rPr>
          <w:rFonts w:ascii="Arial" w:eastAsiaTheme="minorEastAsia" w:hAnsi="Arial" w:cs="Arial"/>
        </w:rPr>
      </w:pPr>
      <w:r w:rsidRPr="00874541">
        <w:rPr>
          <w:rFonts w:ascii="Arial" w:eastAsiaTheme="minorEastAsia" w:hAnsi="Arial" w:cs="Arial"/>
        </w:rPr>
        <w:t xml:space="preserve">Chronic hypoxemia combined </w:t>
      </w:r>
      <w:r w:rsidR="00A16A17" w:rsidRPr="00874541">
        <w:rPr>
          <w:rFonts w:ascii="Arial" w:eastAsiaTheme="minorEastAsia" w:hAnsi="Arial" w:cs="Arial"/>
        </w:rPr>
        <w:t xml:space="preserve">with hypercapnia can cause mild-to-moderate cognitive impairment. </w:t>
      </w:r>
      <w:r w:rsidR="00F63C7B" w:rsidRPr="00874541">
        <w:rPr>
          <w:rFonts w:ascii="Arial" w:eastAsiaTheme="minorEastAsia" w:hAnsi="Arial" w:cs="Arial"/>
        </w:rPr>
        <w:t xml:space="preserve">This </w:t>
      </w:r>
      <w:r w:rsidR="004F4BF2" w:rsidRPr="00874541">
        <w:rPr>
          <w:rFonts w:ascii="Arial" w:eastAsiaTheme="minorEastAsia" w:hAnsi="Arial" w:cs="Arial"/>
        </w:rPr>
        <w:t xml:space="preserve">influences executive </w:t>
      </w:r>
      <w:r w:rsidR="00B5370B" w:rsidRPr="00874541">
        <w:rPr>
          <w:rFonts w:ascii="Arial" w:eastAsiaTheme="minorEastAsia" w:hAnsi="Arial" w:cs="Arial"/>
        </w:rPr>
        <w:t>functioning, attention span and visual-spatial memory, which can compromise the capacity of the patient to manage the critical medication regimens (</w:t>
      </w:r>
      <w:r w:rsidR="007150AC" w:rsidRPr="00874541">
        <w:rPr>
          <w:rFonts w:ascii="Arial" w:eastAsiaTheme="minorEastAsia" w:hAnsi="Arial" w:cs="Arial"/>
        </w:rPr>
        <w:t>Siraj, 2023</w:t>
      </w:r>
      <w:r w:rsidR="00B5370B" w:rsidRPr="00874541">
        <w:rPr>
          <w:rFonts w:ascii="Arial" w:eastAsiaTheme="minorEastAsia" w:hAnsi="Arial" w:cs="Arial"/>
        </w:rPr>
        <w:t xml:space="preserve">). </w:t>
      </w:r>
    </w:p>
    <w:p w14:paraId="0A9B2245" w14:textId="49956D02" w:rsidR="00B5370B" w:rsidRPr="00874541" w:rsidRDefault="00B5370B" w:rsidP="00C371B0">
      <w:pPr>
        <w:spacing w:line="360" w:lineRule="auto"/>
        <w:rPr>
          <w:rFonts w:ascii="Arial" w:eastAsiaTheme="minorEastAsia" w:hAnsi="Arial" w:cs="Arial"/>
        </w:rPr>
      </w:pPr>
      <w:r w:rsidRPr="00874541">
        <w:rPr>
          <w:rFonts w:ascii="Arial" w:eastAsiaTheme="minorEastAsia" w:hAnsi="Arial" w:cs="Arial"/>
        </w:rPr>
        <w:t xml:space="preserve">Clinical depression </w:t>
      </w:r>
      <w:r w:rsidR="007509B1" w:rsidRPr="00874541">
        <w:rPr>
          <w:rFonts w:ascii="Arial" w:eastAsiaTheme="minorEastAsia" w:hAnsi="Arial" w:cs="Arial"/>
        </w:rPr>
        <w:t>affects</w:t>
      </w:r>
      <w:r w:rsidRPr="00874541">
        <w:rPr>
          <w:rFonts w:ascii="Arial" w:eastAsiaTheme="minorEastAsia" w:hAnsi="Arial" w:cs="Arial"/>
        </w:rPr>
        <w:t xml:space="preserve"> between </w:t>
      </w:r>
      <w:r w:rsidR="00403577" w:rsidRPr="00874541">
        <w:rPr>
          <w:rFonts w:ascii="Arial" w:eastAsiaTheme="minorEastAsia" w:hAnsi="Arial" w:cs="Arial"/>
        </w:rPr>
        <w:t>40% and 57% of</w:t>
      </w:r>
      <w:r w:rsidRPr="00874541">
        <w:rPr>
          <w:rFonts w:ascii="Arial" w:eastAsiaTheme="minorEastAsia" w:hAnsi="Arial" w:cs="Arial"/>
        </w:rPr>
        <w:t xml:space="preserve"> people living with moderate-to-critical COPD. This rate is significantly higher in </w:t>
      </w:r>
      <w:r w:rsidR="00403577" w:rsidRPr="00874541">
        <w:rPr>
          <w:rFonts w:ascii="Arial" w:eastAsiaTheme="minorEastAsia" w:hAnsi="Arial" w:cs="Arial"/>
        </w:rPr>
        <w:t>comparison</w:t>
      </w:r>
      <w:r w:rsidRPr="00874541">
        <w:rPr>
          <w:rFonts w:ascii="Arial" w:eastAsiaTheme="minorEastAsia" w:hAnsi="Arial" w:cs="Arial"/>
        </w:rPr>
        <w:t xml:space="preserve"> to the general population, driven by isolation, perceived lack of control and loss of role identity</w:t>
      </w:r>
      <w:r w:rsidR="00446812" w:rsidRPr="00874541">
        <w:rPr>
          <w:rFonts w:ascii="Arial" w:eastAsiaTheme="minorEastAsia" w:hAnsi="Arial" w:cs="Arial"/>
        </w:rPr>
        <w:t>.</w:t>
      </w:r>
      <w:r w:rsidRPr="00874541">
        <w:rPr>
          <w:rFonts w:ascii="Arial" w:eastAsiaTheme="minorEastAsia" w:hAnsi="Arial" w:cs="Arial"/>
        </w:rPr>
        <w:t xml:space="preserve"> </w:t>
      </w:r>
    </w:p>
    <w:p w14:paraId="5AB1C46D" w14:textId="4883EE4F" w:rsidR="00B5370B" w:rsidRPr="00874541" w:rsidRDefault="00B5370B" w:rsidP="00C371B0">
      <w:pPr>
        <w:spacing w:line="360" w:lineRule="auto"/>
        <w:rPr>
          <w:rFonts w:ascii="Arial" w:eastAsiaTheme="minorEastAsia" w:hAnsi="Arial" w:cs="Arial"/>
        </w:rPr>
      </w:pPr>
      <w:r w:rsidRPr="00874541">
        <w:rPr>
          <w:rFonts w:ascii="Arial" w:eastAsiaTheme="minorEastAsia" w:hAnsi="Arial" w:cs="Arial"/>
        </w:rPr>
        <w:t xml:space="preserve">Patients who frequently face high levels of anticipatory grief and health anxiety as they observe their gradual physical decline, living in fear of the future acute exacerbation that could be fatal. </w:t>
      </w:r>
    </w:p>
    <w:p w14:paraId="625D5652" w14:textId="6B20B8FB" w:rsidR="00B5370B" w:rsidRPr="00874541" w:rsidRDefault="000408DE" w:rsidP="00403577">
      <w:pPr>
        <w:spacing w:line="360" w:lineRule="auto"/>
        <w:rPr>
          <w:rFonts w:ascii="Arial" w:eastAsiaTheme="minorEastAsia" w:hAnsi="Arial" w:cs="Arial"/>
          <w:i/>
          <w:iCs/>
        </w:rPr>
      </w:pPr>
      <w:r w:rsidRPr="00874541">
        <w:rPr>
          <w:rFonts w:ascii="Arial" w:eastAsiaTheme="minorEastAsia" w:hAnsi="Arial" w:cs="Arial"/>
          <w:i/>
          <w:iCs/>
        </w:rPr>
        <w:t>Social Implications for Individuals</w:t>
      </w:r>
    </w:p>
    <w:p w14:paraId="0C88E663" w14:textId="4F72772A" w:rsidR="000408DE" w:rsidRPr="00874541" w:rsidRDefault="008E567F" w:rsidP="00C371B0">
      <w:pPr>
        <w:spacing w:line="360" w:lineRule="auto"/>
        <w:rPr>
          <w:rFonts w:ascii="Arial" w:eastAsiaTheme="minorEastAsia" w:hAnsi="Arial" w:cs="Arial"/>
        </w:rPr>
      </w:pPr>
      <w:r w:rsidRPr="00874541">
        <w:rPr>
          <w:rFonts w:ascii="Arial" w:eastAsiaTheme="minorEastAsia" w:hAnsi="Arial" w:cs="Arial"/>
        </w:rPr>
        <w:t xml:space="preserve">Because of the physical limitations of breathlessness and </w:t>
      </w:r>
      <w:r w:rsidR="007509B1" w:rsidRPr="00874541">
        <w:rPr>
          <w:rFonts w:ascii="Arial" w:eastAsiaTheme="minorEastAsia" w:hAnsi="Arial" w:cs="Arial"/>
        </w:rPr>
        <w:t>logistical</w:t>
      </w:r>
      <w:r w:rsidRPr="00874541">
        <w:rPr>
          <w:rFonts w:ascii="Arial" w:eastAsiaTheme="minorEastAsia" w:hAnsi="Arial" w:cs="Arial"/>
        </w:rPr>
        <w:t xml:space="preserve"> issues of transporting oxygen equipment, the patients generally withdraw from </w:t>
      </w:r>
      <w:r w:rsidR="00403577" w:rsidRPr="00874541">
        <w:rPr>
          <w:rFonts w:ascii="Arial" w:eastAsiaTheme="minorEastAsia" w:hAnsi="Arial" w:cs="Arial"/>
        </w:rPr>
        <w:t xml:space="preserve">their </w:t>
      </w:r>
      <w:r w:rsidRPr="00874541">
        <w:rPr>
          <w:rFonts w:ascii="Arial" w:eastAsiaTheme="minorEastAsia" w:hAnsi="Arial" w:cs="Arial"/>
        </w:rPr>
        <w:t xml:space="preserve">social </w:t>
      </w:r>
      <w:r w:rsidR="00403577" w:rsidRPr="00874541">
        <w:rPr>
          <w:rFonts w:ascii="Arial" w:eastAsiaTheme="minorEastAsia" w:hAnsi="Arial" w:cs="Arial"/>
        </w:rPr>
        <w:t>networks</w:t>
      </w:r>
      <w:r w:rsidRPr="00874541">
        <w:rPr>
          <w:rFonts w:ascii="Arial" w:eastAsiaTheme="minorEastAsia" w:hAnsi="Arial" w:cs="Arial"/>
        </w:rPr>
        <w:t xml:space="preserve">, which leads to loneliness and isolation </w:t>
      </w:r>
    </w:p>
    <w:p w14:paraId="0040B7BE" w14:textId="051DD277" w:rsidR="008E567F" w:rsidRPr="00874541" w:rsidRDefault="008E567F" w:rsidP="00C371B0">
      <w:pPr>
        <w:spacing w:line="360" w:lineRule="auto"/>
        <w:rPr>
          <w:rFonts w:ascii="Arial" w:eastAsiaTheme="minorEastAsia" w:hAnsi="Arial" w:cs="Arial"/>
        </w:rPr>
      </w:pPr>
      <w:r w:rsidRPr="00874541">
        <w:rPr>
          <w:rFonts w:ascii="Arial" w:eastAsiaTheme="minorEastAsia" w:hAnsi="Arial" w:cs="Arial"/>
        </w:rPr>
        <w:lastRenderedPageBreak/>
        <w:t xml:space="preserve">The progressive Nature of the condition generally forces people to leave the </w:t>
      </w:r>
      <w:r w:rsidR="00403577" w:rsidRPr="00874541">
        <w:rPr>
          <w:rFonts w:ascii="Arial" w:eastAsiaTheme="minorEastAsia" w:hAnsi="Arial" w:cs="Arial"/>
        </w:rPr>
        <w:t>workforce</w:t>
      </w:r>
      <w:r w:rsidRPr="00874541">
        <w:rPr>
          <w:rFonts w:ascii="Arial" w:eastAsiaTheme="minorEastAsia" w:hAnsi="Arial" w:cs="Arial"/>
        </w:rPr>
        <w:t xml:space="preserve"> prematurely. This loss of income, in combination with the extra costs of managing the chronic illness, can contribute to the significant financial strain. </w:t>
      </w:r>
    </w:p>
    <w:p w14:paraId="77805175" w14:textId="641FCD29" w:rsidR="008E567F" w:rsidRPr="00874541" w:rsidRDefault="008E567F" w:rsidP="00C371B0">
      <w:pPr>
        <w:spacing w:line="360" w:lineRule="auto"/>
        <w:rPr>
          <w:rFonts w:ascii="Arial" w:eastAsiaTheme="minorEastAsia" w:hAnsi="Arial" w:cs="Arial"/>
        </w:rPr>
      </w:pPr>
      <w:r w:rsidRPr="00874541">
        <w:rPr>
          <w:rFonts w:ascii="Arial" w:eastAsiaTheme="minorEastAsia" w:hAnsi="Arial" w:cs="Arial"/>
        </w:rPr>
        <w:t xml:space="preserve">Due to the strong public connection between COPD and smoking, several patients face external and internal stigma. This feeling of self-blame can contribute to shame, preventing them from accessing healthcare or seeking social assistance. </w:t>
      </w:r>
    </w:p>
    <w:p w14:paraId="7025878C" w14:textId="28DF9F67" w:rsidR="008E567F" w:rsidRPr="00874541" w:rsidRDefault="008E567F" w:rsidP="00403577">
      <w:pPr>
        <w:pStyle w:val="Heading2"/>
        <w:rPr>
          <w:rFonts w:ascii="Arial" w:eastAsiaTheme="minorEastAsia" w:hAnsi="Arial" w:cs="Arial"/>
        </w:rPr>
      </w:pPr>
      <w:bookmarkStart w:id="13" w:name="_Toc233368047"/>
      <w:r w:rsidRPr="00874541">
        <w:rPr>
          <w:rFonts w:ascii="Arial" w:eastAsiaTheme="minorEastAsia" w:hAnsi="Arial" w:cs="Arial"/>
        </w:rPr>
        <w:t>Wider Implications for Families and Caregivers</w:t>
      </w:r>
      <w:bookmarkEnd w:id="13"/>
    </w:p>
    <w:p w14:paraId="05E7ADBA" w14:textId="7BC7539D" w:rsidR="008E567F" w:rsidRPr="00874541" w:rsidRDefault="005D776A" w:rsidP="00C371B0">
      <w:pPr>
        <w:spacing w:line="360" w:lineRule="auto"/>
        <w:rPr>
          <w:rFonts w:ascii="Arial" w:eastAsiaTheme="minorEastAsia" w:hAnsi="Arial" w:cs="Arial"/>
        </w:rPr>
      </w:pPr>
      <w:r w:rsidRPr="00874541">
        <w:rPr>
          <w:rFonts w:ascii="Arial" w:eastAsiaTheme="minorEastAsia" w:hAnsi="Arial" w:cs="Arial"/>
        </w:rPr>
        <w:t xml:space="preserve">members generally step into the demanding caregiving roles without any sort of formal training. This generally contributes to the burnout for the caregivers, </w:t>
      </w:r>
      <w:r w:rsidR="00403577" w:rsidRPr="00874541">
        <w:rPr>
          <w:rFonts w:ascii="Arial" w:eastAsiaTheme="minorEastAsia" w:hAnsi="Arial" w:cs="Arial"/>
        </w:rPr>
        <w:t xml:space="preserve">a </w:t>
      </w:r>
      <w:r w:rsidRPr="00874541">
        <w:rPr>
          <w:rFonts w:ascii="Arial" w:eastAsiaTheme="minorEastAsia" w:hAnsi="Arial" w:cs="Arial"/>
        </w:rPr>
        <w:t xml:space="preserve">high rate of clinical anxiety and depression among the relatives and physical exhaustion. </w:t>
      </w:r>
    </w:p>
    <w:p w14:paraId="21B4CA65" w14:textId="75563BD4" w:rsidR="005D776A" w:rsidRPr="00874541" w:rsidRDefault="005D776A" w:rsidP="00C371B0">
      <w:pPr>
        <w:spacing w:line="360" w:lineRule="auto"/>
        <w:rPr>
          <w:rFonts w:ascii="Arial" w:eastAsiaTheme="minorEastAsia" w:hAnsi="Arial" w:cs="Arial"/>
        </w:rPr>
      </w:pPr>
      <w:r w:rsidRPr="00874541">
        <w:rPr>
          <w:rFonts w:ascii="Arial" w:eastAsiaTheme="minorEastAsia" w:hAnsi="Arial" w:cs="Arial"/>
        </w:rPr>
        <w:t xml:space="preserve">The members of families really face vicarious trauma when </w:t>
      </w:r>
      <w:r w:rsidR="00403577" w:rsidRPr="00874541">
        <w:rPr>
          <w:rFonts w:ascii="Arial" w:eastAsiaTheme="minorEastAsia" w:hAnsi="Arial" w:cs="Arial"/>
        </w:rPr>
        <w:t>they</w:t>
      </w:r>
      <w:r w:rsidRPr="00874541">
        <w:rPr>
          <w:rFonts w:ascii="Arial" w:eastAsiaTheme="minorEastAsia" w:hAnsi="Arial" w:cs="Arial"/>
        </w:rPr>
        <w:t xml:space="preserve"> see a loved one struggling </w:t>
      </w:r>
      <w:r w:rsidR="00403577" w:rsidRPr="00874541">
        <w:rPr>
          <w:rFonts w:ascii="Arial" w:eastAsiaTheme="minorEastAsia" w:hAnsi="Arial" w:cs="Arial"/>
        </w:rPr>
        <w:t>with</w:t>
      </w:r>
      <w:r w:rsidRPr="00874541">
        <w:rPr>
          <w:rFonts w:ascii="Arial" w:eastAsiaTheme="minorEastAsia" w:hAnsi="Arial" w:cs="Arial"/>
        </w:rPr>
        <w:t xml:space="preserve"> critical episodes of breathlessness. This can leave the caregivers feeling </w:t>
      </w:r>
      <w:r w:rsidR="00984401" w:rsidRPr="00874541">
        <w:rPr>
          <w:rFonts w:ascii="Arial" w:eastAsiaTheme="minorEastAsia" w:hAnsi="Arial" w:cs="Arial"/>
        </w:rPr>
        <w:t>helpless</w:t>
      </w:r>
      <w:r w:rsidRPr="00874541">
        <w:rPr>
          <w:rFonts w:ascii="Arial" w:eastAsiaTheme="minorEastAsia" w:hAnsi="Arial" w:cs="Arial"/>
        </w:rPr>
        <w:t xml:space="preserve"> and </w:t>
      </w:r>
      <w:r w:rsidR="00984401" w:rsidRPr="00874541">
        <w:rPr>
          <w:rFonts w:ascii="Arial" w:eastAsiaTheme="minorEastAsia" w:hAnsi="Arial" w:cs="Arial"/>
        </w:rPr>
        <w:t>unsure</w:t>
      </w:r>
      <w:r w:rsidRPr="00874541">
        <w:rPr>
          <w:rFonts w:ascii="Arial" w:eastAsiaTheme="minorEastAsia" w:hAnsi="Arial" w:cs="Arial"/>
        </w:rPr>
        <w:t xml:space="preserve"> about future crises</w:t>
      </w:r>
      <w:r w:rsidR="00446812" w:rsidRPr="00874541">
        <w:rPr>
          <w:rFonts w:ascii="Arial" w:eastAsiaTheme="minorEastAsia" w:hAnsi="Arial" w:cs="Arial"/>
        </w:rPr>
        <w:t>.</w:t>
      </w:r>
    </w:p>
    <w:p w14:paraId="393DDE01" w14:textId="77275D49" w:rsidR="005D776A" w:rsidRPr="00874541" w:rsidRDefault="005D776A" w:rsidP="00C371B0">
      <w:pPr>
        <w:spacing w:line="360" w:lineRule="auto"/>
        <w:rPr>
          <w:rFonts w:ascii="Arial" w:eastAsiaTheme="minorEastAsia" w:hAnsi="Arial" w:cs="Arial"/>
        </w:rPr>
      </w:pPr>
      <w:r w:rsidRPr="00874541">
        <w:rPr>
          <w:rFonts w:ascii="Arial" w:eastAsiaTheme="minorEastAsia" w:hAnsi="Arial" w:cs="Arial"/>
        </w:rPr>
        <w:t xml:space="preserve">Chronic illness can affect the established family dynamics. Adult children or spouses may find themselves taking on managerial or parental roles, which can lead to emotional strain or tension within the relationships. </w:t>
      </w:r>
    </w:p>
    <w:p w14:paraId="28BA176B" w14:textId="5455D5CE" w:rsidR="005D776A" w:rsidRPr="00874541" w:rsidRDefault="005D776A" w:rsidP="00403577">
      <w:pPr>
        <w:pStyle w:val="Heading2"/>
        <w:rPr>
          <w:rFonts w:ascii="Arial" w:eastAsiaTheme="minorEastAsia" w:hAnsi="Arial" w:cs="Arial"/>
        </w:rPr>
      </w:pPr>
      <w:bookmarkStart w:id="14" w:name="_Toc233368048"/>
      <w:r w:rsidRPr="00874541">
        <w:rPr>
          <w:rFonts w:ascii="Arial" w:eastAsiaTheme="minorEastAsia" w:hAnsi="Arial" w:cs="Arial"/>
        </w:rPr>
        <w:t>Evidence-Based NHS Treatment Pathways</w:t>
      </w:r>
      <w:bookmarkEnd w:id="14"/>
      <w:r w:rsidRPr="00874541">
        <w:rPr>
          <w:rFonts w:ascii="Arial" w:eastAsiaTheme="minorEastAsia" w:hAnsi="Arial" w:cs="Arial"/>
        </w:rPr>
        <w:t xml:space="preserve"> </w:t>
      </w:r>
    </w:p>
    <w:p w14:paraId="7856EF82" w14:textId="3C32AC89" w:rsidR="005D776A" w:rsidRPr="00874541" w:rsidRDefault="00FF0595" w:rsidP="00C371B0">
      <w:pPr>
        <w:spacing w:line="360" w:lineRule="auto"/>
        <w:rPr>
          <w:rFonts w:ascii="Arial" w:eastAsiaTheme="minorEastAsia" w:hAnsi="Arial" w:cs="Arial"/>
        </w:rPr>
      </w:pPr>
      <w:r w:rsidRPr="00874541">
        <w:rPr>
          <w:rFonts w:ascii="Arial" w:eastAsiaTheme="minorEastAsia" w:hAnsi="Arial" w:cs="Arial"/>
        </w:rPr>
        <w:t xml:space="preserve">For patients who remain symptomatic </w:t>
      </w:r>
      <w:r w:rsidR="00403577" w:rsidRPr="00874541">
        <w:rPr>
          <w:rFonts w:ascii="Arial" w:eastAsiaTheme="minorEastAsia" w:hAnsi="Arial" w:cs="Arial"/>
        </w:rPr>
        <w:t>despite</w:t>
      </w:r>
      <w:r w:rsidRPr="00874541">
        <w:rPr>
          <w:rFonts w:ascii="Arial" w:eastAsiaTheme="minorEastAsia" w:hAnsi="Arial" w:cs="Arial"/>
        </w:rPr>
        <w:t xml:space="preserve"> short-acting therapy, long-acting dual bronchodilator therapy is initiated. </w:t>
      </w:r>
      <w:r w:rsidR="00403577" w:rsidRPr="00874541">
        <w:rPr>
          <w:rFonts w:ascii="Arial" w:eastAsiaTheme="minorEastAsia" w:hAnsi="Arial" w:cs="Arial"/>
        </w:rPr>
        <w:t>A combination</w:t>
      </w:r>
      <w:r w:rsidRPr="00874541">
        <w:rPr>
          <w:rFonts w:ascii="Arial" w:eastAsiaTheme="minorEastAsia" w:hAnsi="Arial" w:cs="Arial"/>
        </w:rPr>
        <w:t xml:space="preserve"> of the long-acting beta-agonist (LABA) with the long-acting muscarinic antagonist (LAMA) reduces the symptoms and optimises the lung function (</w:t>
      </w:r>
      <w:r w:rsidR="002B7242" w:rsidRPr="00874541">
        <w:rPr>
          <w:rFonts w:ascii="Arial" w:eastAsiaTheme="minorEastAsia" w:hAnsi="Arial" w:cs="Arial"/>
        </w:rPr>
        <w:t>National Institute for Health and Care Excellence</w:t>
      </w:r>
      <w:r w:rsidRPr="00874541">
        <w:rPr>
          <w:rFonts w:ascii="Arial" w:eastAsiaTheme="minorEastAsia" w:hAnsi="Arial" w:cs="Arial"/>
        </w:rPr>
        <w:t xml:space="preserve">, 2019). </w:t>
      </w:r>
    </w:p>
    <w:p w14:paraId="4ACCD03F" w14:textId="7F11D6B6" w:rsidR="00FF0595" w:rsidRPr="00874541" w:rsidRDefault="00403577" w:rsidP="00C371B0">
      <w:pPr>
        <w:spacing w:line="360" w:lineRule="auto"/>
        <w:rPr>
          <w:rFonts w:ascii="Arial" w:eastAsiaTheme="minorEastAsia" w:hAnsi="Arial" w:cs="Arial"/>
        </w:rPr>
      </w:pPr>
      <w:r w:rsidRPr="00874541">
        <w:rPr>
          <w:rFonts w:ascii="Arial" w:eastAsiaTheme="minorEastAsia" w:hAnsi="Arial" w:cs="Arial"/>
        </w:rPr>
        <w:t>Following</w:t>
      </w:r>
      <w:r w:rsidR="00A52EF9" w:rsidRPr="00874541">
        <w:rPr>
          <w:rFonts w:ascii="Arial" w:eastAsiaTheme="minorEastAsia" w:hAnsi="Arial" w:cs="Arial"/>
        </w:rPr>
        <w:t xml:space="preserve"> the national guidelines, </w:t>
      </w:r>
      <w:r w:rsidRPr="00874541">
        <w:rPr>
          <w:rFonts w:ascii="Arial" w:eastAsiaTheme="minorEastAsia" w:hAnsi="Arial" w:cs="Arial"/>
        </w:rPr>
        <w:t>first-line</w:t>
      </w:r>
      <w:r w:rsidR="00A52EF9" w:rsidRPr="00874541">
        <w:rPr>
          <w:rFonts w:ascii="Arial" w:eastAsiaTheme="minorEastAsia" w:hAnsi="Arial" w:cs="Arial"/>
        </w:rPr>
        <w:t xml:space="preserve"> management </w:t>
      </w:r>
      <w:r w:rsidRPr="00874541">
        <w:rPr>
          <w:rFonts w:ascii="Arial" w:eastAsiaTheme="minorEastAsia" w:hAnsi="Arial" w:cs="Arial"/>
        </w:rPr>
        <w:t>emphasises</w:t>
      </w:r>
      <w:r w:rsidR="00A52EF9" w:rsidRPr="00874541">
        <w:rPr>
          <w:rFonts w:ascii="Arial" w:eastAsiaTheme="minorEastAsia" w:hAnsi="Arial" w:cs="Arial"/>
        </w:rPr>
        <w:t xml:space="preserve"> the inhaled bronchodilators to relieve the </w:t>
      </w:r>
      <w:r w:rsidRPr="00874541">
        <w:rPr>
          <w:rFonts w:ascii="Arial" w:eastAsiaTheme="minorEastAsia" w:hAnsi="Arial" w:cs="Arial"/>
        </w:rPr>
        <w:t>airflow</w:t>
      </w:r>
      <w:r w:rsidR="00A52EF9" w:rsidRPr="00874541">
        <w:rPr>
          <w:rFonts w:ascii="Arial" w:eastAsiaTheme="minorEastAsia" w:hAnsi="Arial" w:cs="Arial"/>
        </w:rPr>
        <w:t xml:space="preserve"> limitations. Treatment starts with the </w:t>
      </w:r>
      <w:r w:rsidRPr="00874541">
        <w:rPr>
          <w:rFonts w:ascii="Arial" w:eastAsiaTheme="minorEastAsia" w:hAnsi="Arial" w:cs="Arial"/>
        </w:rPr>
        <w:t>short-acting</w:t>
      </w:r>
      <w:r w:rsidR="00A52EF9" w:rsidRPr="00874541">
        <w:rPr>
          <w:rFonts w:ascii="Arial" w:eastAsiaTheme="minorEastAsia" w:hAnsi="Arial" w:cs="Arial"/>
        </w:rPr>
        <w:t xml:space="preserve"> beta-agonists (SABA) or short-acting muscarinic antagonists (SAMA) used as required for relief of the symptom (</w:t>
      </w:r>
      <w:r w:rsidR="002B7242" w:rsidRPr="00874541">
        <w:rPr>
          <w:rFonts w:ascii="Arial" w:eastAsiaTheme="minorEastAsia" w:hAnsi="Arial" w:cs="Arial"/>
        </w:rPr>
        <w:t>National Institute for Health and Care Excellence</w:t>
      </w:r>
      <w:r w:rsidR="00A52EF9" w:rsidRPr="00874541">
        <w:rPr>
          <w:rFonts w:ascii="Arial" w:eastAsiaTheme="minorEastAsia" w:hAnsi="Arial" w:cs="Arial"/>
        </w:rPr>
        <w:t xml:space="preserve">, 2019). </w:t>
      </w:r>
    </w:p>
    <w:p w14:paraId="188FB844" w14:textId="6A67073D" w:rsidR="00A52EF9" w:rsidRPr="00874541" w:rsidRDefault="001809DD" w:rsidP="00C371B0">
      <w:pPr>
        <w:spacing w:line="360" w:lineRule="auto"/>
        <w:rPr>
          <w:rFonts w:ascii="Arial" w:eastAsiaTheme="minorEastAsia" w:hAnsi="Arial" w:cs="Arial"/>
        </w:rPr>
      </w:pPr>
      <w:r w:rsidRPr="00874541">
        <w:rPr>
          <w:rFonts w:ascii="Arial" w:eastAsiaTheme="minorEastAsia" w:hAnsi="Arial" w:cs="Arial"/>
        </w:rPr>
        <w:t xml:space="preserve">For patients facing frequent exacerbations (two or more moderate episodes or one leading to hospitalisation) alongside the blood eosinophil counts </w:t>
      </w:r>
      <m:oMath>
        <m:r>
          <w:rPr>
            <w:rFonts w:ascii="Cambria Math" w:eastAsiaTheme="minorEastAsia" w:hAnsi="Cambria Math" w:cs="Arial"/>
          </w:rPr>
          <m:t>≥300/μ</m:t>
        </m:r>
        <m:r>
          <m:rPr>
            <m:nor/>
          </m:rPr>
          <w:rPr>
            <w:rFonts w:ascii="Arial" w:eastAsiaTheme="minorEastAsia" w:hAnsi="Arial" w:cs="Arial"/>
          </w:rPr>
          <m:t>L</m:t>
        </m:r>
      </m:oMath>
      <w:r w:rsidR="00403577" w:rsidRPr="00874541">
        <w:rPr>
          <w:rFonts w:ascii="Arial" w:eastAsiaTheme="minorEastAsia" w:hAnsi="Arial" w:cs="Arial"/>
        </w:rPr>
        <w:t>Triple</w:t>
      </w:r>
      <w:r w:rsidRPr="00874541">
        <w:rPr>
          <w:rFonts w:ascii="Arial" w:eastAsiaTheme="minorEastAsia" w:hAnsi="Arial" w:cs="Arial"/>
        </w:rPr>
        <w:t xml:space="preserve"> therapy</w:t>
      </w:r>
      <w:r w:rsidR="00403577" w:rsidRPr="00874541">
        <w:rPr>
          <w:rFonts w:ascii="Arial" w:eastAsiaTheme="minorEastAsia" w:hAnsi="Arial" w:cs="Arial"/>
        </w:rPr>
        <w:t>,</w:t>
      </w:r>
      <w:r w:rsidRPr="00874541">
        <w:rPr>
          <w:rFonts w:ascii="Arial" w:eastAsiaTheme="minorEastAsia" w:hAnsi="Arial" w:cs="Arial"/>
        </w:rPr>
        <w:t xml:space="preserve"> adding an Inhaled Corticosteroid (ICS)</w:t>
      </w:r>
      <w:r w:rsidR="00403577" w:rsidRPr="00874541">
        <w:rPr>
          <w:rFonts w:ascii="Arial" w:eastAsiaTheme="minorEastAsia" w:hAnsi="Arial" w:cs="Arial"/>
        </w:rPr>
        <w:t>,</w:t>
      </w:r>
      <w:r w:rsidRPr="00874541">
        <w:rPr>
          <w:rFonts w:ascii="Arial" w:eastAsiaTheme="minorEastAsia" w:hAnsi="Arial" w:cs="Arial"/>
        </w:rPr>
        <w:t xml:space="preserve"> is suggested to lower readmission rates. </w:t>
      </w:r>
    </w:p>
    <w:p w14:paraId="730F17D4" w14:textId="47777289" w:rsidR="001809DD" w:rsidRPr="00874541" w:rsidRDefault="001809DD" w:rsidP="00C371B0">
      <w:pPr>
        <w:spacing w:line="360" w:lineRule="auto"/>
        <w:rPr>
          <w:rFonts w:ascii="Arial" w:eastAsiaTheme="minorEastAsia" w:hAnsi="Arial" w:cs="Arial"/>
        </w:rPr>
      </w:pPr>
      <w:r w:rsidRPr="00874541">
        <w:rPr>
          <w:rFonts w:ascii="Arial" w:eastAsiaTheme="minorEastAsia" w:hAnsi="Arial" w:cs="Arial"/>
        </w:rPr>
        <w:t>P</w:t>
      </w:r>
      <w:r w:rsidR="00A64358" w:rsidRPr="00874541">
        <w:rPr>
          <w:rFonts w:ascii="Arial" w:eastAsiaTheme="minorEastAsia" w:hAnsi="Arial" w:cs="Arial"/>
        </w:rPr>
        <w:t>ulmonary Rehabilitation</w:t>
      </w:r>
      <w:r w:rsidRPr="00874541">
        <w:rPr>
          <w:rFonts w:ascii="Arial" w:eastAsiaTheme="minorEastAsia" w:hAnsi="Arial" w:cs="Arial"/>
        </w:rPr>
        <w:t xml:space="preserve"> is the major non-pharmacological pathway in the NHS. Does </w:t>
      </w:r>
      <w:r w:rsidR="00403577" w:rsidRPr="00874541">
        <w:rPr>
          <w:rFonts w:ascii="Arial" w:eastAsiaTheme="minorEastAsia" w:hAnsi="Arial" w:cs="Arial"/>
        </w:rPr>
        <w:t xml:space="preserve">a </w:t>
      </w:r>
      <w:r w:rsidRPr="00874541">
        <w:rPr>
          <w:rFonts w:ascii="Arial" w:eastAsiaTheme="minorEastAsia" w:hAnsi="Arial" w:cs="Arial"/>
        </w:rPr>
        <w:t xml:space="preserve">multidisciplinary program </w:t>
      </w:r>
      <w:r w:rsidR="00403577" w:rsidRPr="00874541">
        <w:rPr>
          <w:rFonts w:ascii="Arial" w:eastAsiaTheme="minorEastAsia" w:hAnsi="Arial" w:cs="Arial"/>
        </w:rPr>
        <w:t>consist</w:t>
      </w:r>
      <w:r w:rsidRPr="00874541">
        <w:rPr>
          <w:rFonts w:ascii="Arial" w:eastAsiaTheme="minorEastAsia" w:hAnsi="Arial" w:cs="Arial"/>
        </w:rPr>
        <w:t xml:space="preserve"> of supervised physical exercise with education, </w:t>
      </w:r>
      <w:r w:rsidRPr="00874541">
        <w:rPr>
          <w:rFonts w:ascii="Arial" w:eastAsiaTheme="minorEastAsia" w:hAnsi="Arial" w:cs="Arial"/>
        </w:rPr>
        <w:lastRenderedPageBreak/>
        <w:t>Michelle</w:t>
      </w:r>
      <w:r w:rsidR="00403577" w:rsidRPr="00874541">
        <w:rPr>
          <w:rFonts w:ascii="Arial" w:eastAsiaTheme="minorEastAsia" w:hAnsi="Arial" w:cs="Arial"/>
        </w:rPr>
        <w:t>,</w:t>
      </w:r>
      <w:r w:rsidRPr="00874541">
        <w:rPr>
          <w:rFonts w:ascii="Arial" w:eastAsiaTheme="minorEastAsia" w:hAnsi="Arial" w:cs="Arial"/>
        </w:rPr>
        <w:t xml:space="preserve"> to improve the exercise tolerance and </w:t>
      </w:r>
      <w:r w:rsidR="00C37343" w:rsidRPr="00874541">
        <w:rPr>
          <w:rFonts w:ascii="Arial" w:eastAsiaTheme="minorEastAsia" w:hAnsi="Arial" w:cs="Arial"/>
        </w:rPr>
        <w:t>health-related</w:t>
      </w:r>
      <w:r w:rsidRPr="00874541">
        <w:rPr>
          <w:rFonts w:ascii="Arial" w:eastAsiaTheme="minorEastAsia" w:hAnsi="Arial" w:cs="Arial"/>
        </w:rPr>
        <w:t xml:space="preserve"> quality of life (</w:t>
      </w:r>
      <w:r w:rsidR="002B7242" w:rsidRPr="00874541">
        <w:rPr>
          <w:rFonts w:ascii="Arial" w:eastAsiaTheme="minorEastAsia" w:hAnsi="Arial" w:cs="Arial"/>
        </w:rPr>
        <w:t>National Institute for Health and Care Excellence</w:t>
      </w:r>
      <w:r w:rsidRPr="00874541">
        <w:rPr>
          <w:rFonts w:ascii="Arial" w:eastAsiaTheme="minorEastAsia" w:hAnsi="Arial" w:cs="Arial"/>
        </w:rPr>
        <w:t xml:space="preserve">, 2019). </w:t>
      </w:r>
    </w:p>
    <w:p w14:paraId="7FB3680C" w14:textId="28658DE3" w:rsidR="001809DD" w:rsidRPr="00874541" w:rsidRDefault="001809DD" w:rsidP="00C371B0">
      <w:pPr>
        <w:spacing w:line="360" w:lineRule="auto"/>
        <w:rPr>
          <w:rFonts w:ascii="Arial" w:eastAsiaTheme="minorEastAsia" w:hAnsi="Arial" w:cs="Arial"/>
        </w:rPr>
      </w:pPr>
      <w:r w:rsidRPr="00874541">
        <w:rPr>
          <w:rFonts w:ascii="Arial" w:eastAsiaTheme="minorEastAsia" w:hAnsi="Arial" w:cs="Arial"/>
        </w:rPr>
        <w:t>Long-Term Oxygen Therapy (LTOT)</w:t>
      </w:r>
      <w:r w:rsidR="00A64358" w:rsidRPr="00874541">
        <w:rPr>
          <w:rFonts w:ascii="Arial" w:eastAsiaTheme="minorEastAsia" w:hAnsi="Arial" w:cs="Arial"/>
        </w:rPr>
        <w:t xml:space="preserve"> </w:t>
      </w:r>
      <w:r w:rsidRPr="00874541">
        <w:rPr>
          <w:rFonts w:ascii="Arial" w:eastAsiaTheme="minorEastAsia" w:hAnsi="Arial" w:cs="Arial"/>
        </w:rPr>
        <w:t xml:space="preserve">is suggested </w:t>
      </w:r>
      <w:r w:rsidR="007509B1" w:rsidRPr="00874541">
        <w:rPr>
          <w:rFonts w:ascii="Arial" w:eastAsiaTheme="minorEastAsia" w:hAnsi="Arial" w:cs="Arial"/>
        </w:rPr>
        <w:t>for</w:t>
      </w:r>
      <w:r w:rsidRPr="00874541">
        <w:rPr>
          <w:rFonts w:ascii="Arial" w:eastAsiaTheme="minorEastAsia" w:hAnsi="Arial" w:cs="Arial"/>
        </w:rPr>
        <w:t xml:space="preserve"> patients with </w:t>
      </w:r>
      <w:r w:rsidR="007509B1" w:rsidRPr="00874541">
        <w:rPr>
          <w:rFonts w:ascii="Arial" w:eastAsiaTheme="minorEastAsia" w:hAnsi="Arial" w:cs="Arial"/>
        </w:rPr>
        <w:t>chronic obstructive pulmonary disease (COPD)</w:t>
      </w:r>
      <w:r w:rsidRPr="00874541">
        <w:rPr>
          <w:rFonts w:ascii="Arial" w:eastAsiaTheme="minorEastAsia" w:hAnsi="Arial" w:cs="Arial"/>
        </w:rPr>
        <w:t xml:space="preserve"> </w:t>
      </w:r>
      <w:r w:rsidR="007509B1" w:rsidRPr="00874541">
        <w:rPr>
          <w:rFonts w:ascii="Arial" w:eastAsiaTheme="minorEastAsia" w:hAnsi="Arial" w:cs="Arial"/>
        </w:rPr>
        <w:t>with</w:t>
      </w:r>
      <w:r w:rsidRPr="00874541">
        <w:rPr>
          <w:rFonts w:ascii="Arial" w:eastAsiaTheme="minorEastAsia" w:hAnsi="Arial" w:cs="Arial"/>
        </w:rPr>
        <w:t xml:space="preserve"> hypoxemia. When used for at least 15 hours every day, LTOT can offer an </w:t>
      </w:r>
      <w:r w:rsidR="00C37343" w:rsidRPr="00874541">
        <w:rPr>
          <w:rFonts w:ascii="Arial" w:eastAsiaTheme="minorEastAsia" w:hAnsi="Arial" w:cs="Arial"/>
        </w:rPr>
        <w:t>evidence-based</w:t>
      </w:r>
      <w:r w:rsidRPr="00874541">
        <w:rPr>
          <w:rFonts w:ascii="Arial" w:eastAsiaTheme="minorEastAsia" w:hAnsi="Arial" w:cs="Arial"/>
        </w:rPr>
        <w:t xml:space="preserve"> survival advantage for the advanced cases (</w:t>
      </w:r>
      <w:r w:rsidR="002B7242" w:rsidRPr="00874541">
        <w:rPr>
          <w:rFonts w:ascii="Arial" w:eastAsiaTheme="minorEastAsia" w:hAnsi="Arial" w:cs="Arial"/>
        </w:rPr>
        <w:t>National Institute for Health and Care Excellence</w:t>
      </w:r>
      <w:r w:rsidRPr="00874541">
        <w:rPr>
          <w:rFonts w:ascii="Arial" w:eastAsiaTheme="minorEastAsia" w:hAnsi="Arial" w:cs="Arial"/>
        </w:rPr>
        <w:t xml:space="preserve">, 2019). </w:t>
      </w:r>
    </w:p>
    <w:p w14:paraId="7FD1D709" w14:textId="17BD7A46" w:rsidR="001809DD" w:rsidRPr="00874541" w:rsidRDefault="001809DD" w:rsidP="00C371B0">
      <w:pPr>
        <w:spacing w:line="360" w:lineRule="auto"/>
        <w:rPr>
          <w:rFonts w:ascii="Arial" w:eastAsiaTheme="minorEastAsia" w:hAnsi="Arial" w:cs="Arial"/>
        </w:rPr>
      </w:pPr>
      <w:r w:rsidRPr="00874541">
        <w:rPr>
          <w:rFonts w:ascii="Arial" w:eastAsiaTheme="minorEastAsia" w:hAnsi="Arial" w:cs="Arial"/>
        </w:rPr>
        <w:t xml:space="preserve">For patients who are admitted with </w:t>
      </w:r>
      <w:r w:rsidR="00C37343" w:rsidRPr="00874541">
        <w:rPr>
          <w:rFonts w:ascii="Arial" w:eastAsiaTheme="minorEastAsia" w:hAnsi="Arial" w:cs="Arial"/>
        </w:rPr>
        <w:t>acute-on-chronic</w:t>
      </w:r>
      <w:r w:rsidRPr="00874541">
        <w:rPr>
          <w:rFonts w:ascii="Arial" w:eastAsiaTheme="minorEastAsia" w:hAnsi="Arial" w:cs="Arial"/>
        </w:rPr>
        <w:t xml:space="preserve"> respiratory acidosis due to an exacerbation, acute </w:t>
      </w:r>
      <w:r w:rsidR="00C37343" w:rsidRPr="00874541">
        <w:rPr>
          <w:rFonts w:ascii="Arial" w:eastAsiaTheme="minorEastAsia" w:hAnsi="Arial" w:cs="Arial"/>
        </w:rPr>
        <w:t>ward-based</w:t>
      </w:r>
      <w:r w:rsidRPr="00874541">
        <w:rPr>
          <w:rFonts w:ascii="Arial" w:eastAsiaTheme="minorEastAsia" w:hAnsi="Arial" w:cs="Arial"/>
        </w:rPr>
        <w:t xml:space="preserve"> NIV is the gold standard treatment</w:t>
      </w:r>
      <w:r w:rsidR="00C37343" w:rsidRPr="00874541">
        <w:rPr>
          <w:rFonts w:ascii="Arial" w:eastAsiaTheme="minorEastAsia" w:hAnsi="Arial" w:cs="Arial"/>
        </w:rPr>
        <w:t>,</w:t>
      </w:r>
      <w:r w:rsidRPr="00874541">
        <w:rPr>
          <w:rFonts w:ascii="Arial" w:eastAsiaTheme="minorEastAsia" w:hAnsi="Arial" w:cs="Arial"/>
        </w:rPr>
        <w:t xml:space="preserve"> which improves survival (</w:t>
      </w:r>
      <w:r w:rsidR="002B7242" w:rsidRPr="00874541">
        <w:rPr>
          <w:rFonts w:ascii="Arial" w:eastAsiaTheme="minorEastAsia" w:hAnsi="Arial" w:cs="Arial"/>
        </w:rPr>
        <w:t>National Institute for Health and Care Excellence</w:t>
      </w:r>
      <w:r w:rsidRPr="00874541">
        <w:rPr>
          <w:rFonts w:ascii="Arial" w:eastAsiaTheme="minorEastAsia" w:hAnsi="Arial" w:cs="Arial"/>
        </w:rPr>
        <w:t xml:space="preserve">, 2019). </w:t>
      </w:r>
    </w:p>
    <w:p w14:paraId="364253F2" w14:textId="77777777" w:rsidR="005A2BF2" w:rsidRPr="00874541" w:rsidRDefault="005A2BF2" w:rsidP="005A2BF2">
      <w:pPr>
        <w:keepNext/>
        <w:spacing w:line="360" w:lineRule="auto"/>
        <w:jc w:val="center"/>
        <w:rPr>
          <w:rFonts w:ascii="Arial" w:hAnsi="Arial" w:cs="Arial"/>
        </w:rPr>
      </w:pPr>
      <w:r w:rsidRPr="00874541">
        <w:rPr>
          <w:rFonts w:ascii="Arial" w:eastAsiaTheme="minorEastAsia" w:hAnsi="Arial" w:cs="Arial"/>
          <w:noProof/>
        </w:rPr>
        <w:drawing>
          <wp:inline distT="0" distB="0" distL="0" distR="0" wp14:anchorId="482DF28D" wp14:editId="27D36027">
            <wp:extent cx="5360670" cy="4287090"/>
            <wp:effectExtent l="152400" t="152400" r="354330" b="361315"/>
            <wp:docPr id="35682446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BEBA8EAE-BF5A-486C-A8C5-ECC9F3942E4B}">
                          <a14:imgProps xmlns:a14="http://schemas.microsoft.com/office/drawing/2010/main">
                            <a14:imgLayer r:embed="rId31">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5369268" cy="4293966"/>
                    </a:xfrm>
                    <a:prstGeom prst="rect">
                      <a:avLst/>
                    </a:prstGeom>
                    <a:ln>
                      <a:noFill/>
                    </a:ln>
                    <a:effectLst>
                      <a:outerShdw blurRad="292100" dist="139700" dir="2700000" algn="tl" rotWithShape="0">
                        <a:srgbClr val="333333">
                          <a:alpha val="65000"/>
                        </a:srgbClr>
                      </a:outerShdw>
                    </a:effectLst>
                  </pic:spPr>
                </pic:pic>
              </a:graphicData>
            </a:graphic>
          </wp:inline>
        </w:drawing>
      </w:r>
    </w:p>
    <w:p w14:paraId="34A6222B" w14:textId="15886A41" w:rsidR="005A2BF2" w:rsidRPr="00874541" w:rsidRDefault="005A2BF2" w:rsidP="005A2BF2">
      <w:pPr>
        <w:pStyle w:val="Caption"/>
        <w:jc w:val="center"/>
        <w:rPr>
          <w:rFonts w:ascii="Arial" w:hAnsi="Arial" w:cs="Arial"/>
        </w:rPr>
      </w:pPr>
      <w:bookmarkStart w:id="15" w:name="_Toc233368075"/>
      <w:r w:rsidRPr="00874541">
        <w:rPr>
          <w:rFonts w:ascii="Arial" w:hAnsi="Arial" w:cs="Arial"/>
        </w:rPr>
        <w:t xml:space="preserve">Figure </w:t>
      </w:r>
      <w:r w:rsidRPr="00874541">
        <w:rPr>
          <w:rFonts w:ascii="Arial" w:hAnsi="Arial" w:cs="Arial"/>
        </w:rPr>
        <w:fldChar w:fldCharType="begin"/>
      </w:r>
      <w:r w:rsidRPr="00874541">
        <w:rPr>
          <w:rFonts w:ascii="Arial" w:hAnsi="Arial" w:cs="Arial"/>
        </w:rPr>
        <w:instrText xml:space="preserve"> SEQ Figure \* ARABIC </w:instrText>
      </w:r>
      <w:r w:rsidRPr="00874541">
        <w:rPr>
          <w:rFonts w:ascii="Arial" w:hAnsi="Arial" w:cs="Arial"/>
        </w:rPr>
        <w:fldChar w:fldCharType="separate"/>
      </w:r>
      <w:r w:rsidRPr="00874541">
        <w:rPr>
          <w:rFonts w:ascii="Arial" w:hAnsi="Arial" w:cs="Arial"/>
          <w:noProof/>
        </w:rPr>
        <w:t>8</w:t>
      </w:r>
      <w:r w:rsidRPr="00874541">
        <w:rPr>
          <w:rFonts w:ascii="Arial" w:hAnsi="Arial" w:cs="Arial"/>
        </w:rPr>
        <w:fldChar w:fldCharType="end"/>
      </w:r>
      <w:r w:rsidRPr="00874541">
        <w:rPr>
          <w:rFonts w:ascii="Arial" w:hAnsi="Arial" w:cs="Arial"/>
        </w:rPr>
        <w:t>: Potential benefits of LAMA/LABA combination therapy compared to LAMA or LABA monotherapy in patients with COPD.</w:t>
      </w:r>
      <w:bookmarkEnd w:id="15"/>
    </w:p>
    <w:p w14:paraId="32701DDE" w14:textId="54A3F97D" w:rsidR="007553E9" w:rsidRPr="00874541" w:rsidRDefault="005A2BF2" w:rsidP="005A2BF2">
      <w:pPr>
        <w:jc w:val="center"/>
        <w:rPr>
          <w:rFonts w:ascii="Arial" w:hAnsi="Arial" w:cs="Arial"/>
        </w:rPr>
      </w:pPr>
      <w:r w:rsidRPr="00874541">
        <w:rPr>
          <w:rFonts w:ascii="Arial" w:hAnsi="Arial" w:cs="Arial"/>
        </w:rPr>
        <w:t>(Source: Buhi et al., 2024)</w:t>
      </w:r>
    </w:p>
    <w:p w14:paraId="74A15E5E" w14:textId="1E04C8FF" w:rsidR="001809DD" w:rsidRPr="00874541" w:rsidRDefault="001809DD" w:rsidP="00403577">
      <w:pPr>
        <w:pStyle w:val="Heading1"/>
        <w:rPr>
          <w:rFonts w:ascii="Arial" w:eastAsiaTheme="minorEastAsia" w:hAnsi="Arial" w:cs="Arial"/>
        </w:rPr>
      </w:pPr>
      <w:bookmarkStart w:id="16" w:name="_Toc233368049"/>
      <w:r w:rsidRPr="00874541">
        <w:rPr>
          <w:rFonts w:ascii="Arial" w:eastAsiaTheme="minorEastAsia" w:hAnsi="Arial" w:cs="Arial"/>
        </w:rPr>
        <w:lastRenderedPageBreak/>
        <w:t>3 Theoretical Frameworks and Models for Improved Outcomes</w:t>
      </w:r>
      <w:bookmarkEnd w:id="16"/>
      <w:r w:rsidRPr="00874541">
        <w:rPr>
          <w:rFonts w:ascii="Arial" w:eastAsiaTheme="minorEastAsia" w:hAnsi="Arial" w:cs="Arial"/>
        </w:rPr>
        <w:t xml:space="preserve"> </w:t>
      </w:r>
    </w:p>
    <w:p w14:paraId="24815A66" w14:textId="0EFA0CA0" w:rsidR="003C7456" w:rsidRPr="00874541" w:rsidRDefault="003C7456" w:rsidP="003C7456">
      <w:pPr>
        <w:rPr>
          <w:rFonts w:ascii="Arial" w:hAnsi="Arial" w:cs="Arial"/>
          <w:lang w:val="en-US"/>
        </w:rPr>
      </w:pPr>
      <w:r w:rsidRPr="00874541">
        <w:rPr>
          <w:rFonts w:ascii="Arial" w:hAnsi="Arial" w:cs="Arial"/>
          <w:lang w:val="en-US"/>
        </w:rPr>
        <w:t xml:space="preserve">To effectively bridge the gap between reactive treatment and proactive clinical care, the health systems depend on the structural management models of care. For domestic application within the UK National Health Service, the clinical practices </w:t>
      </w:r>
      <w:r w:rsidR="00984401" w:rsidRPr="00874541">
        <w:rPr>
          <w:rFonts w:ascii="Arial" w:hAnsi="Arial" w:cs="Arial"/>
          <w:lang w:val="en-US"/>
        </w:rPr>
        <w:t>use</w:t>
      </w:r>
      <w:r w:rsidRPr="00874541">
        <w:rPr>
          <w:rFonts w:ascii="Arial" w:hAnsi="Arial" w:cs="Arial"/>
          <w:lang w:val="en-US"/>
        </w:rPr>
        <w:t xml:space="preserve"> </w:t>
      </w:r>
      <w:r w:rsidR="00984401" w:rsidRPr="00874541">
        <w:rPr>
          <w:rFonts w:ascii="Arial" w:hAnsi="Arial" w:cs="Arial"/>
          <w:b/>
          <w:bCs/>
          <w:i/>
          <w:iCs/>
          <w:lang w:val="en-US"/>
        </w:rPr>
        <w:t>the</w:t>
      </w:r>
      <w:r w:rsidRPr="00874541">
        <w:rPr>
          <w:rFonts w:ascii="Arial" w:hAnsi="Arial" w:cs="Arial"/>
          <w:b/>
          <w:bCs/>
          <w:i/>
          <w:iCs/>
          <w:lang w:val="en-US"/>
        </w:rPr>
        <w:t xml:space="preserve"> House of Care Framework, </w:t>
      </w:r>
      <w:r w:rsidRPr="00874541">
        <w:rPr>
          <w:rFonts w:ascii="Arial" w:hAnsi="Arial" w:cs="Arial"/>
          <w:lang w:val="en-US"/>
        </w:rPr>
        <w:t xml:space="preserve">which explicitly </w:t>
      </w:r>
      <w:r w:rsidR="00984401" w:rsidRPr="00874541">
        <w:rPr>
          <w:rFonts w:ascii="Arial" w:hAnsi="Arial" w:cs="Arial"/>
          <w:lang w:val="en-US"/>
        </w:rPr>
        <w:t>incorporates</w:t>
      </w:r>
      <w:r w:rsidRPr="00874541">
        <w:rPr>
          <w:rFonts w:ascii="Arial" w:hAnsi="Arial" w:cs="Arial"/>
          <w:lang w:val="en-US"/>
        </w:rPr>
        <w:t xml:space="preserve"> personal care planning into the </w:t>
      </w:r>
      <w:r w:rsidR="00984401" w:rsidRPr="00874541">
        <w:rPr>
          <w:rFonts w:ascii="Arial" w:hAnsi="Arial" w:cs="Arial"/>
          <w:lang w:val="en-US"/>
        </w:rPr>
        <w:t>localised</w:t>
      </w:r>
      <w:r w:rsidRPr="00874541">
        <w:rPr>
          <w:rFonts w:ascii="Arial" w:hAnsi="Arial" w:cs="Arial"/>
          <w:lang w:val="en-US"/>
        </w:rPr>
        <w:t xml:space="preserve"> primary care infrastructure. However, for the wider international systems and the multi-layered strategies for global health, the organisations implement </w:t>
      </w:r>
      <w:r w:rsidR="007509B1" w:rsidRPr="00874541">
        <w:rPr>
          <w:rFonts w:ascii="Arial" w:hAnsi="Arial" w:cs="Arial"/>
          <w:b/>
          <w:bCs/>
          <w:i/>
          <w:iCs/>
          <w:lang w:val="en-US"/>
        </w:rPr>
        <w:t>the</w:t>
      </w:r>
      <w:r w:rsidRPr="00874541">
        <w:rPr>
          <w:rFonts w:ascii="Arial" w:hAnsi="Arial" w:cs="Arial"/>
          <w:b/>
          <w:bCs/>
          <w:i/>
          <w:iCs/>
          <w:lang w:val="en-US"/>
        </w:rPr>
        <w:t xml:space="preserve"> Chronic Care Model (CCM), </w:t>
      </w:r>
      <w:r w:rsidRPr="00874541">
        <w:rPr>
          <w:rFonts w:ascii="Arial" w:hAnsi="Arial" w:cs="Arial"/>
          <w:lang w:val="en-US"/>
        </w:rPr>
        <w:t xml:space="preserve"> which is designed to </w:t>
      </w:r>
      <w:r w:rsidR="00984401" w:rsidRPr="00874541">
        <w:rPr>
          <w:rFonts w:ascii="Arial" w:hAnsi="Arial" w:cs="Arial"/>
          <w:lang w:val="en-US"/>
        </w:rPr>
        <w:t>optimise</w:t>
      </w:r>
      <w:r w:rsidRPr="00874541">
        <w:rPr>
          <w:rFonts w:ascii="Arial" w:hAnsi="Arial" w:cs="Arial"/>
          <w:lang w:val="en-US"/>
        </w:rPr>
        <w:t xml:space="preserve"> the </w:t>
      </w:r>
      <w:r w:rsidR="00984401" w:rsidRPr="00874541">
        <w:rPr>
          <w:rFonts w:ascii="Arial" w:hAnsi="Arial" w:cs="Arial"/>
          <w:lang w:val="en-US"/>
        </w:rPr>
        <w:t>population-level</w:t>
      </w:r>
      <w:r w:rsidRPr="00874541">
        <w:rPr>
          <w:rFonts w:ascii="Arial" w:hAnsi="Arial" w:cs="Arial"/>
          <w:lang w:val="en-US"/>
        </w:rPr>
        <w:t xml:space="preserve"> metrics across different private and public insurance networks. </w:t>
      </w:r>
    </w:p>
    <w:p w14:paraId="1B46851A" w14:textId="4ABEB9A6" w:rsidR="001809DD" w:rsidRPr="00874541" w:rsidRDefault="00A96BE4" w:rsidP="00403577">
      <w:pPr>
        <w:pStyle w:val="Heading2"/>
        <w:rPr>
          <w:rFonts w:ascii="Arial" w:eastAsiaTheme="minorEastAsia" w:hAnsi="Arial" w:cs="Arial"/>
        </w:rPr>
      </w:pPr>
      <w:bookmarkStart w:id="17" w:name="_Toc233368050"/>
      <w:r w:rsidRPr="00874541">
        <w:rPr>
          <w:rFonts w:ascii="Arial" w:eastAsiaTheme="minorEastAsia" w:hAnsi="Arial" w:cs="Arial"/>
        </w:rPr>
        <w:t>UK Model: The House of Care Framework</w:t>
      </w:r>
      <w:bookmarkEnd w:id="17"/>
    </w:p>
    <w:p w14:paraId="1E9488F8" w14:textId="77777777" w:rsidR="002B7242" w:rsidRPr="00874541" w:rsidRDefault="002B7242" w:rsidP="002B7242">
      <w:pPr>
        <w:keepNext/>
        <w:jc w:val="center"/>
        <w:rPr>
          <w:rFonts w:ascii="Arial" w:hAnsi="Arial" w:cs="Arial"/>
        </w:rPr>
      </w:pPr>
      <w:r w:rsidRPr="00874541">
        <w:rPr>
          <w:rFonts w:ascii="Arial" w:hAnsi="Arial" w:cs="Arial"/>
          <w:noProof/>
          <w:lang w:val="en-US"/>
        </w:rPr>
        <w:drawing>
          <wp:inline distT="0" distB="0" distL="0" distR="0" wp14:anchorId="5D8EDA9F" wp14:editId="04571BDE">
            <wp:extent cx="4465707" cy="3627434"/>
            <wp:effectExtent l="152400" t="152400" r="354330" b="354330"/>
            <wp:docPr id="689151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151601" name=""/>
                    <pic:cNvPicPr/>
                  </pic:nvPicPr>
                  <pic:blipFill>
                    <a:blip r:embed="rId32">
                      <a:extLst>
                        <a:ext uri="{BEBA8EAE-BF5A-486C-A8C5-ECC9F3942E4B}">
                          <a14:imgProps xmlns:a14="http://schemas.microsoft.com/office/drawing/2010/main">
                            <a14:imgLayer r:embed="rId33">
                              <a14:imgEffect>
                                <a14:sharpenSoften amount="50000"/>
                              </a14:imgEffect>
                            </a14:imgLayer>
                          </a14:imgProps>
                        </a:ext>
                      </a:extLst>
                    </a:blip>
                    <a:stretch>
                      <a:fillRect/>
                    </a:stretch>
                  </pic:blipFill>
                  <pic:spPr>
                    <a:xfrm>
                      <a:off x="0" y="0"/>
                      <a:ext cx="4465707" cy="3627434"/>
                    </a:xfrm>
                    <a:prstGeom prst="rect">
                      <a:avLst/>
                    </a:prstGeom>
                    <a:ln>
                      <a:noFill/>
                    </a:ln>
                    <a:effectLst>
                      <a:outerShdw blurRad="292100" dist="139700" dir="2700000" algn="tl" rotWithShape="0">
                        <a:srgbClr val="333333">
                          <a:alpha val="65000"/>
                        </a:srgbClr>
                      </a:outerShdw>
                    </a:effectLst>
                  </pic:spPr>
                </pic:pic>
              </a:graphicData>
            </a:graphic>
          </wp:inline>
        </w:drawing>
      </w:r>
    </w:p>
    <w:p w14:paraId="0A3F685F" w14:textId="56D4C3DD" w:rsidR="002B7242" w:rsidRPr="00874541" w:rsidRDefault="002B7242" w:rsidP="002B7242">
      <w:pPr>
        <w:pStyle w:val="Caption"/>
        <w:jc w:val="center"/>
        <w:rPr>
          <w:rFonts w:ascii="Arial" w:hAnsi="Arial" w:cs="Arial"/>
        </w:rPr>
      </w:pPr>
      <w:bookmarkStart w:id="18" w:name="_Toc233368076"/>
      <w:r w:rsidRPr="00874541">
        <w:rPr>
          <w:rFonts w:ascii="Arial" w:hAnsi="Arial" w:cs="Arial"/>
        </w:rPr>
        <w:t xml:space="preserve">Figure </w:t>
      </w:r>
      <w:r w:rsidRPr="00874541">
        <w:rPr>
          <w:rFonts w:ascii="Arial" w:hAnsi="Arial" w:cs="Arial"/>
        </w:rPr>
        <w:fldChar w:fldCharType="begin"/>
      </w:r>
      <w:r w:rsidRPr="00874541">
        <w:rPr>
          <w:rFonts w:ascii="Arial" w:hAnsi="Arial" w:cs="Arial"/>
        </w:rPr>
        <w:instrText xml:space="preserve"> SEQ Figure \* ARABIC </w:instrText>
      </w:r>
      <w:r w:rsidRPr="00874541">
        <w:rPr>
          <w:rFonts w:ascii="Arial" w:hAnsi="Arial" w:cs="Arial"/>
        </w:rPr>
        <w:fldChar w:fldCharType="separate"/>
      </w:r>
      <w:r w:rsidR="00874541" w:rsidRPr="00874541">
        <w:rPr>
          <w:rFonts w:ascii="Arial" w:hAnsi="Arial" w:cs="Arial"/>
          <w:noProof/>
        </w:rPr>
        <w:t>9</w:t>
      </w:r>
      <w:r w:rsidRPr="00874541">
        <w:rPr>
          <w:rFonts w:ascii="Arial" w:hAnsi="Arial" w:cs="Arial"/>
          <w:noProof/>
        </w:rPr>
        <w:fldChar w:fldCharType="end"/>
      </w:r>
      <w:r w:rsidRPr="00874541">
        <w:rPr>
          <w:rFonts w:ascii="Arial" w:hAnsi="Arial" w:cs="Arial"/>
        </w:rPr>
        <w:t>: House of Care Model</w:t>
      </w:r>
      <w:bookmarkEnd w:id="18"/>
    </w:p>
    <w:p w14:paraId="036A25C5" w14:textId="2D4D6081" w:rsidR="002B7242" w:rsidRPr="00874541" w:rsidRDefault="002B7242" w:rsidP="002B7242">
      <w:pPr>
        <w:jc w:val="center"/>
        <w:rPr>
          <w:rFonts w:ascii="Arial" w:hAnsi="Arial" w:cs="Arial"/>
          <w:lang w:val="en-US"/>
        </w:rPr>
      </w:pPr>
      <w:r w:rsidRPr="00874541">
        <w:rPr>
          <w:rFonts w:ascii="Arial" w:hAnsi="Arial" w:cs="Arial"/>
          <w:lang w:val="en-US"/>
        </w:rPr>
        <w:t>(Source: Reidy et al., 2016)</w:t>
      </w:r>
    </w:p>
    <w:p w14:paraId="1732CA8E" w14:textId="5B08871A" w:rsidR="00A96BE4" w:rsidRPr="00874541" w:rsidRDefault="00A96BE4" w:rsidP="00C371B0">
      <w:pPr>
        <w:spacing w:line="360" w:lineRule="auto"/>
        <w:rPr>
          <w:rFonts w:ascii="Arial" w:eastAsiaTheme="minorEastAsia" w:hAnsi="Arial" w:cs="Arial"/>
        </w:rPr>
      </w:pPr>
      <w:r w:rsidRPr="00874541">
        <w:rPr>
          <w:rFonts w:ascii="Arial" w:eastAsiaTheme="minorEastAsia" w:hAnsi="Arial" w:cs="Arial"/>
        </w:rPr>
        <w:t xml:space="preserve">The House of </w:t>
      </w:r>
      <w:r w:rsidR="00C37343" w:rsidRPr="00874541">
        <w:rPr>
          <w:rFonts w:ascii="Arial" w:eastAsiaTheme="minorEastAsia" w:hAnsi="Arial" w:cs="Arial"/>
        </w:rPr>
        <w:t>Care</w:t>
      </w:r>
      <w:r w:rsidRPr="00874541">
        <w:rPr>
          <w:rFonts w:ascii="Arial" w:eastAsiaTheme="minorEastAsia" w:hAnsi="Arial" w:cs="Arial"/>
        </w:rPr>
        <w:t xml:space="preserve"> framework </w:t>
      </w:r>
      <w:r w:rsidR="00C37343" w:rsidRPr="00874541">
        <w:rPr>
          <w:rFonts w:ascii="Arial" w:eastAsiaTheme="minorEastAsia" w:hAnsi="Arial" w:cs="Arial"/>
        </w:rPr>
        <w:t>is</w:t>
      </w:r>
      <w:r w:rsidRPr="00874541">
        <w:rPr>
          <w:rFonts w:ascii="Arial" w:eastAsiaTheme="minorEastAsia" w:hAnsi="Arial" w:cs="Arial"/>
        </w:rPr>
        <w:t xml:space="preserve"> used as a structural tool to integrate personalised care and assist </w:t>
      </w:r>
      <w:r w:rsidR="00C37343" w:rsidRPr="00874541">
        <w:rPr>
          <w:rFonts w:ascii="Arial" w:eastAsiaTheme="minorEastAsia" w:hAnsi="Arial" w:cs="Arial"/>
        </w:rPr>
        <w:t>in</w:t>
      </w:r>
      <w:r w:rsidRPr="00874541">
        <w:rPr>
          <w:rFonts w:ascii="Arial" w:eastAsiaTheme="minorEastAsia" w:hAnsi="Arial" w:cs="Arial"/>
        </w:rPr>
        <w:t xml:space="preserve"> planning </w:t>
      </w:r>
      <w:r w:rsidR="00C37343" w:rsidRPr="00874541">
        <w:rPr>
          <w:rFonts w:ascii="Arial" w:eastAsiaTheme="minorEastAsia" w:hAnsi="Arial" w:cs="Arial"/>
        </w:rPr>
        <w:t>for</w:t>
      </w:r>
      <w:r w:rsidRPr="00874541">
        <w:rPr>
          <w:rFonts w:ascii="Arial" w:eastAsiaTheme="minorEastAsia" w:hAnsi="Arial" w:cs="Arial"/>
        </w:rPr>
        <w:t xml:space="preserve"> primary care units in the UK. It ensures</w:t>
      </w:r>
      <w:r w:rsidRPr="00874541">
        <w:rPr>
          <w:rFonts w:ascii="Arial" w:eastAsiaTheme="minorEastAsia" w:hAnsi="Arial" w:cs="Arial"/>
          <w:b/>
          <w:bCs/>
        </w:rPr>
        <w:t xml:space="preserve"> </w:t>
      </w:r>
      <w:r w:rsidR="00C37343" w:rsidRPr="00874541">
        <w:rPr>
          <w:rFonts w:ascii="Arial" w:eastAsiaTheme="minorEastAsia" w:hAnsi="Arial" w:cs="Arial"/>
        </w:rPr>
        <w:t>emphasis</w:t>
      </w:r>
      <w:r w:rsidRPr="00874541">
        <w:rPr>
          <w:rFonts w:ascii="Arial" w:eastAsiaTheme="minorEastAsia" w:hAnsi="Arial" w:cs="Arial"/>
        </w:rPr>
        <w:t xml:space="preserve"> on what matters most to the patient</w:t>
      </w:r>
      <w:r w:rsidR="00403577" w:rsidRPr="00874541">
        <w:rPr>
          <w:rFonts w:ascii="Arial" w:eastAsiaTheme="minorEastAsia" w:hAnsi="Arial" w:cs="Arial"/>
        </w:rPr>
        <w:t>.</w:t>
      </w:r>
      <w:r w:rsidRPr="00874541">
        <w:rPr>
          <w:rFonts w:ascii="Arial" w:eastAsiaTheme="minorEastAsia" w:hAnsi="Arial" w:cs="Arial"/>
        </w:rPr>
        <w:t xml:space="preserve"> </w:t>
      </w:r>
    </w:p>
    <w:p w14:paraId="6F3D0D3D" w14:textId="41869590" w:rsidR="00A96BE4" w:rsidRPr="00874541" w:rsidRDefault="00A96BE4" w:rsidP="00C371B0">
      <w:pPr>
        <w:spacing w:line="360" w:lineRule="auto"/>
        <w:rPr>
          <w:rFonts w:ascii="Arial" w:eastAsiaTheme="minorEastAsia" w:hAnsi="Arial" w:cs="Arial"/>
        </w:rPr>
      </w:pPr>
      <w:r w:rsidRPr="00874541">
        <w:rPr>
          <w:rFonts w:ascii="Arial" w:eastAsiaTheme="minorEastAsia" w:hAnsi="Arial" w:cs="Arial"/>
        </w:rPr>
        <w:t>The Roof (Organisational Infrastructure</w:t>
      </w:r>
      <w:r w:rsidR="00A64358" w:rsidRPr="00874541">
        <w:rPr>
          <w:rFonts w:ascii="Arial" w:eastAsiaTheme="minorEastAsia" w:hAnsi="Arial" w:cs="Arial"/>
        </w:rPr>
        <w:t xml:space="preserve">) </w:t>
      </w:r>
      <w:r w:rsidRPr="00874541">
        <w:rPr>
          <w:rFonts w:ascii="Arial" w:eastAsiaTheme="minorEastAsia" w:hAnsi="Arial" w:cs="Arial"/>
        </w:rPr>
        <w:t xml:space="preserve">element shows the digital and administrative systems to assist care. For COPD, this </w:t>
      </w:r>
      <w:r w:rsidR="00C37343" w:rsidRPr="00874541">
        <w:rPr>
          <w:rFonts w:ascii="Arial" w:eastAsiaTheme="minorEastAsia" w:hAnsi="Arial" w:cs="Arial"/>
        </w:rPr>
        <w:t>consists</w:t>
      </w:r>
      <w:r w:rsidRPr="00874541">
        <w:rPr>
          <w:rFonts w:ascii="Arial" w:eastAsiaTheme="minorEastAsia" w:hAnsi="Arial" w:cs="Arial"/>
        </w:rPr>
        <w:t xml:space="preserve"> of maintaining accurate disease registers</w:t>
      </w:r>
      <w:r w:rsidR="00C37343" w:rsidRPr="00874541">
        <w:rPr>
          <w:rFonts w:ascii="Arial" w:eastAsiaTheme="minorEastAsia" w:hAnsi="Arial" w:cs="Arial"/>
        </w:rPr>
        <w:t xml:space="preserve"> and</w:t>
      </w:r>
      <w:r w:rsidRPr="00874541">
        <w:rPr>
          <w:rFonts w:ascii="Arial" w:eastAsiaTheme="minorEastAsia" w:hAnsi="Arial" w:cs="Arial"/>
        </w:rPr>
        <w:t xml:space="preserve"> sending diagnostic data to the patients before appointments (Coulter et al., 2023). </w:t>
      </w:r>
    </w:p>
    <w:p w14:paraId="54AD63C2" w14:textId="29C307A7" w:rsidR="00A96BE4" w:rsidRPr="00874541" w:rsidRDefault="00A96BE4" w:rsidP="00C371B0">
      <w:pPr>
        <w:spacing w:line="360" w:lineRule="auto"/>
        <w:rPr>
          <w:rFonts w:ascii="Arial" w:eastAsiaTheme="minorEastAsia" w:hAnsi="Arial" w:cs="Arial"/>
        </w:rPr>
      </w:pPr>
      <w:r w:rsidRPr="00874541">
        <w:rPr>
          <w:rFonts w:ascii="Arial" w:eastAsiaTheme="minorEastAsia" w:hAnsi="Arial" w:cs="Arial"/>
        </w:rPr>
        <w:lastRenderedPageBreak/>
        <w:t>The Left Wall (The Empowered Patient)</w:t>
      </w:r>
      <w:r w:rsidR="00A64358" w:rsidRPr="00874541">
        <w:rPr>
          <w:rFonts w:ascii="Arial" w:eastAsiaTheme="minorEastAsia" w:hAnsi="Arial" w:cs="Arial"/>
        </w:rPr>
        <w:t xml:space="preserve"> </w:t>
      </w:r>
      <w:r w:rsidRPr="00874541">
        <w:rPr>
          <w:rFonts w:ascii="Arial" w:eastAsiaTheme="minorEastAsia" w:hAnsi="Arial" w:cs="Arial"/>
        </w:rPr>
        <w:t xml:space="preserve">focuses on improving </w:t>
      </w:r>
      <w:r w:rsidR="00C37343" w:rsidRPr="00874541">
        <w:rPr>
          <w:rFonts w:ascii="Arial" w:eastAsiaTheme="minorEastAsia" w:hAnsi="Arial" w:cs="Arial"/>
        </w:rPr>
        <w:t>self-management</w:t>
      </w:r>
      <w:r w:rsidRPr="00874541">
        <w:rPr>
          <w:rFonts w:ascii="Arial" w:eastAsiaTheme="minorEastAsia" w:hAnsi="Arial" w:cs="Arial"/>
        </w:rPr>
        <w:t xml:space="preserve"> skills, health literacy, and confidence. It shifts the role of the patients from passive </w:t>
      </w:r>
      <w:r w:rsidR="00C37343" w:rsidRPr="00874541">
        <w:rPr>
          <w:rFonts w:ascii="Arial" w:eastAsiaTheme="minorEastAsia" w:hAnsi="Arial" w:cs="Arial"/>
        </w:rPr>
        <w:t>receivers</w:t>
      </w:r>
      <w:r w:rsidRPr="00874541">
        <w:rPr>
          <w:rFonts w:ascii="Arial" w:eastAsiaTheme="minorEastAsia" w:hAnsi="Arial" w:cs="Arial"/>
        </w:rPr>
        <w:t xml:space="preserve"> of care to active partners who </w:t>
      </w:r>
      <w:r w:rsidR="00C37343" w:rsidRPr="00874541">
        <w:rPr>
          <w:rFonts w:ascii="Arial" w:eastAsiaTheme="minorEastAsia" w:hAnsi="Arial" w:cs="Arial"/>
        </w:rPr>
        <w:t>co-produce</w:t>
      </w:r>
      <w:r w:rsidRPr="00874541">
        <w:rPr>
          <w:rFonts w:ascii="Arial" w:eastAsiaTheme="minorEastAsia" w:hAnsi="Arial" w:cs="Arial"/>
        </w:rPr>
        <w:t xml:space="preserve"> the </w:t>
      </w:r>
      <w:r w:rsidR="00C37343" w:rsidRPr="00874541">
        <w:rPr>
          <w:rFonts w:ascii="Arial" w:eastAsiaTheme="minorEastAsia" w:hAnsi="Arial" w:cs="Arial"/>
        </w:rPr>
        <w:t>personalised</w:t>
      </w:r>
      <w:r w:rsidRPr="00874541">
        <w:rPr>
          <w:rFonts w:ascii="Arial" w:eastAsiaTheme="minorEastAsia" w:hAnsi="Arial" w:cs="Arial"/>
        </w:rPr>
        <w:t xml:space="preserve"> goals (Alliance Scotland, 2024). </w:t>
      </w:r>
    </w:p>
    <w:p w14:paraId="3F4A57BA" w14:textId="216F06EF" w:rsidR="00A96BE4" w:rsidRPr="00874541" w:rsidRDefault="00A96BE4" w:rsidP="00C371B0">
      <w:pPr>
        <w:spacing w:line="360" w:lineRule="auto"/>
        <w:rPr>
          <w:rFonts w:ascii="Arial" w:eastAsiaTheme="minorEastAsia" w:hAnsi="Arial" w:cs="Arial"/>
        </w:rPr>
      </w:pPr>
      <w:r w:rsidRPr="00874541">
        <w:rPr>
          <w:rFonts w:ascii="Arial" w:eastAsiaTheme="minorEastAsia" w:hAnsi="Arial" w:cs="Arial"/>
        </w:rPr>
        <w:t>The Right Wall (The Healthcare Professional Partnership)</w:t>
      </w:r>
      <w:r w:rsidR="00A64358" w:rsidRPr="00874541">
        <w:rPr>
          <w:rFonts w:ascii="Arial" w:eastAsiaTheme="minorEastAsia" w:hAnsi="Arial" w:cs="Arial"/>
        </w:rPr>
        <w:t xml:space="preserve"> </w:t>
      </w:r>
      <w:r w:rsidRPr="00874541">
        <w:rPr>
          <w:rFonts w:ascii="Arial" w:eastAsiaTheme="minorEastAsia" w:hAnsi="Arial" w:cs="Arial"/>
        </w:rPr>
        <w:t xml:space="preserve">world needs a transition from clinical paternalism. The staff members use shared </w:t>
      </w:r>
      <w:r w:rsidR="00C37343" w:rsidRPr="00874541">
        <w:rPr>
          <w:rFonts w:ascii="Arial" w:eastAsiaTheme="minorEastAsia" w:hAnsi="Arial" w:cs="Arial"/>
        </w:rPr>
        <w:t>decision-making</w:t>
      </w:r>
      <w:r w:rsidRPr="00874541">
        <w:rPr>
          <w:rFonts w:ascii="Arial" w:eastAsiaTheme="minorEastAsia" w:hAnsi="Arial" w:cs="Arial"/>
        </w:rPr>
        <w:t xml:space="preserve"> and motivational interviewing to collaborate with the patients as equal experts in their own care</w:t>
      </w:r>
      <w:r w:rsidR="00B70756" w:rsidRPr="00874541">
        <w:rPr>
          <w:rFonts w:ascii="Arial" w:eastAsiaTheme="minorEastAsia" w:hAnsi="Arial" w:cs="Arial"/>
        </w:rPr>
        <w:t>.</w:t>
      </w:r>
    </w:p>
    <w:p w14:paraId="5AF4E1E2" w14:textId="62A785F5" w:rsidR="00A96BE4" w:rsidRPr="00874541" w:rsidRDefault="00A96BE4" w:rsidP="00C371B0">
      <w:pPr>
        <w:spacing w:line="360" w:lineRule="auto"/>
        <w:rPr>
          <w:rFonts w:ascii="Arial" w:eastAsiaTheme="minorEastAsia" w:hAnsi="Arial" w:cs="Arial"/>
        </w:rPr>
      </w:pPr>
      <w:r w:rsidRPr="00874541">
        <w:rPr>
          <w:rFonts w:ascii="Arial" w:eastAsiaTheme="minorEastAsia" w:hAnsi="Arial" w:cs="Arial"/>
        </w:rPr>
        <w:t xml:space="preserve">The Foundation (Local Commissioning) base aggregates the </w:t>
      </w:r>
      <w:r w:rsidR="00C37343" w:rsidRPr="00874541">
        <w:rPr>
          <w:rFonts w:ascii="Arial" w:eastAsiaTheme="minorEastAsia" w:hAnsi="Arial" w:cs="Arial"/>
        </w:rPr>
        <w:t>data</w:t>
      </w:r>
      <w:r w:rsidRPr="00874541">
        <w:rPr>
          <w:rFonts w:ascii="Arial" w:eastAsiaTheme="minorEastAsia" w:hAnsi="Arial" w:cs="Arial"/>
        </w:rPr>
        <w:t xml:space="preserve"> of individual care planning to inform the local service commissioning. </w:t>
      </w:r>
      <w:r w:rsidR="00C81E75" w:rsidRPr="00874541">
        <w:rPr>
          <w:rFonts w:ascii="Arial" w:eastAsiaTheme="minorEastAsia" w:hAnsi="Arial" w:cs="Arial"/>
        </w:rPr>
        <w:t xml:space="preserve">It ensures funding goes towards the vital community assets, like </w:t>
      </w:r>
      <w:r w:rsidR="00C37343" w:rsidRPr="00874541">
        <w:rPr>
          <w:rFonts w:ascii="Arial" w:eastAsiaTheme="minorEastAsia" w:hAnsi="Arial" w:cs="Arial"/>
        </w:rPr>
        <w:t>peer-led</w:t>
      </w:r>
      <w:r w:rsidR="00C81E75" w:rsidRPr="00874541">
        <w:rPr>
          <w:rFonts w:ascii="Arial" w:eastAsiaTheme="minorEastAsia" w:hAnsi="Arial" w:cs="Arial"/>
        </w:rPr>
        <w:t xml:space="preserve"> support groups or local exercise facilities (NHS England, 2023). </w:t>
      </w:r>
    </w:p>
    <w:p w14:paraId="35F89124" w14:textId="5371363A" w:rsidR="00C81E75" w:rsidRPr="00874541" w:rsidRDefault="00C81E75" w:rsidP="00403577">
      <w:pPr>
        <w:pStyle w:val="Heading2"/>
        <w:rPr>
          <w:rFonts w:ascii="Arial" w:eastAsiaTheme="minorEastAsia" w:hAnsi="Arial" w:cs="Arial"/>
        </w:rPr>
      </w:pPr>
      <w:bookmarkStart w:id="19" w:name="_Toc233368051"/>
      <w:r w:rsidRPr="00874541">
        <w:rPr>
          <w:rFonts w:ascii="Arial" w:eastAsiaTheme="minorEastAsia" w:hAnsi="Arial" w:cs="Arial"/>
        </w:rPr>
        <w:t>International Model: The Chronic Care Model (CCM):</w:t>
      </w:r>
      <w:bookmarkEnd w:id="19"/>
    </w:p>
    <w:p w14:paraId="096B0B5C" w14:textId="3426BB45" w:rsidR="00C81E75" w:rsidRPr="00874541" w:rsidRDefault="00C81E75" w:rsidP="00C371B0">
      <w:pPr>
        <w:spacing w:line="360" w:lineRule="auto"/>
        <w:rPr>
          <w:rFonts w:ascii="Arial" w:eastAsiaTheme="minorEastAsia" w:hAnsi="Arial" w:cs="Arial"/>
        </w:rPr>
      </w:pPr>
      <w:r w:rsidRPr="00874541">
        <w:rPr>
          <w:rFonts w:ascii="Arial" w:eastAsiaTheme="minorEastAsia" w:hAnsi="Arial" w:cs="Arial"/>
        </w:rPr>
        <w:t xml:space="preserve">It </w:t>
      </w:r>
      <w:r w:rsidR="00A64358" w:rsidRPr="00874541">
        <w:rPr>
          <w:rFonts w:ascii="Arial" w:eastAsiaTheme="minorEastAsia" w:hAnsi="Arial" w:cs="Arial"/>
        </w:rPr>
        <w:t>was</w:t>
      </w:r>
      <w:r w:rsidRPr="00874541">
        <w:rPr>
          <w:rFonts w:ascii="Arial" w:eastAsiaTheme="minorEastAsia" w:hAnsi="Arial" w:cs="Arial"/>
        </w:rPr>
        <w:t xml:space="preserve"> developed by Wagner and colleagues. This model focuses on restructuring the primary care systems to boost proactive and productive interactions between the informal patients and prepared professional teams (Wagner et al., 2001). </w:t>
      </w:r>
    </w:p>
    <w:p w14:paraId="2AD65AEF" w14:textId="4CEB1CFC" w:rsidR="00C81E75" w:rsidRPr="00874541" w:rsidRDefault="00C81E75" w:rsidP="00C371B0">
      <w:pPr>
        <w:spacing w:line="360" w:lineRule="auto"/>
        <w:rPr>
          <w:rFonts w:ascii="Arial" w:eastAsiaTheme="minorEastAsia" w:hAnsi="Arial" w:cs="Arial"/>
        </w:rPr>
      </w:pPr>
      <w:r w:rsidRPr="00874541">
        <w:rPr>
          <w:rFonts w:ascii="Arial" w:eastAsiaTheme="minorEastAsia" w:hAnsi="Arial" w:cs="Arial"/>
        </w:rPr>
        <w:t xml:space="preserve">This pillar depends on the electronic health record registries to track the health data of the population. The systems generate automated alerts for missing spirometry reviews or overdue pneumococcal immunisations (Bodenheimer et al., 2022). </w:t>
      </w:r>
    </w:p>
    <w:p w14:paraId="4CAB9F22" w14:textId="72C3BDFE" w:rsidR="00C81E75" w:rsidRPr="00874541" w:rsidRDefault="00C81E75" w:rsidP="00C371B0">
      <w:pPr>
        <w:spacing w:line="360" w:lineRule="auto"/>
        <w:rPr>
          <w:rFonts w:ascii="Arial" w:eastAsiaTheme="minorEastAsia" w:hAnsi="Arial" w:cs="Arial"/>
        </w:rPr>
      </w:pPr>
      <w:r w:rsidRPr="00874541">
        <w:rPr>
          <w:rFonts w:ascii="Arial" w:eastAsiaTheme="minorEastAsia" w:hAnsi="Arial" w:cs="Arial"/>
        </w:rPr>
        <w:t xml:space="preserve">This element establishes </w:t>
      </w:r>
      <w:r w:rsidR="00C37343" w:rsidRPr="00874541">
        <w:rPr>
          <w:rFonts w:ascii="Arial" w:eastAsiaTheme="minorEastAsia" w:hAnsi="Arial" w:cs="Arial"/>
        </w:rPr>
        <w:t xml:space="preserve">a </w:t>
      </w:r>
      <w:r w:rsidRPr="00874541">
        <w:rPr>
          <w:rFonts w:ascii="Arial" w:eastAsiaTheme="minorEastAsia" w:hAnsi="Arial" w:cs="Arial"/>
        </w:rPr>
        <w:t xml:space="preserve">transitional culture that focuses on </w:t>
      </w:r>
      <w:r w:rsidR="00C37343" w:rsidRPr="00874541">
        <w:rPr>
          <w:rFonts w:ascii="Arial" w:eastAsiaTheme="minorEastAsia" w:hAnsi="Arial" w:cs="Arial"/>
        </w:rPr>
        <w:t>high-quality</w:t>
      </w:r>
      <w:r w:rsidRPr="00874541">
        <w:rPr>
          <w:rFonts w:ascii="Arial" w:eastAsiaTheme="minorEastAsia" w:hAnsi="Arial" w:cs="Arial"/>
        </w:rPr>
        <w:t xml:space="preserve"> and safe chronic care management over acute and reactive treatments</w:t>
      </w:r>
      <w:r w:rsidR="00C37343" w:rsidRPr="00874541">
        <w:rPr>
          <w:rFonts w:ascii="Arial" w:eastAsiaTheme="minorEastAsia" w:hAnsi="Arial" w:cs="Arial"/>
        </w:rPr>
        <w:t>,</w:t>
      </w:r>
      <w:r w:rsidRPr="00874541">
        <w:rPr>
          <w:rFonts w:ascii="Arial" w:eastAsiaTheme="minorEastAsia" w:hAnsi="Arial" w:cs="Arial"/>
        </w:rPr>
        <w:t xml:space="preserve"> which </w:t>
      </w:r>
      <w:r w:rsidR="00C37343" w:rsidRPr="00874541">
        <w:rPr>
          <w:rFonts w:ascii="Arial" w:eastAsiaTheme="minorEastAsia" w:hAnsi="Arial" w:cs="Arial"/>
        </w:rPr>
        <w:t>aligns</w:t>
      </w:r>
      <w:r w:rsidRPr="00874541">
        <w:rPr>
          <w:rFonts w:ascii="Arial" w:eastAsiaTheme="minorEastAsia" w:hAnsi="Arial" w:cs="Arial"/>
        </w:rPr>
        <w:t xml:space="preserve"> the </w:t>
      </w:r>
      <w:r w:rsidR="00C37343" w:rsidRPr="00874541">
        <w:rPr>
          <w:rFonts w:ascii="Arial" w:eastAsiaTheme="minorEastAsia" w:hAnsi="Arial" w:cs="Arial"/>
        </w:rPr>
        <w:t>organisational</w:t>
      </w:r>
      <w:r w:rsidRPr="00874541">
        <w:rPr>
          <w:rFonts w:ascii="Arial" w:eastAsiaTheme="minorEastAsia" w:hAnsi="Arial" w:cs="Arial"/>
        </w:rPr>
        <w:t xml:space="preserve"> goals with the metrics of chronic disease (Gee et al., 2021). </w:t>
      </w:r>
    </w:p>
    <w:p w14:paraId="79B1B877" w14:textId="52AA9656" w:rsidR="00C81E75" w:rsidRPr="00874541" w:rsidRDefault="00C37343" w:rsidP="00C371B0">
      <w:pPr>
        <w:spacing w:line="360" w:lineRule="auto"/>
        <w:rPr>
          <w:rFonts w:ascii="Arial" w:eastAsiaTheme="minorEastAsia" w:hAnsi="Arial" w:cs="Arial"/>
        </w:rPr>
      </w:pPr>
      <w:r w:rsidRPr="00874541">
        <w:rPr>
          <w:rFonts w:ascii="Arial" w:eastAsiaTheme="minorEastAsia" w:hAnsi="Arial" w:cs="Arial"/>
        </w:rPr>
        <w:t>This</w:t>
      </w:r>
      <w:r w:rsidR="00C81E75" w:rsidRPr="00874541">
        <w:rPr>
          <w:rFonts w:ascii="Arial" w:eastAsiaTheme="minorEastAsia" w:hAnsi="Arial" w:cs="Arial"/>
        </w:rPr>
        <w:t xml:space="preserve"> element structures the clinical visits to separate acute care from chronic disease management. It clearly defines the roles and responsibilities </w:t>
      </w:r>
      <w:r w:rsidR="007509B1" w:rsidRPr="00874541">
        <w:rPr>
          <w:rFonts w:ascii="Arial" w:eastAsiaTheme="minorEastAsia" w:hAnsi="Arial" w:cs="Arial"/>
        </w:rPr>
        <w:t>of</w:t>
      </w:r>
      <w:r w:rsidR="00C81E75" w:rsidRPr="00874541">
        <w:rPr>
          <w:rFonts w:ascii="Arial" w:eastAsiaTheme="minorEastAsia" w:hAnsi="Arial" w:cs="Arial"/>
        </w:rPr>
        <w:t xml:space="preserve"> the multidisciplinary teams, using case managers and specialist nurses for critical cases (Barr et al., 2003). </w:t>
      </w:r>
    </w:p>
    <w:p w14:paraId="204D3F49" w14:textId="3349E360" w:rsidR="00C81E75" w:rsidRPr="00874541" w:rsidRDefault="00C81E75" w:rsidP="00C371B0">
      <w:pPr>
        <w:spacing w:line="360" w:lineRule="auto"/>
        <w:rPr>
          <w:rFonts w:ascii="Arial" w:eastAsiaTheme="minorEastAsia" w:hAnsi="Arial" w:cs="Arial"/>
        </w:rPr>
      </w:pPr>
      <w:r w:rsidRPr="00874541">
        <w:rPr>
          <w:rFonts w:ascii="Arial" w:eastAsiaTheme="minorEastAsia" w:hAnsi="Arial" w:cs="Arial"/>
        </w:rPr>
        <w:t xml:space="preserve">This pillar </w:t>
      </w:r>
      <w:r w:rsidR="00C37343" w:rsidRPr="00874541">
        <w:rPr>
          <w:rFonts w:ascii="Arial" w:eastAsiaTheme="minorEastAsia" w:hAnsi="Arial" w:cs="Arial"/>
        </w:rPr>
        <w:t>sees</w:t>
      </w:r>
      <w:r w:rsidRPr="00874541">
        <w:rPr>
          <w:rFonts w:ascii="Arial" w:eastAsiaTheme="minorEastAsia" w:hAnsi="Arial" w:cs="Arial"/>
        </w:rPr>
        <w:t xml:space="preserve"> the patient as the central manager of their circumstances. It offers the structural education, </w:t>
      </w:r>
      <w:r w:rsidR="00C37343" w:rsidRPr="00874541">
        <w:rPr>
          <w:rFonts w:ascii="Arial" w:eastAsiaTheme="minorEastAsia" w:hAnsi="Arial" w:cs="Arial"/>
        </w:rPr>
        <w:t>problem-solving</w:t>
      </w:r>
      <w:r w:rsidRPr="00874541">
        <w:rPr>
          <w:rFonts w:ascii="Arial" w:eastAsiaTheme="minorEastAsia" w:hAnsi="Arial" w:cs="Arial"/>
        </w:rPr>
        <w:t xml:space="preserve"> strategies and </w:t>
      </w:r>
      <w:r w:rsidR="00C37343" w:rsidRPr="00874541">
        <w:rPr>
          <w:rFonts w:ascii="Arial" w:eastAsiaTheme="minorEastAsia" w:hAnsi="Arial" w:cs="Arial"/>
        </w:rPr>
        <w:t>goal-setting</w:t>
      </w:r>
      <w:r w:rsidRPr="00874541">
        <w:rPr>
          <w:rFonts w:ascii="Arial" w:eastAsiaTheme="minorEastAsia" w:hAnsi="Arial" w:cs="Arial"/>
        </w:rPr>
        <w:t xml:space="preserve"> tools to assist them in managing their illness daily. </w:t>
      </w:r>
    </w:p>
    <w:p w14:paraId="00004FF6" w14:textId="34A4A375" w:rsidR="00C81E75" w:rsidRPr="00874541" w:rsidRDefault="00C81E75" w:rsidP="00C371B0">
      <w:pPr>
        <w:spacing w:line="360" w:lineRule="auto"/>
        <w:rPr>
          <w:rFonts w:ascii="Arial" w:eastAsiaTheme="minorEastAsia" w:hAnsi="Arial" w:cs="Arial"/>
        </w:rPr>
      </w:pPr>
      <w:r w:rsidRPr="00874541">
        <w:rPr>
          <w:rFonts w:ascii="Arial" w:eastAsiaTheme="minorEastAsia" w:hAnsi="Arial" w:cs="Arial"/>
        </w:rPr>
        <w:t xml:space="preserve">This aspect incorporates the </w:t>
      </w:r>
      <w:r w:rsidR="00C37343" w:rsidRPr="00874541">
        <w:rPr>
          <w:rFonts w:ascii="Arial" w:eastAsiaTheme="minorEastAsia" w:hAnsi="Arial" w:cs="Arial"/>
        </w:rPr>
        <w:t>evidence-based</w:t>
      </w:r>
      <w:r w:rsidRPr="00874541">
        <w:rPr>
          <w:rFonts w:ascii="Arial" w:eastAsiaTheme="minorEastAsia" w:hAnsi="Arial" w:cs="Arial"/>
        </w:rPr>
        <w:t xml:space="preserve"> clinical guidelines directly into the daily practice. It ensures that the clinicians have </w:t>
      </w:r>
      <w:r w:rsidR="00C37343" w:rsidRPr="00874541">
        <w:rPr>
          <w:rFonts w:ascii="Arial" w:eastAsiaTheme="minorEastAsia" w:hAnsi="Arial" w:cs="Arial"/>
        </w:rPr>
        <w:t>access</w:t>
      </w:r>
      <w:r w:rsidRPr="00874541">
        <w:rPr>
          <w:rFonts w:ascii="Arial" w:eastAsiaTheme="minorEastAsia" w:hAnsi="Arial" w:cs="Arial"/>
        </w:rPr>
        <w:t xml:space="preserve"> to updated expert standards, like the GOLD suggestions, via ongoing professional education (Stellefson et al., 2013). </w:t>
      </w:r>
    </w:p>
    <w:p w14:paraId="41920170" w14:textId="2B1F8138" w:rsidR="00C81E75" w:rsidRPr="00874541" w:rsidRDefault="00C81E75" w:rsidP="00C371B0">
      <w:pPr>
        <w:spacing w:line="360" w:lineRule="auto"/>
        <w:rPr>
          <w:rFonts w:ascii="Arial" w:eastAsiaTheme="minorEastAsia" w:hAnsi="Arial" w:cs="Arial"/>
        </w:rPr>
      </w:pPr>
      <w:r w:rsidRPr="00874541">
        <w:rPr>
          <w:rFonts w:ascii="Arial" w:eastAsiaTheme="minorEastAsia" w:hAnsi="Arial" w:cs="Arial"/>
        </w:rPr>
        <w:lastRenderedPageBreak/>
        <w:t>This final component connects the healthcare institutions with the community programmes, like local smoking cessation services or exercise classes</w:t>
      </w:r>
      <w:r w:rsidR="00C37343" w:rsidRPr="00874541">
        <w:rPr>
          <w:rFonts w:ascii="Arial" w:eastAsiaTheme="minorEastAsia" w:hAnsi="Arial" w:cs="Arial"/>
        </w:rPr>
        <w:t>,</w:t>
      </w:r>
      <w:r w:rsidRPr="00874541">
        <w:rPr>
          <w:rFonts w:ascii="Arial" w:eastAsiaTheme="minorEastAsia" w:hAnsi="Arial" w:cs="Arial"/>
        </w:rPr>
        <w:t xml:space="preserve"> to support the health goals of the patients outside the clinic. </w:t>
      </w:r>
    </w:p>
    <w:p w14:paraId="1266E246" w14:textId="77777777" w:rsidR="005A6D09" w:rsidRPr="00874541" w:rsidRDefault="005A6D09" w:rsidP="00C371B0">
      <w:pPr>
        <w:pStyle w:val="ListParagraph"/>
        <w:keepNext/>
        <w:spacing w:line="360" w:lineRule="auto"/>
        <w:ind w:left="0"/>
        <w:jc w:val="center"/>
        <w:rPr>
          <w:rFonts w:ascii="Arial" w:hAnsi="Arial" w:cs="Arial"/>
        </w:rPr>
      </w:pPr>
      <w:r w:rsidRPr="00874541">
        <w:rPr>
          <w:rFonts w:ascii="Arial" w:eastAsiaTheme="minorEastAsia" w:hAnsi="Arial" w:cs="Arial"/>
          <w:noProof/>
        </w:rPr>
        <w:drawing>
          <wp:inline distT="0" distB="0" distL="0" distR="0" wp14:anchorId="6DD4B087" wp14:editId="1A39165F">
            <wp:extent cx="5731510" cy="4595495"/>
            <wp:effectExtent l="152400" t="152400" r="364490" b="357505"/>
            <wp:docPr id="1273856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856897" name=""/>
                    <pic:cNvPicPr/>
                  </pic:nvPicPr>
                  <pic:blipFill>
                    <a:blip r:embed="rId34">
                      <a:extLst>
                        <a:ext uri="{BEBA8EAE-BF5A-486C-A8C5-ECC9F3942E4B}">
                          <a14:imgProps xmlns:a14="http://schemas.microsoft.com/office/drawing/2010/main">
                            <a14:imgLayer r:embed="rId35">
                              <a14:imgEffect>
                                <a14:brightnessContrast bright="-20000" contrast="40000"/>
                              </a14:imgEffect>
                            </a14:imgLayer>
                          </a14:imgProps>
                        </a:ext>
                      </a:extLst>
                    </a:blip>
                    <a:stretch>
                      <a:fillRect/>
                    </a:stretch>
                  </pic:blipFill>
                  <pic:spPr>
                    <a:xfrm>
                      <a:off x="0" y="0"/>
                      <a:ext cx="5731510" cy="4595495"/>
                    </a:xfrm>
                    <a:prstGeom prst="rect">
                      <a:avLst/>
                    </a:prstGeom>
                    <a:ln>
                      <a:noFill/>
                    </a:ln>
                    <a:effectLst>
                      <a:outerShdw blurRad="292100" dist="139700" dir="2700000" algn="tl" rotWithShape="0">
                        <a:srgbClr val="333333">
                          <a:alpha val="65000"/>
                        </a:srgbClr>
                      </a:outerShdw>
                    </a:effectLst>
                  </pic:spPr>
                </pic:pic>
              </a:graphicData>
            </a:graphic>
          </wp:inline>
        </w:drawing>
      </w:r>
    </w:p>
    <w:p w14:paraId="305F9518" w14:textId="7F74DC4F" w:rsidR="005A6D09" w:rsidRPr="00874541" w:rsidRDefault="005A6D09" w:rsidP="00CA78CF">
      <w:pPr>
        <w:pStyle w:val="Caption"/>
        <w:jc w:val="center"/>
        <w:rPr>
          <w:rFonts w:ascii="Arial" w:hAnsi="Arial" w:cs="Arial"/>
        </w:rPr>
      </w:pPr>
      <w:bookmarkStart w:id="20" w:name="_Toc233368077"/>
      <w:r w:rsidRPr="00874541">
        <w:rPr>
          <w:rFonts w:ascii="Arial" w:hAnsi="Arial" w:cs="Arial"/>
        </w:rPr>
        <w:t xml:space="preserve">Figure </w:t>
      </w:r>
      <w:r w:rsidRPr="00874541">
        <w:rPr>
          <w:rFonts w:ascii="Arial" w:hAnsi="Arial" w:cs="Arial"/>
        </w:rPr>
        <w:fldChar w:fldCharType="begin"/>
      </w:r>
      <w:r w:rsidRPr="00874541">
        <w:rPr>
          <w:rFonts w:ascii="Arial" w:hAnsi="Arial" w:cs="Arial"/>
        </w:rPr>
        <w:instrText xml:space="preserve"> SEQ Figure \* ARABIC </w:instrText>
      </w:r>
      <w:r w:rsidRPr="00874541">
        <w:rPr>
          <w:rFonts w:ascii="Arial" w:hAnsi="Arial" w:cs="Arial"/>
        </w:rPr>
        <w:fldChar w:fldCharType="separate"/>
      </w:r>
      <w:r w:rsidR="00874541" w:rsidRPr="00874541">
        <w:rPr>
          <w:rFonts w:ascii="Arial" w:hAnsi="Arial" w:cs="Arial"/>
          <w:noProof/>
        </w:rPr>
        <w:t>10</w:t>
      </w:r>
      <w:r w:rsidRPr="00874541">
        <w:rPr>
          <w:rFonts w:ascii="Arial" w:hAnsi="Arial" w:cs="Arial"/>
        </w:rPr>
        <w:fldChar w:fldCharType="end"/>
      </w:r>
      <w:r w:rsidRPr="00874541">
        <w:rPr>
          <w:rFonts w:ascii="Arial" w:hAnsi="Arial" w:cs="Arial"/>
        </w:rPr>
        <w:t>: Wagner's chronic care model</w:t>
      </w:r>
      <w:bookmarkEnd w:id="20"/>
    </w:p>
    <w:p w14:paraId="1681E257" w14:textId="7D350BDF" w:rsidR="005A6D09" w:rsidRPr="00874541" w:rsidRDefault="005A6D09" w:rsidP="00CA78CF">
      <w:pPr>
        <w:jc w:val="center"/>
        <w:rPr>
          <w:rFonts w:ascii="Arial" w:hAnsi="Arial" w:cs="Arial"/>
        </w:rPr>
      </w:pPr>
      <w:r w:rsidRPr="00874541">
        <w:rPr>
          <w:rFonts w:ascii="Arial" w:hAnsi="Arial" w:cs="Arial"/>
        </w:rPr>
        <w:t xml:space="preserve">(Source: </w:t>
      </w:r>
      <w:r w:rsidRPr="00874541">
        <w:rPr>
          <w:rFonts w:ascii="Arial" w:eastAsiaTheme="minorEastAsia" w:hAnsi="Arial" w:cs="Arial"/>
        </w:rPr>
        <w:t>Findley, 2014)</w:t>
      </w:r>
    </w:p>
    <w:p w14:paraId="6E855AB7" w14:textId="26B104ED" w:rsidR="00C81E75" w:rsidRPr="00874541" w:rsidRDefault="00C81E75" w:rsidP="00403577">
      <w:pPr>
        <w:pStyle w:val="Heading2"/>
        <w:rPr>
          <w:rFonts w:ascii="Arial" w:eastAsiaTheme="minorEastAsia" w:hAnsi="Arial" w:cs="Arial"/>
        </w:rPr>
      </w:pPr>
      <w:bookmarkStart w:id="21" w:name="_Toc233368052"/>
      <w:r w:rsidRPr="00874541">
        <w:rPr>
          <w:rFonts w:ascii="Arial" w:eastAsiaTheme="minorEastAsia" w:hAnsi="Arial" w:cs="Arial"/>
        </w:rPr>
        <w:t>Comparative Analysis of the Models</w:t>
      </w:r>
      <w:bookmarkEnd w:id="21"/>
      <w:r w:rsidRPr="00874541">
        <w:rPr>
          <w:rFonts w:ascii="Arial" w:eastAsiaTheme="minorEastAsia" w:hAnsi="Arial" w:cs="Arial"/>
        </w:rPr>
        <w:t xml:space="preserve"> </w:t>
      </w:r>
    </w:p>
    <w:tbl>
      <w:tblPr>
        <w:tblStyle w:val="TableGrid"/>
        <w:tblW w:w="0" w:type="auto"/>
        <w:tblLook w:val="04A0" w:firstRow="1" w:lastRow="0" w:firstColumn="1" w:lastColumn="0" w:noHBand="0" w:noVBand="1"/>
      </w:tblPr>
      <w:tblGrid>
        <w:gridCol w:w="2547"/>
        <w:gridCol w:w="3463"/>
        <w:gridCol w:w="3006"/>
      </w:tblGrid>
      <w:tr w:rsidR="00ED1723" w:rsidRPr="00874541" w14:paraId="787E7816" w14:textId="77777777" w:rsidTr="00ED1723">
        <w:tc>
          <w:tcPr>
            <w:tcW w:w="2547" w:type="dxa"/>
          </w:tcPr>
          <w:p w14:paraId="27FBB13D" w14:textId="0576279C" w:rsidR="00ED1723" w:rsidRPr="00874541" w:rsidRDefault="00ED1723" w:rsidP="00403577">
            <w:pPr>
              <w:spacing w:line="360" w:lineRule="auto"/>
              <w:rPr>
                <w:rFonts w:ascii="Arial" w:eastAsiaTheme="minorEastAsia" w:hAnsi="Arial" w:cs="Arial"/>
                <w:b/>
                <w:bCs/>
                <w:i/>
                <w:iCs/>
              </w:rPr>
            </w:pPr>
            <w:r w:rsidRPr="00874541">
              <w:rPr>
                <w:rFonts w:ascii="Arial" w:eastAsiaTheme="minorEastAsia" w:hAnsi="Arial" w:cs="Arial"/>
                <w:b/>
                <w:bCs/>
                <w:i/>
                <w:iCs/>
              </w:rPr>
              <w:t xml:space="preserve">Criteria </w:t>
            </w:r>
          </w:p>
        </w:tc>
        <w:tc>
          <w:tcPr>
            <w:tcW w:w="3463" w:type="dxa"/>
          </w:tcPr>
          <w:p w14:paraId="7DCB4C45" w14:textId="5A04221C" w:rsidR="00ED1723" w:rsidRPr="00874541" w:rsidRDefault="00ED1723" w:rsidP="00403577">
            <w:pPr>
              <w:spacing w:line="360" w:lineRule="auto"/>
              <w:rPr>
                <w:rFonts w:ascii="Arial" w:eastAsiaTheme="minorEastAsia" w:hAnsi="Arial" w:cs="Arial"/>
                <w:b/>
                <w:bCs/>
                <w:i/>
                <w:iCs/>
              </w:rPr>
            </w:pPr>
            <w:r w:rsidRPr="00874541">
              <w:rPr>
                <w:rFonts w:ascii="Arial" w:eastAsiaTheme="minorEastAsia" w:hAnsi="Arial" w:cs="Arial"/>
                <w:b/>
                <w:bCs/>
                <w:i/>
                <w:iCs/>
              </w:rPr>
              <w:t xml:space="preserve">The House of Care Model (UK) </w:t>
            </w:r>
          </w:p>
        </w:tc>
        <w:tc>
          <w:tcPr>
            <w:tcW w:w="3006" w:type="dxa"/>
          </w:tcPr>
          <w:p w14:paraId="7B39EE78" w14:textId="6C90BE2D" w:rsidR="00ED1723" w:rsidRPr="00874541" w:rsidRDefault="00ED1723" w:rsidP="00403577">
            <w:pPr>
              <w:spacing w:line="360" w:lineRule="auto"/>
              <w:rPr>
                <w:rFonts w:ascii="Arial" w:eastAsiaTheme="minorEastAsia" w:hAnsi="Arial" w:cs="Arial"/>
                <w:b/>
                <w:bCs/>
                <w:i/>
                <w:iCs/>
              </w:rPr>
            </w:pPr>
            <w:r w:rsidRPr="00874541">
              <w:rPr>
                <w:rFonts w:ascii="Arial" w:eastAsiaTheme="minorEastAsia" w:hAnsi="Arial" w:cs="Arial"/>
                <w:b/>
                <w:bCs/>
                <w:i/>
                <w:iCs/>
              </w:rPr>
              <w:t xml:space="preserve">The Chronic Care Model (International) </w:t>
            </w:r>
          </w:p>
        </w:tc>
      </w:tr>
      <w:tr w:rsidR="00ED1723" w:rsidRPr="00874541" w14:paraId="78AB0AD8" w14:textId="77777777" w:rsidTr="00ED1723">
        <w:tc>
          <w:tcPr>
            <w:tcW w:w="2547" w:type="dxa"/>
          </w:tcPr>
          <w:p w14:paraId="35D3FE3A" w14:textId="40437107" w:rsidR="00ED1723" w:rsidRPr="00874541" w:rsidRDefault="00ED1723" w:rsidP="00403577">
            <w:pPr>
              <w:spacing w:line="360" w:lineRule="auto"/>
              <w:rPr>
                <w:rFonts w:ascii="Arial" w:eastAsiaTheme="minorEastAsia" w:hAnsi="Arial" w:cs="Arial"/>
              </w:rPr>
            </w:pPr>
            <w:r w:rsidRPr="00874541">
              <w:rPr>
                <w:rFonts w:ascii="Arial" w:eastAsiaTheme="minorEastAsia" w:hAnsi="Arial" w:cs="Arial"/>
              </w:rPr>
              <w:t>Origin and adaptation</w:t>
            </w:r>
          </w:p>
        </w:tc>
        <w:tc>
          <w:tcPr>
            <w:tcW w:w="3463" w:type="dxa"/>
          </w:tcPr>
          <w:p w14:paraId="20CCD243" w14:textId="41F020B0" w:rsidR="00ED1723" w:rsidRPr="00874541" w:rsidRDefault="00C37343" w:rsidP="00403577">
            <w:pPr>
              <w:spacing w:line="360" w:lineRule="auto"/>
              <w:rPr>
                <w:rFonts w:ascii="Arial" w:eastAsiaTheme="minorEastAsia" w:hAnsi="Arial" w:cs="Arial"/>
              </w:rPr>
            </w:pPr>
            <w:r w:rsidRPr="00874541">
              <w:rPr>
                <w:rFonts w:ascii="Arial" w:eastAsiaTheme="minorEastAsia" w:hAnsi="Arial" w:cs="Arial"/>
              </w:rPr>
              <w:t>This</w:t>
            </w:r>
            <w:r w:rsidR="00ED1723" w:rsidRPr="00874541">
              <w:rPr>
                <w:rFonts w:ascii="Arial" w:eastAsiaTheme="minorEastAsia" w:hAnsi="Arial" w:cs="Arial"/>
              </w:rPr>
              <w:t xml:space="preserve"> was developed specifically to incorporate the personalised care planning into the primary care structures of </w:t>
            </w:r>
            <w:r w:rsidRPr="00874541">
              <w:rPr>
                <w:rFonts w:ascii="Arial" w:eastAsiaTheme="minorEastAsia" w:hAnsi="Arial" w:cs="Arial"/>
              </w:rPr>
              <w:t xml:space="preserve">the </w:t>
            </w:r>
            <w:r w:rsidR="00ED1723" w:rsidRPr="00874541">
              <w:rPr>
                <w:rFonts w:ascii="Arial" w:eastAsiaTheme="minorEastAsia" w:hAnsi="Arial" w:cs="Arial"/>
              </w:rPr>
              <w:t xml:space="preserve">UK NHS. </w:t>
            </w:r>
          </w:p>
        </w:tc>
        <w:tc>
          <w:tcPr>
            <w:tcW w:w="3006" w:type="dxa"/>
          </w:tcPr>
          <w:p w14:paraId="6CAB09FC" w14:textId="6D475665" w:rsidR="00ED1723" w:rsidRPr="00874541" w:rsidRDefault="00ED1723" w:rsidP="00403577">
            <w:pPr>
              <w:spacing w:line="360" w:lineRule="auto"/>
              <w:rPr>
                <w:rFonts w:ascii="Arial" w:eastAsiaTheme="minorEastAsia" w:hAnsi="Arial" w:cs="Arial"/>
              </w:rPr>
            </w:pPr>
            <w:r w:rsidRPr="00874541">
              <w:rPr>
                <w:rFonts w:ascii="Arial" w:eastAsiaTheme="minorEastAsia" w:hAnsi="Arial" w:cs="Arial"/>
              </w:rPr>
              <w:t xml:space="preserve">This was developed in the US and adapted globally across the diverse public and private insurance systems. </w:t>
            </w:r>
          </w:p>
        </w:tc>
      </w:tr>
      <w:tr w:rsidR="00ED1723" w:rsidRPr="00874541" w14:paraId="510F508F" w14:textId="77777777" w:rsidTr="00ED1723">
        <w:tc>
          <w:tcPr>
            <w:tcW w:w="2547" w:type="dxa"/>
          </w:tcPr>
          <w:p w14:paraId="0CAC06CA" w14:textId="163C01C9" w:rsidR="00ED1723" w:rsidRPr="00874541" w:rsidRDefault="00ED1723" w:rsidP="00403577">
            <w:pPr>
              <w:spacing w:line="360" w:lineRule="auto"/>
              <w:rPr>
                <w:rFonts w:ascii="Arial" w:eastAsiaTheme="minorEastAsia" w:hAnsi="Arial" w:cs="Arial"/>
              </w:rPr>
            </w:pPr>
            <w:r w:rsidRPr="00874541">
              <w:rPr>
                <w:rFonts w:ascii="Arial" w:eastAsiaTheme="minorEastAsia" w:hAnsi="Arial" w:cs="Arial"/>
              </w:rPr>
              <w:lastRenderedPageBreak/>
              <w:t>Central emphasis</w:t>
            </w:r>
          </w:p>
        </w:tc>
        <w:tc>
          <w:tcPr>
            <w:tcW w:w="3463" w:type="dxa"/>
          </w:tcPr>
          <w:p w14:paraId="3E8D24D6" w14:textId="79EBF560" w:rsidR="00ED1723" w:rsidRPr="00874541" w:rsidRDefault="00ED1723" w:rsidP="00403577">
            <w:pPr>
              <w:spacing w:line="360" w:lineRule="auto"/>
              <w:rPr>
                <w:rFonts w:ascii="Arial" w:eastAsiaTheme="minorEastAsia" w:hAnsi="Arial" w:cs="Arial"/>
              </w:rPr>
            </w:pPr>
            <w:r w:rsidRPr="00874541">
              <w:rPr>
                <w:rFonts w:ascii="Arial" w:eastAsiaTheme="minorEastAsia" w:hAnsi="Arial" w:cs="Arial"/>
              </w:rPr>
              <w:t xml:space="preserve">It centres on interpersonal and collaborative care planning </w:t>
            </w:r>
            <w:r w:rsidR="00C37343" w:rsidRPr="00874541">
              <w:rPr>
                <w:rFonts w:ascii="Arial" w:eastAsiaTheme="minorEastAsia" w:hAnsi="Arial" w:cs="Arial"/>
              </w:rPr>
              <w:t>conversations</w:t>
            </w:r>
            <w:r w:rsidRPr="00874541">
              <w:rPr>
                <w:rFonts w:ascii="Arial" w:eastAsiaTheme="minorEastAsia" w:hAnsi="Arial" w:cs="Arial"/>
              </w:rPr>
              <w:t xml:space="preserve"> between the clinician and the patient. </w:t>
            </w:r>
          </w:p>
        </w:tc>
        <w:tc>
          <w:tcPr>
            <w:tcW w:w="3006" w:type="dxa"/>
          </w:tcPr>
          <w:p w14:paraId="47CAFB16" w14:textId="01571796" w:rsidR="00ED1723" w:rsidRPr="00874541" w:rsidRDefault="00ED1723" w:rsidP="00403577">
            <w:pPr>
              <w:spacing w:line="360" w:lineRule="auto"/>
              <w:rPr>
                <w:rFonts w:ascii="Arial" w:eastAsiaTheme="minorEastAsia" w:hAnsi="Arial" w:cs="Arial"/>
              </w:rPr>
            </w:pPr>
            <w:r w:rsidRPr="00874541">
              <w:rPr>
                <w:rFonts w:ascii="Arial" w:eastAsiaTheme="minorEastAsia" w:hAnsi="Arial" w:cs="Arial"/>
              </w:rPr>
              <w:t xml:space="preserve">It </w:t>
            </w:r>
            <w:r w:rsidR="00C37343" w:rsidRPr="00874541">
              <w:rPr>
                <w:rFonts w:ascii="Arial" w:eastAsiaTheme="minorEastAsia" w:hAnsi="Arial" w:cs="Arial"/>
              </w:rPr>
              <w:t>emphasises organisational</w:t>
            </w:r>
            <w:r w:rsidRPr="00874541">
              <w:rPr>
                <w:rFonts w:ascii="Arial" w:eastAsiaTheme="minorEastAsia" w:hAnsi="Arial" w:cs="Arial"/>
              </w:rPr>
              <w:t xml:space="preserve"> and systemic design and </w:t>
            </w:r>
            <w:r w:rsidR="00C37343" w:rsidRPr="00874541">
              <w:rPr>
                <w:rFonts w:ascii="Arial" w:eastAsiaTheme="minorEastAsia" w:hAnsi="Arial" w:cs="Arial"/>
              </w:rPr>
              <w:t>population-level</w:t>
            </w:r>
            <w:r w:rsidRPr="00874541">
              <w:rPr>
                <w:rFonts w:ascii="Arial" w:eastAsiaTheme="minorEastAsia" w:hAnsi="Arial" w:cs="Arial"/>
              </w:rPr>
              <w:t xml:space="preserve"> health metrics. </w:t>
            </w:r>
          </w:p>
        </w:tc>
      </w:tr>
      <w:tr w:rsidR="00ED1723" w:rsidRPr="00874541" w14:paraId="079FE9AB" w14:textId="77777777" w:rsidTr="00ED1723">
        <w:tc>
          <w:tcPr>
            <w:tcW w:w="2547" w:type="dxa"/>
          </w:tcPr>
          <w:p w14:paraId="2EC43480" w14:textId="2C414DE0" w:rsidR="00ED1723" w:rsidRPr="00874541" w:rsidRDefault="00ED1723" w:rsidP="00403577">
            <w:pPr>
              <w:spacing w:line="360" w:lineRule="auto"/>
              <w:rPr>
                <w:rFonts w:ascii="Arial" w:eastAsiaTheme="minorEastAsia" w:hAnsi="Arial" w:cs="Arial"/>
              </w:rPr>
            </w:pPr>
            <w:r w:rsidRPr="00874541">
              <w:rPr>
                <w:rFonts w:ascii="Arial" w:eastAsiaTheme="minorEastAsia" w:hAnsi="Arial" w:cs="Arial"/>
              </w:rPr>
              <w:t>Community integration</w:t>
            </w:r>
          </w:p>
        </w:tc>
        <w:tc>
          <w:tcPr>
            <w:tcW w:w="3463" w:type="dxa"/>
          </w:tcPr>
          <w:p w14:paraId="381EE479" w14:textId="11D99CBD" w:rsidR="00ED1723" w:rsidRPr="00874541" w:rsidRDefault="00C37343" w:rsidP="00403577">
            <w:pPr>
              <w:spacing w:line="360" w:lineRule="auto"/>
              <w:rPr>
                <w:rFonts w:ascii="Arial" w:eastAsiaTheme="minorEastAsia" w:hAnsi="Arial" w:cs="Arial"/>
              </w:rPr>
            </w:pPr>
            <w:r w:rsidRPr="00874541">
              <w:rPr>
                <w:rFonts w:ascii="Arial" w:eastAsiaTheme="minorEastAsia" w:hAnsi="Arial" w:cs="Arial"/>
              </w:rPr>
              <w:t>It</w:t>
            </w:r>
            <w:r w:rsidR="00ED1723" w:rsidRPr="00874541">
              <w:rPr>
                <w:rFonts w:ascii="Arial" w:eastAsiaTheme="minorEastAsia" w:hAnsi="Arial" w:cs="Arial"/>
              </w:rPr>
              <w:t xml:space="preserve"> uses ‘social prescribing</w:t>
            </w:r>
            <w:r w:rsidRPr="00874541">
              <w:rPr>
                <w:rFonts w:ascii="Arial" w:eastAsiaTheme="minorEastAsia" w:hAnsi="Arial" w:cs="Arial"/>
              </w:rPr>
              <w:t xml:space="preserve"> '</w:t>
            </w:r>
            <w:r w:rsidR="00ED1723" w:rsidRPr="00874541">
              <w:rPr>
                <w:rFonts w:ascii="Arial" w:eastAsiaTheme="minorEastAsia" w:hAnsi="Arial" w:cs="Arial"/>
              </w:rPr>
              <w:t xml:space="preserve"> to explicitly connect patients with the local, </w:t>
            </w:r>
            <w:r w:rsidRPr="00874541">
              <w:rPr>
                <w:rFonts w:ascii="Arial" w:eastAsiaTheme="minorEastAsia" w:hAnsi="Arial" w:cs="Arial"/>
              </w:rPr>
              <w:t>non-clinical</w:t>
            </w:r>
            <w:r w:rsidR="00ED1723" w:rsidRPr="00874541">
              <w:rPr>
                <w:rFonts w:ascii="Arial" w:eastAsiaTheme="minorEastAsia" w:hAnsi="Arial" w:cs="Arial"/>
              </w:rPr>
              <w:t xml:space="preserve"> community resources. </w:t>
            </w:r>
          </w:p>
        </w:tc>
        <w:tc>
          <w:tcPr>
            <w:tcW w:w="3006" w:type="dxa"/>
          </w:tcPr>
          <w:p w14:paraId="142FC4DC" w14:textId="246641F4" w:rsidR="00ED1723" w:rsidRPr="00874541" w:rsidRDefault="00ED1723" w:rsidP="00403577">
            <w:pPr>
              <w:spacing w:line="360" w:lineRule="auto"/>
              <w:rPr>
                <w:rFonts w:ascii="Arial" w:eastAsiaTheme="minorEastAsia" w:hAnsi="Arial" w:cs="Arial"/>
              </w:rPr>
            </w:pPr>
            <w:r w:rsidRPr="00874541">
              <w:rPr>
                <w:rFonts w:ascii="Arial" w:eastAsiaTheme="minorEastAsia" w:hAnsi="Arial" w:cs="Arial"/>
              </w:rPr>
              <w:t xml:space="preserve">It </w:t>
            </w:r>
            <w:r w:rsidR="00C37343" w:rsidRPr="00874541">
              <w:rPr>
                <w:rFonts w:ascii="Arial" w:eastAsiaTheme="minorEastAsia" w:hAnsi="Arial" w:cs="Arial"/>
              </w:rPr>
              <w:t>utilises</w:t>
            </w:r>
            <w:r w:rsidRPr="00874541">
              <w:rPr>
                <w:rFonts w:ascii="Arial" w:eastAsiaTheme="minorEastAsia" w:hAnsi="Arial" w:cs="Arial"/>
              </w:rPr>
              <w:t xml:space="preserve"> the policies of </w:t>
            </w:r>
            <w:r w:rsidR="00C37343" w:rsidRPr="00874541">
              <w:rPr>
                <w:rFonts w:ascii="Arial" w:eastAsiaTheme="minorEastAsia" w:hAnsi="Arial" w:cs="Arial"/>
              </w:rPr>
              <w:t xml:space="preserve">the </w:t>
            </w:r>
            <w:r w:rsidRPr="00874541">
              <w:rPr>
                <w:rFonts w:ascii="Arial" w:eastAsiaTheme="minorEastAsia" w:hAnsi="Arial" w:cs="Arial"/>
              </w:rPr>
              <w:t xml:space="preserve">community but depends more heavily on the institutional healthcare connections. </w:t>
            </w:r>
          </w:p>
        </w:tc>
      </w:tr>
      <w:tr w:rsidR="00ED1723" w:rsidRPr="00874541" w14:paraId="505C96DA" w14:textId="77777777" w:rsidTr="00ED1723">
        <w:tc>
          <w:tcPr>
            <w:tcW w:w="2547" w:type="dxa"/>
          </w:tcPr>
          <w:p w14:paraId="05A0C81C" w14:textId="73931E19" w:rsidR="00ED1723" w:rsidRPr="00874541" w:rsidRDefault="00ED1723" w:rsidP="00403577">
            <w:pPr>
              <w:spacing w:line="360" w:lineRule="auto"/>
              <w:rPr>
                <w:rFonts w:ascii="Arial" w:eastAsiaTheme="minorEastAsia" w:hAnsi="Arial" w:cs="Arial"/>
              </w:rPr>
            </w:pPr>
            <w:r w:rsidRPr="00874541">
              <w:rPr>
                <w:rFonts w:ascii="Arial" w:eastAsiaTheme="minorEastAsia" w:hAnsi="Arial" w:cs="Arial"/>
              </w:rPr>
              <w:t>Implementation challenge</w:t>
            </w:r>
          </w:p>
        </w:tc>
        <w:tc>
          <w:tcPr>
            <w:tcW w:w="3463" w:type="dxa"/>
          </w:tcPr>
          <w:p w14:paraId="04299153" w14:textId="6C929444" w:rsidR="00ED1723" w:rsidRPr="00874541" w:rsidRDefault="00C37343" w:rsidP="00403577">
            <w:pPr>
              <w:spacing w:line="360" w:lineRule="auto"/>
              <w:rPr>
                <w:rFonts w:ascii="Arial" w:eastAsiaTheme="minorEastAsia" w:hAnsi="Arial" w:cs="Arial"/>
              </w:rPr>
            </w:pPr>
            <w:r w:rsidRPr="00874541">
              <w:rPr>
                <w:rFonts w:ascii="Arial" w:eastAsiaTheme="minorEastAsia" w:hAnsi="Arial" w:cs="Arial"/>
              </w:rPr>
              <w:t>It</w:t>
            </w:r>
            <w:r w:rsidR="00ED1723" w:rsidRPr="00874541">
              <w:rPr>
                <w:rFonts w:ascii="Arial" w:eastAsiaTheme="minorEastAsia" w:hAnsi="Arial" w:cs="Arial"/>
              </w:rPr>
              <w:t xml:space="preserve"> needs a vital cultural transition </w:t>
            </w:r>
            <w:r w:rsidR="007509B1" w:rsidRPr="00874541">
              <w:rPr>
                <w:rFonts w:ascii="Arial" w:eastAsiaTheme="minorEastAsia" w:hAnsi="Arial" w:cs="Arial"/>
              </w:rPr>
              <w:t>for</w:t>
            </w:r>
            <w:r w:rsidR="00ED1723" w:rsidRPr="00874541">
              <w:rPr>
                <w:rFonts w:ascii="Arial" w:eastAsiaTheme="minorEastAsia" w:hAnsi="Arial" w:cs="Arial"/>
              </w:rPr>
              <w:t xml:space="preserve"> healthcare professionals to abandon clinical paternalism. </w:t>
            </w:r>
          </w:p>
        </w:tc>
        <w:tc>
          <w:tcPr>
            <w:tcW w:w="3006" w:type="dxa"/>
          </w:tcPr>
          <w:p w14:paraId="49B8C4A4" w14:textId="6C505402" w:rsidR="00ED1723" w:rsidRPr="00874541" w:rsidRDefault="00ED1723" w:rsidP="00403577">
            <w:pPr>
              <w:spacing w:line="360" w:lineRule="auto"/>
              <w:rPr>
                <w:rFonts w:ascii="Arial" w:eastAsiaTheme="minorEastAsia" w:hAnsi="Arial" w:cs="Arial"/>
              </w:rPr>
            </w:pPr>
            <w:r w:rsidRPr="00874541">
              <w:rPr>
                <w:rFonts w:ascii="Arial" w:eastAsiaTheme="minorEastAsia" w:hAnsi="Arial" w:cs="Arial"/>
              </w:rPr>
              <w:t>It demands substantial upfront financial investment in the IT infrastructure and advanced digital registries.</w:t>
            </w:r>
          </w:p>
        </w:tc>
      </w:tr>
    </w:tbl>
    <w:p w14:paraId="33087DD2" w14:textId="77777777" w:rsidR="00C81E75" w:rsidRPr="00874541" w:rsidRDefault="00C81E75" w:rsidP="00403577">
      <w:pPr>
        <w:spacing w:line="360" w:lineRule="auto"/>
        <w:rPr>
          <w:rFonts w:ascii="Arial" w:eastAsiaTheme="minorEastAsia" w:hAnsi="Arial" w:cs="Arial"/>
        </w:rPr>
      </w:pPr>
    </w:p>
    <w:p w14:paraId="6B2FA58E" w14:textId="47451210" w:rsidR="00ED1723" w:rsidRPr="00874541" w:rsidRDefault="00ED1723" w:rsidP="00403577">
      <w:pPr>
        <w:pStyle w:val="Heading1"/>
        <w:rPr>
          <w:rFonts w:ascii="Arial" w:eastAsiaTheme="minorEastAsia" w:hAnsi="Arial" w:cs="Arial"/>
        </w:rPr>
      </w:pPr>
      <w:bookmarkStart w:id="22" w:name="_Toc233368053"/>
      <w:r w:rsidRPr="00874541">
        <w:rPr>
          <w:rFonts w:ascii="Arial" w:eastAsiaTheme="minorEastAsia" w:hAnsi="Arial" w:cs="Arial"/>
        </w:rPr>
        <w:t>4 Political Analysis: UK Health and Social Care Agendas</w:t>
      </w:r>
      <w:bookmarkEnd w:id="22"/>
      <w:r w:rsidRPr="00874541">
        <w:rPr>
          <w:rFonts w:ascii="Arial" w:eastAsiaTheme="minorEastAsia" w:hAnsi="Arial" w:cs="Arial"/>
        </w:rPr>
        <w:t xml:space="preserve"> </w:t>
      </w:r>
    </w:p>
    <w:p w14:paraId="12B492AF" w14:textId="1D05CB0B" w:rsidR="00ED1723" w:rsidRPr="00874541" w:rsidRDefault="00ED1723" w:rsidP="00403577">
      <w:pPr>
        <w:pStyle w:val="Heading2"/>
        <w:rPr>
          <w:rFonts w:ascii="Arial" w:eastAsiaTheme="minorEastAsia" w:hAnsi="Arial" w:cs="Arial"/>
        </w:rPr>
      </w:pPr>
      <w:bookmarkStart w:id="23" w:name="_Toc233368054"/>
      <w:r w:rsidRPr="00874541">
        <w:rPr>
          <w:rFonts w:ascii="Arial" w:eastAsiaTheme="minorEastAsia" w:hAnsi="Arial" w:cs="Arial"/>
        </w:rPr>
        <w:t>The NHS Long Term Plan (2019-2029)</w:t>
      </w:r>
      <w:bookmarkEnd w:id="23"/>
      <w:r w:rsidRPr="00874541">
        <w:rPr>
          <w:rFonts w:ascii="Arial" w:eastAsiaTheme="minorEastAsia" w:hAnsi="Arial" w:cs="Arial"/>
        </w:rPr>
        <w:t xml:space="preserve"> </w:t>
      </w:r>
    </w:p>
    <w:p w14:paraId="181E92CD" w14:textId="72AD0048" w:rsidR="00ED1723" w:rsidRPr="00874541" w:rsidRDefault="00B0603A" w:rsidP="00C371B0">
      <w:pPr>
        <w:spacing w:line="360" w:lineRule="auto"/>
        <w:rPr>
          <w:rFonts w:ascii="Arial" w:eastAsiaTheme="minorEastAsia" w:hAnsi="Arial" w:cs="Arial"/>
        </w:rPr>
      </w:pPr>
      <w:r w:rsidRPr="00874541">
        <w:rPr>
          <w:rFonts w:ascii="Arial" w:eastAsiaTheme="minorEastAsia" w:hAnsi="Arial" w:cs="Arial"/>
        </w:rPr>
        <w:t xml:space="preserve">The NHS Long Term Plan focus on respiratory disease and views it as the major clinical focus across England, with the aim </w:t>
      </w:r>
      <w:r w:rsidR="00C37343" w:rsidRPr="00874541">
        <w:rPr>
          <w:rFonts w:ascii="Arial" w:eastAsiaTheme="minorEastAsia" w:hAnsi="Arial" w:cs="Arial"/>
        </w:rPr>
        <w:t>of preventing</w:t>
      </w:r>
      <w:r w:rsidRPr="00874541">
        <w:rPr>
          <w:rFonts w:ascii="Arial" w:eastAsiaTheme="minorEastAsia" w:hAnsi="Arial" w:cs="Arial"/>
        </w:rPr>
        <w:t xml:space="preserve"> about 90,000 emergency admissions by improving the early diagnosis and treatment pathways. </w:t>
      </w:r>
    </w:p>
    <w:p w14:paraId="561EDA1D" w14:textId="71F0BA2C" w:rsidR="00B0603A" w:rsidRPr="00874541" w:rsidRDefault="00B0603A" w:rsidP="00C371B0">
      <w:pPr>
        <w:spacing w:line="360" w:lineRule="auto"/>
        <w:rPr>
          <w:rFonts w:ascii="Arial" w:eastAsiaTheme="minorEastAsia" w:hAnsi="Arial" w:cs="Arial"/>
        </w:rPr>
      </w:pPr>
      <w:r w:rsidRPr="00874541">
        <w:rPr>
          <w:rFonts w:ascii="Arial" w:eastAsiaTheme="minorEastAsia" w:hAnsi="Arial" w:cs="Arial"/>
        </w:rPr>
        <w:t xml:space="preserve">The policy funds the placement of specialist physiotherapists and respiratory pharmacists within the local primary care networks (PCNs), moving care out of the </w:t>
      </w:r>
      <w:r w:rsidR="00C37343" w:rsidRPr="00874541">
        <w:rPr>
          <w:rFonts w:ascii="Arial" w:eastAsiaTheme="minorEastAsia" w:hAnsi="Arial" w:cs="Arial"/>
        </w:rPr>
        <w:t>acute</w:t>
      </w:r>
      <w:r w:rsidRPr="00874541">
        <w:rPr>
          <w:rFonts w:ascii="Arial" w:eastAsiaTheme="minorEastAsia" w:hAnsi="Arial" w:cs="Arial"/>
        </w:rPr>
        <w:t xml:space="preserve"> hospitals and into the community</w:t>
      </w:r>
      <w:r w:rsidR="00446812" w:rsidRPr="00874541">
        <w:rPr>
          <w:rFonts w:ascii="Arial" w:eastAsiaTheme="minorEastAsia" w:hAnsi="Arial" w:cs="Arial"/>
        </w:rPr>
        <w:t>.</w:t>
      </w:r>
    </w:p>
    <w:p w14:paraId="05D6F3E5" w14:textId="3B23191B" w:rsidR="00B0603A" w:rsidRPr="00874541" w:rsidRDefault="00B0603A" w:rsidP="00C371B0">
      <w:pPr>
        <w:spacing w:line="360" w:lineRule="auto"/>
        <w:rPr>
          <w:rFonts w:ascii="Arial" w:eastAsiaTheme="minorEastAsia" w:hAnsi="Arial" w:cs="Arial"/>
        </w:rPr>
      </w:pPr>
      <w:r w:rsidRPr="00874541">
        <w:rPr>
          <w:rFonts w:ascii="Arial" w:eastAsiaTheme="minorEastAsia" w:hAnsi="Arial" w:cs="Arial"/>
        </w:rPr>
        <w:t xml:space="preserve">The creation of community diagnostic hubs will be mandatory to improve local accessibility to </w:t>
      </w:r>
      <w:r w:rsidR="00C37343" w:rsidRPr="00874541">
        <w:rPr>
          <w:rFonts w:ascii="Arial" w:eastAsiaTheme="minorEastAsia" w:hAnsi="Arial" w:cs="Arial"/>
        </w:rPr>
        <w:t>quality-assured</w:t>
      </w:r>
      <w:r w:rsidRPr="00874541">
        <w:rPr>
          <w:rFonts w:ascii="Arial" w:eastAsiaTheme="minorEastAsia" w:hAnsi="Arial" w:cs="Arial"/>
        </w:rPr>
        <w:t xml:space="preserve"> spirometry</w:t>
      </w:r>
      <w:r w:rsidR="00C37343" w:rsidRPr="00874541">
        <w:rPr>
          <w:rFonts w:ascii="Arial" w:eastAsiaTheme="minorEastAsia" w:hAnsi="Arial" w:cs="Arial"/>
        </w:rPr>
        <w:t>,</w:t>
      </w:r>
      <w:r w:rsidRPr="00874541">
        <w:rPr>
          <w:rFonts w:ascii="Arial" w:eastAsiaTheme="minorEastAsia" w:hAnsi="Arial" w:cs="Arial"/>
        </w:rPr>
        <w:t xml:space="preserve"> which can help to close the undiagnosed population gap across different areas</w:t>
      </w:r>
      <w:r w:rsidR="007150AC" w:rsidRPr="00874541">
        <w:rPr>
          <w:rFonts w:ascii="Arial" w:eastAsiaTheme="minorEastAsia" w:hAnsi="Arial" w:cs="Arial"/>
        </w:rPr>
        <w:t>.</w:t>
      </w:r>
      <w:r w:rsidRPr="00874541">
        <w:rPr>
          <w:rFonts w:ascii="Arial" w:eastAsiaTheme="minorEastAsia" w:hAnsi="Arial" w:cs="Arial"/>
        </w:rPr>
        <w:t xml:space="preserve"> </w:t>
      </w:r>
    </w:p>
    <w:p w14:paraId="31821F37" w14:textId="3F139C86" w:rsidR="00B0603A" w:rsidRPr="00874541" w:rsidRDefault="00B0603A" w:rsidP="00403577">
      <w:pPr>
        <w:pStyle w:val="Heading2"/>
        <w:rPr>
          <w:rFonts w:ascii="Arial" w:eastAsiaTheme="minorEastAsia" w:hAnsi="Arial" w:cs="Arial"/>
        </w:rPr>
      </w:pPr>
      <w:bookmarkStart w:id="24" w:name="_Toc233368055"/>
      <w:r w:rsidRPr="00874541">
        <w:rPr>
          <w:rFonts w:ascii="Arial" w:eastAsiaTheme="minorEastAsia" w:hAnsi="Arial" w:cs="Arial"/>
          <w:lang w:val="en-IN"/>
        </w:rPr>
        <w:t>Gold</w:t>
      </w:r>
      <w:r w:rsidRPr="00874541">
        <w:rPr>
          <w:rFonts w:ascii="Arial" w:eastAsiaTheme="minorEastAsia" w:hAnsi="Arial" w:cs="Arial"/>
        </w:rPr>
        <w:t xml:space="preserve"> Standard Clinical Guidance: </w:t>
      </w:r>
      <w:r w:rsidR="002B7242" w:rsidRPr="00874541">
        <w:rPr>
          <w:rFonts w:ascii="Arial" w:eastAsiaTheme="minorEastAsia" w:hAnsi="Arial" w:cs="Arial"/>
          <w:lang w:val="en-IN"/>
        </w:rPr>
        <w:t xml:space="preserve">National Institute for Health and Care Excellence </w:t>
      </w:r>
      <w:r w:rsidRPr="00874541">
        <w:rPr>
          <w:rFonts w:ascii="Arial" w:eastAsiaTheme="minorEastAsia" w:hAnsi="Arial" w:cs="Arial"/>
        </w:rPr>
        <w:t>Guidelines</w:t>
      </w:r>
      <w:bookmarkEnd w:id="24"/>
      <w:r w:rsidRPr="00874541">
        <w:rPr>
          <w:rFonts w:ascii="Arial" w:eastAsiaTheme="minorEastAsia" w:hAnsi="Arial" w:cs="Arial"/>
        </w:rPr>
        <w:t xml:space="preserve"> </w:t>
      </w:r>
    </w:p>
    <w:p w14:paraId="066B093D" w14:textId="4C86E2AC" w:rsidR="00B0603A" w:rsidRPr="00874541" w:rsidRDefault="00B0603A" w:rsidP="00C371B0">
      <w:pPr>
        <w:spacing w:line="360" w:lineRule="auto"/>
        <w:rPr>
          <w:rFonts w:ascii="Arial" w:eastAsiaTheme="minorEastAsia" w:hAnsi="Arial" w:cs="Arial"/>
        </w:rPr>
      </w:pPr>
      <w:r w:rsidRPr="00874541">
        <w:rPr>
          <w:rFonts w:ascii="Arial" w:eastAsiaTheme="minorEastAsia" w:hAnsi="Arial" w:cs="Arial"/>
        </w:rPr>
        <w:t xml:space="preserve">The NICE guidelines </w:t>
      </w:r>
      <w:r w:rsidR="00C37343" w:rsidRPr="00874541">
        <w:rPr>
          <w:rFonts w:ascii="Arial" w:eastAsiaTheme="minorEastAsia" w:hAnsi="Arial" w:cs="Arial"/>
        </w:rPr>
        <w:t>present a</w:t>
      </w:r>
      <w:r w:rsidRPr="00874541">
        <w:rPr>
          <w:rFonts w:ascii="Arial" w:eastAsiaTheme="minorEastAsia" w:hAnsi="Arial" w:cs="Arial"/>
        </w:rPr>
        <w:t xml:space="preserve"> comprehensive approach for the management of stable COPD, moving away from the critical </w:t>
      </w:r>
      <w:r w:rsidR="00C37343" w:rsidRPr="00874541">
        <w:rPr>
          <w:rFonts w:ascii="Arial" w:eastAsiaTheme="minorEastAsia" w:hAnsi="Arial" w:cs="Arial"/>
        </w:rPr>
        <w:t>spirometry-only</w:t>
      </w:r>
      <w:r w:rsidRPr="00874541">
        <w:rPr>
          <w:rFonts w:ascii="Arial" w:eastAsiaTheme="minorEastAsia" w:hAnsi="Arial" w:cs="Arial"/>
        </w:rPr>
        <w:t xml:space="preserve"> brackets towards </w:t>
      </w:r>
      <w:r w:rsidRPr="00874541">
        <w:rPr>
          <w:rFonts w:ascii="Arial" w:eastAsiaTheme="minorEastAsia" w:hAnsi="Arial" w:cs="Arial"/>
        </w:rPr>
        <w:lastRenderedPageBreak/>
        <w:t>addressing their specific ‘treatable traits’ like frequent exacerbations and breathlessness (</w:t>
      </w:r>
      <w:r w:rsidR="002B7242" w:rsidRPr="00874541">
        <w:rPr>
          <w:rFonts w:ascii="Arial" w:eastAsiaTheme="minorEastAsia" w:hAnsi="Arial" w:cs="Arial"/>
        </w:rPr>
        <w:t>National Institute for Health and Care Excellence</w:t>
      </w:r>
      <w:r w:rsidRPr="00874541">
        <w:rPr>
          <w:rFonts w:ascii="Arial" w:eastAsiaTheme="minorEastAsia" w:hAnsi="Arial" w:cs="Arial"/>
        </w:rPr>
        <w:t xml:space="preserve">, 2019). </w:t>
      </w:r>
    </w:p>
    <w:p w14:paraId="0C5B7834" w14:textId="44E867AF" w:rsidR="00B0603A" w:rsidRPr="00874541" w:rsidRDefault="00B0603A" w:rsidP="00C371B0">
      <w:pPr>
        <w:spacing w:line="360" w:lineRule="auto"/>
        <w:rPr>
          <w:rFonts w:ascii="Arial" w:eastAsiaTheme="minorEastAsia" w:hAnsi="Arial" w:cs="Arial"/>
        </w:rPr>
      </w:pPr>
      <w:r w:rsidRPr="00874541">
        <w:rPr>
          <w:rFonts w:ascii="Arial" w:eastAsiaTheme="minorEastAsia" w:hAnsi="Arial" w:cs="Arial"/>
        </w:rPr>
        <w:t xml:space="preserve">The guideline sets the critical criteria for prophylactic antibiotic scripts, which </w:t>
      </w:r>
      <w:r w:rsidR="00C37343" w:rsidRPr="00874541">
        <w:rPr>
          <w:rFonts w:ascii="Arial" w:eastAsiaTheme="minorEastAsia" w:hAnsi="Arial" w:cs="Arial"/>
        </w:rPr>
        <w:t>balance</w:t>
      </w:r>
      <w:r w:rsidRPr="00874541">
        <w:rPr>
          <w:rFonts w:ascii="Arial" w:eastAsiaTheme="minorEastAsia" w:hAnsi="Arial" w:cs="Arial"/>
        </w:rPr>
        <w:t xml:space="preserve"> the degrees </w:t>
      </w:r>
      <w:r w:rsidR="007509B1" w:rsidRPr="00874541">
        <w:rPr>
          <w:rFonts w:ascii="Arial" w:eastAsiaTheme="minorEastAsia" w:hAnsi="Arial" w:cs="Arial"/>
        </w:rPr>
        <w:t>of</w:t>
      </w:r>
      <w:r w:rsidRPr="00874541">
        <w:rPr>
          <w:rFonts w:ascii="Arial" w:eastAsiaTheme="minorEastAsia" w:hAnsi="Arial" w:cs="Arial"/>
        </w:rPr>
        <w:t xml:space="preserve"> frequent exacerbations against the wider risk of generating antimicrobial resistance (</w:t>
      </w:r>
      <w:r w:rsidR="002B7242" w:rsidRPr="00874541">
        <w:rPr>
          <w:rFonts w:ascii="Arial" w:eastAsiaTheme="minorEastAsia" w:hAnsi="Arial" w:cs="Arial"/>
        </w:rPr>
        <w:t>National Institute for Health and Care Excellence</w:t>
      </w:r>
      <w:r w:rsidRPr="00874541">
        <w:rPr>
          <w:rFonts w:ascii="Arial" w:eastAsiaTheme="minorEastAsia" w:hAnsi="Arial" w:cs="Arial"/>
        </w:rPr>
        <w:t xml:space="preserve">, 2019). </w:t>
      </w:r>
    </w:p>
    <w:p w14:paraId="7810301D" w14:textId="1D036F00" w:rsidR="00B0603A" w:rsidRPr="00874541" w:rsidRDefault="00B0603A" w:rsidP="00403577">
      <w:pPr>
        <w:pStyle w:val="Heading2"/>
        <w:rPr>
          <w:rFonts w:ascii="Arial" w:eastAsiaTheme="minorEastAsia" w:hAnsi="Arial" w:cs="Arial"/>
        </w:rPr>
      </w:pPr>
      <w:bookmarkStart w:id="25" w:name="_Toc233368056"/>
      <w:r w:rsidRPr="00874541">
        <w:rPr>
          <w:rFonts w:ascii="Arial" w:eastAsiaTheme="minorEastAsia" w:hAnsi="Arial" w:cs="Arial"/>
        </w:rPr>
        <w:t>Major Political Initiatives: Core20PLUS5 Framework</w:t>
      </w:r>
      <w:bookmarkEnd w:id="25"/>
      <w:r w:rsidRPr="00874541">
        <w:rPr>
          <w:rFonts w:ascii="Arial" w:eastAsiaTheme="minorEastAsia" w:hAnsi="Arial" w:cs="Arial"/>
        </w:rPr>
        <w:t xml:space="preserve"> </w:t>
      </w:r>
    </w:p>
    <w:p w14:paraId="778DD2F7" w14:textId="58156416" w:rsidR="00B0603A" w:rsidRPr="00874541" w:rsidRDefault="00B0603A" w:rsidP="00C371B0">
      <w:pPr>
        <w:spacing w:line="360" w:lineRule="auto"/>
        <w:rPr>
          <w:rFonts w:ascii="Arial" w:eastAsiaTheme="minorEastAsia" w:hAnsi="Arial" w:cs="Arial"/>
        </w:rPr>
      </w:pPr>
      <w:r w:rsidRPr="00874541">
        <w:rPr>
          <w:rFonts w:ascii="Arial" w:eastAsiaTheme="minorEastAsia" w:hAnsi="Arial" w:cs="Arial"/>
        </w:rPr>
        <w:t xml:space="preserve">Developed by NHS England, this framework targets the poorest 20% of the population of the UK (Core20) alongside the locally identified vulnerable groups (PLUS), designating chronic respiratory disease as one of the five clinical areas </w:t>
      </w:r>
      <w:r w:rsidR="00C37343" w:rsidRPr="00874541">
        <w:rPr>
          <w:rFonts w:ascii="Arial" w:eastAsiaTheme="minorEastAsia" w:hAnsi="Arial" w:cs="Arial"/>
        </w:rPr>
        <w:t>that need</w:t>
      </w:r>
      <w:r w:rsidRPr="00874541">
        <w:rPr>
          <w:rFonts w:ascii="Arial" w:eastAsiaTheme="minorEastAsia" w:hAnsi="Arial" w:cs="Arial"/>
        </w:rPr>
        <w:t xml:space="preserve"> urgent intervention (NHS England, 2022). </w:t>
      </w:r>
    </w:p>
    <w:p w14:paraId="67A85A48" w14:textId="47AD9062" w:rsidR="00B0603A" w:rsidRPr="00874541" w:rsidRDefault="00B0603A" w:rsidP="00C371B0">
      <w:pPr>
        <w:spacing w:line="360" w:lineRule="auto"/>
        <w:rPr>
          <w:rFonts w:ascii="Arial" w:eastAsiaTheme="minorEastAsia" w:hAnsi="Arial" w:cs="Arial"/>
        </w:rPr>
      </w:pPr>
      <w:r w:rsidRPr="00874541">
        <w:rPr>
          <w:rFonts w:ascii="Arial" w:eastAsiaTheme="minorEastAsia" w:hAnsi="Arial" w:cs="Arial"/>
        </w:rPr>
        <w:t xml:space="preserve">The policy directs funding toward targeted smoking cessation and community-based pulmonary rehabilitation in the historically deprived postcodes to decrease the health inequality gap (Marmot et al., 2024). </w:t>
      </w:r>
    </w:p>
    <w:p w14:paraId="06198704" w14:textId="3BAB048E" w:rsidR="00B0603A" w:rsidRPr="00874541" w:rsidRDefault="00EC026B" w:rsidP="00403577">
      <w:pPr>
        <w:pStyle w:val="Heading1"/>
        <w:rPr>
          <w:rFonts w:ascii="Arial" w:eastAsiaTheme="minorEastAsia" w:hAnsi="Arial" w:cs="Arial"/>
        </w:rPr>
      </w:pPr>
      <w:bookmarkStart w:id="26" w:name="_Toc233368057"/>
      <w:r w:rsidRPr="00874541">
        <w:rPr>
          <w:rFonts w:ascii="Arial" w:eastAsiaTheme="minorEastAsia" w:hAnsi="Arial" w:cs="Arial"/>
        </w:rPr>
        <w:t xml:space="preserve">5 Person-Centred </w:t>
      </w:r>
      <w:r w:rsidR="00C37343" w:rsidRPr="00874541">
        <w:rPr>
          <w:rFonts w:ascii="Arial" w:eastAsiaTheme="minorEastAsia" w:hAnsi="Arial" w:cs="Arial"/>
        </w:rPr>
        <w:t>Recommendations</w:t>
      </w:r>
      <w:r w:rsidRPr="00874541">
        <w:rPr>
          <w:rFonts w:ascii="Arial" w:eastAsiaTheme="minorEastAsia" w:hAnsi="Arial" w:cs="Arial"/>
        </w:rPr>
        <w:t xml:space="preserve"> for Practice</w:t>
      </w:r>
      <w:bookmarkEnd w:id="26"/>
      <w:r w:rsidRPr="00874541">
        <w:rPr>
          <w:rFonts w:ascii="Arial" w:eastAsiaTheme="minorEastAsia" w:hAnsi="Arial" w:cs="Arial"/>
        </w:rPr>
        <w:t xml:space="preserve"> </w:t>
      </w:r>
    </w:p>
    <w:p w14:paraId="0BDA5129" w14:textId="0C3D1EDF" w:rsidR="00EC026B" w:rsidRPr="00874541" w:rsidRDefault="00EC026B" w:rsidP="00403577">
      <w:pPr>
        <w:spacing w:line="360" w:lineRule="auto"/>
        <w:rPr>
          <w:rFonts w:ascii="Arial" w:eastAsiaTheme="minorEastAsia" w:hAnsi="Arial" w:cs="Arial"/>
        </w:rPr>
      </w:pPr>
      <w:r w:rsidRPr="00874541">
        <w:rPr>
          <w:rFonts w:ascii="Arial" w:eastAsiaTheme="minorEastAsia" w:hAnsi="Arial" w:cs="Arial"/>
        </w:rPr>
        <w:t xml:space="preserve">To optimise the holistic COPD outcomes across the NHS, future clinical practice needs to implement the four targeted initiatives: </w:t>
      </w:r>
    </w:p>
    <w:p w14:paraId="6F12911E" w14:textId="6888EB1F" w:rsidR="00EC026B" w:rsidRPr="00874541" w:rsidRDefault="00EC026B" w:rsidP="00C371B0">
      <w:pPr>
        <w:spacing w:line="360" w:lineRule="auto"/>
        <w:rPr>
          <w:rFonts w:ascii="Arial" w:eastAsiaTheme="minorEastAsia" w:hAnsi="Arial" w:cs="Arial"/>
        </w:rPr>
      </w:pPr>
      <w:r w:rsidRPr="00874541">
        <w:rPr>
          <w:rFonts w:ascii="Arial" w:eastAsiaTheme="minorEastAsia" w:hAnsi="Arial" w:cs="Arial"/>
        </w:rPr>
        <w:t>Each patient should co-produce the</w:t>
      </w:r>
      <w:r w:rsidR="00AA6292" w:rsidRPr="00874541">
        <w:rPr>
          <w:rFonts w:ascii="Arial" w:eastAsiaTheme="minorEastAsia" w:hAnsi="Arial" w:cs="Arial"/>
        </w:rPr>
        <w:t xml:space="preserve"> digital or written action plan to track the baseline symptoms and safely direct the self-administration of the rescue therapies (</w:t>
      </w:r>
      <w:r w:rsidR="002B7242" w:rsidRPr="00874541">
        <w:rPr>
          <w:rFonts w:ascii="Arial" w:eastAsiaTheme="minorEastAsia" w:hAnsi="Arial" w:cs="Arial"/>
        </w:rPr>
        <w:t>National Institute for Health and Care Excellence</w:t>
      </w:r>
      <w:r w:rsidR="00AA6292" w:rsidRPr="00874541">
        <w:rPr>
          <w:rFonts w:ascii="Arial" w:eastAsiaTheme="minorEastAsia" w:hAnsi="Arial" w:cs="Arial"/>
        </w:rPr>
        <w:t xml:space="preserve">, 2019). </w:t>
      </w:r>
    </w:p>
    <w:p w14:paraId="0D6F4A74" w14:textId="67B0F733" w:rsidR="00AA6292" w:rsidRPr="00874541" w:rsidRDefault="00AA6292" w:rsidP="00C371B0">
      <w:pPr>
        <w:spacing w:line="360" w:lineRule="auto"/>
        <w:rPr>
          <w:rFonts w:ascii="Arial" w:eastAsiaTheme="minorEastAsia" w:hAnsi="Arial" w:cs="Arial"/>
        </w:rPr>
      </w:pPr>
      <w:r w:rsidRPr="00874541">
        <w:rPr>
          <w:rFonts w:ascii="Arial" w:eastAsiaTheme="minorEastAsia" w:hAnsi="Arial" w:cs="Arial"/>
        </w:rPr>
        <w:t xml:space="preserve">Modernise the referral pathways to automatically enrol any patient with </w:t>
      </w:r>
      <w:r w:rsidR="00C37343" w:rsidRPr="00874541">
        <w:rPr>
          <w:rFonts w:ascii="Arial" w:eastAsiaTheme="minorEastAsia" w:hAnsi="Arial" w:cs="Arial"/>
        </w:rPr>
        <w:t>an</w:t>
      </w:r>
      <w:r w:rsidRPr="00874541">
        <w:rPr>
          <w:rFonts w:ascii="Arial" w:eastAsiaTheme="minorEastAsia" w:hAnsi="Arial" w:cs="Arial"/>
        </w:rPr>
        <w:t xml:space="preserve"> MRC dyspnoea score of 2 or more into the virtual or hybrid pulmonary rehabilitation programs (</w:t>
      </w:r>
      <w:r w:rsidR="002B7242" w:rsidRPr="00874541">
        <w:rPr>
          <w:rFonts w:ascii="Arial" w:eastAsiaTheme="minorEastAsia" w:hAnsi="Arial" w:cs="Arial"/>
        </w:rPr>
        <w:t>National Institute for Health and Care Excellence</w:t>
      </w:r>
      <w:r w:rsidRPr="00874541">
        <w:rPr>
          <w:rFonts w:ascii="Arial" w:eastAsiaTheme="minorEastAsia" w:hAnsi="Arial" w:cs="Arial"/>
        </w:rPr>
        <w:t xml:space="preserve">, 2019). </w:t>
      </w:r>
    </w:p>
    <w:p w14:paraId="5C178484" w14:textId="0B0851CC" w:rsidR="00AA6292" w:rsidRPr="00874541" w:rsidRDefault="00AA6292" w:rsidP="00C371B0">
      <w:pPr>
        <w:spacing w:line="360" w:lineRule="auto"/>
        <w:rPr>
          <w:rFonts w:ascii="Arial" w:eastAsiaTheme="minorEastAsia" w:hAnsi="Arial" w:cs="Arial"/>
        </w:rPr>
      </w:pPr>
      <w:r w:rsidRPr="00874541">
        <w:rPr>
          <w:rFonts w:ascii="Arial" w:eastAsiaTheme="minorEastAsia" w:hAnsi="Arial" w:cs="Arial"/>
        </w:rPr>
        <w:t xml:space="preserve">Integrate the routine depression and anxiety screenings into the annual primary reviews, routing the isolated patients to community peer networks through the social prescribing link workers. </w:t>
      </w:r>
    </w:p>
    <w:p w14:paraId="2A9BB3EF" w14:textId="5936B2A9" w:rsidR="00AA6292" w:rsidRPr="00874541" w:rsidRDefault="00C37343" w:rsidP="00C371B0">
      <w:pPr>
        <w:spacing w:line="360" w:lineRule="auto"/>
        <w:rPr>
          <w:rFonts w:ascii="Arial" w:eastAsiaTheme="minorEastAsia" w:hAnsi="Arial" w:cs="Arial"/>
        </w:rPr>
      </w:pPr>
      <w:r w:rsidRPr="00874541">
        <w:rPr>
          <w:rFonts w:ascii="Arial" w:eastAsiaTheme="minorEastAsia" w:hAnsi="Arial" w:cs="Arial"/>
        </w:rPr>
        <w:t>Initiate</w:t>
      </w:r>
      <w:r w:rsidR="00AA6292" w:rsidRPr="00874541">
        <w:rPr>
          <w:rFonts w:ascii="Arial" w:eastAsiaTheme="minorEastAsia" w:hAnsi="Arial" w:cs="Arial"/>
        </w:rPr>
        <w:t xml:space="preserve"> the proactive end-of-life care conversations early, using the ReSPECT framework for emergency preferences and low-dose opioids to manage refractory breathlessness. </w:t>
      </w:r>
    </w:p>
    <w:p w14:paraId="339FABFA" w14:textId="77777777" w:rsidR="00AA6292" w:rsidRPr="00874541" w:rsidRDefault="00AA6292" w:rsidP="00C371B0">
      <w:pPr>
        <w:spacing w:line="360" w:lineRule="auto"/>
        <w:rPr>
          <w:rFonts w:ascii="Arial" w:eastAsiaTheme="minorEastAsia" w:hAnsi="Arial" w:cs="Arial"/>
        </w:rPr>
      </w:pPr>
      <w:r w:rsidRPr="00874541">
        <w:rPr>
          <w:rFonts w:ascii="Arial" w:eastAsiaTheme="minorEastAsia" w:hAnsi="Arial" w:cs="Arial"/>
        </w:rPr>
        <w:br w:type="page"/>
      </w:r>
    </w:p>
    <w:p w14:paraId="7DB53E46" w14:textId="4D000A2F" w:rsidR="00AA6292" w:rsidRPr="00874541" w:rsidRDefault="00AA6292" w:rsidP="00403577">
      <w:pPr>
        <w:pStyle w:val="Heading1"/>
        <w:rPr>
          <w:rFonts w:ascii="Arial" w:eastAsiaTheme="minorEastAsia" w:hAnsi="Arial" w:cs="Arial"/>
        </w:rPr>
      </w:pPr>
      <w:bookmarkStart w:id="27" w:name="_Toc233368058"/>
      <w:r w:rsidRPr="00874541">
        <w:rPr>
          <w:rFonts w:ascii="Arial" w:eastAsiaTheme="minorEastAsia" w:hAnsi="Arial" w:cs="Arial"/>
        </w:rPr>
        <w:lastRenderedPageBreak/>
        <w:t>References</w:t>
      </w:r>
      <w:bookmarkEnd w:id="27"/>
      <w:r w:rsidRPr="00874541">
        <w:rPr>
          <w:rFonts w:ascii="Arial" w:eastAsiaTheme="minorEastAsia" w:hAnsi="Arial" w:cs="Arial"/>
        </w:rPr>
        <w:t xml:space="preserve"> </w:t>
      </w:r>
    </w:p>
    <w:p w14:paraId="16069E8E"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Adeloye, D., Song, P., Thakar, R., Negrini, S., Noble, B., Forbes, H., Rudan, I. and Campbell, H. (2022) ‘Global, regional, and national prevalence of, and risk factors for, chronic obstructive pulmonary disease (COPD) in 2019: a systematic review and modelling analysis’, The Lancet Respiratory Medicine, 10(5), pp. 447–458. </w:t>
      </w:r>
      <w:hyperlink r:id="rId36" w:history="1">
        <w:r w:rsidRPr="00874541">
          <w:rPr>
            <w:rStyle w:val="Hyperlink"/>
            <w:rFonts w:ascii="Arial" w:hAnsi="Arial" w:cs="Arial"/>
          </w:rPr>
          <w:t>https://www.thelancet.com/pdfs/journals/lanres/PIIS2213-2600(21)00511-7.pdf</w:t>
        </w:r>
      </w:hyperlink>
    </w:p>
    <w:p w14:paraId="16FD7811"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Agustí, A., Celli, B.R., Criner, G.J., Halpin, D., Anzueto, A., Barnes, P., Bourbeau, J., Han, M.K., Martinez, F.J., Montes de Oca, M. and Papi, A. (2023) ‘Global initiative for chronic obstructive lung disease 2023 report: GOLD executive summary’, European Respiratory Journal, 61(4), p. 2300239. </w:t>
      </w:r>
      <w:hyperlink r:id="rId37" w:history="1">
        <w:r w:rsidRPr="00874541">
          <w:rPr>
            <w:rStyle w:val="Hyperlink"/>
            <w:rFonts w:ascii="Arial" w:hAnsi="Arial" w:cs="Arial"/>
          </w:rPr>
          <w:t>https://academic.oup.com/ajrccm/article-abstract/207/7/819/8428320</w:t>
        </w:r>
      </w:hyperlink>
    </w:p>
    <w:p w14:paraId="14F3ECC9"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Alliance Scotland (2024) Scotland's House of Care. Edinburgh: Health and Social Care Alliance Scotland. </w:t>
      </w:r>
      <w:hyperlink r:id="rId38" w:history="1">
        <w:r w:rsidRPr="00874541">
          <w:rPr>
            <w:rStyle w:val="Hyperlink"/>
            <w:rFonts w:ascii="Arial" w:eastAsiaTheme="minorEastAsia" w:hAnsi="Arial" w:cs="Arial"/>
          </w:rPr>
          <w:t>https://www.alliance-scotland.org.uk/past-work-and-projects/scotlands-house-of-care/</w:t>
        </w:r>
      </w:hyperlink>
      <w:r w:rsidRPr="00874541">
        <w:rPr>
          <w:rFonts w:ascii="Arial" w:eastAsiaTheme="minorEastAsia" w:hAnsi="Arial" w:cs="Arial"/>
        </w:rPr>
        <w:t xml:space="preserve"> </w:t>
      </w:r>
    </w:p>
    <w:p w14:paraId="6CCF8EDE"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Alpine Biomedical (2026) Chronic Obstructive Pulmonary Disease (COPD). (Online). Available at: </w:t>
      </w:r>
      <w:hyperlink r:id="rId39" w:history="1">
        <w:r w:rsidRPr="00874541">
          <w:rPr>
            <w:rFonts w:ascii="Arial" w:eastAsiaTheme="minorEastAsia" w:hAnsi="Arial" w:cs="Arial"/>
          </w:rPr>
          <w:t>https://alpine-biomedical.ch/en/blog/copd/</w:t>
        </w:r>
      </w:hyperlink>
      <w:r w:rsidRPr="00874541">
        <w:rPr>
          <w:rFonts w:ascii="Arial" w:eastAsiaTheme="minorEastAsia" w:hAnsi="Arial" w:cs="Arial"/>
        </w:rPr>
        <w:t xml:space="preserve"> (Accessed: 21 June 2026).</w:t>
      </w:r>
    </w:p>
    <w:p w14:paraId="71A8CF29"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Barnes, P.J. (2020) ‘Cellular and molecular mechanisms of chronic obstructive pulmonary disease’, Clinics in Chest Medicine, 41(3), pp. 309–321. </w:t>
      </w:r>
      <w:hyperlink r:id="rId40" w:history="1">
        <w:r w:rsidRPr="00874541">
          <w:rPr>
            <w:rStyle w:val="Hyperlink"/>
            <w:rFonts w:ascii="Arial" w:hAnsi="Arial" w:cs="Arial"/>
          </w:rPr>
          <w:t>https://www.academia.edu/download/88566892/5.EPOC-MECANISMOS.pdf</w:t>
        </w:r>
      </w:hyperlink>
    </w:p>
    <w:p w14:paraId="7420431D"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Barr, V.J., Robinson, S., Marin-Link, B., Underhill, L., Dotts, A., Ravensdale, D. and Salivaras, S. (2003) ‘The expanded chronic care model: an integration of health promotion and disease prevention’, Hospital Quarterly, 7(1), pp. 73–82. </w:t>
      </w:r>
      <w:hyperlink r:id="rId41" w:history="1">
        <w:r w:rsidRPr="00874541">
          <w:rPr>
            <w:rStyle w:val="Hyperlink"/>
            <w:rFonts w:ascii="Arial" w:eastAsiaTheme="minorEastAsia" w:hAnsi="Arial" w:cs="Arial"/>
          </w:rPr>
          <w:t>https://d1wqtxts1xzle7.cloudfront.net/70022011/93f656d5c69f75b6769504ea61034df29933-libre.pdf?1632195395=&amp;response-content-disposition=inline%3B+filename%3DThe_Expanded_Chronic_Care_Model_An_Integ.pdf&amp;Expires=1782065401&amp;Signature=TPOLOfJQhDnXMyOdO9PpRICvxrjX9P~KFitIN~xMzFqaxczKGZ-2Mo7DIDSwqXrF7QDriVO3o8fQK2Qc~OmY4Oebaw2BwNntkZadrG81SXPAtsNLTtFGKUjScANSDsGAGZp06UroTLcHOar~rxYEGO4T1GJKPzPx3LR576XOFfclqZmkMuiwfXoWaGdIM1P-LboBOLoitYXkKwdVCUth0sYy2ro0jOLi-PVY9tR7P-5VVjC4KnJ7-T7rGx3Bro4mWwGndPtK2zUh~jhy4GV397mBIOpCPWP2YmjwYvvVObNlv0rm2auX</w:t>
        </w:r>
        <w:r w:rsidRPr="00874541">
          <w:rPr>
            <w:rStyle w:val="Hyperlink"/>
            <w:rFonts w:ascii="Arial" w:eastAsiaTheme="minorEastAsia" w:hAnsi="Arial" w:cs="Arial"/>
          </w:rPr>
          <w:lastRenderedPageBreak/>
          <w:t>FyMhhNornyJw3SvL2GrU2nRgh0tNTDa0aA__&amp;Key-Pair-Id=APKAJLOHF5GGSLRBV4ZA</w:t>
        </w:r>
      </w:hyperlink>
      <w:r w:rsidRPr="00874541">
        <w:rPr>
          <w:rFonts w:ascii="Arial" w:eastAsiaTheme="minorEastAsia" w:hAnsi="Arial" w:cs="Arial"/>
        </w:rPr>
        <w:t xml:space="preserve"> </w:t>
      </w:r>
    </w:p>
    <w:p w14:paraId="14BBAD0B"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Bezack, B. (2025). What Are the Four Gold System Stages of COPD? Available at: </w:t>
      </w:r>
      <w:hyperlink r:id="rId42" w:history="1">
        <w:r w:rsidRPr="00874541">
          <w:rPr>
            <w:rStyle w:val="Hyperlink"/>
            <w:rFonts w:ascii="Arial" w:eastAsiaTheme="minorEastAsia" w:hAnsi="Arial" w:cs="Arial"/>
          </w:rPr>
          <w:t>https://www.verywellhealth.com/stages-of-copd-gold-system-5071328</w:t>
        </w:r>
      </w:hyperlink>
      <w:r w:rsidRPr="00874541">
        <w:rPr>
          <w:rFonts w:ascii="Arial" w:eastAsiaTheme="minorEastAsia" w:hAnsi="Arial" w:cs="Arial"/>
        </w:rPr>
        <w:t xml:space="preserve"> (Accessed: 26 June 2026) </w:t>
      </w:r>
    </w:p>
    <w:p w14:paraId="7EEA3C0F"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Bodenheimer, T., Wagner, E.H. and Grumbach, K. (2022) ‘Improving primary care for patients with chronic illness: the chronic care model, Part 2’, JAMA, 288(15), pp. 1909–1914. </w:t>
      </w:r>
      <w:hyperlink r:id="rId43" w:history="1">
        <w:r w:rsidRPr="00874541">
          <w:rPr>
            <w:rStyle w:val="Hyperlink"/>
            <w:rFonts w:ascii="Arial" w:eastAsiaTheme="minorEastAsia" w:hAnsi="Arial" w:cs="Arial"/>
          </w:rPr>
          <w:t>https://d1wqtxts1xzle7.cloudfront.net/48956008/JAMABodenheimer10-02-libre.pdf?1474283332=&amp;response-content-disposition=inline%3B+filename%3DImproving_Primary_Care_for_Patients_With.pdf&amp;Expires=1782065514&amp;Signature=STSLxuhZmkHseMb76v-04phQ7yHzWeCOmvzXUZ4GWk3aii7dh1oth17BXlXwVsZJCPEaAoDOK8q6vZjjUA8okxFO1bP-TUU~owst-eL1Alg3zbgLDfQIpHn9XnpiSe-6EfKSJ9mxtqOkailGZvnQ8zCQR~xjAXorHMT~9PKvpdO1MIAwCHNGxtuLx5exl269qkh3iGjf4SHYyHcxPgVByc2yFQ27hMDffefzLHO3A9AzltApqIk0F3AzCT-ebGEK8TuuNxIHP-DLP5QKizddSz2B2f9RvI-m88Pjhs2zgSFDowsZ-uUiyCZOu6ZTWwZojEDlvZRapKL3B05NEglZtw__&amp;Key-Pair-Id=APKAJLOHF5GGSLRBV4ZA</w:t>
        </w:r>
      </w:hyperlink>
      <w:r w:rsidRPr="00874541">
        <w:rPr>
          <w:rFonts w:ascii="Arial" w:eastAsiaTheme="minorEastAsia" w:hAnsi="Arial" w:cs="Arial"/>
        </w:rPr>
        <w:t xml:space="preserve"> </w:t>
      </w:r>
    </w:p>
    <w:p w14:paraId="7B0F0D12"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Buhl, R., Miravitlles, M., Anzueto, A. and Brunton, S. (2024) ‘Long-acting muscarinic antagonist and long-acting β2-agonist combination for the treatment of maintenance therapy–naïve patients with chronic obstructive pulmonary disease: a narrative review’, </w:t>
      </w:r>
      <w:r w:rsidRPr="00874541">
        <w:rPr>
          <w:rFonts w:ascii="Arial" w:eastAsiaTheme="minorEastAsia" w:hAnsi="Arial" w:cs="Arial"/>
          <w:i/>
          <w:iCs/>
        </w:rPr>
        <w:t>Therapeutic Advances in Respiratory Disease</w:t>
      </w:r>
      <w:r w:rsidRPr="00874541">
        <w:rPr>
          <w:rFonts w:ascii="Arial" w:eastAsiaTheme="minorEastAsia" w:hAnsi="Arial" w:cs="Arial"/>
        </w:rPr>
        <w:t>, </w:t>
      </w:r>
      <w:r w:rsidRPr="00874541">
        <w:rPr>
          <w:rFonts w:ascii="Arial" w:eastAsiaTheme="minorEastAsia" w:hAnsi="Arial" w:cs="Arial"/>
          <w:i/>
          <w:iCs/>
        </w:rPr>
        <w:t>18</w:t>
      </w:r>
      <w:r w:rsidRPr="00874541">
        <w:rPr>
          <w:rFonts w:ascii="Arial" w:eastAsiaTheme="minorEastAsia" w:hAnsi="Arial" w:cs="Arial"/>
        </w:rPr>
        <w:t xml:space="preserve">, p.17534666241279115. </w:t>
      </w:r>
      <w:hyperlink r:id="rId44" w:history="1">
        <w:r w:rsidRPr="00874541">
          <w:rPr>
            <w:rStyle w:val="Hyperlink"/>
            <w:rFonts w:ascii="Arial" w:hAnsi="Arial" w:cs="Arial"/>
          </w:rPr>
          <w:t>https://journals.sagepub.com/doi/pdf/10.1177/17534666241279115</w:t>
        </w:r>
      </w:hyperlink>
    </w:p>
    <w:p w14:paraId="0B757509"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Cleutjens, F.A., Janssen, D.J., Ponds, R.W., Dijkstra, J.B. and Wouters, E.F. (2023) ‘Cognitive impairment in chronic obstructive pulmonary disease: an underestimated comorbidity’, Respiratory Medicine, 176, p. 106268.</w:t>
      </w:r>
    </w:p>
    <w:p w14:paraId="341799BC"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Coulter, A., Entwistle, V.A., Eccles, A., Ryan, S., Shepperd, S. and Perera, R. (2023) ‘Personalised care planning for adults with chronic or long-term health conditions’, Cochrane Database of Systematic Reviews, (3), p. CD010523. </w:t>
      </w:r>
      <w:hyperlink r:id="rId45" w:history="1">
        <w:r w:rsidRPr="00874541">
          <w:rPr>
            <w:rStyle w:val="Hyperlink"/>
            <w:rFonts w:ascii="Arial" w:eastAsiaTheme="minorEastAsia" w:hAnsi="Arial" w:cs="Arial"/>
          </w:rPr>
          <w:t>https://www.cochranelibrary.com/cdsr/doi/10.1002/14651858.CD010523.pub2/pdf/full</w:t>
        </w:r>
      </w:hyperlink>
      <w:r w:rsidRPr="00874541">
        <w:rPr>
          <w:rFonts w:ascii="Arial" w:eastAsiaTheme="minorEastAsia" w:hAnsi="Arial" w:cs="Arial"/>
        </w:rPr>
        <w:t xml:space="preserve"> </w:t>
      </w:r>
    </w:p>
    <w:p w14:paraId="0871955F"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Findley, P.A. (2014) ‘Social work practice in the chronic care model: Chronic illness and disability care’, </w:t>
      </w:r>
      <w:r w:rsidRPr="00874541">
        <w:rPr>
          <w:rFonts w:ascii="Arial" w:eastAsiaTheme="minorEastAsia" w:hAnsi="Arial" w:cs="Arial"/>
          <w:i/>
          <w:iCs/>
        </w:rPr>
        <w:t>Journal of Social Work</w:t>
      </w:r>
      <w:r w:rsidRPr="00874541">
        <w:rPr>
          <w:rFonts w:ascii="Arial" w:eastAsiaTheme="minorEastAsia" w:hAnsi="Arial" w:cs="Arial"/>
        </w:rPr>
        <w:t>, </w:t>
      </w:r>
      <w:r w:rsidRPr="00874541">
        <w:rPr>
          <w:rFonts w:ascii="Arial" w:eastAsiaTheme="minorEastAsia" w:hAnsi="Arial" w:cs="Arial"/>
          <w:i/>
          <w:iCs/>
        </w:rPr>
        <w:t>14</w:t>
      </w:r>
      <w:r w:rsidRPr="00874541">
        <w:rPr>
          <w:rFonts w:ascii="Arial" w:eastAsiaTheme="minorEastAsia" w:hAnsi="Arial" w:cs="Arial"/>
        </w:rPr>
        <w:t xml:space="preserve">(1), pp.83-95. </w:t>
      </w:r>
      <w:hyperlink r:id="rId46" w:history="1">
        <w:r w:rsidRPr="00874541">
          <w:rPr>
            <w:rStyle w:val="Hyperlink"/>
            <w:rFonts w:ascii="Arial" w:hAnsi="Arial" w:cs="Arial"/>
          </w:rPr>
          <w:t>https://www.researchgate.net/profile/Patricia-Findley/publication/273601691_Social_work_practice_in_the_Chronic_Care_Model_Chronic_illness_and_disability_care/links/560d2f6908ae57bb66d41573/Social-work-practice-in-the-Chronic-Care-Model-Chronic-illness-and-disability-care.pdf</w:t>
        </w:r>
      </w:hyperlink>
    </w:p>
    <w:p w14:paraId="087C0959"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Gee, P.M., Greenwood, D.A., Paterniti, D.A., Ward, D.H. and Miller, L.M. (2021) ‘The e-Health Enhanced Chronic Care Model: a theory derivation primer’, Journal of Medical Internet Research, 17(4), p. e86. </w:t>
      </w:r>
      <w:hyperlink r:id="rId47" w:history="1">
        <w:r w:rsidRPr="00874541">
          <w:rPr>
            <w:rStyle w:val="Hyperlink"/>
            <w:rFonts w:ascii="Arial" w:hAnsi="Arial" w:cs="Arial"/>
          </w:rPr>
          <w:t>https://www.jmir.org/2015/4/e86/' + match + '</w:t>
        </w:r>
      </w:hyperlink>
    </w:p>
    <w:p w14:paraId="197F58C7"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Global Initiative for Chronic Obstructive Lung Disease [GOLD] (2025) Global strategy for the diagnosis, management, and prevention of chronic obstructive pulmonary disease (2025 report). Available at: </w:t>
      </w:r>
      <w:hyperlink r:id="rId48" w:history="1">
        <w:r w:rsidRPr="00874541">
          <w:rPr>
            <w:rStyle w:val="Hyperlink"/>
            <w:rFonts w:ascii="Arial" w:eastAsiaTheme="minorEastAsia" w:hAnsi="Arial" w:cs="Arial"/>
          </w:rPr>
          <w:t>https://goldcopd.org</w:t>
        </w:r>
      </w:hyperlink>
      <w:r w:rsidRPr="00874541">
        <w:rPr>
          <w:rFonts w:ascii="Arial" w:eastAsiaTheme="minorEastAsia" w:hAnsi="Arial" w:cs="Arial"/>
        </w:rPr>
        <w:t xml:space="preserve">  (Accessed: 18 June 2026).</w:t>
      </w:r>
    </w:p>
    <w:p w14:paraId="457D7BAC"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Halpin, D.M., Criner, G.J., Papi, A., Singh, D., Anzueto, A., Martinez, F.J., Agustí, A. and Celli, B.R. (2021) ‘Global Initiative for the Diagnosis, Management, and Prevention of Chronic Obstructive Lung Disease: the 2021 GOLD Science Committee Report’, European Respiratory Journal, 57(1), p. 2004079. </w:t>
      </w:r>
      <w:hyperlink r:id="rId49" w:history="1">
        <w:r w:rsidRPr="00874541">
          <w:rPr>
            <w:rStyle w:val="Hyperlink"/>
            <w:rFonts w:ascii="Arial" w:eastAsiaTheme="minorEastAsia" w:hAnsi="Arial" w:cs="Arial"/>
          </w:rPr>
          <w:t>https://www.atsjournals.org/doi/pdf/10.1164/rccm.202009-3533SO</w:t>
        </w:r>
      </w:hyperlink>
      <w:r w:rsidRPr="00874541">
        <w:rPr>
          <w:rFonts w:ascii="Arial" w:eastAsiaTheme="minorEastAsia" w:hAnsi="Arial" w:cs="Arial"/>
        </w:rPr>
        <w:t xml:space="preserve"> </w:t>
      </w:r>
    </w:p>
    <w:p w14:paraId="79FE43DB"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Hurst, J.R., Skolnik, N., Hansen, G.J., Anzueto, A., Donaldson, G.C., Dransfield, M.T. and Varghese, P. (2020) ‘Understanding the impact of chronic obstructive pulmonary disease exacerbations on patient health and quality of life’, </w:t>
      </w:r>
      <w:r w:rsidRPr="00874541">
        <w:rPr>
          <w:rFonts w:ascii="Arial" w:eastAsiaTheme="minorEastAsia" w:hAnsi="Arial" w:cs="Arial"/>
          <w:i/>
          <w:iCs/>
        </w:rPr>
        <w:t>European journal of internal medicine</w:t>
      </w:r>
      <w:r w:rsidRPr="00874541">
        <w:rPr>
          <w:rFonts w:ascii="Arial" w:eastAsiaTheme="minorEastAsia" w:hAnsi="Arial" w:cs="Arial"/>
        </w:rPr>
        <w:t>, </w:t>
      </w:r>
      <w:r w:rsidRPr="00874541">
        <w:rPr>
          <w:rFonts w:ascii="Arial" w:eastAsiaTheme="minorEastAsia" w:hAnsi="Arial" w:cs="Arial"/>
          <w:i/>
          <w:iCs/>
        </w:rPr>
        <w:t>73</w:t>
      </w:r>
      <w:r w:rsidRPr="00874541">
        <w:rPr>
          <w:rFonts w:ascii="Arial" w:eastAsiaTheme="minorEastAsia" w:hAnsi="Arial" w:cs="Arial"/>
        </w:rPr>
        <w:t xml:space="preserve">, pp.1-6. </w:t>
      </w:r>
      <w:hyperlink r:id="rId50" w:history="1">
        <w:r w:rsidRPr="00874541">
          <w:rPr>
            <w:rStyle w:val="Hyperlink"/>
            <w:rFonts w:ascii="Arial" w:hAnsi="Arial" w:cs="Arial"/>
          </w:rPr>
          <w:t>https://www.sciencedirect.com/science/article/pii/S0953620519304431</w:t>
        </w:r>
      </w:hyperlink>
    </w:p>
    <w:p w14:paraId="2A7E289D"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Marmot, M., Allen, J., Boyce, T., Goldblatt, P. and Morrison, J. (2024) Health equity in England: The Marmot review 14 years on. London: Institute of Health Equity. </w:t>
      </w:r>
      <w:hyperlink r:id="rId51" w:history="1">
        <w:r w:rsidRPr="00874541">
          <w:rPr>
            <w:rStyle w:val="Hyperlink"/>
            <w:rFonts w:ascii="Arial" w:eastAsiaTheme="minorEastAsia" w:hAnsi="Arial" w:cs="Arial"/>
          </w:rPr>
          <w:t>https://discovery.ucl.ac.uk/id/eprint/10106434/3/Bockenhauer_BMJ%20Ten%20years%20essay2pg3.pdf</w:t>
        </w:r>
      </w:hyperlink>
      <w:r w:rsidRPr="00874541">
        <w:rPr>
          <w:rFonts w:ascii="Arial" w:eastAsiaTheme="minorEastAsia" w:hAnsi="Arial" w:cs="Arial"/>
        </w:rPr>
        <w:t xml:space="preserve"> </w:t>
      </w:r>
    </w:p>
    <w:p w14:paraId="44E8D2D8"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McMurray, K.M. and Sah, R. (2022) ‘Neuroimmune mechanisms in fear and panic pathophysiology’, </w:t>
      </w:r>
      <w:r w:rsidRPr="00874541">
        <w:rPr>
          <w:rFonts w:ascii="Arial" w:eastAsiaTheme="minorEastAsia" w:hAnsi="Arial" w:cs="Arial"/>
          <w:i/>
          <w:iCs/>
        </w:rPr>
        <w:t>Frontiers in Psychiatry</w:t>
      </w:r>
      <w:r w:rsidRPr="00874541">
        <w:rPr>
          <w:rFonts w:ascii="Arial" w:eastAsiaTheme="minorEastAsia" w:hAnsi="Arial" w:cs="Arial"/>
        </w:rPr>
        <w:t>, </w:t>
      </w:r>
      <w:r w:rsidRPr="00874541">
        <w:rPr>
          <w:rFonts w:ascii="Arial" w:eastAsiaTheme="minorEastAsia" w:hAnsi="Arial" w:cs="Arial"/>
          <w:i/>
          <w:iCs/>
        </w:rPr>
        <w:t>13</w:t>
      </w:r>
      <w:r w:rsidRPr="00874541">
        <w:rPr>
          <w:rFonts w:ascii="Arial" w:eastAsiaTheme="minorEastAsia" w:hAnsi="Arial" w:cs="Arial"/>
        </w:rPr>
        <w:t xml:space="preserve">, p.1015349. </w:t>
      </w:r>
      <w:hyperlink r:id="rId52" w:history="1">
        <w:r w:rsidRPr="00874541">
          <w:rPr>
            <w:rStyle w:val="Hyperlink"/>
            <w:rFonts w:ascii="Arial" w:hAnsi="Arial" w:cs="Arial"/>
          </w:rPr>
          <w:t>https://www.frontiersin.org/journals/psychiatry/articles/10.3389/fpsyt.2022.1015349/pdf</w:t>
        </w:r>
      </w:hyperlink>
    </w:p>
    <w:p w14:paraId="32ED9112"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Morgan, A.D., Zakeri, R. and Quint, J.K. (2018) ‘Defining the relationship between COPD and cardiovascular disease’, Therapeutic Advances in Respiratory Disease, 12, pp. 175–189. </w:t>
      </w:r>
      <w:hyperlink r:id="rId53" w:history="1">
        <w:r w:rsidRPr="00874541">
          <w:rPr>
            <w:rStyle w:val="Hyperlink"/>
            <w:rFonts w:ascii="Arial" w:eastAsiaTheme="minorEastAsia" w:hAnsi="Arial" w:cs="Arial"/>
          </w:rPr>
          <w:t>https://pmc.ncbi.nlm.nih.gov/articles/PMC5937157/</w:t>
        </w:r>
      </w:hyperlink>
      <w:r w:rsidRPr="00874541">
        <w:rPr>
          <w:rFonts w:ascii="Arial" w:eastAsiaTheme="minorEastAsia" w:hAnsi="Arial" w:cs="Arial"/>
        </w:rPr>
        <w:t xml:space="preserve"> </w:t>
      </w:r>
    </w:p>
    <w:p w14:paraId="5EE328E4"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lastRenderedPageBreak/>
        <w:t xml:space="preserve">National Institute for Health and Care Excellence [NICE] (2019) Chronic obstructive pulmonary disease in over 16s: diagnosis and management (NICE Guideline NG115). London: NICE. Available at: </w:t>
      </w:r>
      <w:hyperlink r:id="rId54" w:history="1">
        <w:r w:rsidRPr="00874541">
          <w:rPr>
            <w:rStyle w:val="Hyperlink"/>
            <w:rFonts w:ascii="Arial" w:eastAsiaTheme="minorEastAsia" w:hAnsi="Arial" w:cs="Arial"/>
          </w:rPr>
          <w:t>https://www.nice.org.uk/guidance/ng115</w:t>
        </w:r>
      </w:hyperlink>
      <w:r w:rsidRPr="00874541">
        <w:rPr>
          <w:rFonts w:ascii="Arial" w:eastAsiaTheme="minorEastAsia" w:hAnsi="Arial" w:cs="Arial"/>
        </w:rPr>
        <w:t xml:space="preserve">  (Accessed: 21 June 2026).</w:t>
      </w:r>
    </w:p>
    <w:p w14:paraId="4BA4AC5D"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NHS England (2022) Core20PLUS5 (An approach to reducing health inequalities). London: NHS England. </w:t>
      </w:r>
      <w:hyperlink r:id="rId55" w:history="1">
        <w:r w:rsidRPr="00874541">
          <w:rPr>
            <w:rStyle w:val="Hyperlink"/>
            <w:rFonts w:ascii="Arial" w:eastAsiaTheme="minorEastAsia" w:hAnsi="Arial" w:cs="Arial"/>
          </w:rPr>
          <w:t>https://www.england.nhs.uk/about/equality/equality-hub/national-healthcare-inequalities-improvement-programme/core20plus5/</w:t>
        </w:r>
      </w:hyperlink>
      <w:r w:rsidRPr="00874541">
        <w:rPr>
          <w:rFonts w:ascii="Arial" w:eastAsiaTheme="minorEastAsia" w:hAnsi="Arial" w:cs="Arial"/>
        </w:rPr>
        <w:t xml:space="preserve"> </w:t>
      </w:r>
    </w:p>
    <w:p w14:paraId="07753718"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NHS England (2023) Social prescribing and community-based support: summary guide. London: NHS England. </w:t>
      </w:r>
      <w:hyperlink r:id="rId56" w:history="1">
        <w:r w:rsidRPr="00874541">
          <w:rPr>
            <w:rStyle w:val="Hyperlink"/>
            <w:rFonts w:ascii="Arial" w:eastAsiaTheme="minorEastAsia" w:hAnsi="Arial" w:cs="Arial"/>
          </w:rPr>
          <w:t>https://www.england.nhs.uk/publication/social-prescribing-and-community-based-support-summary-guide/</w:t>
        </w:r>
      </w:hyperlink>
      <w:r w:rsidRPr="00874541">
        <w:rPr>
          <w:rFonts w:ascii="Arial" w:eastAsiaTheme="minorEastAsia" w:hAnsi="Arial" w:cs="Arial"/>
        </w:rPr>
        <w:t xml:space="preserve"> </w:t>
      </w:r>
    </w:p>
    <w:p w14:paraId="36CF35E3"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Postma, D.S. and Rabe, K.F. (2015) ‘The Asthma-COPD Overlap Syndrome’, New England Journal of Medicine, 373(13), pp. 1241–1249. </w:t>
      </w:r>
      <w:hyperlink r:id="rId57" w:history="1">
        <w:r w:rsidRPr="00874541">
          <w:rPr>
            <w:rStyle w:val="Hyperlink"/>
            <w:rFonts w:ascii="Arial" w:eastAsiaTheme="minorEastAsia" w:hAnsi="Arial" w:cs="Arial"/>
          </w:rPr>
          <w:t>https://web.eng.fiu.edu/brownm/BME3404/Asthma-COPD%20Overlap%20Syndrome.pdf</w:t>
        </w:r>
      </w:hyperlink>
      <w:r w:rsidRPr="00874541">
        <w:rPr>
          <w:rFonts w:ascii="Arial" w:eastAsiaTheme="minorEastAsia" w:hAnsi="Arial" w:cs="Arial"/>
        </w:rPr>
        <w:t xml:space="preserve"> </w:t>
      </w:r>
    </w:p>
    <w:p w14:paraId="465318B6"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Reidy, C., Kennedy, A., Pope, C., Ballinger, C., Vassilev, I. and Rogers, A. (2016) ‘Commissioning of self-management support for people with long-term conditions: an exploration of commissioning aspirations and processes’, BMJ open, 6(7), p.e010853. </w:t>
      </w:r>
      <w:hyperlink r:id="rId58" w:history="1">
        <w:r w:rsidRPr="00874541">
          <w:rPr>
            <w:rFonts w:ascii="Arial" w:eastAsiaTheme="minorEastAsia" w:hAnsi="Arial" w:cs="Arial"/>
          </w:rPr>
          <w:t>https://scholar.google.com/scholar?output=instlink&amp;q=info:CCMtNBMbcE4J:scholar.google.com/&amp;hl=en&amp;as_sdt=0,5&amp;scillfp=4776703767321621119&amp;oi=lle</w:t>
        </w:r>
      </w:hyperlink>
    </w:p>
    <w:p w14:paraId="7CE7D063"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Rodrigues, S.D.O., Cunha, C.M.C.D., Soares, G.M.V., Silva, P.L., Silva, A.R. and Goncalves-de-Albuquerque, C.F. (2021) ‘Mechanisms, pathophysiology and currently proposed treatments of chronic obstructive pulmonary disease’, </w:t>
      </w:r>
      <w:r w:rsidRPr="00874541">
        <w:rPr>
          <w:rFonts w:ascii="Arial" w:eastAsiaTheme="minorEastAsia" w:hAnsi="Arial" w:cs="Arial"/>
          <w:i/>
          <w:iCs/>
        </w:rPr>
        <w:t>Pharmaceuticals</w:t>
      </w:r>
      <w:r w:rsidRPr="00874541">
        <w:rPr>
          <w:rFonts w:ascii="Arial" w:eastAsiaTheme="minorEastAsia" w:hAnsi="Arial" w:cs="Arial"/>
        </w:rPr>
        <w:t>, </w:t>
      </w:r>
      <w:r w:rsidRPr="00874541">
        <w:rPr>
          <w:rFonts w:ascii="Arial" w:eastAsiaTheme="minorEastAsia" w:hAnsi="Arial" w:cs="Arial"/>
          <w:i/>
          <w:iCs/>
        </w:rPr>
        <w:t>14</w:t>
      </w:r>
      <w:r w:rsidRPr="00874541">
        <w:rPr>
          <w:rFonts w:ascii="Arial" w:eastAsiaTheme="minorEastAsia" w:hAnsi="Arial" w:cs="Arial"/>
        </w:rPr>
        <w:t xml:space="preserve">(10), p.979. </w:t>
      </w:r>
      <w:hyperlink r:id="rId59" w:history="1">
        <w:r w:rsidRPr="00874541">
          <w:rPr>
            <w:rStyle w:val="Hyperlink"/>
            <w:rFonts w:ascii="Arial" w:hAnsi="Arial" w:cs="Arial"/>
          </w:rPr>
          <w:t>https://www.mdpi.com/1424-8247/14/10/979</w:t>
        </w:r>
      </w:hyperlink>
    </w:p>
    <w:p w14:paraId="643250BC"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Schols, A.M., Ferreira, I.M., Franssen, F.M., Gosker, H.R., Janssens, W., Muscaritoli, M., Pison, C., Rutten-van Mölken, M., Slinde, F. and Wouters, E.F. (2014) ‘Nutritional assessment and therapy in COPD: a European Respiratory Society statement’, European Respiratory Journal, 44(6), pp. 1504–1520. </w:t>
      </w:r>
      <w:hyperlink r:id="rId60" w:history="1">
        <w:r w:rsidRPr="00874541">
          <w:rPr>
            <w:rStyle w:val="Hyperlink"/>
            <w:rFonts w:ascii="Arial" w:eastAsiaTheme="minorEastAsia" w:hAnsi="Arial" w:cs="Arial"/>
          </w:rPr>
          <w:t>https://scholar.google.com/scholar?output=instlink&amp;q=info:bwmCH-eDAaIJ:scholar.google.com/&amp;hl=en&amp;as_sdt=0,5&amp;scillfp=17105528854196426836&amp;oi=lle</w:t>
        </w:r>
      </w:hyperlink>
      <w:r w:rsidRPr="00874541">
        <w:rPr>
          <w:rFonts w:ascii="Arial" w:eastAsiaTheme="minorEastAsia" w:hAnsi="Arial" w:cs="Arial"/>
        </w:rPr>
        <w:t xml:space="preserve"> </w:t>
      </w:r>
    </w:p>
    <w:p w14:paraId="7950365A"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lastRenderedPageBreak/>
        <w:t>Siraj, R.A., 2023. Comorbid cognitive impairment in chronic obstructive pulmonary disease (COPD): current understanding, risk factors, implications for clinical practice, and suggested interventions. </w:t>
      </w:r>
      <w:r w:rsidRPr="00874541">
        <w:rPr>
          <w:rFonts w:ascii="Arial" w:eastAsiaTheme="minorEastAsia" w:hAnsi="Arial" w:cs="Arial"/>
          <w:i/>
          <w:iCs/>
        </w:rPr>
        <w:t>Medicina</w:t>
      </w:r>
      <w:r w:rsidRPr="00874541">
        <w:rPr>
          <w:rFonts w:ascii="Arial" w:eastAsiaTheme="minorEastAsia" w:hAnsi="Arial" w:cs="Arial"/>
        </w:rPr>
        <w:t>, </w:t>
      </w:r>
      <w:r w:rsidRPr="00874541">
        <w:rPr>
          <w:rFonts w:ascii="Arial" w:eastAsiaTheme="minorEastAsia" w:hAnsi="Arial" w:cs="Arial"/>
          <w:i/>
          <w:iCs/>
        </w:rPr>
        <w:t>59</w:t>
      </w:r>
      <w:r w:rsidRPr="00874541">
        <w:rPr>
          <w:rFonts w:ascii="Arial" w:eastAsiaTheme="minorEastAsia" w:hAnsi="Arial" w:cs="Arial"/>
        </w:rPr>
        <w:t xml:space="preserve">(4), p.732. </w:t>
      </w:r>
      <w:hyperlink r:id="rId61" w:history="1">
        <w:r w:rsidRPr="00874541">
          <w:rPr>
            <w:rStyle w:val="Hyperlink"/>
            <w:rFonts w:ascii="Arial" w:hAnsi="Arial" w:cs="Arial"/>
          </w:rPr>
          <w:t>https://www.mdpi.com/1648-9144/59/4/732</w:t>
        </w:r>
      </w:hyperlink>
    </w:p>
    <w:p w14:paraId="154216C8"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Stellefson, M., Dipnarine, K. and</w:t>
      </w:r>
      <w:r w:rsidRPr="00874541">
        <w:rPr>
          <w:rFonts w:ascii="Arial" w:eastAsia="MS Mincho" w:hAnsi="Arial" w:cs="Arial"/>
        </w:rPr>
        <w:t>正</w:t>
      </w:r>
      <w:r w:rsidRPr="00874541">
        <w:rPr>
          <w:rFonts w:ascii="Arial" w:eastAsiaTheme="minorEastAsia" w:hAnsi="Arial" w:cs="Arial"/>
        </w:rPr>
        <w:t xml:space="preserve">, C. (2013) ‘The chronic care model and diabetes self-management education in primary care’, Preventing Chronic Disease, 10, p. E21. </w:t>
      </w:r>
      <w:hyperlink r:id="rId62" w:history="1">
        <w:r w:rsidRPr="00874541">
          <w:rPr>
            <w:rStyle w:val="Hyperlink"/>
            <w:rFonts w:ascii="Arial" w:eastAsiaTheme="minorEastAsia" w:hAnsi="Arial" w:cs="Arial"/>
          </w:rPr>
          <w:t>https://pmc.ncbi.nlm.nih.gov/articles/PMC3604796/pdf/PCD-10-E26.pdf</w:t>
        </w:r>
      </w:hyperlink>
      <w:r w:rsidRPr="00874541">
        <w:rPr>
          <w:rFonts w:ascii="Arial" w:eastAsiaTheme="minorEastAsia" w:hAnsi="Arial" w:cs="Arial"/>
        </w:rPr>
        <w:t xml:space="preserve"> </w:t>
      </w:r>
    </w:p>
    <w:p w14:paraId="2370A257"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Strnad, P., McElvaney, N.G. and Lomas, D.A. (2020) ‘Alpha-1 antitrypsin deficiency’, New England Journal of Medicine, 382(15), pp. 1443–1455. </w:t>
      </w:r>
      <w:hyperlink r:id="rId63" w:history="1">
        <w:r w:rsidRPr="00874541">
          <w:rPr>
            <w:rStyle w:val="Hyperlink"/>
            <w:rFonts w:ascii="Arial" w:eastAsiaTheme="minorEastAsia" w:hAnsi="Arial" w:cs="Arial"/>
          </w:rPr>
          <w:t>https://discovery.ucl.ac.uk/id/eprint/10095434/7/Lomas_NEJMra1910234.pdf</w:t>
        </w:r>
      </w:hyperlink>
      <w:r w:rsidRPr="00874541">
        <w:rPr>
          <w:rFonts w:ascii="Arial" w:eastAsiaTheme="minorEastAsia" w:hAnsi="Arial" w:cs="Arial"/>
        </w:rPr>
        <w:t xml:space="preserve"> </w:t>
      </w:r>
    </w:p>
    <w:p w14:paraId="3310B979"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Thurston, G.D., Kipen, H., Annesi-Maesano, I., Balmes, J., Brook, R.D., Cromar, K., De Matteis, S., Forastiere, F., Forsberg, B. and Frampton, M.W. (2020) ‘A joint ERS/ATS policy statement: what constitutes an adverse health effect of air pollution?’, European Respiratory Journal, 49(1), p. 1600419. </w:t>
      </w:r>
      <w:hyperlink r:id="rId64" w:history="1">
        <w:r w:rsidRPr="00874541">
          <w:rPr>
            <w:rStyle w:val="Hyperlink"/>
            <w:rFonts w:ascii="Arial" w:eastAsiaTheme="minorEastAsia" w:hAnsi="Arial" w:cs="Arial"/>
          </w:rPr>
          <w:t>https://publications.ersnet.org/content/erj/49/1/1600419?ctkey=shareline</w:t>
        </w:r>
      </w:hyperlink>
      <w:r w:rsidRPr="00874541">
        <w:rPr>
          <w:rFonts w:ascii="Arial" w:eastAsiaTheme="minorEastAsia" w:hAnsi="Arial" w:cs="Arial"/>
        </w:rPr>
        <w:t xml:space="preserve"> </w:t>
      </w:r>
    </w:p>
    <w:p w14:paraId="23A836F1"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Vogelmeier, C.F., Criner, G.J., Martinez, F.J., Anzueto, A., Barnes, P.J., Bourbeau, J., Celli, B.R., Chen, R., Decramer, M., Fabbri, L.M. and Frith, P. (2021) ‘Global strategy for the diagnosis, management, and prevention of chronic obstructive lung disease 2021 report’, Respirology, 26(1), pp. 9–37. </w:t>
      </w:r>
      <w:hyperlink r:id="rId65" w:history="1">
        <w:r w:rsidRPr="00874541">
          <w:rPr>
            <w:rStyle w:val="Hyperlink"/>
            <w:rFonts w:ascii="Arial" w:eastAsiaTheme="minorEastAsia" w:hAnsi="Arial" w:cs="Arial"/>
          </w:rPr>
          <w:t>https://www.atsjournals.org/doi/pdf/10.1164/rccm.201701-0218pp</w:t>
        </w:r>
      </w:hyperlink>
      <w:r w:rsidRPr="00874541">
        <w:rPr>
          <w:rFonts w:ascii="Arial" w:eastAsiaTheme="minorEastAsia" w:hAnsi="Arial" w:cs="Arial"/>
        </w:rPr>
        <w:t xml:space="preserve"> </w:t>
      </w:r>
    </w:p>
    <w:p w14:paraId="0750892E"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Wagner, E.H., Austin, B.T., Davis, C., Hindmarsh, M., Schaefer, J. and Bonomi, A. (2001) ‘Improving outcomes in chronic illness’, Managed Care Quarterly, 9(4), pp. 14–32.</w:t>
      </w:r>
    </w:p>
    <w:p w14:paraId="37AB6415"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Wedzicha, J.A., Calverley, P.M. and Albert, R.K. (2021) ‘Prevention of chronic obstructive pulmonary disease exacerbations’, European Respiratory Journal, 41(5), pp. 1222–1235. </w:t>
      </w:r>
      <w:hyperlink r:id="rId66" w:history="1">
        <w:r w:rsidRPr="00874541">
          <w:rPr>
            <w:rStyle w:val="Hyperlink"/>
            <w:rFonts w:ascii="Arial" w:eastAsiaTheme="minorEastAsia" w:hAnsi="Arial" w:cs="Arial"/>
          </w:rPr>
          <w:t>https://www.academia.edu/download/69683815/The_prevention_of_COPD_exacerbations_by_20210915-21573-147lxkj.pdf</w:t>
        </w:r>
      </w:hyperlink>
      <w:r w:rsidRPr="00874541">
        <w:rPr>
          <w:rFonts w:ascii="Arial" w:eastAsiaTheme="minorEastAsia" w:hAnsi="Arial" w:cs="Arial"/>
        </w:rPr>
        <w:t xml:space="preserve"> </w:t>
      </w:r>
    </w:p>
    <w:p w14:paraId="452B4036"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World Health Organisation [WHO] (2024) The top 10 causes of death. Available at: </w:t>
      </w:r>
      <w:hyperlink r:id="rId67" w:history="1">
        <w:r w:rsidRPr="00874541">
          <w:rPr>
            <w:rStyle w:val="Hyperlink"/>
            <w:rFonts w:ascii="Arial" w:eastAsiaTheme="minorEastAsia" w:hAnsi="Arial" w:cs="Arial"/>
          </w:rPr>
          <w:t>https://www.who.int/news-room/fact-sheets/detail/the-top-10-causes-of-death</w:t>
        </w:r>
      </w:hyperlink>
      <w:r w:rsidRPr="00874541">
        <w:rPr>
          <w:rFonts w:ascii="Arial" w:eastAsiaTheme="minorEastAsia" w:hAnsi="Arial" w:cs="Arial"/>
        </w:rPr>
        <w:t xml:space="preserve">  (Accessed: 21 June 2026).</w:t>
      </w:r>
    </w:p>
    <w:sectPr w:rsidR="00874541" w:rsidRPr="00874541" w:rsidSect="007509B1">
      <w:footerReference w:type="default" r:id="rId68"/>
      <w:pgSz w:w="11906" w:h="16838"/>
      <w:pgMar w:top="1134" w:right="1440" w:bottom="993"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D06FD" w14:textId="77777777" w:rsidR="00A94E71" w:rsidRDefault="00A94E71" w:rsidP="00403577">
      <w:pPr>
        <w:spacing w:after="0" w:line="240" w:lineRule="auto"/>
      </w:pPr>
      <w:r>
        <w:separator/>
      </w:r>
    </w:p>
  </w:endnote>
  <w:endnote w:type="continuationSeparator" w:id="0">
    <w:p w14:paraId="1A7A904E" w14:textId="77777777" w:rsidR="00A94E71" w:rsidRDefault="00A94E71" w:rsidP="004035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7693619"/>
      <w:docPartObj>
        <w:docPartGallery w:val="Page Numbers (Bottom of Page)"/>
        <w:docPartUnique/>
      </w:docPartObj>
    </w:sdtPr>
    <w:sdtEndPr>
      <w:rPr>
        <w:noProof/>
      </w:rPr>
    </w:sdtEndPr>
    <w:sdtContent>
      <w:p w14:paraId="280E7740" w14:textId="7C9C0BA5" w:rsidR="00403577" w:rsidRDefault="004035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9E2201" w14:textId="77777777" w:rsidR="00403577" w:rsidRDefault="004035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956DD" w14:textId="77777777" w:rsidR="00A94E71" w:rsidRDefault="00A94E71" w:rsidP="00403577">
      <w:pPr>
        <w:spacing w:after="0" w:line="240" w:lineRule="auto"/>
      </w:pPr>
      <w:r>
        <w:separator/>
      </w:r>
    </w:p>
  </w:footnote>
  <w:footnote w:type="continuationSeparator" w:id="0">
    <w:p w14:paraId="79D0A3E8" w14:textId="77777777" w:rsidR="00A94E71" w:rsidRDefault="00A94E71" w:rsidP="004035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31A99"/>
    <w:multiLevelType w:val="hybridMultilevel"/>
    <w:tmpl w:val="05D61A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BA577EF"/>
    <w:multiLevelType w:val="hybridMultilevel"/>
    <w:tmpl w:val="A87664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F247F80"/>
    <w:multiLevelType w:val="multilevel"/>
    <w:tmpl w:val="3322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6C1C74"/>
    <w:multiLevelType w:val="multilevel"/>
    <w:tmpl w:val="8D72C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E6004F"/>
    <w:multiLevelType w:val="multilevel"/>
    <w:tmpl w:val="2D58D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0A291E"/>
    <w:multiLevelType w:val="multilevel"/>
    <w:tmpl w:val="5608D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A276BA"/>
    <w:multiLevelType w:val="multilevel"/>
    <w:tmpl w:val="3F66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7D40C9"/>
    <w:multiLevelType w:val="multilevel"/>
    <w:tmpl w:val="5EC89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0E75A3"/>
    <w:multiLevelType w:val="hybridMultilevel"/>
    <w:tmpl w:val="952E8B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04655F5"/>
    <w:multiLevelType w:val="hybridMultilevel"/>
    <w:tmpl w:val="B8DE8D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36B6D80"/>
    <w:multiLevelType w:val="multilevel"/>
    <w:tmpl w:val="342E1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E51F7E"/>
    <w:multiLevelType w:val="hybridMultilevel"/>
    <w:tmpl w:val="7A1AD2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65A0F55"/>
    <w:multiLevelType w:val="multilevel"/>
    <w:tmpl w:val="B90CA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6C1DD3"/>
    <w:multiLevelType w:val="multilevel"/>
    <w:tmpl w:val="BBB47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877DB8"/>
    <w:multiLevelType w:val="multilevel"/>
    <w:tmpl w:val="C53AC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524D84"/>
    <w:multiLevelType w:val="hybridMultilevel"/>
    <w:tmpl w:val="F7C840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35A71796"/>
    <w:multiLevelType w:val="hybridMultilevel"/>
    <w:tmpl w:val="11E4D2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397F06C9"/>
    <w:multiLevelType w:val="hybridMultilevel"/>
    <w:tmpl w:val="EFF40CB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3E811C8C"/>
    <w:multiLevelType w:val="hybridMultilevel"/>
    <w:tmpl w:val="BF2C78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4B596BAD"/>
    <w:multiLevelType w:val="multilevel"/>
    <w:tmpl w:val="12DE4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811486"/>
    <w:multiLevelType w:val="multilevel"/>
    <w:tmpl w:val="1DE09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E8148C"/>
    <w:multiLevelType w:val="multilevel"/>
    <w:tmpl w:val="DD743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2108D0"/>
    <w:multiLevelType w:val="multilevel"/>
    <w:tmpl w:val="8AB01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4B7224"/>
    <w:multiLevelType w:val="hybridMultilevel"/>
    <w:tmpl w:val="1A9C42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669F28D0"/>
    <w:multiLevelType w:val="multilevel"/>
    <w:tmpl w:val="DE5AA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5832B9"/>
    <w:multiLevelType w:val="hybridMultilevel"/>
    <w:tmpl w:val="650630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6A0B7119"/>
    <w:multiLevelType w:val="multilevel"/>
    <w:tmpl w:val="430A4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37568E"/>
    <w:multiLevelType w:val="hybridMultilevel"/>
    <w:tmpl w:val="79262A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0C4602D"/>
    <w:multiLevelType w:val="multilevel"/>
    <w:tmpl w:val="D1B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2D2CBB"/>
    <w:multiLevelType w:val="multilevel"/>
    <w:tmpl w:val="94285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6612C2"/>
    <w:multiLevelType w:val="hybridMultilevel"/>
    <w:tmpl w:val="BC6C11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7DC0DCF"/>
    <w:multiLevelType w:val="hybridMultilevel"/>
    <w:tmpl w:val="FE8022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5"/>
  </w:num>
  <w:num w:numId="2">
    <w:abstractNumId w:val="22"/>
  </w:num>
  <w:num w:numId="3">
    <w:abstractNumId w:val="21"/>
  </w:num>
  <w:num w:numId="4">
    <w:abstractNumId w:val="10"/>
  </w:num>
  <w:num w:numId="5">
    <w:abstractNumId w:val="7"/>
  </w:num>
  <w:num w:numId="6">
    <w:abstractNumId w:val="3"/>
  </w:num>
  <w:num w:numId="7">
    <w:abstractNumId w:val="14"/>
  </w:num>
  <w:num w:numId="8">
    <w:abstractNumId w:val="26"/>
  </w:num>
  <w:num w:numId="9">
    <w:abstractNumId w:val="28"/>
  </w:num>
  <w:num w:numId="10">
    <w:abstractNumId w:val="29"/>
  </w:num>
  <w:num w:numId="11">
    <w:abstractNumId w:val="20"/>
  </w:num>
  <w:num w:numId="12">
    <w:abstractNumId w:val="2"/>
  </w:num>
  <w:num w:numId="13">
    <w:abstractNumId w:val="6"/>
  </w:num>
  <w:num w:numId="14">
    <w:abstractNumId w:val="24"/>
  </w:num>
  <w:num w:numId="15">
    <w:abstractNumId w:val="4"/>
  </w:num>
  <w:num w:numId="16">
    <w:abstractNumId w:val="13"/>
  </w:num>
  <w:num w:numId="17">
    <w:abstractNumId w:val="12"/>
  </w:num>
  <w:num w:numId="18">
    <w:abstractNumId w:val="19"/>
  </w:num>
  <w:num w:numId="19">
    <w:abstractNumId w:val="27"/>
  </w:num>
  <w:num w:numId="20">
    <w:abstractNumId w:val="1"/>
  </w:num>
  <w:num w:numId="21">
    <w:abstractNumId w:val="18"/>
  </w:num>
  <w:num w:numId="22">
    <w:abstractNumId w:val="16"/>
  </w:num>
  <w:num w:numId="23">
    <w:abstractNumId w:val="0"/>
  </w:num>
  <w:num w:numId="24">
    <w:abstractNumId w:val="17"/>
  </w:num>
  <w:num w:numId="25">
    <w:abstractNumId w:val="30"/>
  </w:num>
  <w:num w:numId="26">
    <w:abstractNumId w:val="8"/>
  </w:num>
  <w:num w:numId="27">
    <w:abstractNumId w:val="15"/>
  </w:num>
  <w:num w:numId="28">
    <w:abstractNumId w:val="25"/>
  </w:num>
  <w:num w:numId="29">
    <w:abstractNumId w:val="9"/>
  </w:num>
  <w:num w:numId="30">
    <w:abstractNumId w:val="31"/>
  </w:num>
  <w:num w:numId="31">
    <w:abstractNumId w:val="23"/>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9F8"/>
    <w:rsid w:val="000408DE"/>
    <w:rsid w:val="00044662"/>
    <w:rsid w:val="00053A65"/>
    <w:rsid w:val="0009015B"/>
    <w:rsid w:val="00093544"/>
    <w:rsid w:val="000A05FE"/>
    <w:rsid w:val="001053D1"/>
    <w:rsid w:val="00106ED7"/>
    <w:rsid w:val="001115C3"/>
    <w:rsid w:val="00116352"/>
    <w:rsid w:val="0013142A"/>
    <w:rsid w:val="00151467"/>
    <w:rsid w:val="00162849"/>
    <w:rsid w:val="001809DD"/>
    <w:rsid w:val="00182CFB"/>
    <w:rsid w:val="001E3A83"/>
    <w:rsid w:val="00203AEA"/>
    <w:rsid w:val="002300D2"/>
    <w:rsid w:val="00252174"/>
    <w:rsid w:val="00255667"/>
    <w:rsid w:val="002712F7"/>
    <w:rsid w:val="002A257F"/>
    <w:rsid w:val="002A4102"/>
    <w:rsid w:val="002B26F5"/>
    <w:rsid w:val="002B7242"/>
    <w:rsid w:val="003547B5"/>
    <w:rsid w:val="00375EED"/>
    <w:rsid w:val="0039547A"/>
    <w:rsid w:val="003A0E7A"/>
    <w:rsid w:val="003A6C99"/>
    <w:rsid w:val="003C7456"/>
    <w:rsid w:val="003E6C01"/>
    <w:rsid w:val="003F18A1"/>
    <w:rsid w:val="00403577"/>
    <w:rsid w:val="00436326"/>
    <w:rsid w:val="00445B1D"/>
    <w:rsid w:val="00446812"/>
    <w:rsid w:val="00451921"/>
    <w:rsid w:val="004F2B7F"/>
    <w:rsid w:val="004F4BF2"/>
    <w:rsid w:val="004F4DA3"/>
    <w:rsid w:val="00530C85"/>
    <w:rsid w:val="0055692D"/>
    <w:rsid w:val="00561F88"/>
    <w:rsid w:val="00590660"/>
    <w:rsid w:val="005A2BF2"/>
    <w:rsid w:val="005A6D09"/>
    <w:rsid w:val="005D776A"/>
    <w:rsid w:val="005F29F8"/>
    <w:rsid w:val="00635B1B"/>
    <w:rsid w:val="006432BB"/>
    <w:rsid w:val="00670710"/>
    <w:rsid w:val="0067072C"/>
    <w:rsid w:val="00672A1A"/>
    <w:rsid w:val="006872F8"/>
    <w:rsid w:val="00712BCD"/>
    <w:rsid w:val="007150AC"/>
    <w:rsid w:val="00721192"/>
    <w:rsid w:val="00725B88"/>
    <w:rsid w:val="00740C72"/>
    <w:rsid w:val="007509B1"/>
    <w:rsid w:val="007553E9"/>
    <w:rsid w:val="00767ABC"/>
    <w:rsid w:val="00777DC6"/>
    <w:rsid w:val="007B7295"/>
    <w:rsid w:val="007D0B25"/>
    <w:rsid w:val="007E7C1B"/>
    <w:rsid w:val="007F2889"/>
    <w:rsid w:val="007F7650"/>
    <w:rsid w:val="00826CF1"/>
    <w:rsid w:val="0084548A"/>
    <w:rsid w:val="00874541"/>
    <w:rsid w:val="008E567F"/>
    <w:rsid w:val="00951BDB"/>
    <w:rsid w:val="00984401"/>
    <w:rsid w:val="0099256C"/>
    <w:rsid w:val="009A3FB9"/>
    <w:rsid w:val="009C2231"/>
    <w:rsid w:val="00A16A17"/>
    <w:rsid w:val="00A21250"/>
    <w:rsid w:val="00A52EF9"/>
    <w:rsid w:val="00A63438"/>
    <w:rsid w:val="00A64358"/>
    <w:rsid w:val="00A90A9D"/>
    <w:rsid w:val="00A90B68"/>
    <w:rsid w:val="00A94E71"/>
    <w:rsid w:val="00A96BE4"/>
    <w:rsid w:val="00AA6292"/>
    <w:rsid w:val="00AD516C"/>
    <w:rsid w:val="00AF4343"/>
    <w:rsid w:val="00B0603A"/>
    <w:rsid w:val="00B50172"/>
    <w:rsid w:val="00B5370B"/>
    <w:rsid w:val="00B70756"/>
    <w:rsid w:val="00BC53B5"/>
    <w:rsid w:val="00BD23E0"/>
    <w:rsid w:val="00C07D1C"/>
    <w:rsid w:val="00C22D67"/>
    <w:rsid w:val="00C371B0"/>
    <w:rsid w:val="00C37343"/>
    <w:rsid w:val="00C61833"/>
    <w:rsid w:val="00C721D1"/>
    <w:rsid w:val="00C81E75"/>
    <w:rsid w:val="00CA4B74"/>
    <w:rsid w:val="00CA78CF"/>
    <w:rsid w:val="00CB0B16"/>
    <w:rsid w:val="00CF0BAC"/>
    <w:rsid w:val="00CF5545"/>
    <w:rsid w:val="00D57D55"/>
    <w:rsid w:val="00D921AD"/>
    <w:rsid w:val="00DC4D96"/>
    <w:rsid w:val="00DD4F16"/>
    <w:rsid w:val="00E4632C"/>
    <w:rsid w:val="00E83A21"/>
    <w:rsid w:val="00E8432B"/>
    <w:rsid w:val="00EA02F2"/>
    <w:rsid w:val="00EA65C2"/>
    <w:rsid w:val="00EC026B"/>
    <w:rsid w:val="00EC2DE8"/>
    <w:rsid w:val="00ED1723"/>
    <w:rsid w:val="00F06B77"/>
    <w:rsid w:val="00F120F7"/>
    <w:rsid w:val="00F1349C"/>
    <w:rsid w:val="00F17511"/>
    <w:rsid w:val="00F266A2"/>
    <w:rsid w:val="00F26AEC"/>
    <w:rsid w:val="00F3553F"/>
    <w:rsid w:val="00F432A4"/>
    <w:rsid w:val="00F63C7B"/>
    <w:rsid w:val="00F97E93"/>
    <w:rsid w:val="00FF0595"/>
    <w:rsid w:val="00FF0AFB"/>
    <w:rsid w:val="00FF673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A36B7"/>
  <w15:chartTrackingRefBased/>
  <w15:docId w15:val="{D7F05442-37C9-4648-AEC4-2056FC1D1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B88"/>
    <w:pPr>
      <w:jc w:val="both"/>
    </w:pPr>
    <w:rPr>
      <w:rFonts w:ascii="Times New Roman" w:hAnsi="Times New Roman"/>
    </w:rPr>
  </w:style>
  <w:style w:type="paragraph" w:styleId="Heading1">
    <w:name w:val="heading 1"/>
    <w:basedOn w:val="Normal"/>
    <w:next w:val="Normal"/>
    <w:link w:val="Heading1Char"/>
    <w:autoRedefine/>
    <w:uiPriority w:val="9"/>
    <w:qFormat/>
    <w:rsid w:val="00CA4B74"/>
    <w:pPr>
      <w:keepNext/>
      <w:keepLines/>
      <w:spacing w:before="360" w:after="80" w:line="240" w:lineRule="auto"/>
      <w:outlineLvl w:val="0"/>
    </w:pPr>
    <w:rPr>
      <w:rFonts w:eastAsiaTheme="majorEastAsia" w:cstheme="majorBidi"/>
      <w:b/>
      <w:kern w:val="0"/>
      <w:szCs w:val="40"/>
      <w:lang w:val="en-US"/>
      <w14:ligatures w14:val="none"/>
    </w:rPr>
  </w:style>
  <w:style w:type="paragraph" w:styleId="Heading2">
    <w:name w:val="heading 2"/>
    <w:basedOn w:val="Normal"/>
    <w:next w:val="Normal"/>
    <w:link w:val="Heading2Char"/>
    <w:autoRedefine/>
    <w:uiPriority w:val="9"/>
    <w:unhideWhenUsed/>
    <w:qFormat/>
    <w:rsid w:val="00561F88"/>
    <w:pPr>
      <w:keepNext/>
      <w:keepLines/>
      <w:spacing w:before="160" w:after="80" w:line="240" w:lineRule="auto"/>
      <w:outlineLvl w:val="1"/>
    </w:pPr>
    <w:rPr>
      <w:rFonts w:eastAsiaTheme="majorEastAsia" w:cstheme="majorBidi"/>
      <w:b/>
      <w:kern w:val="0"/>
      <w:szCs w:val="32"/>
      <w:lang w:val="en-US"/>
      <w14:ligatures w14:val="none"/>
    </w:rPr>
  </w:style>
  <w:style w:type="paragraph" w:styleId="Heading3">
    <w:name w:val="heading 3"/>
    <w:basedOn w:val="Normal"/>
    <w:next w:val="Normal"/>
    <w:link w:val="Heading3Char"/>
    <w:autoRedefine/>
    <w:uiPriority w:val="9"/>
    <w:unhideWhenUsed/>
    <w:qFormat/>
    <w:rsid w:val="00590660"/>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5F29F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F29F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F29F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F29F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F29F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F29F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B74"/>
    <w:rPr>
      <w:rFonts w:ascii="Times New Roman" w:eastAsiaTheme="majorEastAsia" w:hAnsi="Times New Roman" w:cstheme="majorBidi"/>
      <w:b/>
      <w:kern w:val="0"/>
      <w:szCs w:val="40"/>
      <w:lang w:val="en-US"/>
      <w14:ligatures w14:val="none"/>
    </w:rPr>
  </w:style>
  <w:style w:type="character" w:customStyle="1" w:styleId="Heading2Char">
    <w:name w:val="Heading 2 Char"/>
    <w:basedOn w:val="DefaultParagraphFont"/>
    <w:link w:val="Heading2"/>
    <w:uiPriority w:val="9"/>
    <w:rsid w:val="00561F88"/>
    <w:rPr>
      <w:rFonts w:ascii="Times New Roman" w:eastAsiaTheme="majorEastAsia" w:hAnsi="Times New Roman" w:cstheme="majorBidi"/>
      <w:b/>
      <w:kern w:val="0"/>
      <w:szCs w:val="32"/>
      <w:lang w:val="en-US"/>
      <w14:ligatures w14:val="none"/>
    </w:rPr>
  </w:style>
  <w:style w:type="character" w:customStyle="1" w:styleId="Heading3Char">
    <w:name w:val="Heading 3 Char"/>
    <w:basedOn w:val="DefaultParagraphFont"/>
    <w:link w:val="Heading3"/>
    <w:uiPriority w:val="9"/>
    <w:rsid w:val="00590660"/>
    <w:rPr>
      <w:rFonts w:ascii="Times New Roman" w:eastAsiaTheme="majorEastAsia" w:hAnsi="Times New Roman" w:cstheme="majorBidi"/>
      <w:b/>
      <w:szCs w:val="28"/>
    </w:rPr>
  </w:style>
  <w:style w:type="paragraph" w:styleId="Caption">
    <w:name w:val="caption"/>
    <w:basedOn w:val="Normal"/>
    <w:next w:val="Normal"/>
    <w:autoRedefine/>
    <w:uiPriority w:val="35"/>
    <w:unhideWhenUsed/>
    <w:qFormat/>
    <w:rsid w:val="000A05FE"/>
    <w:rPr>
      <w:iCs/>
      <w:szCs w:val="18"/>
    </w:rPr>
  </w:style>
  <w:style w:type="paragraph" w:styleId="TOCHeading">
    <w:name w:val="TOC Heading"/>
    <w:basedOn w:val="Heading1"/>
    <w:next w:val="Normal"/>
    <w:autoRedefine/>
    <w:uiPriority w:val="39"/>
    <w:unhideWhenUsed/>
    <w:qFormat/>
    <w:rsid w:val="004F2B7F"/>
    <w:pPr>
      <w:outlineLvl w:val="9"/>
    </w:pPr>
    <w:rPr>
      <w:sz w:val="28"/>
    </w:rPr>
  </w:style>
  <w:style w:type="character" w:customStyle="1" w:styleId="Heading4Char">
    <w:name w:val="Heading 4 Char"/>
    <w:basedOn w:val="DefaultParagraphFont"/>
    <w:link w:val="Heading4"/>
    <w:uiPriority w:val="9"/>
    <w:semiHidden/>
    <w:rsid w:val="005F29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29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29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29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29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29F8"/>
    <w:rPr>
      <w:rFonts w:eastAsiaTheme="majorEastAsia" w:cstheme="majorBidi"/>
      <w:color w:val="272727" w:themeColor="text1" w:themeTint="D8"/>
    </w:rPr>
  </w:style>
  <w:style w:type="paragraph" w:styleId="Title">
    <w:name w:val="Title"/>
    <w:basedOn w:val="Normal"/>
    <w:next w:val="Normal"/>
    <w:link w:val="TitleChar"/>
    <w:uiPriority w:val="10"/>
    <w:qFormat/>
    <w:rsid w:val="005F29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29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29F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29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29F8"/>
    <w:pPr>
      <w:spacing w:before="160"/>
      <w:jc w:val="center"/>
    </w:pPr>
    <w:rPr>
      <w:i/>
      <w:iCs/>
      <w:color w:val="404040" w:themeColor="text1" w:themeTint="BF"/>
    </w:rPr>
  </w:style>
  <w:style w:type="character" w:customStyle="1" w:styleId="QuoteChar">
    <w:name w:val="Quote Char"/>
    <w:basedOn w:val="DefaultParagraphFont"/>
    <w:link w:val="Quote"/>
    <w:uiPriority w:val="29"/>
    <w:rsid w:val="005F29F8"/>
    <w:rPr>
      <w:rFonts w:ascii="Times New Roman" w:hAnsi="Times New Roman"/>
      <w:i/>
      <w:iCs/>
      <w:color w:val="404040" w:themeColor="text1" w:themeTint="BF"/>
    </w:rPr>
  </w:style>
  <w:style w:type="paragraph" w:styleId="ListParagraph">
    <w:name w:val="List Paragraph"/>
    <w:basedOn w:val="Normal"/>
    <w:uiPriority w:val="34"/>
    <w:qFormat/>
    <w:rsid w:val="005F29F8"/>
    <w:pPr>
      <w:ind w:left="720"/>
      <w:contextualSpacing/>
    </w:pPr>
  </w:style>
  <w:style w:type="character" w:styleId="IntenseEmphasis">
    <w:name w:val="Intense Emphasis"/>
    <w:basedOn w:val="DefaultParagraphFont"/>
    <w:uiPriority w:val="21"/>
    <w:qFormat/>
    <w:rsid w:val="005F29F8"/>
    <w:rPr>
      <w:i/>
      <w:iCs/>
      <w:color w:val="0F4761" w:themeColor="accent1" w:themeShade="BF"/>
    </w:rPr>
  </w:style>
  <w:style w:type="paragraph" w:styleId="IntenseQuote">
    <w:name w:val="Intense Quote"/>
    <w:basedOn w:val="Normal"/>
    <w:next w:val="Normal"/>
    <w:link w:val="IntenseQuoteChar"/>
    <w:uiPriority w:val="30"/>
    <w:qFormat/>
    <w:rsid w:val="005F29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29F8"/>
    <w:rPr>
      <w:rFonts w:ascii="Times New Roman" w:hAnsi="Times New Roman"/>
      <w:i/>
      <w:iCs/>
      <w:color w:val="0F4761" w:themeColor="accent1" w:themeShade="BF"/>
    </w:rPr>
  </w:style>
  <w:style w:type="character" w:styleId="IntenseReference">
    <w:name w:val="Intense Reference"/>
    <w:basedOn w:val="DefaultParagraphFont"/>
    <w:uiPriority w:val="32"/>
    <w:qFormat/>
    <w:rsid w:val="005F29F8"/>
    <w:rPr>
      <w:b/>
      <w:bCs/>
      <w:smallCaps/>
      <w:color w:val="0F4761" w:themeColor="accent1" w:themeShade="BF"/>
      <w:spacing w:val="5"/>
    </w:rPr>
  </w:style>
  <w:style w:type="table" w:styleId="TableGrid">
    <w:name w:val="Table Grid"/>
    <w:basedOn w:val="TableNormal"/>
    <w:uiPriority w:val="39"/>
    <w:rsid w:val="00ED17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6292"/>
    <w:rPr>
      <w:color w:val="467886" w:themeColor="hyperlink"/>
      <w:u w:val="single"/>
    </w:rPr>
  </w:style>
  <w:style w:type="character" w:styleId="UnresolvedMention">
    <w:name w:val="Unresolved Mention"/>
    <w:basedOn w:val="DefaultParagraphFont"/>
    <w:uiPriority w:val="99"/>
    <w:semiHidden/>
    <w:unhideWhenUsed/>
    <w:rsid w:val="00AA6292"/>
    <w:rPr>
      <w:color w:val="605E5C"/>
      <w:shd w:val="clear" w:color="auto" w:fill="E1DFDD"/>
    </w:rPr>
  </w:style>
  <w:style w:type="paragraph" w:styleId="Header">
    <w:name w:val="header"/>
    <w:basedOn w:val="Normal"/>
    <w:link w:val="HeaderChar"/>
    <w:uiPriority w:val="99"/>
    <w:unhideWhenUsed/>
    <w:rsid w:val="004035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3577"/>
    <w:rPr>
      <w:rFonts w:ascii="Times New Roman" w:hAnsi="Times New Roman"/>
    </w:rPr>
  </w:style>
  <w:style w:type="paragraph" w:styleId="Footer">
    <w:name w:val="footer"/>
    <w:basedOn w:val="Normal"/>
    <w:link w:val="FooterChar"/>
    <w:uiPriority w:val="99"/>
    <w:unhideWhenUsed/>
    <w:rsid w:val="004035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3577"/>
    <w:rPr>
      <w:rFonts w:ascii="Times New Roman" w:hAnsi="Times New Roman"/>
    </w:rPr>
  </w:style>
  <w:style w:type="paragraph" w:styleId="TOC1">
    <w:name w:val="toc 1"/>
    <w:basedOn w:val="Normal"/>
    <w:next w:val="Normal"/>
    <w:autoRedefine/>
    <w:uiPriority w:val="39"/>
    <w:unhideWhenUsed/>
    <w:rsid w:val="00C37343"/>
    <w:pPr>
      <w:spacing w:after="100"/>
    </w:pPr>
  </w:style>
  <w:style w:type="paragraph" w:styleId="TOC2">
    <w:name w:val="toc 2"/>
    <w:basedOn w:val="Normal"/>
    <w:next w:val="Normal"/>
    <w:autoRedefine/>
    <w:uiPriority w:val="39"/>
    <w:unhideWhenUsed/>
    <w:rsid w:val="00C37343"/>
    <w:pPr>
      <w:spacing w:after="100"/>
      <w:ind w:left="240"/>
    </w:pPr>
  </w:style>
  <w:style w:type="paragraph" w:styleId="NoSpacing">
    <w:name w:val="No Spacing"/>
    <w:link w:val="NoSpacingChar"/>
    <w:uiPriority w:val="1"/>
    <w:qFormat/>
    <w:rsid w:val="00C371B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371B0"/>
    <w:rPr>
      <w:rFonts w:eastAsiaTheme="minorEastAsia"/>
      <w:kern w:val="0"/>
      <w:sz w:val="22"/>
      <w:szCs w:val="22"/>
      <w:lang w:val="en-US"/>
      <w14:ligatures w14:val="none"/>
    </w:rPr>
  </w:style>
  <w:style w:type="paragraph" w:styleId="Revision">
    <w:name w:val="Revision"/>
    <w:hidden/>
    <w:uiPriority w:val="99"/>
    <w:semiHidden/>
    <w:rsid w:val="005A2BF2"/>
    <w:pPr>
      <w:spacing w:after="0" w:line="240" w:lineRule="auto"/>
    </w:pPr>
    <w:rPr>
      <w:rFonts w:ascii="Times New Roman" w:hAnsi="Times New Roman"/>
    </w:rPr>
  </w:style>
  <w:style w:type="paragraph" w:styleId="TableofFigures">
    <w:name w:val="table of figures"/>
    <w:basedOn w:val="Normal"/>
    <w:next w:val="Normal"/>
    <w:uiPriority w:val="99"/>
    <w:unhideWhenUsed/>
    <w:rsid w:val="0087454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microsoft.com/office/2007/relationships/hdphoto" Target="media/hdphoto2.wdp"/><Relationship Id="rId18" Type="http://schemas.openxmlformats.org/officeDocument/2006/relationships/diagramQuickStyle" Target="diagrams/quickStyle1.xml"/><Relationship Id="rId26" Type="http://schemas.openxmlformats.org/officeDocument/2006/relationships/diagramColors" Target="diagrams/colors2.xml"/><Relationship Id="rId39" Type="http://schemas.openxmlformats.org/officeDocument/2006/relationships/hyperlink" Target="https://alpine-biomedical.ch/en/blog/copd/" TargetMode="External"/><Relationship Id="rId21" Type="http://schemas.openxmlformats.org/officeDocument/2006/relationships/image" Target="media/image6.png"/><Relationship Id="rId34" Type="http://schemas.openxmlformats.org/officeDocument/2006/relationships/image" Target="media/image10.png"/><Relationship Id="rId42" Type="http://schemas.openxmlformats.org/officeDocument/2006/relationships/hyperlink" Target="https://www.verywellhealth.com/stages-of-copd-gold-system-5071328" TargetMode="External"/><Relationship Id="rId47" Type="http://schemas.openxmlformats.org/officeDocument/2006/relationships/hyperlink" Target="https://www.jmir.org/2015/4/e86/'%20+%20match%20+%20'" TargetMode="External"/><Relationship Id="rId50" Type="http://schemas.openxmlformats.org/officeDocument/2006/relationships/hyperlink" Target="https://www.sciencedirect.com/science/article/pii/S0953620519304431" TargetMode="External"/><Relationship Id="rId55" Type="http://schemas.openxmlformats.org/officeDocument/2006/relationships/hyperlink" Target="https://www.england.nhs.uk/about/equality/equality-hub/national-healthcare-inequalities-improvement-programme/core20plus5/" TargetMode="External"/><Relationship Id="rId63" Type="http://schemas.openxmlformats.org/officeDocument/2006/relationships/hyperlink" Target="https://discovery.ucl.ac.uk/id/eprint/10095434/7/Lomas_NEJMra1910234.pdf" TargetMode="External"/><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Data" Target="diagrams/data1.xml"/><Relationship Id="rId29" Type="http://schemas.microsoft.com/office/2007/relationships/hdphoto" Target="media/hdphoto5.wdp"/><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diagramLayout" Target="diagrams/layout2.xml"/><Relationship Id="rId32" Type="http://schemas.openxmlformats.org/officeDocument/2006/relationships/image" Target="media/image9.png"/><Relationship Id="rId37" Type="http://schemas.openxmlformats.org/officeDocument/2006/relationships/hyperlink" Target="https://academic.oup.com/ajrccm/article-abstract/207/7/819/8428320" TargetMode="External"/><Relationship Id="rId40" Type="http://schemas.openxmlformats.org/officeDocument/2006/relationships/hyperlink" Target="https://www.academia.edu/download/88566892/5.EPOC-MECANISMOS.pdf" TargetMode="External"/><Relationship Id="rId45" Type="http://schemas.openxmlformats.org/officeDocument/2006/relationships/hyperlink" Target="https://www.cochranelibrary.com/cdsr/doi/10.1002/14651858.CD010523.pub2/pdf/full" TargetMode="External"/><Relationship Id="rId53" Type="http://schemas.openxmlformats.org/officeDocument/2006/relationships/hyperlink" Target="https://pmc.ncbi.nlm.nih.gov/articles/PMC5937157/" TargetMode="External"/><Relationship Id="rId58" Type="http://schemas.openxmlformats.org/officeDocument/2006/relationships/hyperlink" Target="https://scholar.google.com/scholar?output=instlink&amp;q=info:CCMtNBMbcE4J:scholar.google.com/&amp;hl=en&amp;as_sdt=0,5&amp;scillfp=4776703767321621119&amp;oi=lle" TargetMode="External"/><Relationship Id="rId66" Type="http://schemas.openxmlformats.org/officeDocument/2006/relationships/hyperlink" Target="https://www.academia.edu/download/69683815/The_prevention_of_COPD_exacerbations_by_20210915-21573-147lxkj.pdf" TargetMode="External"/><Relationship Id="rId5" Type="http://schemas.openxmlformats.org/officeDocument/2006/relationships/webSettings" Target="webSettings.xml"/><Relationship Id="rId15" Type="http://schemas.microsoft.com/office/2007/relationships/hdphoto" Target="media/hdphoto3.wdp"/><Relationship Id="rId23" Type="http://schemas.openxmlformats.org/officeDocument/2006/relationships/diagramData" Target="diagrams/data2.xml"/><Relationship Id="rId28" Type="http://schemas.openxmlformats.org/officeDocument/2006/relationships/image" Target="media/image7.png"/><Relationship Id="rId36" Type="http://schemas.openxmlformats.org/officeDocument/2006/relationships/hyperlink" Target="https://www.thelancet.com/pdfs/journals/lanres/PIIS2213-2600(21)00511-7.pdf" TargetMode="External"/><Relationship Id="rId49" Type="http://schemas.openxmlformats.org/officeDocument/2006/relationships/hyperlink" Target="https://www.atsjournals.org/doi/pdf/10.1164/rccm.202009-3533SO" TargetMode="External"/><Relationship Id="rId57" Type="http://schemas.openxmlformats.org/officeDocument/2006/relationships/hyperlink" Target="https://web.eng.fiu.edu/brownm/BME3404/Asthma-COPD%20Overlap%20Syndrome.pdf" TargetMode="External"/><Relationship Id="rId61" Type="http://schemas.openxmlformats.org/officeDocument/2006/relationships/hyperlink" Target="https://www.mdpi.com/1648-9144/59/4/732" TargetMode="External"/><Relationship Id="rId10" Type="http://schemas.openxmlformats.org/officeDocument/2006/relationships/image" Target="media/image3.png"/><Relationship Id="rId19" Type="http://schemas.openxmlformats.org/officeDocument/2006/relationships/diagramColors" Target="diagrams/colors1.xml"/><Relationship Id="rId31" Type="http://schemas.microsoft.com/office/2007/relationships/hdphoto" Target="media/hdphoto6.wdp"/><Relationship Id="rId44" Type="http://schemas.openxmlformats.org/officeDocument/2006/relationships/hyperlink" Target="https://journals.sagepub.com/doi/pdf/10.1177/17534666241279115" TargetMode="External"/><Relationship Id="rId52" Type="http://schemas.openxmlformats.org/officeDocument/2006/relationships/hyperlink" Target="https://www.frontiersin.org/journals/psychiatry/articles/10.3389/fpsyt.2022.1015349/pdf" TargetMode="External"/><Relationship Id="rId60" Type="http://schemas.openxmlformats.org/officeDocument/2006/relationships/hyperlink" Target="https://scholar.google.com/scholar?output=instlink&amp;q=info:bwmCH-eDAaIJ:scholar.google.com/&amp;hl=en&amp;as_sdt=0,5&amp;scillfp=17105528854196426836&amp;oi=lle" TargetMode="External"/><Relationship Id="rId65" Type="http://schemas.openxmlformats.org/officeDocument/2006/relationships/hyperlink" Target="https://www.atsjournals.org/doi/pdf/10.1164/rccm.201701-0218p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microsoft.com/office/2007/relationships/hdphoto" Target="media/hdphoto4.wdp"/><Relationship Id="rId27" Type="http://schemas.microsoft.com/office/2007/relationships/diagramDrawing" Target="diagrams/drawing2.xml"/><Relationship Id="rId30" Type="http://schemas.openxmlformats.org/officeDocument/2006/relationships/image" Target="media/image8.png"/><Relationship Id="rId35" Type="http://schemas.microsoft.com/office/2007/relationships/hdphoto" Target="media/hdphoto8.wdp"/><Relationship Id="rId43" Type="http://schemas.openxmlformats.org/officeDocument/2006/relationships/hyperlink" Target="https://d1wqtxts1xzle7.cloudfront.net/48956008/JAMABodenheimer10-02-libre.pdf?1474283332=&amp;response-content-disposition=inline%3B+filename%3DImproving_Primary_Care_for_Patients_With.pdf&amp;Expires=1782065514&amp;Signature=STSLxuhZmkHseMb76v-04phQ7yHzWeCOmvzXUZ4GWk3aii7dh1oth17BXlXwVsZJCPEaAoDOK8q6vZjjUA8okxFO1bP-TUU~owst-eL1Alg3zbgLDfQIpHn9XnpiSe-6EfKSJ9mxtqOkailGZvnQ8zCQR~xjAXorHMT~9PKvpdO1MIAwCHNGxtuLx5exl269qkh3iGjf4SHYyHcxPgVByc2yFQ27hMDffefzLHO3A9AzltApqIk0F3AzCT-ebGEK8TuuNxIHP-DLP5QKizddSz2B2f9RvI-m88Pjhs2zgSFDowsZ-uUiyCZOu6ZTWwZojEDlvZRapKL3B05NEglZtw__&amp;Key-Pair-Id=APKAJLOHF5GGSLRBV4ZA" TargetMode="External"/><Relationship Id="rId48" Type="http://schemas.openxmlformats.org/officeDocument/2006/relationships/hyperlink" Target="https://goldcopd.org" TargetMode="External"/><Relationship Id="rId56" Type="http://schemas.openxmlformats.org/officeDocument/2006/relationships/hyperlink" Target="https://www.england.nhs.uk/publication/social-prescribing-and-community-based-support-summary-guide/" TargetMode="External"/><Relationship Id="rId64" Type="http://schemas.openxmlformats.org/officeDocument/2006/relationships/hyperlink" Target="https://publications.ersnet.org/content/erj/49/1/1600419?ctkey=shareline" TargetMode="External"/><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iscovery.ucl.ac.uk/id/eprint/10106434/3/Bockenhauer_BMJ%20Ten%20years%20essay2pg3.pdf"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diagramLayout" Target="diagrams/layout1.xml"/><Relationship Id="rId25" Type="http://schemas.openxmlformats.org/officeDocument/2006/relationships/diagramQuickStyle" Target="diagrams/quickStyle2.xml"/><Relationship Id="rId33" Type="http://schemas.microsoft.com/office/2007/relationships/hdphoto" Target="media/hdphoto7.wdp"/><Relationship Id="rId38" Type="http://schemas.openxmlformats.org/officeDocument/2006/relationships/hyperlink" Target="https://www.alliance-scotland.org.uk/past-work-and-projects/scotlands-house-of-care/" TargetMode="External"/><Relationship Id="rId46" Type="http://schemas.openxmlformats.org/officeDocument/2006/relationships/hyperlink" Target="https://www.researchgate.net/profile/Patricia-Findley/publication/273601691_Social_work_practice_in_the_Chronic_Care_Model_Chronic_illness_and_disability_care/links/560d2f6908ae57bb66d41573/Social-work-practice-in-the-Chronic-Care-Model-Chronic-illness-and-disability-care.pdf" TargetMode="External"/><Relationship Id="rId59" Type="http://schemas.openxmlformats.org/officeDocument/2006/relationships/hyperlink" Target="https://www.mdpi.com/1424-8247/14/10/979" TargetMode="External"/><Relationship Id="rId67" Type="http://schemas.openxmlformats.org/officeDocument/2006/relationships/hyperlink" Target="https://www.who.int/news-room/fact-sheets/detail/the-top-10-causes-of-death" TargetMode="External"/><Relationship Id="rId20" Type="http://schemas.microsoft.com/office/2007/relationships/diagramDrawing" Target="diagrams/drawing1.xml"/><Relationship Id="rId41" Type="http://schemas.openxmlformats.org/officeDocument/2006/relationships/hyperlink" Target="https://d1wqtxts1xzle7.cloudfront.net/70022011/93f656d5c69f75b6769504ea61034df29933-libre.pdf?1632195395=&amp;response-content-disposition=inline%3B+filename%3DThe_Expanded_Chronic_Care_Model_An_Integ.pdf&amp;Expires=1782065401&amp;Signature=TPOLOfJQhDnXMyOdO9PpRICvxrjX9P~KFitIN~xMzFqaxczKGZ-2Mo7DIDSwqXrF7QDriVO3o8fQK2Qc~OmY4Oebaw2BwNntkZadrG81SXPAtsNLTtFGKUjScANSDsGAGZp06UroTLcHOar~rxYEGO4T1GJKPzPx3LR576XOFfclqZmkMuiwfXoWaGdIM1P-LboBOLoitYXkKwdVCUth0sYy2ro0jOLi-PVY9tR7P-5VVjC4KnJ7-T7rGx3Bro4mWwGndPtK2zUh~jhy4GV397mBIOpCPWP2YmjwYvvVObNlv0rm2auXFyMhhNornyJw3SvL2GrU2nRgh0tNTDa0aA__&amp;Key-Pair-Id=APKAJLOHF5GGSLRBV4ZA" TargetMode="External"/><Relationship Id="rId54" Type="http://schemas.openxmlformats.org/officeDocument/2006/relationships/hyperlink" Target="https://www.nice.org.uk/guidance/ng115" TargetMode="External"/><Relationship Id="rId62" Type="http://schemas.openxmlformats.org/officeDocument/2006/relationships/hyperlink" Target="https://pmc.ncbi.nlm.nih.gov/articles/PMC3604796/pdf/PCD-10-E26.pdf" TargetMode="External"/><Relationship Id="rId7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2FC4D47-2075-4EB8-A577-E2D5E5E4DDDE}" type="doc">
      <dgm:prSet loTypeId="urn:microsoft.com/office/officeart/2005/8/layout/vProcess5" loCatId="process" qsTypeId="urn:microsoft.com/office/officeart/2005/8/quickstyle/3d1" qsCatId="3D" csTypeId="urn:microsoft.com/office/officeart/2005/8/colors/colorful3" csCatId="colorful" phldr="1"/>
      <dgm:spPr/>
      <dgm:t>
        <a:bodyPr/>
        <a:lstStyle/>
        <a:p>
          <a:endParaRPr lang="en-IN"/>
        </a:p>
      </dgm:t>
    </dgm:pt>
    <dgm:pt modelId="{9F916DEB-614F-49A9-8B08-06E9DA0E0F6B}">
      <dgm:prSet phldrT="[Text]"/>
      <dgm:spPr/>
      <dgm:t>
        <a:bodyPr/>
        <a:lstStyle/>
        <a:p>
          <a:r>
            <a:rPr lang="en-IN"/>
            <a:t>Primary inhaled toxins and smoking</a:t>
          </a:r>
        </a:p>
      </dgm:t>
    </dgm:pt>
    <dgm:pt modelId="{519B8A7C-CC02-41A9-8416-A8687E6B2A24}" type="parTrans" cxnId="{65F5DE67-DC34-424A-ACE5-5E213D43A9C6}">
      <dgm:prSet/>
      <dgm:spPr/>
      <dgm:t>
        <a:bodyPr/>
        <a:lstStyle/>
        <a:p>
          <a:endParaRPr lang="en-IN"/>
        </a:p>
      </dgm:t>
    </dgm:pt>
    <dgm:pt modelId="{94C702CA-7B0D-4689-AB89-BEBE14C78A96}" type="sibTrans" cxnId="{65F5DE67-DC34-424A-ACE5-5E213D43A9C6}">
      <dgm:prSet/>
      <dgm:spPr/>
      <dgm:t>
        <a:bodyPr/>
        <a:lstStyle/>
        <a:p>
          <a:endParaRPr lang="en-IN"/>
        </a:p>
      </dgm:t>
    </dgm:pt>
    <dgm:pt modelId="{586E238D-6281-444A-B24C-96D68BFDE37A}">
      <dgm:prSet phldrT="[Text]"/>
      <dgm:spPr/>
      <dgm:t>
        <a:bodyPr/>
        <a:lstStyle/>
        <a:p>
          <a:r>
            <a:rPr lang="en-IN"/>
            <a:t>Environmental and biomass exposure </a:t>
          </a:r>
        </a:p>
      </dgm:t>
    </dgm:pt>
    <dgm:pt modelId="{915F722B-7E5B-4167-85AA-597D87897481}" type="parTrans" cxnId="{E940A6AF-B731-4D4D-A6E0-5A12E18A1A54}">
      <dgm:prSet/>
      <dgm:spPr/>
      <dgm:t>
        <a:bodyPr/>
        <a:lstStyle/>
        <a:p>
          <a:endParaRPr lang="en-IN"/>
        </a:p>
      </dgm:t>
    </dgm:pt>
    <dgm:pt modelId="{6D40EE30-5DC9-4170-9C1B-F26A776AEA7E}" type="sibTrans" cxnId="{E940A6AF-B731-4D4D-A6E0-5A12E18A1A54}">
      <dgm:prSet/>
      <dgm:spPr/>
      <dgm:t>
        <a:bodyPr/>
        <a:lstStyle/>
        <a:p>
          <a:endParaRPr lang="en-IN"/>
        </a:p>
      </dgm:t>
    </dgm:pt>
    <dgm:pt modelId="{BFAF7821-E498-4641-8B9E-F5AD0EE4E287}">
      <dgm:prSet phldrT="[Text]"/>
      <dgm:spPr/>
      <dgm:t>
        <a:bodyPr/>
        <a:lstStyle/>
        <a:p>
          <a:r>
            <a:rPr lang="en-IN"/>
            <a:t>Socioeconomic and genetic factors </a:t>
          </a:r>
        </a:p>
      </dgm:t>
    </dgm:pt>
    <dgm:pt modelId="{F6FEAF1E-20F7-480A-A699-E24045F903C8}" type="parTrans" cxnId="{29C6C8B0-4B3D-437A-94EC-1C9A062BEE77}">
      <dgm:prSet/>
      <dgm:spPr/>
      <dgm:t>
        <a:bodyPr/>
        <a:lstStyle/>
        <a:p>
          <a:endParaRPr lang="en-IN"/>
        </a:p>
      </dgm:t>
    </dgm:pt>
    <dgm:pt modelId="{B41E6922-4661-48E3-9F9E-DDE3B6ACA9AA}" type="sibTrans" cxnId="{29C6C8B0-4B3D-437A-94EC-1C9A062BEE77}">
      <dgm:prSet/>
      <dgm:spPr/>
      <dgm:t>
        <a:bodyPr/>
        <a:lstStyle/>
        <a:p>
          <a:endParaRPr lang="en-IN"/>
        </a:p>
      </dgm:t>
    </dgm:pt>
    <dgm:pt modelId="{2458EFB5-F8D3-4C87-A3E2-DE4B25D280D4}" type="pres">
      <dgm:prSet presAssocID="{32FC4D47-2075-4EB8-A577-E2D5E5E4DDDE}" presName="outerComposite" presStyleCnt="0">
        <dgm:presLayoutVars>
          <dgm:chMax val="5"/>
          <dgm:dir/>
          <dgm:resizeHandles val="exact"/>
        </dgm:presLayoutVars>
      </dgm:prSet>
      <dgm:spPr/>
    </dgm:pt>
    <dgm:pt modelId="{2567151B-81A8-4858-A673-81B276871FB1}" type="pres">
      <dgm:prSet presAssocID="{32FC4D47-2075-4EB8-A577-E2D5E5E4DDDE}" presName="dummyMaxCanvas" presStyleCnt="0">
        <dgm:presLayoutVars/>
      </dgm:prSet>
      <dgm:spPr/>
    </dgm:pt>
    <dgm:pt modelId="{2813B225-F9A2-49EA-8CB8-25AE1B299285}" type="pres">
      <dgm:prSet presAssocID="{32FC4D47-2075-4EB8-A577-E2D5E5E4DDDE}" presName="ThreeNodes_1" presStyleLbl="node1" presStyleIdx="0" presStyleCnt="3">
        <dgm:presLayoutVars>
          <dgm:bulletEnabled val="1"/>
        </dgm:presLayoutVars>
      </dgm:prSet>
      <dgm:spPr/>
    </dgm:pt>
    <dgm:pt modelId="{43894375-7146-45D6-AEE4-56B5B41F4E05}" type="pres">
      <dgm:prSet presAssocID="{32FC4D47-2075-4EB8-A577-E2D5E5E4DDDE}" presName="ThreeNodes_2" presStyleLbl="node1" presStyleIdx="1" presStyleCnt="3">
        <dgm:presLayoutVars>
          <dgm:bulletEnabled val="1"/>
        </dgm:presLayoutVars>
      </dgm:prSet>
      <dgm:spPr/>
    </dgm:pt>
    <dgm:pt modelId="{CAC7E7F7-115E-4959-82B1-A9BC0D3B0220}" type="pres">
      <dgm:prSet presAssocID="{32FC4D47-2075-4EB8-A577-E2D5E5E4DDDE}" presName="ThreeNodes_3" presStyleLbl="node1" presStyleIdx="2" presStyleCnt="3">
        <dgm:presLayoutVars>
          <dgm:bulletEnabled val="1"/>
        </dgm:presLayoutVars>
      </dgm:prSet>
      <dgm:spPr/>
    </dgm:pt>
    <dgm:pt modelId="{C8125CEE-A5E6-4EBB-AE68-95280BA4E5AD}" type="pres">
      <dgm:prSet presAssocID="{32FC4D47-2075-4EB8-A577-E2D5E5E4DDDE}" presName="ThreeConn_1-2" presStyleLbl="fgAccFollowNode1" presStyleIdx="0" presStyleCnt="2">
        <dgm:presLayoutVars>
          <dgm:bulletEnabled val="1"/>
        </dgm:presLayoutVars>
      </dgm:prSet>
      <dgm:spPr/>
    </dgm:pt>
    <dgm:pt modelId="{B0A3D5B5-6F6B-49BC-8DA5-EF48B2E366FD}" type="pres">
      <dgm:prSet presAssocID="{32FC4D47-2075-4EB8-A577-E2D5E5E4DDDE}" presName="ThreeConn_2-3" presStyleLbl="fgAccFollowNode1" presStyleIdx="1" presStyleCnt="2">
        <dgm:presLayoutVars>
          <dgm:bulletEnabled val="1"/>
        </dgm:presLayoutVars>
      </dgm:prSet>
      <dgm:spPr/>
    </dgm:pt>
    <dgm:pt modelId="{87039DE8-E234-40FB-90BC-F3235994B012}" type="pres">
      <dgm:prSet presAssocID="{32FC4D47-2075-4EB8-A577-E2D5E5E4DDDE}" presName="ThreeNodes_1_text" presStyleLbl="node1" presStyleIdx="2" presStyleCnt="3">
        <dgm:presLayoutVars>
          <dgm:bulletEnabled val="1"/>
        </dgm:presLayoutVars>
      </dgm:prSet>
      <dgm:spPr/>
    </dgm:pt>
    <dgm:pt modelId="{BF2C2573-B704-486C-A242-F7C6E442695D}" type="pres">
      <dgm:prSet presAssocID="{32FC4D47-2075-4EB8-A577-E2D5E5E4DDDE}" presName="ThreeNodes_2_text" presStyleLbl="node1" presStyleIdx="2" presStyleCnt="3">
        <dgm:presLayoutVars>
          <dgm:bulletEnabled val="1"/>
        </dgm:presLayoutVars>
      </dgm:prSet>
      <dgm:spPr/>
    </dgm:pt>
    <dgm:pt modelId="{38DCBB8E-D24C-4ADC-8430-0E6EE189BDD2}" type="pres">
      <dgm:prSet presAssocID="{32FC4D47-2075-4EB8-A577-E2D5E5E4DDDE}" presName="ThreeNodes_3_text" presStyleLbl="node1" presStyleIdx="2" presStyleCnt="3">
        <dgm:presLayoutVars>
          <dgm:bulletEnabled val="1"/>
        </dgm:presLayoutVars>
      </dgm:prSet>
      <dgm:spPr/>
    </dgm:pt>
  </dgm:ptLst>
  <dgm:cxnLst>
    <dgm:cxn modelId="{C935DC12-0317-41E5-8031-1D48A1145CEC}" type="presOf" srcId="{9F916DEB-614F-49A9-8B08-06E9DA0E0F6B}" destId="{2813B225-F9A2-49EA-8CB8-25AE1B299285}" srcOrd="0" destOrd="0" presId="urn:microsoft.com/office/officeart/2005/8/layout/vProcess5"/>
    <dgm:cxn modelId="{F95DC11F-95DC-4D56-895A-FB3824CAC0B3}" type="presOf" srcId="{BFAF7821-E498-4641-8B9E-F5AD0EE4E287}" destId="{CAC7E7F7-115E-4959-82B1-A9BC0D3B0220}" srcOrd="0" destOrd="0" presId="urn:microsoft.com/office/officeart/2005/8/layout/vProcess5"/>
    <dgm:cxn modelId="{08A50A29-D6C3-446E-898B-2F30198D9FB6}" type="presOf" srcId="{9F916DEB-614F-49A9-8B08-06E9DA0E0F6B}" destId="{87039DE8-E234-40FB-90BC-F3235994B012}" srcOrd="1" destOrd="0" presId="urn:microsoft.com/office/officeart/2005/8/layout/vProcess5"/>
    <dgm:cxn modelId="{280D6431-36ED-48EC-BEB4-B97CEE0B0DA1}" type="presOf" srcId="{6D40EE30-5DC9-4170-9C1B-F26A776AEA7E}" destId="{B0A3D5B5-6F6B-49BC-8DA5-EF48B2E366FD}" srcOrd="0" destOrd="0" presId="urn:microsoft.com/office/officeart/2005/8/layout/vProcess5"/>
    <dgm:cxn modelId="{65F5DE67-DC34-424A-ACE5-5E213D43A9C6}" srcId="{32FC4D47-2075-4EB8-A577-E2D5E5E4DDDE}" destId="{9F916DEB-614F-49A9-8B08-06E9DA0E0F6B}" srcOrd="0" destOrd="0" parTransId="{519B8A7C-CC02-41A9-8416-A8687E6B2A24}" sibTransId="{94C702CA-7B0D-4689-AB89-BEBE14C78A96}"/>
    <dgm:cxn modelId="{42156E95-D349-4072-B7FC-BF2841C274DA}" type="presOf" srcId="{BFAF7821-E498-4641-8B9E-F5AD0EE4E287}" destId="{38DCBB8E-D24C-4ADC-8430-0E6EE189BDD2}" srcOrd="1" destOrd="0" presId="urn:microsoft.com/office/officeart/2005/8/layout/vProcess5"/>
    <dgm:cxn modelId="{E940A6AF-B731-4D4D-A6E0-5A12E18A1A54}" srcId="{32FC4D47-2075-4EB8-A577-E2D5E5E4DDDE}" destId="{586E238D-6281-444A-B24C-96D68BFDE37A}" srcOrd="1" destOrd="0" parTransId="{915F722B-7E5B-4167-85AA-597D87897481}" sibTransId="{6D40EE30-5DC9-4170-9C1B-F26A776AEA7E}"/>
    <dgm:cxn modelId="{29C6C8B0-4B3D-437A-94EC-1C9A062BEE77}" srcId="{32FC4D47-2075-4EB8-A577-E2D5E5E4DDDE}" destId="{BFAF7821-E498-4641-8B9E-F5AD0EE4E287}" srcOrd="2" destOrd="0" parTransId="{F6FEAF1E-20F7-480A-A699-E24045F903C8}" sibTransId="{B41E6922-4661-48E3-9F9E-DDE3B6ACA9AA}"/>
    <dgm:cxn modelId="{1393DDB9-5108-4C09-A900-777063E7DA70}" type="presOf" srcId="{586E238D-6281-444A-B24C-96D68BFDE37A}" destId="{BF2C2573-B704-486C-A242-F7C6E442695D}" srcOrd="1" destOrd="0" presId="urn:microsoft.com/office/officeart/2005/8/layout/vProcess5"/>
    <dgm:cxn modelId="{6EF72CCB-0C3F-426F-849B-EA75F56FC531}" type="presOf" srcId="{94C702CA-7B0D-4689-AB89-BEBE14C78A96}" destId="{C8125CEE-A5E6-4EBB-AE68-95280BA4E5AD}" srcOrd="0" destOrd="0" presId="urn:microsoft.com/office/officeart/2005/8/layout/vProcess5"/>
    <dgm:cxn modelId="{DC5D1EE4-9518-4EDA-9286-E9833F096226}" type="presOf" srcId="{586E238D-6281-444A-B24C-96D68BFDE37A}" destId="{43894375-7146-45D6-AEE4-56B5B41F4E05}" srcOrd="0" destOrd="0" presId="urn:microsoft.com/office/officeart/2005/8/layout/vProcess5"/>
    <dgm:cxn modelId="{F75993FE-9E7A-4779-8908-C2473A369213}" type="presOf" srcId="{32FC4D47-2075-4EB8-A577-E2D5E5E4DDDE}" destId="{2458EFB5-F8D3-4C87-A3E2-DE4B25D280D4}" srcOrd="0" destOrd="0" presId="urn:microsoft.com/office/officeart/2005/8/layout/vProcess5"/>
    <dgm:cxn modelId="{31BCF80E-3069-4AD3-B0DD-5503901A5338}" type="presParOf" srcId="{2458EFB5-F8D3-4C87-A3E2-DE4B25D280D4}" destId="{2567151B-81A8-4858-A673-81B276871FB1}" srcOrd="0" destOrd="0" presId="urn:microsoft.com/office/officeart/2005/8/layout/vProcess5"/>
    <dgm:cxn modelId="{EAF00402-EFBA-4018-A2D0-A4205B2C89CD}" type="presParOf" srcId="{2458EFB5-F8D3-4C87-A3E2-DE4B25D280D4}" destId="{2813B225-F9A2-49EA-8CB8-25AE1B299285}" srcOrd="1" destOrd="0" presId="urn:microsoft.com/office/officeart/2005/8/layout/vProcess5"/>
    <dgm:cxn modelId="{22DF5E45-9B98-424C-AAC3-C9907E43F8FA}" type="presParOf" srcId="{2458EFB5-F8D3-4C87-A3E2-DE4B25D280D4}" destId="{43894375-7146-45D6-AEE4-56B5B41F4E05}" srcOrd="2" destOrd="0" presId="urn:microsoft.com/office/officeart/2005/8/layout/vProcess5"/>
    <dgm:cxn modelId="{8791941D-B8F7-49B0-BC8E-D894636ECEC8}" type="presParOf" srcId="{2458EFB5-F8D3-4C87-A3E2-DE4B25D280D4}" destId="{CAC7E7F7-115E-4959-82B1-A9BC0D3B0220}" srcOrd="3" destOrd="0" presId="urn:microsoft.com/office/officeart/2005/8/layout/vProcess5"/>
    <dgm:cxn modelId="{CA371DDE-06DC-460F-8536-C9BE34010770}" type="presParOf" srcId="{2458EFB5-F8D3-4C87-A3E2-DE4B25D280D4}" destId="{C8125CEE-A5E6-4EBB-AE68-95280BA4E5AD}" srcOrd="4" destOrd="0" presId="urn:microsoft.com/office/officeart/2005/8/layout/vProcess5"/>
    <dgm:cxn modelId="{06613193-BDB6-4258-88A8-1019437FB84C}" type="presParOf" srcId="{2458EFB5-F8D3-4C87-A3E2-DE4B25D280D4}" destId="{B0A3D5B5-6F6B-49BC-8DA5-EF48B2E366FD}" srcOrd="5" destOrd="0" presId="urn:microsoft.com/office/officeart/2005/8/layout/vProcess5"/>
    <dgm:cxn modelId="{9F2C0CAF-6D0C-4AD4-892B-28C576C1255B}" type="presParOf" srcId="{2458EFB5-F8D3-4C87-A3E2-DE4B25D280D4}" destId="{87039DE8-E234-40FB-90BC-F3235994B012}" srcOrd="6" destOrd="0" presId="urn:microsoft.com/office/officeart/2005/8/layout/vProcess5"/>
    <dgm:cxn modelId="{C125A924-2297-4249-A5AE-383CAE0EBBB1}" type="presParOf" srcId="{2458EFB5-F8D3-4C87-A3E2-DE4B25D280D4}" destId="{BF2C2573-B704-486C-A242-F7C6E442695D}" srcOrd="7" destOrd="0" presId="urn:microsoft.com/office/officeart/2005/8/layout/vProcess5"/>
    <dgm:cxn modelId="{19F668ED-41ED-4F21-904B-3F6A88B044C1}" type="presParOf" srcId="{2458EFB5-F8D3-4C87-A3E2-DE4B25D280D4}" destId="{38DCBB8E-D24C-4ADC-8430-0E6EE189BDD2}" srcOrd="8" destOrd="0" presId="urn:microsoft.com/office/officeart/2005/8/layout/vProcess5"/>
  </dgm:cxnLst>
  <dgm:bg>
    <a:solidFill>
      <a:schemeClr val="tx2">
        <a:lumMod val="10000"/>
        <a:lumOff val="90000"/>
      </a:schemeClr>
    </a:solidFill>
    <a:effectLst>
      <a:outerShdw blurRad="50800" dist="38100" algn="l" rotWithShape="0">
        <a:prstClr val="black">
          <a:alpha val="40000"/>
        </a:prstClr>
      </a:outerShdw>
    </a:effectLst>
  </dgm:bg>
  <dgm:whole>
    <a:ln>
      <a:solidFill>
        <a:schemeClr val="tx2"/>
      </a:solidFill>
    </a:ln>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A7B2B88-8500-42D2-BED3-9F4E46EC6E4F}" type="doc">
      <dgm:prSet loTypeId="urn:microsoft.com/office/officeart/2011/layout/HexagonRadial" loCatId="cycle" qsTypeId="urn:microsoft.com/office/officeart/2005/8/quickstyle/3d1" qsCatId="3D" csTypeId="urn:microsoft.com/office/officeart/2005/8/colors/colorful4" csCatId="colorful" phldr="1"/>
      <dgm:spPr>
        <a:scene3d>
          <a:camera prst="orthographicFront">
            <a:rot lat="0" lon="0" rev="0"/>
          </a:camera>
          <a:lightRig rig="soft" dir="t">
            <a:rot lat="0" lon="0" rev="0"/>
          </a:lightRig>
        </a:scene3d>
      </dgm:spPr>
      <dgm:t>
        <a:bodyPr/>
        <a:lstStyle/>
        <a:p>
          <a:endParaRPr lang="en-IN"/>
        </a:p>
      </dgm:t>
    </dgm:pt>
    <dgm:pt modelId="{DBDA6268-4658-420A-B27C-033365948BD8}">
      <dgm:prSet phldrT="[Text]"/>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t>
        <a:bodyPr/>
        <a:lstStyle/>
        <a:p>
          <a:r>
            <a:rPr lang="en-IN"/>
            <a:t>The Panic Cycle </a:t>
          </a:r>
        </a:p>
      </dgm:t>
    </dgm:pt>
    <dgm:pt modelId="{2D9E8843-A28D-4094-A9FC-BEAB4E240832}" type="parTrans" cxnId="{F64B0FCD-F6C8-4F49-8B05-9380ABEB758A}">
      <dgm:prSet/>
      <dgm:spPr/>
      <dgm:t>
        <a:bodyPr/>
        <a:lstStyle/>
        <a:p>
          <a:endParaRPr lang="en-IN"/>
        </a:p>
      </dgm:t>
    </dgm:pt>
    <dgm:pt modelId="{85EC0256-3D8A-4EA0-98FE-08C6465F883D}" type="sibTrans" cxnId="{F64B0FCD-F6C8-4F49-8B05-9380ABEB758A}">
      <dgm:prSet/>
      <dgm:spPr/>
      <dgm:t>
        <a:bodyPr/>
        <a:lstStyle/>
        <a:p>
          <a:endParaRPr lang="en-IN"/>
        </a:p>
      </dgm:t>
    </dgm:pt>
    <dgm:pt modelId="{3E802A15-74FC-4C96-A8AD-F2F01E6DD138}">
      <dgm:prSet phldrT="[Text]"/>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t>
        <a:bodyPr/>
        <a:lstStyle/>
        <a:p>
          <a:r>
            <a:rPr lang="en-IN"/>
            <a:t>More Fear </a:t>
          </a:r>
        </a:p>
      </dgm:t>
    </dgm:pt>
    <dgm:pt modelId="{2A7FB845-0082-4172-A2C1-1902D6944415}" type="parTrans" cxnId="{810FF2A7-5DCC-4987-803C-A00622ACB7F9}">
      <dgm:prSet/>
      <dgm:spPr/>
      <dgm:t>
        <a:bodyPr/>
        <a:lstStyle/>
        <a:p>
          <a:endParaRPr lang="en-IN"/>
        </a:p>
      </dgm:t>
    </dgm:pt>
    <dgm:pt modelId="{04A1A2CD-757A-429B-B760-68728E7FC375}" type="sibTrans" cxnId="{810FF2A7-5DCC-4987-803C-A00622ACB7F9}">
      <dgm:prSet/>
      <dgm:spPr/>
      <dgm:t>
        <a:bodyPr/>
        <a:lstStyle/>
        <a:p>
          <a:endParaRPr lang="en-IN"/>
        </a:p>
      </dgm:t>
    </dgm:pt>
    <dgm:pt modelId="{AB1E1748-1D8A-453A-B3F9-9D7BE96CF186}">
      <dgm:prSet phldrT="[Text]"/>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t>
        <a:bodyPr/>
        <a:lstStyle/>
        <a:p>
          <a:r>
            <a:rPr lang="en-IN"/>
            <a:t>Anxiety</a:t>
          </a:r>
        </a:p>
      </dgm:t>
    </dgm:pt>
    <dgm:pt modelId="{5B4FD850-A833-4A53-8B63-1BDCAE68AEC2}" type="parTrans" cxnId="{2FA9D357-E477-4221-A852-80DC8D4D0F27}">
      <dgm:prSet/>
      <dgm:spPr/>
      <dgm:t>
        <a:bodyPr/>
        <a:lstStyle/>
        <a:p>
          <a:endParaRPr lang="en-IN"/>
        </a:p>
      </dgm:t>
    </dgm:pt>
    <dgm:pt modelId="{A8A9AF52-F43D-43AA-9F41-9504CE27C7E2}" type="sibTrans" cxnId="{2FA9D357-E477-4221-A852-80DC8D4D0F27}">
      <dgm:prSet/>
      <dgm:spPr/>
      <dgm:t>
        <a:bodyPr/>
        <a:lstStyle/>
        <a:p>
          <a:endParaRPr lang="en-IN"/>
        </a:p>
      </dgm:t>
    </dgm:pt>
    <dgm:pt modelId="{1AFAA652-1046-4363-95DD-C219F158A5AE}">
      <dgm:prSet phldrT="[Text]"/>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t>
        <a:bodyPr/>
        <a:lstStyle/>
        <a:p>
          <a:r>
            <a:rPr lang="en-IN"/>
            <a:t>Panic Attach </a:t>
          </a:r>
        </a:p>
      </dgm:t>
    </dgm:pt>
    <dgm:pt modelId="{83D497C4-6AB6-4080-A900-D30B29E418FB}" type="parTrans" cxnId="{6BC86A93-8348-4D02-99B3-E51C48DA3608}">
      <dgm:prSet/>
      <dgm:spPr/>
      <dgm:t>
        <a:bodyPr/>
        <a:lstStyle/>
        <a:p>
          <a:endParaRPr lang="en-IN"/>
        </a:p>
      </dgm:t>
    </dgm:pt>
    <dgm:pt modelId="{90C2FDBE-1F73-4A7E-920D-2A9D4366B42F}" type="sibTrans" cxnId="{6BC86A93-8348-4D02-99B3-E51C48DA3608}">
      <dgm:prSet/>
      <dgm:spPr/>
      <dgm:t>
        <a:bodyPr/>
        <a:lstStyle/>
        <a:p>
          <a:endParaRPr lang="en-IN"/>
        </a:p>
      </dgm:t>
    </dgm:pt>
    <dgm:pt modelId="{FCE85860-B56C-4ACC-800B-756BEB0A628D}">
      <dgm:prSet phldrT="[Text]"/>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t>
        <a:bodyPr/>
        <a:lstStyle/>
        <a:p>
          <a:r>
            <a:rPr lang="en-IN"/>
            <a:t>Fear of another one </a:t>
          </a:r>
        </a:p>
      </dgm:t>
    </dgm:pt>
    <dgm:pt modelId="{1D647BBE-5F03-44E3-92CB-065D98FB3E40}" type="parTrans" cxnId="{5E14423A-E574-42CF-92E2-CAEF554C51C8}">
      <dgm:prSet/>
      <dgm:spPr/>
      <dgm:t>
        <a:bodyPr/>
        <a:lstStyle/>
        <a:p>
          <a:endParaRPr lang="en-IN"/>
        </a:p>
      </dgm:t>
    </dgm:pt>
    <dgm:pt modelId="{F54F6009-1F12-4198-9297-7176C8033E46}" type="sibTrans" cxnId="{5E14423A-E574-42CF-92E2-CAEF554C51C8}">
      <dgm:prSet/>
      <dgm:spPr/>
      <dgm:t>
        <a:bodyPr/>
        <a:lstStyle/>
        <a:p>
          <a:endParaRPr lang="en-IN"/>
        </a:p>
      </dgm:t>
    </dgm:pt>
    <dgm:pt modelId="{F19DDF75-6F74-4EC8-9047-04C4958432C6}">
      <dgm:prSet phldrT="[Text]"/>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t>
        <a:bodyPr/>
        <a:lstStyle/>
        <a:p>
          <a:r>
            <a:rPr lang="en-IN"/>
            <a:t>More anxiety </a:t>
          </a:r>
        </a:p>
      </dgm:t>
    </dgm:pt>
    <dgm:pt modelId="{F20E5947-0226-4870-8183-6F6AF80D148A}" type="parTrans" cxnId="{7BDCB930-87FA-47E1-A71E-469ECFD3614B}">
      <dgm:prSet/>
      <dgm:spPr/>
      <dgm:t>
        <a:bodyPr/>
        <a:lstStyle/>
        <a:p>
          <a:endParaRPr lang="en-IN"/>
        </a:p>
      </dgm:t>
    </dgm:pt>
    <dgm:pt modelId="{902D7630-7FDF-4F6A-A981-2C3DF6D681B2}" type="sibTrans" cxnId="{7BDCB930-87FA-47E1-A71E-469ECFD3614B}">
      <dgm:prSet/>
      <dgm:spPr/>
      <dgm:t>
        <a:bodyPr/>
        <a:lstStyle/>
        <a:p>
          <a:endParaRPr lang="en-IN"/>
        </a:p>
      </dgm:t>
    </dgm:pt>
    <dgm:pt modelId="{97E23D0D-2CCB-48FC-9BF8-906C21BD774E}">
      <dgm:prSet phldrT="[Text]"/>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t>
        <a:bodyPr/>
        <a:lstStyle/>
        <a:p>
          <a:r>
            <a:rPr lang="en-IN"/>
            <a:t>Another attack</a:t>
          </a:r>
        </a:p>
      </dgm:t>
    </dgm:pt>
    <dgm:pt modelId="{10C66C9E-B08D-4C29-BF5A-F217AFA265BD}" type="parTrans" cxnId="{40D00B75-C588-4EF9-AB1C-B770CBAFE1DB}">
      <dgm:prSet/>
      <dgm:spPr/>
      <dgm:t>
        <a:bodyPr/>
        <a:lstStyle/>
        <a:p>
          <a:endParaRPr lang="en-IN"/>
        </a:p>
      </dgm:t>
    </dgm:pt>
    <dgm:pt modelId="{89AE78F8-5213-4D99-ABDE-276D4D1FE9D9}" type="sibTrans" cxnId="{40D00B75-C588-4EF9-AB1C-B770CBAFE1DB}">
      <dgm:prSet/>
      <dgm:spPr/>
      <dgm:t>
        <a:bodyPr/>
        <a:lstStyle/>
        <a:p>
          <a:endParaRPr lang="en-IN"/>
        </a:p>
      </dgm:t>
    </dgm:pt>
    <dgm:pt modelId="{205E64CD-09AD-44C6-95E4-331C9040DB58}" type="pres">
      <dgm:prSet presAssocID="{DA7B2B88-8500-42D2-BED3-9F4E46EC6E4F}" presName="Name0" presStyleCnt="0">
        <dgm:presLayoutVars>
          <dgm:chMax val="1"/>
          <dgm:chPref val="1"/>
          <dgm:dir/>
          <dgm:animOne val="branch"/>
          <dgm:animLvl val="lvl"/>
        </dgm:presLayoutVars>
      </dgm:prSet>
      <dgm:spPr/>
    </dgm:pt>
    <dgm:pt modelId="{A61C6E81-DA23-44B0-8576-1903BEDDD8A7}" type="pres">
      <dgm:prSet presAssocID="{DBDA6268-4658-420A-B27C-033365948BD8}" presName="Parent" presStyleLbl="node0" presStyleIdx="0" presStyleCnt="1">
        <dgm:presLayoutVars>
          <dgm:chMax val="6"/>
          <dgm:chPref val="6"/>
        </dgm:presLayoutVars>
      </dgm:prSet>
      <dgm:spPr/>
    </dgm:pt>
    <dgm:pt modelId="{9BAB9105-BE6D-40EC-9123-A0241F62B070}" type="pres">
      <dgm:prSet presAssocID="{3E802A15-74FC-4C96-A8AD-F2F01E6DD138}" presName="Accent1" presStyleCnt="0"/>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pt>
    <dgm:pt modelId="{43CC4092-91D6-4A9D-982C-750CDF8A55C2}" type="pres">
      <dgm:prSet presAssocID="{3E802A15-74FC-4C96-A8AD-F2F01E6DD138}" presName="Accent" presStyleLbl="bgShp" presStyleIdx="0" presStyleCnt="6"/>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pt>
    <dgm:pt modelId="{E4EFB6E7-5D66-4EB0-83E4-7E6E7979B789}" type="pres">
      <dgm:prSet presAssocID="{3E802A15-74FC-4C96-A8AD-F2F01E6DD138}" presName="Child1" presStyleLbl="node1" presStyleIdx="0" presStyleCnt="6">
        <dgm:presLayoutVars>
          <dgm:chMax val="0"/>
          <dgm:chPref val="0"/>
          <dgm:bulletEnabled val="1"/>
        </dgm:presLayoutVars>
      </dgm:prSet>
      <dgm:spPr/>
    </dgm:pt>
    <dgm:pt modelId="{259955C5-927A-4E59-B510-1571A62B091C}" type="pres">
      <dgm:prSet presAssocID="{AB1E1748-1D8A-453A-B3F9-9D7BE96CF186}" presName="Accent2" presStyleCnt="0"/>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pt>
    <dgm:pt modelId="{49A37D9C-0DB1-4AB6-8C16-AFBEC92A0646}" type="pres">
      <dgm:prSet presAssocID="{AB1E1748-1D8A-453A-B3F9-9D7BE96CF186}" presName="Accent" presStyleLbl="bgShp" presStyleIdx="1" presStyleCnt="6"/>
      <dgm:spPr>
        <a:ln>
          <a:noFill/>
        </a:ln>
        <a:effectLst>
          <a:outerShdw blurRad="107950" dist="12700" dir="5400000" algn="ctr">
            <a:srgbClr val="000000"/>
          </a:outerShdw>
        </a:effectLst>
        <a:scene3d>
          <a:camera prst="orthographicFront">
            <a:rot lat="0" lon="0" rev="0"/>
          </a:camera>
          <a:lightRig rig="soft" dir="t">
            <a:rot lat="0" lon="0" rev="0"/>
          </a:lightRig>
        </a:scene3d>
        <a:sp3d z="-190500" contourW="44450" prstMaterial="matte">
          <a:bevelT w="63500" h="63500" prst="artDeco"/>
          <a:contourClr>
            <a:srgbClr val="FFFFFF"/>
          </a:contourClr>
        </a:sp3d>
      </dgm:spPr>
    </dgm:pt>
    <dgm:pt modelId="{1B3C8AB1-8A4C-4B8A-B3C8-A680C6C1245D}" type="pres">
      <dgm:prSet presAssocID="{AB1E1748-1D8A-453A-B3F9-9D7BE96CF186}" presName="Child2" presStyleLbl="node1" presStyleIdx="1" presStyleCnt="6">
        <dgm:presLayoutVars>
          <dgm:chMax val="0"/>
          <dgm:chPref val="0"/>
          <dgm:bulletEnabled val="1"/>
        </dgm:presLayoutVars>
      </dgm:prSet>
      <dgm:spPr/>
    </dgm:pt>
    <dgm:pt modelId="{19D0AE0E-7E20-485F-8672-7E26F0B9B49F}" type="pres">
      <dgm:prSet presAssocID="{1AFAA652-1046-4363-95DD-C219F158A5AE}" presName="Accent3" presStyleCnt="0"/>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pt>
    <dgm:pt modelId="{F354745C-656D-4804-ABCB-F81BA3791D27}" type="pres">
      <dgm:prSet presAssocID="{1AFAA652-1046-4363-95DD-C219F158A5AE}" presName="Accent" presStyleLbl="bgShp" presStyleIdx="2" presStyleCnt="6"/>
      <dgm:spPr>
        <a:ln>
          <a:noFill/>
        </a:ln>
        <a:effectLst>
          <a:outerShdw blurRad="107950" dist="12700" dir="5400000" algn="ctr">
            <a:srgbClr val="000000"/>
          </a:outerShdw>
        </a:effectLst>
        <a:scene3d>
          <a:camera prst="orthographicFront">
            <a:rot lat="0" lon="0" rev="0"/>
          </a:camera>
          <a:lightRig rig="soft" dir="t">
            <a:rot lat="0" lon="0" rev="0"/>
          </a:lightRig>
        </a:scene3d>
        <a:sp3d z="-190500" contourW="44450" prstMaterial="matte">
          <a:bevelT w="63500" h="63500" prst="artDeco"/>
          <a:contourClr>
            <a:srgbClr val="FFFFFF"/>
          </a:contourClr>
        </a:sp3d>
      </dgm:spPr>
    </dgm:pt>
    <dgm:pt modelId="{177B0756-20BB-408B-8A76-9D6EE5A81460}" type="pres">
      <dgm:prSet presAssocID="{1AFAA652-1046-4363-95DD-C219F158A5AE}" presName="Child3" presStyleLbl="node1" presStyleIdx="2" presStyleCnt="6">
        <dgm:presLayoutVars>
          <dgm:chMax val="0"/>
          <dgm:chPref val="0"/>
          <dgm:bulletEnabled val="1"/>
        </dgm:presLayoutVars>
      </dgm:prSet>
      <dgm:spPr/>
    </dgm:pt>
    <dgm:pt modelId="{6AD91E93-1475-449A-BB81-5FBC67FBF8EA}" type="pres">
      <dgm:prSet presAssocID="{FCE85860-B56C-4ACC-800B-756BEB0A628D}" presName="Accent4" presStyleCnt="0"/>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pt>
    <dgm:pt modelId="{D06E52B9-8F6F-465B-B0FA-7C63FDC91C9E}" type="pres">
      <dgm:prSet presAssocID="{FCE85860-B56C-4ACC-800B-756BEB0A628D}" presName="Accent" presStyleLbl="bgShp" presStyleIdx="3" presStyleCnt="6"/>
      <dgm:spPr>
        <a:ln>
          <a:noFill/>
        </a:ln>
        <a:effectLst>
          <a:outerShdw blurRad="107950" dist="12700" dir="5400000" algn="ctr">
            <a:srgbClr val="000000"/>
          </a:outerShdw>
        </a:effectLst>
        <a:scene3d>
          <a:camera prst="orthographicFront">
            <a:rot lat="0" lon="0" rev="0"/>
          </a:camera>
          <a:lightRig rig="soft" dir="t">
            <a:rot lat="0" lon="0" rev="0"/>
          </a:lightRig>
        </a:scene3d>
        <a:sp3d z="-190500" contourW="44450" prstMaterial="matte">
          <a:bevelT w="63500" h="63500" prst="artDeco"/>
          <a:contourClr>
            <a:srgbClr val="FFFFFF"/>
          </a:contourClr>
        </a:sp3d>
      </dgm:spPr>
    </dgm:pt>
    <dgm:pt modelId="{02294EDC-43EF-496C-98FF-D44C80E683B4}" type="pres">
      <dgm:prSet presAssocID="{FCE85860-B56C-4ACC-800B-756BEB0A628D}" presName="Child4" presStyleLbl="node1" presStyleIdx="3" presStyleCnt="6">
        <dgm:presLayoutVars>
          <dgm:chMax val="0"/>
          <dgm:chPref val="0"/>
          <dgm:bulletEnabled val="1"/>
        </dgm:presLayoutVars>
      </dgm:prSet>
      <dgm:spPr/>
    </dgm:pt>
    <dgm:pt modelId="{E6C8DFEA-C71E-4489-8623-E393EF90BE30}" type="pres">
      <dgm:prSet presAssocID="{F19DDF75-6F74-4EC8-9047-04C4958432C6}" presName="Accent5" presStyleCnt="0"/>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pt>
    <dgm:pt modelId="{47AD47C7-10DF-4EE3-94D2-86FBF4AB58D6}" type="pres">
      <dgm:prSet presAssocID="{F19DDF75-6F74-4EC8-9047-04C4958432C6}" presName="Accent" presStyleLbl="bgShp" presStyleIdx="4" presStyleCnt="6"/>
      <dgm:spPr>
        <a:ln>
          <a:noFill/>
        </a:ln>
        <a:effectLst>
          <a:outerShdw blurRad="107950" dist="12700" dir="5400000" algn="ctr">
            <a:srgbClr val="000000"/>
          </a:outerShdw>
        </a:effectLst>
        <a:scene3d>
          <a:camera prst="orthographicFront">
            <a:rot lat="0" lon="0" rev="0"/>
          </a:camera>
          <a:lightRig rig="soft" dir="t">
            <a:rot lat="0" lon="0" rev="0"/>
          </a:lightRig>
        </a:scene3d>
        <a:sp3d z="-190500" contourW="44450" prstMaterial="matte">
          <a:bevelT w="63500" h="63500" prst="artDeco"/>
          <a:contourClr>
            <a:srgbClr val="FFFFFF"/>
          </a:contourClr>
        </a:sp3d>
      </dgm:spPr>
    </dgm:pt>
    <dgm:pt modelId="{267D01C5-1E08-4E07-9586-8CB8F8D19D03}" type="pres">
      <dgm:prSet presAssocID="{F19DDF75-6F74-4EC8-9047-04C4958432C6}" presName="Child5" presStyleLbl="node1" presStyleIdx="4" presStyleCnt="6">
        <dgm:presLayoutVars>
          <dgm:chMax val="0"/>
          <dgm:chPref val="0"/>
          <dgm:bulletEnabled val="1"/>
        </dgm:presLayoutVars>
      </dgm:prSet>
      <dgm:spPr/>
    </dgm:pt>
    <dgm:pt modelId="{76E64D80-8BB4-464B-BA37-985E4CB6052C}" type="pres">
      <dgm:prSet presAssocID="{97E23D0D-2CCB-48FC-9BF8-906C21BD774E}" presName="Accent6" presStyleCnt="0"/>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pt>
    <dgm:pt modelId="{B4BF6F0A-8163-45AE-9013-F57A7386D544}" type="pres">
      <dgm:prSet presAssocID="{97E23D0D-2CCB-48FC-9BF8-906C21BD774E}" presName="Accent" presStyleLbl="bgShp" presStyleIdx="5" presStyleCnt="6"/>
      <dgm:spPr>
        <a:ln>
          <a:noFill/>
        </a:ln>
        <a:effectLst>
          <a:outerShdw blurRad="107950" dist="12700" dir="5400000" algn="ctr">
            <a:srgbClr val="000000"/>
          </a:outerShdw>
        </a:effectLst>
        <a:scene3d>
          <a:camera prst="orthographicFront">
            <a:rot lat="0" lon="0" rev="0"/>
          </a:camera>
          <a:lightRig rig="soft" dir="t">
            <a:rot lat="0" lon="0" rev="0"/>
          </a:lightRig>
        </a:scene3d>
        <a:sp3d z="-190500" contourW="44450" prstMaterial="matte">
          <a:bevelT w="63500" h="63500" prst="artDeco"/>
          <a:contourClr>
            <a:srgbClr val="FFFFFF"/>
          </a:contourClr>
        </a:sp3d>
      </dgm:spPr>
    </dgm:pt>
    <dgm:pt modelId="{D4384322-DF1E-449D-8092-DD551BE98CEB}" type="pres">
      <dgm:prSet presAssocID="{97E23D0D-2CCB-48FC-9BF8-906C21BD774E}" presName="Child6" presStyleLbl="node1" presStyleIdx="5" presStyleCnt="6">
        <dgm:presLayoutVars>
          <dgm:chMax val="0"/>
          <dgm:chPref val="0"/>
          <dgm:bulletEnabled val="1"/>
        </dgm:presLayoutVars>
      </dgm:prSet>
      <dgm:spPr/>
    </dgm:pt>
  </dgm:ptLst>
  <dgm:cxnLst>
    <dgm:cxn modelId="{25F27714-3000-4E84-8C43-A87C30A267CE}" type="presOf" srcId="{DA7B2B88-8500-42D2-BED3-9F4E46EC6E4F}" destId="{205E64CD-09AD-44C6-95E4-331C9040DB58}" srcOrd="0" destOrd="0" presId="urn:microsoft.com/office/officeart/2011/layout/HexagonRadial"/>
    <dgm:cxn modelId="{7BDCB930-87FA-47E1-A71E-469ECFD3614B}" srcId="{DBDA6268-4658-420A-B27C-033365948BD8}" destId="{F19DDF75-6F74-4EC8-9047-04C4958432C6}" srcOrd="4" destOrd="0" parTransId="{F20E5947-0226-4870-8183-6F6AF80D148A}" sibTransId="{902D7630-7FDF-4F6A-A981-2C3DF6D681B2}"/>
    <dgm:cxn modelId="{5E14423A-E574-42CF-92E2-CAEF554C51C8}" srcId="{DBDA6268-4658-420A-B27C-033365948BD8}" destId="{FCE85860-B56C-4ACC-800B-756BEB0A628D}" srcOrd="3" destOrd="0" parTransId="{1D647BBE-5F03-44E3-92CB-065D98FB3E40}" sibTransId="{F54F6009-1F12-4198-9297-7176C8033E46}"/>
    <dgm:cxn modelId="{FD8E7D46-E05E-4D76-989F-7EF585F95AD5}" type="presOf" srcId="{1AFAA652-1046-4363-95DD-C219F158A5AE}" destId="{177B0756-20BB-408B-8A76-9D6EE5A81460}" srcOrd="0" destOrd="0" presId="urn:microsoft.com/office/officeart/2011/layout/HexagonRadial"/>
    <dgm:cxn modelId="{40D00B75-C588-4EF9-AB1C-B770CBAFE1DB}" srcId="{DBDA6268-4658-420A-B27C-033365948BD8}" destId="{97E23D0D-2CCB-48FC-9BF8-906C21BD774E}" srcOrd="5" destOrd="0" parTransId="{10C66C9E-B08D-4C29-BF5A-F217AFA265BD}" sibTransId="{89AE78F8-5213-4D99-ABDE-276D4D1FE9D9}"/>
    <dgm:cxn modelId="{2FA9D357-E477-4221-A852-80DC8D4D0F27}" srcId="{DBDA6268-4658-420A-B27C-033365948BD8}" destId="{AB1E1748-1D8A-453A-B3F9-9D7BE96CF186}" srcOrd="1" destOrd="0" parTransId="{5B4FD850-A833-4A53-8B63-1BDCAE68AEC2}" sibTransId="{A8A9AF52-F43D-43AA-9F41-9504CE27C7E2}"/>
    <dgm:cxn modelId="{B3708092-1422-4671-B843-E3BE1F5EAE42}" type="presOf" srcId="{97E23D0D-2CCB-48FC-9BF8-906C21BD774E}" destId="{D4384322-DF1E-449D-8092-DD551BE98CEB}" srcOrd="0" destOrd="0" presId="urn:microsoft.com/office/officeart/2011/layout/HexagonRadial"/>
    <dgm:cxn modelId="{6BC86A93-8348-4D02-99B3-E51C48DA3608}" srcId="{DBDA6268-4658-420A-B27C-033365948BD8}" destId="{1AFAA652-1046-4363-95DD-C219F158A5AE}" srcOrd="2" destOrd="0" parTransId="{83D497C4-6AB6-4080-A900-D30B29E418FB}" sibTransId="{90C2FDBE-1F73-4A7E-920D-2A9D4366B42F}"/>
    <dgm:cxn modelId="{6C31F596-B82D-43C8-BA53-E91D67E09522}" type="presOf" srcId="{FCE85860-B56C-4ACC-800B-756BEB0A628D}" destId="{02294EDC-43EF-496C-98FF-D44C80E683B4}" srcOrd="0" destOrd="0" presId="urn:microsoft.com/office/officeart/2011/layout/HexagonRadial"/>
    <dgm:cxn modelId="{810FF2A7-5DCC-4987-803C-A00622ACB7F9}" srcId="{DBDA6268-4658-420A-B27C-033365948BD8}" destId="{3E802A15-74FC-4C96-A8AD-F2F01E6DD138}" srcOrd="0" destOrd="0" parTransId="{2A7FB845-0082-4172-A2C1-1902D6944415}" sibTransId="{04A1A2CD-757A-429B-B760-68728E7FC375}"/>
    <dgm:cxn modelId="{1C7BFCBA-C940-4CBF-8645-BB5B45DC55A4}" type="presOf" srcId="{3E802A15-74FC-4C96-A8AD-F2F01E6DD138}" destId="{E4EFB6E7-5D66-4EB0-83E4-7E6E7979B789}" srcOrd="0" destOrd="0" presId="urn:microsoft.com/office/officeart/2011/layout/HexagonRadial"/>
    <dgm:cxn modelId="{F64B0FCD-F6C8-4F49-8B05-9380ABEB758A}" srcId="{DA7B2B88-8500-42D2-BED3-9F4E46EC6E4F}" destId="{DBDA6268-4658-420A-B27C-033365948BD8}" srcOrd="0" destOrd="0" parTransId="{2D9E8843-A28D-4094-A9FC-BEAB4E240832}" sibTransId="{85EC0256-3D8A-4EA0-98FE-08C6465F883D}"/>
    <dgm:cxn modelId="{07DCE4D9-6CFA-4D46-976A-D9988431CE95}" type="presOf" srcId="{F19DDF75-6F74-4EC8-9047-04C4958432C6}" destId="{267D01C5-1E08-4E07-9586-8CB8F8D19D03}" srcOrd="0" destOrd="0" presId="urn:microsoft.com/office/officeart/2011/layout/HexagonRadial"/>
    <dgm:cxn modelId="{463AE0E8-6FF2-4E45-8194-C0EDCF386FD1}" type="presOf" srcId="{DBDA6268-4658-420A-B27C-033365948BD8}" destId="{A61C6E81-DA23-44B0-8576-1903BEDDD8A7}" srcOrd="0" destOrd="0" presId="urn:microsoft.com/office/officeart/2011/layout/HexagonRadial"/>
    <dgm:cxn modelId="{61BC16F8-CFC7-492E-A22F-2A1E4DE834F1}" type="presOf" srcId="{AB1E1748-1D8A-453A-B3F9-9D7BE96CF186}" destId="{1B3C8AB1-8A4C-4B8A-B3C8-A680C6C1245D}" srcOrd="0" destOrd="0" presId="urn:microsoft.com/office/officeart/2011/layout/HexagonRadial"/>
    <dgm:cxn modelId="{D50ECA20-F10B-42FB-ADEA-555CCD47708B}" type="presParOf" srcId="{205E64CD-09AD-44C6-95E4-331C9040DB58}" destId="{A61C6E81-DA23-44B0-8576-1903BEDDD8A7}" srcOrd="0" destOrd="0" presId="urn:microsoft.com/office/officeart/2011/layout/HexagonRadial"/>
    <dgm:cxn modelId="{73BF4BFF-66A0-4F89-B095-68959FFD8A14}" type="presParOf" srcId="{205E64CD-09AD-44C6-95E4-331C9040DB58}" destId="{9BAB9105-BE6D-40EC-9123-A0241F62B070}" srcOrd="1" destOrd="0" presId="urn:microsoft.com/office/officeart/2011/layout/HexagonRadial"/>
    <dgm:cxn modelId="{5E46FF41-9367-4A2F-9560-4FF465FC1B8B}" type="presParOf" srcId="{9BAB9105-BE6D-40EC-9123-A0241F62B070}" destId="{43CC4092-91D6-4A9D-982C-750CDF8A55C2}" srcOrd="0" destOrd="0" presId="urn:microsoft.com/office/officeart/2011/layout/HexagonRadial"/>
    <dgm:cxn modelId="{B3FD3C32-26E0-4F04-8078-F428EDAA0250}" type="presParOf" srcId="{205E64CD-09AD-44C6-95E4-331C9040DB58}" destId="{E4EFB6E7-5D66-4EB0-83E4-7E6E7979B789}" srcOrd="2" destOrd="0" presId="urn:microsoft.com/office/officeart/2011/layout/HexagonRadial"/>
    <dgm:cxn modelId="{E354BB9F-07B7-4945-94B8-D65987C39AA5}" type="presParOf" srcId="{205E64CD-09AD-44C6-95E4-331C9040DB58}" destId="{259955C5-927A-4E59-B510-1571A62B091C}" srcOrd="3" destOrd="0" presId="urn:microsoft.com/office/officeart/2011/layout/HexagonRadial"/>
    <dgm:cxn modelId="{B7681777-152F-4F48-B31D-E2E0A0D8B104}" type="presParOf" srcId="{259955C5-927A-4E59-B510-1571A62B091C}" destId="{49A37D9C-0DB1-4AB6-8C16-AFBEC92A0646}" srcOrd="0" destOrd="0" presId="urn:microsoft.com/office/officeart/2011/layout/HexagonRadial"/>
    <dgm:cxn modelId="{28F4D130-8426-4497-9C5F-56FB3EC7F8D8}" type="presParOf" srcId="{205E64CD-09AD-44C6-95E4-331C9040DB58}" destId="{1B3C8AB1-8A4C-4B8A-B3C8-A680C6C1245D}" srcOrd="4" destOrd="0" presId="urn:microsoft.com/office/officeart/2011/layout/HexagonRadial"/>
    <dgm:cxn modelId="{ABA92022-2A6D-4F52-B692-C6882912043D}" type="presParOf" srcId="{205E64CD-09AD-44C6-95E4-331C9040DB58}" destId="{19D0AE0E-7E20-485F-8672-7E26F0B9B49F}" srcOrd="5" destOrd="0" presId="urn:microsoft.com/office/officeart/2011/layout/HexagonRadial"/>
    <dgm:cxn modelId="{434D9E29-2B50-4A3E-9F70-0A22F1881E70}" type="presParOf" srcId="{19D0AE0E-7E20-485F-8672-7E26F0B9B49F}" destId="{F354745C-656D-4804-ABCB-F81BA3791D27}" srcOrd="0" destOrd="0" presId="urn:microsoft.com/office/officeart/2011/layout/HexagonRadial"/>
    <dgm:cxn modelId="{278B622B-FDC3-4C24-B2BE-AC85BD69747C}" type="presParOf" srcId="{205E64CD-09AD-44C6-95E4-331C9040DB58}" destId="{177B0756-20BB-408B-8A76-9D6EE5A81460}" srcOrd="6" destOrd="0" presId="urn:microsoft.com/office/officeart/2011/layout/HexagonRadial"/>
    <dgm:cxn modelId="{FC035E23-28FF-4E49-93E4-2FFC81494F91}" type="presParOf" srcId="{205E64CD-09AD-44C6-95E4-331C9040DB58}" destId="{6AD91E93-1475-449A-BB81-5FBC67FBF8EA}" srcOrd="7" destOrd="0" presId="urn:microsoft.com/office/officeart/2011/layout/HexagonRadial"/>
    <dgm:cxn modelId="{55FCF371-3544-42C3-AFD2-BEC0AE0EF300}" type="presParOf" srcId="{6AD91E93-1475-449A-BB81-5FBC67FBF8EA}" destId="{D06E52B9-8F6F-465B-B0FA-7C63FDC91C9E}" srcOrd="0" destOrd="0" presId="urn:microsoft.com/office/officeart/2011/layout/HexagonRadial"/>
    <dgm:cxn modelId="{55825FE4-FEE8-484B-91B2-E5BBBC1BA942}" type="presParOf" srcId="{205E64CD-09AD-44C6-95E4-331C9040DB58}" destId="{02294EDC-43EF-496C-98FF-D44C80E683B4}" srcOrd="8" destOrd="0" presId="urn:microsoft.com/office/officeart/2011/layout/HexagonRadial"/>
    <dgm:cxn modelId="{1F2C29EA-9D47-4BA9-B8A0-396F47B4CF39}" type="presParOf" srcId="{205E64CD-09AD-44C6-95E4-331C9040DB58}" destId="{E6C8DFEA-C71E-4489-8623-E393EF90BE30}" srcOrd="9" destOrd="0" presId="urn:microsoft.com/office/officeart/2011/layout/HexagonRadial"/>
    <dgm:cxn modelId="{AC903F7C-AFB9-42FA-95AD-9B12B96DD864}" type="presParOf" srcId="{E6C8DFEA-C71E-4489-8623-E393EF90BE30}" destId="{47AD47C7-10DF-4EE3-94D2-86FBF4AB58D6}" srcOrd="0" destOrd="0" presId="urn:microsoft.com/office/officeart/2011/layout/HexagonRadial"/>
    <dgm:cxn modelId="{6C34E867-0217-4E42-9C7B-C292C0B90E07}" type="presParOf" srcId="{205E64CD-09AD-44C6-95E4-331C9040DB58}" destId="{267D01C5-1E08-4E07-9586-8CB8F8D19D03}" srcOrd="10" destOrd="0" presId="urn:microsoft.com/office/officeart/2011/layout/HexagonRadial"/>
    <dgm:cxn modelId="{C72ACB73-5B63-4D74-8443-FC91DC44AB7B}" type="presParOf" srcId="{205E64CD-09AD-44C6-95E4-331C9040DB58}" destId="{76E64D80-8BB4-464B-BA37-985E4CB6052C}" srcOrd="11" destOrd="0" presId="urn:microsoft.com/office/officeart/2011/layout/HexagonRadial"/>
    <dgm:cxn modelId="{6B66678B-B2B5-4EB0-917D-62A49A2CCB00}" type="presParOf" srcId="{76E64D80-8BB4-464B-BA37-985E4CB6052C}" destId="{B4BF6F0A-8163-45AE-9013-F57A7386D544}" srcOrd="0" destOrd="0" presId="urn:microsoft.com/office/officeart/2011/layout/HexagonRadial"/>
    <dgm:cxn modelId="{BC8D9A3D-B315-4F50-8FB1-92F73DCD3184}" type="presParOf" srcId="{205E64CD-09AD-44C6-95E4-331C9040DB58}" destId="{D4384322-DF1E-449D-8092-DD551BE98CEB}" srcOrd="12" destOrd="0" presId="urn:microsoft.com/office/officeart/2011/layout/HexagonRadial"/>
  </dgm:cxnLst>
  <dgm:bg>
    <a:solidFill>
      <a:schemeClr val="bg1">
        <a:lumMod val="95000"/>
      </a:schemeClr>
    </a:solidFill>
  </dgm:bg>
  <dgm:whole>
    <a:ln>
      <a:solidFill>
        <a:schemeClr val="tx2"/>
      </a:solidFill>
    </a:ln>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13B225-F9A2-49EA-8CB8-25AE1B299285}">
      <dsp:nvSpPr>
        <dsp:cNvPr id="0" name=""/>
        <dsp:cNvSpPr/>
      </dsp:nvSpPr>
      <dsp:spPr>
        <a:xfrm>
          <a:off x="0" y="0"/>
          <a:ext cx="4629582" cy="936740"/>
        </a:xfrm>
        <a:prstGeom prst="roundRect">
          <a:avLst>
            <a:gd name="adj" fmla="val 1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l" defTabSz="1066800">
            <a:lnSpc>
              <a:spcPct val="90000"/>
            </a:lnSpc>
            <a:spcBef>
              <a:spcPct val="0"/>
            </a:spcBef>
            <a:spcAft>
              <a:spcPct val="35000"/>
            </a:spcAft>
            <a:buNone/>
          </a:pPr>
          <a:r>
            <a:rPr lang="en-IN" sz="2400" kern="1200"/>
            <a:t>Primary inhaled toxins and smoking</a:t>
          </a:r>
        </a:p>
      </dsp:txBody>
      <dsp:txXfrm>
        <a:off x="27436" y="27436"/>
        <a:ext cx="3618767" cy="881868"/>
      </dsp:txXfrm>
    </dsp:sp>
    <dsp:sp modelId="{43894375-7146-45D6-AEE4-56B5B41F4E05}">
      <dsp:nvSpPr>
        <dsp:cNvPr id="0" name=""/>
        <dsp:cNvSpPr/>
      </dsp:nvSpPr>
      <dsp:spPr>
        <a:xfrm>
          <a:off x="408492" y="1092863"/>
          <a:ext cx="4629582" cy="936740"/>
        </a:xfrm>
        <a:prstGeom prst="roundRect">
          <a:avLst>
            <a:gd name="adj" fmla="val 10000"/>
          </a:avLst>
        </a:prstGeom>
        <a:gradFill rotWithShape="0">
          <a:gsLst>
            <a:gs pos="0">
              <a:schemeClr val="accent3">
                <a:hueOff val="2058582"/>
                <a:satOff val="12356"/>
                <a:lumOff val="9413"/>
                <a:alphaOff val="0"/>
                <a:satMod val="103000"/>
                <a:lumMod val="102000"/>
                <a:tint val="94000"/>
              </a:schemeClr>
            </a:gs>
            <a:gs pos="50000">
              <a:schemeClr val="accent3">
                <a:hueOff val="2058582"/>
                <a:satOff val="12356"/>
                <a:lumOff val="9413"/>
                <a:alphaOff val="0"/>
                <a:satMod val="110000"/>
                <a:lumMod val="100000"/>
                <a:shade val="100000"/>
              </a:schemeClr>
            </a:gs>
            <a:gs pos="100000">
              <a:schemeClr val="accent3">
                <a:hueOff val="2058582"/>
                <a:satOff val="12356"/>
                <a:lumOff val="9413"/>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l" defTabSz="1066800">
            <a:lnSpc>
              <a:spcPct val="90000"/>
            </a:lnSpc>
            <a:spcBef>
              <a:spcPct val="0"/>
            </a:spcBef>
            <a:spcAft>
              <a:spcPct val="35000"/>
            </a:spcAft>
            <a:buNone/>
          </a:pPr>
          <a:r>
            <a:rPr lang="en-IN" sz="2400" kern="1200"/>
            <a:t>Environmental and biomass exposure </a:t>
          </a:r>
        </a:p>
      </dsp:txBody>
      <dsp:txXfrm>
        <a:off x="435928" y="1120299"/>
        <a:ext cx="3557336" cy="881868"/>
      </dsp:txXfrm>
    </dsp:sp>
    <dsp:sp modelId="{CAC7E7F7-115E-4959-82B1-A9BC0D3B0220}">
      <dsp:nvSpPr>
        <dsp:cNvPr id="0" name=""/>
        <dsp:cNvSpPr/>
      </dsp:nvSpPr>
      <dsp:spPr>
        <a:xfrm>
          <a:off x="816985" y="2185727"/>
          <a:ext cx="4629582" cy="936740"/>
        </a:xfrm>
        <a:prstGeom prst="roundRect">
          <a:avLst>
            <a:gd name="adj" fmla="val 10000"/>
          </a:avLst>
        </a:prstGeom>
        <a:gradFill rotWithShape="0">
          <a:gsLst>
            <a:gs pos="0">
              <a:schemeClr val="accent3">
                <a:hueOff val="4117163"/>
                <a:satOff val="24712"/>
                <a:lumOff val="18825"/>
                <a:alphaOff val="0"/>
                <a:satMod val="103000"/>
                <a:lumMod val="102000"/>
                <a:tint val="94000"/>
              </a:schemeClr>
            </a:gs>
            <a:gs pos="50000">
              <a:schemeClr val="accent3">
                <a:hueOff val="4117163"/>
                <a:satOff val="24712"/>
                <a:lumOff val="18825"/>
                <a:alphaOff val="0"/>
                <a:satMod val="110000"/>
                <a:lumMod val="100000"/>
                <a:shade val="100000"/>
              </a:schemeClr>
            </a:gs>
            <a:gs pos="100000">
              <a:schemeClr val="accent3">
                <a:hueOff val="4117163"/>
                <a:satOff val="24712"/>
                <a:lumOff val="1882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l" defTabSz="1066800">
            <a:lnSpc>
              <a:spcPct val="90000"/>
            </a:lnSpc>
            <a:spcBef>
              <a:spcPct val="0"/>
            </a:spcBef>
            <a:spcAft>
              <a:spcPct val="35000"/>
            </a:spcAft>
            <a:buNone/>
          </a:pPr>
          <a:r>
            <a:rPr lang="en-IN" sz="2400" kern="1200"/>
            <a:t>Socioeconomic and genetic factors </a:t>
          </a:r>
        </a:p>
      </dsp:txBody>
      <dsp:txXfrm>
        <a:off x="844421" y="2213163"/>
        <a:ext cx="3557336" cy="881868"/>
      </dsp:txXfrm>
    </dsp:sp>
    <dsp:sp modelId="{C8125CEE-A5E6-4EBB-AE68-95280BA4E5AD}">
      <dsp:nvSpPr>
        <dsp:cNvPr id="0" name=""/>
        <dsp:cNvSpPr/>
      </dsp:nvSpPr>
      <dsp:spPr>
        <a:xfrm>
          <a:off x="4020701" y="710361"/>
          <a:ext cx="608881" cy="608881"/>
        </a:xfrm>
        <a:prstGeom prst="downArrow">
          <a:avLst>
            <a:gd name="adj1" fmla="val 55000"/>
            <a:gd name="adj2" fmla="val 45000"/>
          </a:avLst>
        </a:prstGeom>
        <a:solidFill>
          <a:schemeClr val="accent3">
            <a:tint val="40000"/>
            <a:alpha val="90000"/>
            <a:hueOff val="0"/>
            <a:satOff val="0"/>
            <a:lumOff val="0"/>
            <a:alphaOff val="0"/>
          </a:schemeClr>
        </a:solidFill>
        <a:ln w="12700" cap="flat" cmpd="sng" algn="ctr">
          <a:solidFill>
            <a:schemeClr val="accent3">
              <a:tint val="40000"/>
              <a:alpha val="90000"/>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4290" tIns="34290" rIns="34290" bIns="34290" numCol="1" spcCol="1270" anchor="ctr" anchorCtr="0">
          <a:noAutofit/>
        </a:bodyPr>
        <a:lstStyle/>
        <a:p>
          <a:pPr marL="0" lvl="0" indent="0" algn="ctr" defTabSz="1200150">
            <a:lnSpc>
              <a:spcPct val="90000"/>
            </a:lnSpc>
            <a:spcBef>
              <a:spcPct val="0"/>
            </a:spcBef>
            <a:spcAft>
              <a:spcPct val="35000"/>
            </a:spcAft>
            <a:buNone/>
          </a:pPr>
          <a:endParaRPr lang="en-IN" sz="2700" kern="1200"/>
        </a:p>
      </dsp:txBody>
      <dsp:txXfrm>
        <a:off x="4157699" y="710361"/>
        <a:ext cx="334885" cy="458183"/>
      </dsp:txXfrm>
    </dsp:sp>
    <dsp:sp modelId="{B0A3D5B5-6F6B-49BC-8DA5-EF48B2E366FD}">
      <dsp:nvSpPr>
        <dsp:cNvPr id="0" name=""/>
        <dsp:cNvSpPr/>
      </dsp:nvSpPr>
      <dsp:spPr>
        <a:xfrm>
          <a:off x="4429194" y="1796980"/>
          <a:ext cx="608881" cy="608881"/>
        </a:xfrm>
        <a:prstGeom prst="downArrow">
          <a:avLst>
            <a:gd name="adj1" fmla="val 55000"/>
            <a:gd name="adj2" fmla="val 45000"/>
          </a:avLst>
        </a:prstGeom>
        <a:solidFill>
          <a:schemeClr val="accent3">
            <a:tint val="40000"/>
            <a:alpha val="90000"/>
            <a:hueOff val="5055155"/>
            <a:satOff val="44705"/>
            <a:lumOff val="5295"/>
            <a:alphaOff val="0"/>
          </a:schemeClr>
        </a:solidFill>
        <a:ln w="12700" cap="flat" cmpd="sng" algn="ctr">
          <a:solidFill>
            <a:schemeClr val="accent3">
              <a:tint val="40000"/>
              <a:alpha val="90000"/>
              <a:hueOff val="5055155"/>
              <a:satOff val="44705"/>
              <a:lumOff val="5295"/>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4290" tIns="34290" rIns="34290" bIns="34290" numCol="1" spcCol="1270" anchor="ctr" anchorCtr="0">
          <a:noAutofit/>
        </a:bodyPr>
        <a:lstStyle/>
        <a:p>
          <a:pPr marL="0" lvl="0" indent="0" algn="ctr" defTabSz="1200150">
            <a:lnSpc>
              <a:spcPct val="90000"/>
            </a:lnSpc>
            <a:spcBef>
              <a:spcPct val="0"/>
            </a:spcBef>
            <a:spcAft>
              <a:spcPct val="35000"/>
            </a:spcAft>
            <a:buNone/>
          </a:pPr>
          <a:endParaRPr lang="en-IN" sz="2700" kern="1200"/>
        </a:p>
      </dsp:txBody>
      <dsp:txXfrm>
        <a:off x="4566192" y="1796980"/>
        <a:ext cx="334885" cy="45818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1C6E81-DA23-44B0-8576-1903BEDDD8A7}">
      <dsp:nvSpPr>
        <dsp:cNvPr id="0" name=""/>
        <dsp:cNvSpPr/>
      </dsp:nvSpPr>
      <dsp:spPr>
        <a:xfrm>
          <a:off x="2061989" y="1017699"/>
          <a:ext cx="1293540" cy="1118964"/>
        </a:xfrm>
        <a:prstGeom prst="hexagon">
          <a:avLst>
            <a:gd name="adj" fmla="val 28570"/>
            <a:gd name="vf" fmla="val 11547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107950" dist="12700" dir="5400000" algn="ctr" rotWithShape="0">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IN" sz="1300" kern="1200"/>
            <a:t>The Panic Cycle </a:t>
          </a:r>
        </a:p>
      </dsp:txBody>
      <dsp:txXfrm>
        <a:off x="2276347" y="1203127"/>
        <a:ext cx="864824" cy="748108"/>
      </dsp:txXfrm>
    </dsp:sp>
    <dsp:sp modelId="{49A37D9C-0DB1-4AB6-8C16-AFBEC92A0646}">
      <dsp:nvSpPr>
        <dsp:cNvPr id="0" name=""/>
        <dsp:cNvSpPr/>
      </dsp:nvSpPr>
      <dsp:spPr>
        <a:xfrm>
          <a:off x="2871994" y="482350"/>
          <a:ext cx="488049" cy="420518"/>
        </a:xfrm>
        <a:prstGeom prst="hexagon">
          <a:avLst>
            <a:gd name="adj" fmla="val 28900"/>
            <a:gd name="vf" fmla="val 115470"/>
          </a:avLst>
        </a:prstGeom>
        <a:gradFill rotWithShape="0">
          <a:gsLst>
            <a:gs pos="0">
              <a:schemeClr val="accent4">
                <a:tint val="40000"/>
                <a:hueOff val="0"/>
                <a:satOff val="0"/>
                <a:lumOff val="0"/>
                <a:alphaOff val="0"/>
                <a:satMod val="103000"/>
                <a:lumMod val="102000"/>
                <a:tint val="94000"/>
              </a:schemeClr>
            </a:gs>
            <a:gs pos="50000">
              <a:schemeClr val="accent4">
                <a:tint val="40000"/>
                <a:hueOff val="0"/>
                <a:satOff val="0"/>
                <a:lumOff val="0"/>
                <a:alphaOff val="0"/>
                <a:satMod val="110000"/>
                <a:lumMod val="100000"/>
                <a:shade val="100000"/>
              </a:schemeClr>
            </a:gs>
            <a:gs pos="100000">
              <a:schemeClr val="accent4">
                <a:tint val="40000"/>
                <a:hueOff val="0"/>
                <a:satOff val="0"/>
                <a:lumOff val="0"/>
                <a:alphaOff val="0"/>
                <a:lumMod val="99000"/>
                <a:satMod val="120000"/>
                <a:shade val="78000"/>
              </a:schemeClr>
            </a:gs>
          </a:gsLst>
          <a:lin ang="5400000" scaled="0"/>
        </a:gradFill>
        <a:ln>
          <a:noFill/>
        </a:ln>
        <a:effectLst>
          <a:outerShdw blurRad="107950" dist="12700" dir="5400000" algn="ctr" rotWithShape="0">
            <a:srgbClr val="000000"/>
          </a:outerShdw>
        </a:effectLst>
        <a:scene3d>
          <a:camera prst="orthographicFront">
            <a:rot lat="0" lon="0" rev="0"/>
          </a:camera>
          <a:lightRig rig="soft" dir="t">
            <a:rot lat="0" lon="0" rev="0"/>
          </a:lightRig>
        </a:scene3d>
        <a:sp3d z="-190500" contourW="44450" prstMaterial="matte">
          <a:bevelT w="63500" h="63500" prst="artDeco"/>
          <a:contourClr>
            <a:srgbClr val="FFFFFF"/>
          </a:contourClr>
        </a:sp3d>
      </dsp:spPr>
      <dsp:style>
        <a:lnRef idx="0">
          <a:scrgbClr r="0" g="0" b="0"/>
        </a:lnRef>
        <a:fillRef idx="3">
          <a:scrgbClr r="0" g="0" b="0"/>
        </a:fillRef>
        <a:effectRef idx="0">
          <a:scrgbClr r="0" g="0" b="0"/>
        </a:effectRef>
        <a:fontRef idx="minor"/>
      </dsp:style>
    </dsp:sp>
    <dsp:sp modelId="{E4EFB6E7-5D66-4EB0-83E4-7E6E7979B789}">
      <dsp:nvSpPr>
        <dsp:cNvPr id="0" name=""/>
        <dsp:cNvSpPr/>
      </dsp:nvSpPr>
      <dsp:spPr>
        <a:xfrm>
          <a:off x="2181143" y="0"/>
          <a:ext cx="1060047" cy="917065"/>
        </a:xfrm>
        <a:prstGeom prst="hexagon">
          <a:avLst>
            <a:gd name="adj" fmla="val 28570"/>
            <a:gd name="vf" fmla="val 11547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107950" dist="12700" dir="5400000" algn="ctr" rotWithShape="0">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IN" sz="1300" kern="1200"/>
            <a:t>More Fear </a:t>
          </a:r>
        </a:p>
      </dsp:txBody>
      <dsp:txXfrm>
        <a:off x="2356815" y="151977"/>
        <a:ext cx="708703" cy="613111"/>
      </dsp:txXfrm>
    </dsp:sp>
    <dsp:sp modelId="{F354745C-656D-4804-ABCB-F81BA3791D27}">
      <dsp:nvSpPr>
        <dsp:cNvPr id="0" name=""/>
        <dsp:cNvSpPr/>
      </dsp:nvSpPr>
      <dsp:spPr>
        <a:xfrm>
          <a:off x="3441585" y="1268496"/>
          <a:ext cx="488049" cy="420518"/>
        </a:xfrm>
        <a:prstGeom prst="hexagon">
          <a:avLst>
            <a:gd name="adj" fmla="val 28900"/>
            <a:gd name="vf" fmla="val 115470"/>
          </a:avLst>
        </a:prstGeom>
        <a:gradFill rotWithShape="0">
          <a:gsLst>
            <a:gs pos="0">
              <a:schemeClr val="accent4">
                <a:tint val="40000"/>
                <a:hueOff val="0"/>
                <a:satOff val="0"/>
                <a:lumOff val="0"/>
                <a:alphaOff val="0"/>
                <a:satMod val="103000"/>
                <a:lumMod val="102000"/>
                <a:tint val="94000"/>
              </a:schemeClr>
            </a:gs>
            <a:gs pos="50000">
              <a:schemeClr val="accent4">
                <a:tint val="40000"/>
                <a:hueOff val="0"/>
                <a:satOff val="0"/>
                <a:lumOff val="0"/>
                <a:alphaOff val="0"/>
                <a:satMod val="110000"/>
                <a:lumMod val="100000"/>
                <a:shade val="100000"/>
              </a:schemeClr>
            </a:gs>
            <a:gs pos="100000">
              <a:schemeClr val="accent4">
                <a:tint val="40000"/>
                <a:hueOff val="0"/>
                <a:satOff val="0"/>
                <a:lumOff val="0"/>
                <a:alphaOff val="0"/>
                <a:lumMod val="99000"/>
                <a:satMod val="120000"/>
                <a:shade val="78000"/>
              </a:schemeClr>
            </a:gs>
          </a:gsLst>
          <a:lin ang="5400000" scaled="0"/>
        </a:gradFill>
        <a:ln>
          <a:noFill/>
        </a:ln>
        <a:effectLst>
          <a:outerShdw blurRad="107950" dist="12700" dir="5400000" algn="ctr" rotWithShape="0">
            <a:srgbClr val="000000"/>
          </a:outerShdw>
        </a:effectLst>
        <a:scene3d>
          <a:camera prst="orthographicFront">
            <a:rot lat="0" lon="0" rev="0"/>
          </a:camera>
          <a:lightRig rig="soft" dir="t">
            <a:rot lat="0" lon="0" rev="0"/>
          </a:lightRig>
        </a:scene3d>
        <a:sp3d z="-190500" contourW="44450" prstMaterial="matte">
          <a:bevelT w="63500" h="63500" prst="artDeco"/>
          <a:contourClr>
            <a:srgbClr val="FFFFFF"/>
          </a:contourClr>
        </a:sp3d>
      </dsp:spPr>
      <dsp:style>
        <a:lnRef idx="0">
          <a:scrgbClr r="0" g="0" b="0"/>
        </a:lnRef>
        <a:fillRef idx="3">
          <a:scrgbClr r="0" g="0" b="0"/>
        </a:fillRef>
        <a:effectRef idx="0">
          <a:scrgbClr r="0" g="0" b="0"/>
        </a:effectRef>
        <a:fontRef idx="minor"/>
      </dsp:style>
    </dsp:sp>
    <dsp:sp modelId="{1B3C8AB1-8A4C-4B8A-B3C8-A680C6C1245D}">
      <dsp:nvSpPr>
        <dsp:cNvPr id="0" name=""/>
        <dsp:cNvSpPr/>
      </dsp:nvSpPr>
      <dsp:spPr>
        <a:xfrm>
          <a:off x="3153329" y="564056"/>
          <a:ext cx="1060047" cy="917065"/>
        </a:xfrm>
        <a:prstGeom prst="hexagon">
          <a:avLst>
            <a:gd name="adj" fmla="val 28570"/>
            <a:gd name="vf" fmla="val 115470"/>
          </a:avLst>
        </a:prstGeom>
        <a:gradFill rotWithShape="0">
          <a:gsLst>
            <a:gs pos="0">
              <a:schemeClr val="accent4">
                <a:hueOff val="1319987"/>
                <a:satOff val="-5840"/>
                <a:lumOff val="-981"/>
                <a:alphaOff val="0"/>
                <a:satMod val="103000"/>
                <a:lumMod val="102000"/>
                <a:tint val="94000"/>
              </a:schemeClr>
            </a:gs>
            <a:gs pos="50000">
              <a:schemeClr val="accent4">
                <a:hueOff val="1319987"/>
                <a:satOff val="-5840"/>
                <a:lumOff val="-981"/>
                <a:alphaOff val="0"/>
                <a:satMod val="110000"/>
                <a:lumMod val="100000"/>
                <a:shade val="100000"/>
              </a:schemeClr>
            </a:gs>
            <a:gs pos="100000">
              <a:schemeClr val="accent4">
                <a:hueOff val="1319987"/>
                <a:satOff val="-5840"/>
                <a:lumOff val="-981"/>
                <a:alphaOff val="0"/>
                <a:lumMod val="99000"/>
                <a:satMod val="120000"/>
                <a:shade val="78000"/>
              </a:schemeClr>
            </a:gs>
          </a:gsLst>
          <a:lin ang="5400000" scaled="0"/>
        </a:gradFill>
        <a:ln>
          <a:noFill/>
        </a:ln>
        <a:effectLst>
          <a:outerShdw blurRad="107950" dist="12700" dir="5400000" algn="ctr" rotWithShape="0">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IN" sz="1300" kern="1200"/>
            <a:t>Anxiety</a:t>
          </a:r>
        </a:p>
      </dsp:txBody>
      <dsp:txXfrm>
        <a:off x="3329001" y="716033"/>
        <a:ext cx="708703" cy="613111"/>
      </dsp:txXfrm>
    </dsp:sp>
    <dsp:sp modelId="{D06E52B9-8F6F-465B-B0FA-7C63FDC91C9E}">
      <dsp:nvSpPr>
        <dsp:cNvPr id="0" name=""/>
        <dsp:cNvSpPr/>
      </dsp:nvSpPr>
      <dsp:spPr>
        <a:xfrm>
          <a:off x="3045910" y="2155908"/>
          <a:ext cx="488049" cy="420518"/>
        </a:xfrm>
        <a:prstGeom prst="hexagon">
          <a:avLst>
            <a:gd name="adj" fmla="val 28900"/>
            <a:gd name="vf" fmla="val 115470"/>
          </a:avLst>
        </a:prstGeom>
        <a:gradFill rotWithShape="0">
          <a:gsLst>
            <a:gs pos="0">
              <a:schemeClr val="accent4">
                <a:tint val="40000"/>
                <a:hueOff val="0"/>
                <a:satOff val="0"/>
                <a:lumOff val="0"/>
                <a:alphaOff val="0"/>
                <a:satMod val="103000"/>
                <a:lumMod val="102000"/>
                <a:tint val="94000"/>
              </a:schemeClr>
            </a:gs>
            <a:gs pos="50000">
              <a:schemeClr val="accent4">
                <a:tint val="40000"/>
                <a:hueOff val="0"/>
                <a:satOff val="0"/>
                <a:lumOff val="0"/>
                <a:alphaOff val="0"/>
                <a:satMod val="110000"/>
                <a:lumMod val="100000"/>
                <a:shade val="100000"/>
              </a:schemeClr>
            </a:gs>
            <a:gs pos="100000">
              <a:schemeClr val="accent4">
                <a:tint val="40000"/>
                <a:hueOff val="0"/>
                <a:satOff val="0"/>
                <a:lumOff val="0"/>
                <a:alphaOff val="0"/>
                <a:lumMod val="99000"/>
                <a:satMod val="120000"/>
                <a:shade val="78000"/>
              </a:schemeClr>
            </a:gs>
          </a:gsLst>
          <a:lin ang="5400000" scaled="0"/>
        </a:gradFill>
        <a:ln>
          <a:noFill/>
        </a:ln>
        <a:effectLst>
          <a:outerShdw blurRad="107950" dist="12700" dir="5400000" algn="ctr" rotWithShape="0">
            <a:srgbClr val="000000"/>
          </a:outerShdw>
        </a:effectLst>
        <a:scene3d>
          <a:camera prst="orthographicFront">
            <a:rot lat="0" lon="0" rev="0"/>
          </a:camera>
          <a:lightRig rig="soft" dir="t">
            <a:rot lat="0" lon="0" rev="0"/>
          </a:lightRig>
        </a:scene3d>
        <a:sp3d z="-190500" contourW="44450" prstMaterial="matte">
          <a:bevelT w="63500" h="63500" prst="artDeco"/>
          <a:contourClr>
            <a:srgbClr val="FFFFFF"/>
          </a:contourClr>
        </a:sp3d>
      </dsp:spPr>
      <dsp:style>
        <a:lnRef idx="0">
          <a:scrgbClr r="0" g="0" b="0"/>
        </a:lnRef>
        <a:fillRef idx="3">
          <a:scrgbClr r="0" g="0" b="0"/>
        </a:fillRef>
        <a:effectRef idx="0">
          <a:scrgbClr r="0" g="0" b="0"/>
        </a:effectRef>
        <a:fontRef idx="minor"/>
      </dsp:style>
    </dsp:sp>
    <dsp:sp modelId="{177B0756-20BB-408B-8A76-9D6EE5A81460}">
      <dsp:nvSpPr>
        <dsp:cNvPr id="0" name=""/>
        <dsp:cNvSpPr/>
      </dsp:nvSpPr>
      <dsp:spPr>
        <a:xfrm>
          <a:off x="3153329" y="1672926"/>
          <a:ext cx="1060047" cy="917065"/>
        </a:xfrm>
        <a:prstGeom prst="hexagon">
          <a:avLst>
            <a:gd name="adj" fmla="val 28570"/>
            <a:gd name="vf" fmla="val 115470"/>
          </a:avLst>
        </a:prstGeom>
        <a:gradFill rotWithShape="0">
          <a:gsLst>
            <a:gs pos="0">
              <a:schemeClr val="accent4">
                <a:hueOff val="2639975"/>
                <a:satOff val="-11681"/>
                <a:lumOff val="-1961"/>
                <a:alphaOff val="0"/>
                <a:satMod val="103000"/>
                <a:lumMod val="102000"/>
                <a:tint val="94000"/>
              </a:schemeClr>
            </a:gs>
            <a:gs pos="50000">
              <a:schemeClr val="accent4">
                <a:hueOff val="2639975"/>
                <a:satOff val="-11681"/>
                <a:lumOff val="-1961"/>
                <a:alphaOff val="0"/>
                <a:satMod val="110000"/>
                <a:lumMod val="100000"/>
                <a:shade val="100000"/>
              </a:schemeClr>
            </a:gs>
            <a:gs pos="100000">
              <a:schemeClr val="accent4">
                <a:hueOff val="2639975"/>
                <a:satOff val="-11681"/>
                <a:lumOff val="-1961"/>
                <a:alphaOff val="0"/>
                <a:lumMod val="99000"/>
                <a:satMod val="120000"/>
                <a:shade val="78000"/>
              </a:schemeClr>
            </a:gs>
          </a:gsLst>
          <a:lin ang="5400000" scaled="0"/>
        </a:gradFill>
        <a:ln>
          <a:noFill/>
        </a:ln>
        <a:effectLst>
          <a:outerShdw blurRad="107950" dist="12700" dir="5400000" algn="ctr" rotWithShape="0">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IN" sz="1300" kern="1200"/>
            <a:t>Panic Attach </a:t>
          </a:r>
        </a:p>
      </dsp:txBody>
      <dsp:txXfrm>
        <a:off x="3329001" y="1824903"/>
        <a:ext cx="708703" cy="613111"/>
      </dsp:txXfrm>
    </dsp:sp>
    <dsp:sp modelId="{47AD47C7-10DF-4EE3-94D2-86FBF4AB58D6}">
      <dsp:nvSpPr>
        <dsp:cNvPr id="0" name=""/>
        <dsp:cNvSpPr/>
      </dsp:nvSpPr>
      <dsp:spPr>
        <a:xfrm>
          <a:off x="2064396" y="2248024"/>
          <a:ext cx="488049" cy="420518"/>
        </a:xfrm>
        <a:prstGeom prst="hexagon">
          <a:avLst>
            <a:gd name="adj" fmla="val 28900"/>
            <a:gd name="vf" fmla="val 115470"/>
          </a:avLst>
        </a:prstGeom>
        <a:gradFill rotWithShape="0">
          <a:gsLst>
            <a:gs pos="0">
              <a:schemeClr val="accent4">
                <a:tint val="40000"/>
                <a:hueOff val="0"/>
                <a:satOff val="0"/>
                <a:lumOff val="0"/>
                <a:alphaOff val="0"/>
                <a:satMod val="103000"/>
                <a:lumMod val="102000"/>
                <a:tint val="94000"/>
              </a:schemeClr>
            </a:gs>
            <a:gs pos="50000">
              <a:schemeClr val="accent4">
                <a:tint val="40000"/>
                <a:hueOff val="0"/>
                <a:satOff val="0"/>
                <a:lumOff val="0"/>
                <a:alphaOff val="0"/>
                <a:satMod val="110000"/>
                <a:lumMod val="100000"/>
                <a:shade val="100000"/>
              </a:schemeClr>
            </a:gs>
            <a:gs pos="100000">
              <a:schemeClr val="accent4">
                <a:tint val="40000"/>
                <a:hueOff val="0"/>
                <a:satOff val="0"/>
                <a:lumOff val="0"/>
                <a:alphaOff val="0"/>
                <a:lumMod val="99000"/>
                <a:satMod val="120000"/>
                <a:shade val="78000"/>
              </a:schemeClr>
            </a:gs>
          </a:gsLst>
          <a:lin ang="5400000" scaled="0"/>
        </a:gradFill>
        <a:ln>
          <a:noFill/>
        </a:ln>
        <a:effectLst>
          <a:outerShdw blurRad="107950" dist="12700" dir="5400000" algn="ctr" rotWithShape="0">
            <a:srgbClr val="000000"/>
          </a:outerShdw>
        </a:effectLst>
        <a:scene3d>
          <a:camera prst="orthographicFront">
            <a:rot lat="0" lon="0" rev="0"/>
          </a:camera>
          <a:lightRig rig="soft" dir="t">
            <a:rot lat="0" lon="0" rev="0"/>
          </a:lightRig>
        </a:scene3d>
        <a:sp3d z="-190500" contourW="44450" prstMaterial="matte">
          <a:bevelT w="63500" h="63500" prst="artDeco"/>
          <a:contourClr>
            <a:srgbClr val="FFFFFF"/>
          </a:contourClr>
        </a:sp3d>
      </dsp:spPr>
      <dsp:style>
        <a:lnRef idx="0">
          <a:scrgbClr r="0" g="0" b="0"/>
        </a:lnRef>
        <a:fillRef idx="3">
          <a:scrgbClr r="0" g="0" b="0"/>
        </a:fillRef>
        <a:effectRef idx="0">
          <a:scrgbClr r="0" g="0" b="0"/>
        </a:effectRef>
        <a:fontRef idx="minor"/>
      </dsp:style>
    </dsp:sp>
    <dsp:sp modelId="{02294EDC-43EF-496C-98FF-D44C80E683B4}">
      <dsp:nvSpPr>
        <dsp:cNvPr id="0" name=""/>
        <dsp:cNvSpPr/>
      </dsp:nvSpPr>
      <dsp:spPr>
        <a:xfrm>
          <a:off x="2181143" y="2237614"/>
          <a:ext cx="1060047" cy="917065"/>
        </a:xfrm>
        <a:prstGeom prst="hexagon">
          <a:avLst>
            <a:gd name="adj" fmla="val 28570"/>
            <a:gd name="vf" fmla="val 115470"/>
          </a:avLst>
        </a:prstGeom>
        <a:gradFill rotWithShape="0">
          <a:gsLst>
            <a:gs pos="0">
              <a:schemeClr val="accent4">
                <a:hueOff val="3959962"/>
                <a:satOff val="-17521"/>
                <a:lumOff val="-2942"/>
                <a:alphaOff val="0"/>
                <a:satMod val="103000"/>
                <a:lumMod val="102000"/>
                <a:tint val="94000"/>
              </a:schemeClr>
            </a:gs>
            <a:gs pos="50000">
              <a:schemeClr val="accent4">
                <a:hueOff val="3959962"/>
                <a:satOff val="-17521"/>
                <a:lumOff val="-2942"/>
                <a:alphaOff val="0"/>
                <a:satMod val="110000"/>
                <a:lumMod val="100000"/>
                <a:shade val="100000"/>
              </a:schemeClr>
            </a:gs>
            <a:gs pos="100000">
              <a:schemeClr val="accent4">
                <a:hueOff val="3959962"/>
                <a:satOff val="-17521"/>
                <a:lumOff val="-2942"/>
                <a:alphaOff val="0"/>
                <a:lumMod val="99000"/>
                <a:satMod val="120000"/>
                <a:shade val="78000"/>
              </a:schemeClr>
            </a:gs>
          </a:gsLst>
          <a:lin ang="5400000" scaled="0"/>
        </a:gradFill>
        <a:ln>
          <a:noFill/>
        </a:ln>
        <a:effectLst>
          <a:outerShdw blurRad="107950" dist="12700" dir="5400000" algn="ctr" rotWithShape="0">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IN" sz="1300" kern="1200"/>
            <a:t>Fear of another one </a:t>
          </a:r>
        </a:p>
      </dsp:txBody>
      <dsp:txXfrm>
        <a:off x="2356815" y="2389591"/>
        <a:ext cx="708703" cy="613111"/>
      </dsp:txXfrm>
    </dsp:sp>
    <dsp:sp modelId="{B4BF6F0A-8163-45AE-9013-F57A7386D544}">
      <dsp:nvSpPr>
        <dsp:cNvPr id="0" name=""/>
        <dsp:cNvSpPr/>
      </dsp:nvSpPr>
      <dsp:spPr>
        <a:xfrm>
          <a:off x="1485477" y="1462194"/>
          <a:ext cx="488049" cy="420518"/>
        </a:xfrm>
        <a:prstGeom prst="hexagon">
          <a:avLst>
            <a:gd name="adj" fmla="val 28900"/>
            <a:gd name="vf" fmla="val 115470"/>
          </a:avLst>
        </a:prstGeom>
        <a:gradFill rotWithShape="0">
          <a:gsLst>
            <a:gs pos="0">
              <a:schemeClr val="accent4">
                <a:tint val="40000"/>
                <a:hueOff val="0"/>
                <a:satOff val="0"/>
                <a:lumOff val="0"/>
                <a:alphaOff val="0"/>
                <a:satMod val="103000"/>
                <a:lumMod val="102000"/>
                <a:tint val="94000"/>
              </a:schemeClr>
            </a:gs>
            <a:gs pos="50000">
              <a:schemeClr val="accent4">
                <a:tint val="40000"/>
                <a:hueOff val="0"/>
                <a:satOff val="0"/>
                <a:lumOff val="0"/>
                <a:alphaOff val="0"/>
                <a:satMod val="110000"/>
                <a:lumMod val="100000"/>
                <a:shade val="100000"/>
              </a:schemeClr>
            </a:gs>
            <a:gs pos="100000">
              <a:schemeClr val="accent4">
                <a:tint val="40000"/>
                <a:hueOff val="0"/>
                <a:satOff val="0"/>
                <a:lumOff val="0"/>
                <a:alphaOff val="0"/>
                <a:lumMod val="99000"/>
                <a:satMod val="120000"/>
                <a:shade val="78000"/>
              </a:schemeClr>
            </a:gs>
          </a:gsLst>
          <a:lin ang="5400000" scaled="0"/>
        </a:gradFill>
        <a:ln>
          <a:noFill/>
        </a:ln>
        <a:effectLst>
          <a:outerShdw blurRad="107950" dist="12700" dir="5400000" algn="ctr" rotWithShape="0">
            <a:srgbClr val="000000"/>
          </a:outerShdw>
        </a:effectLst>
        <a:scene3d>
          <a:camera prst="orthographicFront">
            <a:rot lat="0" lon="0" rev="0"/>
          </a:camera>
          <a:lightRig rig="soft" dir="t">
            <a:rot lat="0" lon="0" rev="0"/>
          </a:lightRig>
        </a:scene3d>
        <a:sp3d z="-190500" contourW="44450" prstMaterial="matte">
          <a:bevelT w="63500" h="63500" prst="artDeco"/>
          <a:contourClr>
            <a:srgbClr val="FFFFFF"/>
          </a:contourClr>
        </a:sp3d>
      </dsp:spPr>
      <dsp:style>
        <a:lnRef idx="0">
          <a:scrgbClr r="0" g="0" b="0"/>
        </a:lnRef>
        <a:fillRef idx="3">
          <a:scrgbClr r="0" g="0" b="0"/>
        </a:fillRef>
        <a:effectRef idx="0">
          <a:scrgbClr r="0" g="0" b="0"/>
        </a:effectRef>
        <a:fontRef idx="minor"/>
      </dsp:style>
    </dsp:sp>
    <dsp:sp modelId="{267D01C5-1E08-4E07-9586-8CB8F8D19D03}">
      <dsp:nvSpPr>
        <dsp:cNvPr id="0" name=""/>
        <dsp:cNvSpPr/>
      </dsp:nvSpPr>
      <dsp:spPr>
        <a:xfrm>
          <a:off x="1204443" y="1673557"/>
          <a:ext cx="1060047" cy="917065"/>
        </a:xfrm>
        <a:prstGeom prst="hexagon">
          <a:avLst>
            <a:gd name="adj" fmla="val 28570"/>
            <a:gd name="vf" fmla="val 115470"/>
          </a:avLst>
        </a:prstGeom>
        <a:gradFill rotWithShape="0">
          <a:gsLst>
            <a:gs pos="0">
              <a:schemeClr val="accent4">
                <a:hueOff val="5279950"/>
                <a:satOff val="-23362"/>
                <a:lumOff val="-3922"/>
                <a:alphaOff val="0"/>
                <a:satMod val="103000"/>
                <a:lumMod val="102000"/>
                <a:tint val="94000"/>
              </a:schemeClr>
            </a:gs>
            <a:gs pos="50000">
              <a:schemeClr val="accent4">
                <a:hueOff val="5279950"/>
                <a:satOff val="-23362"/>
                <a:lumOff val="-3922"/>
                <a:alphaOff val="0"/>
                <a:satMod val="110000"/>
                <a:lumMod val="100000"/>
                <a:shade val="100000"/>
              </a:schemeClr>
            </a:gs>
            <a:gs pos="100000">
              <a:schemeClr val="accent4">
                <a:hueOff val="5279950"/>
                <a:satOff val="-23362"/>
                <a:lumOff val="-3922"/>
                <a:alphaOff val="0"/>
                <a:lumMod val="99000"/>
                <a:satMod val="120000"/>
                <a:shade val="78000"/>
              </a:schemeClr>
            </a:gs>
          </a:gsLst>
          <a:lin ang="5400000" scaled="0"/>
        </a:gradFill>
        <a:ln>
          <a:noFill/>
        </a:ln>
        <a:effectLst>
          <a:outerShdw blurRad="107950" dist="12700" dir="5400000" algn="ctr" rotWithShape="0">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IN" sz="1300" kern="1200"/>
            <a:t>More anxiety </a:t>
          </a:r>
        </a:p>
      </dsp:txBody>
      <dsp:txXfrm>
        <a:off x="1380115" y="1825534"/>
        <a:ext cx="708703" cy="613111"/>
      </dsp:txXfrm>
    </dsp:sp>
    <dsp:sp modelId="{D4384322-DF1E-449D-8092-DD551BE98CEB}">
      <dsp:nvSpPr>
        <dsp:cNvPr id="0" name=""/>
        <dsp:cNvSpPr/>
      </dsp:nvSpPr>
      <dsp:spPr>
        <a:xfrm>
          <a:off x="1204443" y="562794"/>
          <a:ext cx="1060047" cy="917065"/>
        </a:xfrm>
        <a:prstGeom prst="hexagon">
          <a:avLst>
            <a:gd name="adj" fmla="val 28570"/>
            <a:gd name="vf" fmla="val 115470"/>
          </a:avLst>
        </a:prstGeom>
        <a:gradFill rotWithShape="0">
          <a:gsLst>
            <a:gs pos="0">
              <a:schemeClr val="accent4">
                <a:hueOff val="6599937"/>
                <a:satOff val="-29202"/>
                <a:lumOff val="-4903"/>
                <a:alphaOff val="0"/>
                <a:satMod val="103000"/>
                <a:lumMod val="102000"/>
                <a:tint val="94000"/>
              </a:schemeClr>
            </a:gs>
            <a:gs pos="50000">
              <a:schemeClr val="accent4">
                <a:hueOff val="6599937"/>
                <a:satOff val="-29202"/>
                <a:lumOff val="-4903"/>
                <a:alphaOff val="0"/>
                <a:satMod val="110000"/>
                <a:lumMod val="100000"/>
                <a:shade val="100000"/>
              </a:schemeClr>
            </a:gs>
            <a:gs pos="100000">
              <a:schemeClr val="accent4">
                <a:hueOff val="6599937"/>
                <a:satOff val="-29202"/>
                <a:lumOff val="-4903"/>
                <a:alphaOff val="0"/>
                <a:lumMod val="99000"/>
                <a:satMod val="120000"/>
                <a:shade val="78000"/>
              </a:schemeClr>
            </a:gs>
          </a:gsLst>
          <a:lin ang="5400000" scaled="0"/>
        </a:gradFill>
        <a:ln>
          <a:noFill/>
        </a:ln>
        <a:effectLst>
          <a:outerShdw blurRad="107950" dist="12700" dir="5400000" algn="ctr" rotWithShape="0">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IN" sz="1300" kern="1200"/>
            <a:t>Another attack</a:t>
          </a:r>
        </a:p>
      </dsp:txBody>
      <dsp:txXfrm>
        <a:off x="1380115" y="714771"/>
        <a:ext cx="708703" cy="613111"/>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3369B4-956E-4066-B3F0-D2B12C7C8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24</Pages>
  <Words>5901</Words>
  <Characters>33641</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Geetha</dc:creator>
  <cp:keywords/>
  <dc:description/>
  <cp:lastModifiedBy>geedhruv19@gmail.com</cp:lastModifiedBy>
  <cp:revision>4</cp:revision>
  <dcterms:created xsi:type="dcterms:W3CDTF">2026-06-26T10:28:00Z</dcterms:created>
  <dcterms:modified xsi:type="dcterms:W3CDTF">2026-06-26T10:44:00Z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3b55236d-9242-42d5-a679-e49f62aa7924</vt:lpwstr>
  </property>
</Properties>
</file>