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DEF62" w14:textId="77777777" w:rsidR="00A323E3" w:rsidRDefault="00A323E3" w:rsidP="00A323E3">
      <w:pPr>
        <w:pStyle w:val="NormalWeb"/>
        <w:spacing w:before="0" w:beforeAutospacing="0" w:after="0" w:afterAutospacing="0"/>
        <w:ind w:left="-180" w:right="-334"/>
        <w:rPr>
          <w:rFonts w:ascii="Trebuchet MS" w:hAnsi="Trebuchet MS" w:cs="Tahoma"/>
          <w:sz w:val="24"/>
          <w:szCs w:val="24"/>
        </w:rPr>
      </w:pPr>
      <w:bookmarkStart w:id="0" w:name="_Hlk530613494"/>
      <w:r>
        <w:rPr>
          <w:noProof/>
        </w:rPr>
        <w:drawing>
          <wp:inline distT="0" distB="0" distL="0" distR="0" wp14:anchorId="058FA90E" wp14:editId="73553BD3">
            <wp:extent cx="2799968" cy="1019856"/>
            <wp:effectExtent l="19050" t="19050" r="19685" b="2794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38114" cy="1033750"/>
                    </a:xfrm>
                    <a:prstGeom prst="rect">
                      <a:avLst/>
                    </a:prstGeom>
                    <a:noFill/>
                    <a:ln w="19050" cmpd="sng">
                      <a:solidFill>
                        <a:srgbClr val="000000"/>
                      </a:solidFill>
                      <a:miter lim="800000"/>
                      <a:headEnd/>
                      <a:tailEnd/>
                    </a:ln>
                    <a:effectLst/>
                  </pic:spPr>
                </pic:pic>
              </a:graphicData>
            </a:graphic>
          </wp:inline>
        </w:drawing>
      </w:r>
    </w:p>
    <w:p w14:paraId="599572C5" w14:textId="77777777" w:rsidR="00A323E3" w:rsidRDefault="00A323E3" w:rsidP="00A323E3">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tbl>
      <w:tblPr>
        <w:tblpPr w:leftFromText="180" w:rightFromText="180" w:vertAnchor="text" w:horzAnchor="margin" w:tblpY="699"/>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85"/>
        <w:gridCol w:w="2104"/>
        <w:gridCol w:w="2647"/>
      </w:tblGrid>
      <w:tr w:rsidR="00A323E3" w:rsidRPr="0065654E" w14:paraId="1A48AE3C" w14:textId="77777777" w:rsidTr="00774B75">
        <w:trPr>
          <w:trHeight w:val="390"/>
        </w:trPr>
        <w:tc>
          <w:tcPr>
            <w:tcW w:w="9836" w:type="dxa"/>
            <w:gridSpan w:val="3"/>
            <w:tcBorders>
              <w:top w:val="single" w:sz="4" w:space="0" w:color="auto"/>
              <w:left w:val="single" w:sz="4" w:space="0" w:color="auto"/>
              <w:bottom w:val="single" w:sz="4" w:space="0" w:color="auto"/>
              <w:right w:val="single" w:sz="4" w:space="0" w:color="auto"/>
            </w:tcBorders>
            <w:vAlign w:val="center"/>
          </w:tcPr>
          <w:p w14:paraId="5560C62F" w14:textId="77777777" w:rsidR="00A323E3" w:rsidRDefault="00A323E3" w:rsidP="00774B75">
            <w:pPr>
              <w:pStyle w:val="NormalWeb"/>
              <w:spacing w:before="0" w:beforeAutospacing="0" w:after="0" w:afterAutospacing="0"/>
              <w:ind w:right="34"/>
              <w:rPr>
                <w:rFonts w:ascii="Calibri" w:hAnsi="Calibri" w:cs="Tahoma"/>
                <w:i/>
                <w:sz w:val="24"/>
                <w:szCs w:val="24"/>
              </w:rPr>
            </w:pPr>
            <w:bookmarkStart w:id="1" w:name="_Hlk536795148"/>
            <w:r w:rsidRPr="0065654E">
              <w:rPr>
                <w:rFonts w:ascii="Calibri" w:hAnsi="Calibri" w:cs="Tahoma"/>
                <w:i/>
                <w:sz w:val="24"/>
                <w:szCs w:val="24"/>
              </w:rPr>
              <w:t>Student Na</w:t>
            </w:r>
            <w:r>
              <w:rPr>
                <w:rFonts w:ascii="Calibri" w:hAnsi="Calibri" w:cs="Tahoma"/>
                <w:i/>
                <w:sz w:val="24"/>
                <w:szCs w:val="24"/>
              </w:rPr>
              <w:t>me: Annie Thomas</w:t>
            </w:r>
          </w:p>
          <w:p w14:paraId="7C9FD203" w14:textId="77777777" w:rsidR="00A323E3" w:rsidRPr="0065654E" w:rsidRDefault="00A323E3" w:rsidP="00774B75">
            <w:pPr>
              <w:pStyle w:val="NormalWeb"/>
              <w:spacing w:before="0" w:beforeAutospacing="0" w:after="0" w:afterAutospacing="0"/>
              <w:ind w:right="34"/>
              <w:rPr>
                <w:rFonts w:ascii="Calibri" w:hAnsi="Calibri" w:cs="Tahoma"/>
                <w:i/>
                <w:sz w:val="24"/>
                <w:szCs w:val="24"/>
              </w:rPr>
            </w:pPr>
          </w:p>
        </w:tc>
      </w:tr>
      <w:tr w:rsidR="00A323E3" w:rsidRPr="0065654E" w14:paraId="66D17B7C" w14:textId="77777777" w:rsidTr="00774B75">
        <w:trPr>
          <w:trHeight w:val="461"/>
        </w:trPr>
        <w:tc>
          <w:tcPr>
            <w:tcW w:w="5085" w:type="dxa"/>
            <w:tcBorders>
              <w:top w:val="single" w:sz="4" w:space="0" w:color="auto"/>
              <w:left w:val="single" w:sz="4" w:space="0" w:color="auto"/>
              <w:bottom w:val="single" w:sz="4" w:space="0" w:color="auto"/>
              <w:right w:val="single" w:sz="4" w:space="0" w:color="auto"/>
            </w:tcBorders>
            <w:vAlign w:val="center"/>
          </w:tcPr>
          <w:p w14:paraId="7150F20F" w14:textId="77777777" w:rsidR="00A323E3" w:rsidRDefault="00A323E3" w:rsidP="00774B75">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HPEN5006</w:t>
            </w:r>
          </w:p>
          <w:p w14:paraId="4963277A" w14:textId="77777777" w:rsidR="00A323E3" w:rsidRDefault="00A323E3" w:rsidP="00774B75">
            <w:pPr>
              <w:pStyle w:val="NormalWeb"/>
              <w:spacing w:before="0" w:beforeAutospacing="0" w:after="0" w:afterAutospacing="0"/>
              <w:ind w:right="34"/>
              <w:rPr>
                <w:rFonts w:ascii="Calibri" w:hAnsi="Calibri" w:cs="Tahoma"/>
                <w:i/>
                <w:sz w:val="24"/>
                <w:szCs w:val="24"/>
              </w:rPr>
            </w:pPr>
          </w:p>
          <w:p w14:paraId="7BEE613D" w14:textId="042C60B5" w:rsidR="00A323E3" w:rsidRDefault="00A323E3" w:rsidP="00774B75">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The Rational World: Enlightenment and the Novel (</w:t>
            </w:r>
            <w:r>
              <w:rPr>
                <w:rFonts w:ascii="Calibri" w:hAnsi="Calibri" w:cs="Tahoma"/>
                <w:i/>
                <w:sz w:val="24"/>
                <w:szCs w:val="24"/>
              </w:rPr>
              <w:t>2</w:t>
            </w:r>
            <w:r>
              <w:rPr>
                <w:rFonts w:ascii="Calibri" w:hAnsi="Calibri" w:cs="Tahoma"/>
                <w:i/>
                <w:sz w:val="24"/>
                <w:szCs w:val="24"/>
              </w:rPr>
              <w:t>)</w:t>
            </w:r>
          </w:p>
          <w:p w14:paraId="03154CE9" w14:textId="77777777" w:rsidR="00A323E3" w:rsidRPr="0065654E" w:rsidRDefault="00A323E3" w:rsidP="00774B75">
            <w:pPr>
              <w:pStyle w:val="NormalWeb"/>
              <w:spacing w:before="0" w:beforeAutospacing="0" w:after="0" w:afterAutospacing="0"/>
              <w:ind w:right="34"/>
              <w:rPr>
                <w:rFonts w:ascii="Calibri" w:hAnsi="Calibri" w:cs="Tahoma"/>
                <w:i/>
                <w:sz w:val="24"/>
                <w:szCs w:val="24"/>
              </w:rPr>
            </w:pPr>
          </w:p>
        </w:tc>
        <w:tc>
          <w:tcPr>
            <w:tcW w:w="4750" w:type="dxa"/>
            <w:gridSpan w:val="2"/>
            <w:tcBorders>
              <w:top w:val="single" w:sz="4" w:space="0" w:color="auto"/>
              <w:left w:val="single" w:sz="4" w:space="0" w:color="auto"/>
              <w:bottom w:val="single" w:sz="4" w:space="0" w:color="auto"/>
              <w:right w:val="single" w:sz="4" w:space="0" w:color="auto"/>
            </w:tcBorders>
          </w:tcPr>
          <w:p w14:paraId="633441E9" w14:textId="77777777" w:rsidR="00A323E3" w:rsidRPr="0065654E" w:rsidRDefault="00A323E3" w:rsidP="00774B75">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A323E3" w:rsidRPr="0065654E" w14:paraId="7D47A11C" w14:textId="77777777" w:rsidTr="00774B75">
        <w:trPr>
          <w:trHeight w:val="2166"/>
        </w:trPr>
        <w:tc>
          <w:tcPr>
            <w:tcW w:w="9836" w:type="dxa"/>
            <w:gridSpan w:val="3"/>
            <w:tcBorders>
              <w:top w:val="single" w:sz="4" w:space="0" w:color="auto"/>
              <w:left w:val="single" w:sz="4" w:space="0" w:color="auto"/>
              <w:bottom w:val="single" w:sz="4" w:space="0" w:color="auto"/>
              <w:right w:val="single" w:sz="4" w:space="0" w:color="auto"/>
            </w:tcBorders>
          </w:tcPr>
          <w:p w14:paraId="0D7B2DD9" w14:textId="77777777" w:rsidR="00A323E3" w:rsidRPr="0065654E" w:rsidRDefault="00A323E3" w:rsidP="00774B75">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99AA397" w14:textId="77777777" w:rsidR="00A323E3" w:rsidRDefault="00A323E3" w:rsidP="00774B75">
            <w:pPr>
              <w:pStyle w:val="NormalWeb"/>
              <w:rPr>
                <w:rFonts w:ascii="Calibri" w:hAnsi="Calibri" w:cs="Tahoma"/>
                <w:i/>
                <w:sz w:val="24"/>
                <w:szCs w:val="24"/>
              </w:rPr>
            </w:pPr>
            <w:r w:rsidRPr="0065654E">
              <w:rPr>
                <w:rFonts w:ascii="Calibri" w:hAnsi="Calibri" w:cs="Tahoma"/>
                <w:i/>
                <w:sz w:val="24"/>
                <w:szCs w:val="24"/>
              </w:rPr>
              <w:t>Comments:</w:t>
            </w:r>
          </w:p>
          <w:p w14:paraId="4C82B5D1" w14:textId="77777777" w:rsidR="00A323E3" w:rsidRDefault="00A323E3" w:rsidP="00774B75">
            <w:pPr>
              <w:pStyle w:val="NormalWeb"/>
              <w:rPr>
                <w:rFonts w:ascii="Calibri" w:hAnsi="Calibri" w:cs="Tahoma"/>
                <w:i/>
                <w:sz w:val="24"/>
                <w:szCs w:val="24"/>
              </w:rPr>
            </w:pPr>
          </w:p>
          <w:p w14:paraId="4D85E439" w14:textId="77777777" w:rsidR="00A323E3" w:rsidRDefault="00A323E3" w:rsidP="00774B75">
            <w:pPr>
              <w:pStyle w:val="NormalWeb"/>
              <w:rPr>
                <w:rFonts w:ascii="Calibri" w:hAnsi="Calibri" w:cs="Tahoma"/>
                <w:i/>
                <w:sz w:val="24"/>
                <w:szCs w:val="24"/>
              </w:rPr>
            </w:pPr>
          </w:p>
          <w:p w14:paraId="24913B9F" w14:textId="77777777" w:rsidR="00A323E3" w:rsidRDefault="00A323E3" w:rsidP="00774B75">
            <w:pPr>
              <w:pStyle w:val="NormalWeb"/>
              <w:rPr>
                <w:rFonts w:ascii="Calibri" w:hAnsi="Calibri" w:cs="Tahoma"/>
                <w:i/>
                <w:sz w:val="24"/>
                <w:szCs w:val="24"/>
              </w:rPr>
            </w:pPr>
          </w:p>
          <w:p w14:paraId="72A8FF3A" w14:textId="77777777" w:rsidR="00A323E3" w:rsidRDefault="00A323E3" w:rsidP="00774B75">
            <w:pPr>
              <w:pStyle w:val="NormalWeb"/>
              <w:rPr>
                <w:rFonts w:ascii="Calibri" w:hAnsi="Calibri" w:cs="Tahoma"/>
                <w:i/>
                <w:sz w:val="24"/>
                <w:szCs w:val="24"/>
              </w:rPr>
            </w:pPr>
          </w:p>
          <w:p w14:paraId="58544450" w14:textId="77777777" w:rsidR="00A323E3" w:rsidRDefault="00A323E3" w:rsidP="00774B75">
            <w:pPr>
              <w:pStyle w:val="NormalWeb"/>
              <w:rPr>
                <w:rFonts w:ascii="Calibri" w:hAnsi="Calibri" w:cs="Tahoma"/>
                <w:i/>
                <w:sz w:val="24"/>
                <w:szCs w:val="24"/>
              </w:rPr>
            </w:pPr>
          </w:p>
          <w:p w14:paraId="33CD8ECD" w14:textId="77777777" w:rsidR="00A323E3" w:rsidRDefault="00A323E3" w:rsidP="00774B75">
            <w:pPr>
              <w:pStyle w:val="NormalWeb"/>
              <w:rPr>
                <w:rFonts w:ascii="Calibri" w:hAnsi="Calibri" w:cs="Tahoma"/>
                <w:i/>
                <w:sz w:val="24"/>
                <w:szCs w:val="24"/>
              </w:rPr>
            </w:pPr>
          </w:p>
          <w:p w14:paraId="6FEC0ADD" w14:textId="77777777" w:rsidR="00A323E3" w:rsidRDefault="00A323E3" w:rsidP="00774B75">
            <w:pPr>
              <w:pStyle w:val="NormalWeb"/>
              <w:rPr>
                <w:rFonts w:ascii="Calibri" w:hAnsi="Calibri" w:cs="Tahoma"/>
                <w:i/>
                <w:sz w:val="24"/>
                <w:szCs w:val="24"/>
              </w:rPr>
            </w:pPr>
          </w:p>
          <w:p w14:paraId="4D69A98F" w14:textId="77777777" w:rsidR="00A323E3" w:rsidRDefault="00A323E3" w:rsidP="00774B75">
            <w:pPr>
              <w:pStyle w:val="NormalWeb"/>
              <w:rPr>
                <w:rFonts w:ascii="Calibri" w:hAnsi="Calibri" w:cs="Tahoma"/>
                <w:i/>
                <w:sz w:val="24"/>
                <w:szCs w:val="24"/>
              </w:rPr>
            </w:pPr>
          </w:p>
          <w:p w14:paraId="699AB4BA" w14:textId="77777777" w:rsidR="00A323E3" w:rsidRDefault="00A323E3" w:rsidP="00774B75">
            <w:pPr>
              <w:pStyle w:val="NormalWeb"/>
              <w:rPr>
                <w:rFonts w:ascii="Calibri" w:hAnsi="Calibri" w:cs="Tahoma"/>
                <w:i/>
                <w:sz w:val="24"/>
                <w:szCs w:val="24"/>
              </w:rPr>
            </w:pPr>
          </w:p>
          <w:p w14:paraId="6F144558" w14:textId="77777777" w:rsidR="00A323E3" w:rsidRDefault="00A323E3" w:rsidP="00774B75">
            <w:pPr>
              <w:pStyle w:val="NormalWeb"/>
              <w:rPr>
                <w:rFonts w:ascii="Calibri" w:hAnsi="Calibri" w:cs="Tahoma"/>
                <w:i/>
                <w:sz w:val="24"/>
                <w:szCs w:val="24"/>
              </w:rPr>
            </w:pPr>
          </w:p>
          <w:p w14:paraId="77B531E2" w14:textId="77777777" w:rsidR="00A323E3" w:rsidRPr="0065654E" w:rsidRDefault="00A323E3" w:rsidP="00774B75">
            <w:pPr>
              <w:pStyle w:val="NormalWeb"/>
              <w:rPr>
                <w:rFonts w:ascii="Calibri" w:hAnsi="Calibri" w:cs="Tahoma"/>
                <w:i/>
                <w:sz w:val="24"/>
                <w:szCs w:val="24"/>
              </w:rPr>
            </w:pPr>
          </w:p>
        </w:tc>
      </w:tr>
      <w:tr w:rsidR="00A323E3" w:rsidRPr="0065654E" w14:paraId="4D71324F" w14:textId="77777777" w:rsidTr="00774B75">
        <w:trPr>
          <w:trHeight w:val="264"/>
        </w:trPr>
        <w:tc>
          <w:tcPr>
            <w:tcW w:w="7189" w:type="dxa"/>
            <w:gridSpan w:val="2"/>
            <w:tcBorders>
              <w:top w:val="single" w:sz="4" w:space="0" w:color="auto"/>
            </w:tcBorders>
            <w:vAlign w:val="center"/>
          </w:tcPr>
          <w:p w14:paraId="3FFCB2AC" w14:textId="77777777" w:rsidR="00A323E3" w:rsidRPr="0065654E" w:rsidRDefault="00A323E3" w:rsidP="00774B75">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2646" w:type="dxa"/>
            <w:tcBorders>
              <w:top w:val="single" w:sz="4" w:space="0" w:color="auto"/>
            </w:tcBorders>
            <w:vAlign w:val="center"/>
          </w:tcPr>
          <w:p w14:paraId="5C5F41EE" w14:textId="77777777" w:rsidR="00A323E3" w:rsidRPr="0065654E" w:rsidRDefault="00A323E3" w:rsidP="00774B75">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A323E3" w:rsidRPr="0065654E" w14:paraId="36892822" w14:textId="77777777" w:rsidTr="00774B75">
        <w:trPr>
          <w:trHeight w:val="650"/>
        </w:trPr>
        <w:tc>
          <w:tcPr>
            <w:tcW w:w="9836" w:type="dxa"/>
            <w:gridSpan w:val="3"/>
            <w:vAlign w:val="center"/>
          </w:tcPr>
          <w:p w14:paraId="0AA3DB4B" w14:textId="77777777" w:rsidR="00A323E3" w:rsidRDefault="00A323E3" w:rsidP="00774B75">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4B207083" w14:textId="77777777" w:rsidR="00A323E3" w:rsidRPr="0065654E" w:rsidRDefault="00A323E3" w:rsidP="00774B75">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bookmarkEnd w:id="0"/>
    <w:bookmarkEnd w:id="1"/>
    <w:p w14:paraId="46D57253" w14:textId="77777777" w:rsidR="00A323E3" w:rsidRPr="001E50BB" w:rsidRDefault="00A323E3" w:rsidP="00A323E3">
      <w:pPr>
        <w:jc w:val="center"/>
        <w:rPr>
          <w:rFonts w:ascii="Arial" w:hAnsi="Arial" w:cs="Arial"/>
          <w:b/>
          <w:lang w:val="cy-GB"/>
        </w:rPr>
      </w:pPr>
      <w:r w:rsidRPr="001E50BB">
        <w:rPr>
          <w:rFonts w:ascii="Arial" w:hAnsi="Arial" w:cs="Arial"/>
          <w:b/>
          <w:lang w:val="cy-GB"/>
        </w:rPr>
        <w:t xml:space="preserve"> (to be completed by marker)</w:t>
      </w:r>
    </w:p>
    <w:p w14:paraId="176E7209" w14:textId="77777777" w:rsidR="00A323E3" w:rsidRDefault="00A323E3" w:rsidP="00F7416C">
      <w:pPr>
        <w:rPr>
          <w:b/>
          <w:sz w:val="24"/>
          <w:szCs w:val="24"/>
        </w:rPr>
      </w:pPr>
    </w:p>
    <w:p w14:paraId="163342C9" w14:textId="27E50145" w:rsidR="00F7416C" w:rsidRDefault="00F7416C" w:rsidP="00E07E16">
      <w:pPr>
        <w:spacing w:after="100" w:afterAutospacing="1"/>
        <w:rPr>
          <w:b/>
          <w:sz w:val="24"/>
          <w:szCs w:val="24"/>
        </w:rPr>
      </w:pPr>
      <w:r w:rsidRPr="00D34C59">
        <w:rPr>
          <w:b/>
          <w:sz w:val="24"/>
          <w:szCs w:val="24"/>
        </w:rPr>
        <w:lastRenderedPageBreak/>
        <w:t>A Cuckoo in the Nest: the Influence of the Intruder’s Gaze</w:t>
      </w:r>
      <w:r>
        <w:rPr>
          <w:b/>
          <w:sz w:val="24"/>
          <w:szCs w:val="24"/>
        </w:rPr>
        <w:t xml:space="preserve"> on </w:t>
      </w:r>
      <w:r w:rsidRPr="00D34C59">
        <w:rPr>
          <w:b/>
          <w:sz w:val="24"/>
          <w:szCs w:val="24"/>
        </w:rPr>
        <w:t>19</w:t>
      </w:r>
      <w:r w:rsidRPr="00D34C59">
        <w:rPr>
          <w:b/>
          <w:sz w:val="24"/>
          <w:szCs w:val="24"/>
          <w:vertAlign w:val="superscript"/>
        </w:rPr>
        <w:t>th</w:t>
      </w:r>
      <w:r w:rsidRPr="00D34C59">
        <w:rPr>
          <w:b/>
          <w:sz w:val="24"/>
          <w:szCs w:val="24"/>
        </w:rPr>
        <w:t xml:space="preserve"> Century Society.</w:t>
      </w:r>
    </w:p>
    <w:p w14:paraId="0A9CDBFE" w14:textId="718F1978" w:rsidR="002140AA" w:rsidRDefault="002140AA" w:rsidP="00E07E16">
      <w:pPr>
        <w:spacing w:before="240" w:after="100" w:afterAutospacing="1"/>
        <w:rPr>
          <w:sz w:val="24"/>
          <w:szCs w:val="24"/>
        </w:rPr>
      </w:pPr>
      <w:bookmarkStart w:id="2" w:name="_GoBack"/>
      <w:r>
        <w:rPr>
          <w:sz w:val="24"/>
          <w:szCs w:val="24"/>
        </w:rPr>
        <w:t xml:space="preserve">Count Fosco, the villainous mesmerist of </w:t>
      </w:r>
      <w:r>
        <w:rPr>
          <w:i/>
          <w:sz w:val="24"/>
          <w:szCs w:val="24"/>
        </w:rPr>
        <w:t xml:space="preserve">The Woman in </w:t>
      </w:r>
      <w:r w:rsidRPr="0060115D">
        <w:rPr>
          <w:i/>
          <w:sz w:val="24"/>
          <w:szCs w:val="24"/>
        </w:rPr>
        <w:t>White</w:t>
      </w:r>
      <w:r>
        <w:rPr>
          <w:sz w:val="24"/>
          <w:szCs w:val="24"/>
        </w:rPr>
        <w:t xml:space="preserve"> (1860),</w:t>
      </w:r>
      <w:r>
        <w:rPr>
          <w:i/>
          <w:sz w:val="24"/>
          <w:szCs w:val="24"/>
        </w:rPr>
        <w:t xml:space="preserve"> </w:t>
      </w:r>
      <w:r>
        <w:rPr>
          <w:sz w:val="24"/>
          <w:szCs w:val="24"/>
        </w:rPr>
        <w:t>enjoys an extensive description which notes his extraordinary character and appearance, but is summed up thus: ‘the marked peculiarity which singles him out from the rank and file of humanity lies, entirely…in the extraordinary power of his eyes.’</w:t>
      </w:r>
      <w:r>
        <w:rPr>
          <w:rStyle w:val="FootnoteReference"/>
          <w:sz w:val="24"/>
          <w:szCs w:val="24"/>
        </w:rPr>
        <w:footnoteReference w:id="1"/>
      </w:r>
      <w:r>
        <w:rPr>
          <w:sz w:val="24"/>
          <w:szCs w:val="24"/>
        </w:rPr>
        <w:t xml:space="preserve"> This startling description of the intruder</w:t>
      </w:r>
      <w:r w:rsidR="00837671">
        <w:rPr>
          <w:sz w:val="24"/>
          <w:szCs w:val="24"/>
        </w:rPr>
        <w:t>,</w:t>
      </w:r>
      <w:r>
        <w:rPr>
          <w:sz w:val="24"/>
          <w:szCs w:val="24"/>
        </w:rPr>
        <w:t xml:space="preserve"> as a powerful set of mesmerising eyes</w:t>
      </w:r>
      <w:r w:rsidR="00837671">
        <w:rPr>
          <w:sz w:val="24"/>
          <w:szCs w:val="24"/>
        </w:rPr>
        <w:t>,</w:t>
      </w:r>
      <w:r>
        <w:rPr>
          <w:sz w:val="24"/>
          <w:szCs w:val="24"/>
        </w:rPr>
        <w:t xml:space="preserve"> offers the possibility of understanding how less obvious textual intruders might </w:t>
      </w:r>
      <w:r w:rsidR="001A275E">
        <w:rPr>
          <w:sz w:val="24"/>
          <w:szCs w:val="24"/>
        </w:rPr>
        <w:t>be read</w:t>
      </w:r>
      <w:r>
        <w:rPr>
          <w:sz w:val="24"/>
          <w:szCs w:val="24"/>
        </w:rPr>
        <w:t>. While Fosco has all the villainy classically associated with the intruder, villainy is not universally required for the role. An intruder may simply be one that finds themselves in a world that is not their own, a description that could be applied to Fanny Price (</w:t>
      </w:r>
      <w:r>
        <w:rPr>
          <w:i/>
          <w:sz w:val="24"/>
          <w:szCs w:val="24"/>
        </w:rPr>
        <w:t>Mansfield Park</w:t>
      </w:r>
      <w:r>
        <w:rPr>
          <w:sz w:val="24"/>
          <w:szCs w:val="24"/>
        </w:rPr>
        <w:t xml:space="preserve">, 1814). Fanny is small, weak, and socially almost mute; this lack of presence also renders </w:t>
      </w:r>
      <w:r w:rsidRPr="00141B3C">
        <w:rPr>
          <w:sz w:val="24"/>
          <w:szCs w:val="24"/>
        </w:rPr>
        <w:t>her</w:t>
      </w:r>
      <w:r>
        <w:rPr>
          <w:sz w:val="24"/>
          <w:szCs w:val="24"/>
        </w:rPr>
        <w:t xml:space="preserve"> no more than a set of eyes. She employs her gaze so that we see what it is to be a poor relative, plunged into a world of wealth and power without any of the personal advantages required to navigate it. Despite this, like a cuckoo in the nest, Fanny comes to usurp the daughters of the family she joins. She achieves all she could hope for, but only at the family’s near-destruction: as Waldron puts it ‘nobody has got quite what [they] wanted – except Fanny’.</w:t>
      </w:r>
      <w:r>
        <w:rPr>
          <w:rStyle w:val="FootnoteReference"/>
          <w:sz w:val="24"/>
          <w:szCs w:val="24"/>
        </w:rPr>
        <w:footnoteReference w:id="2"/>
      </w:r>
      <w:r>
        <w:rPr>
          <w:sz w:val="24"/>
          <w:szCs w:val="24"/>
        </w:rPr>
        <w:t xml:space="preserve"> Since all this comes to pass without Fanny ever employing more than her gaze, perhaps </w:t>
      </w:r>
      <w:r w:rsidRPr="009C1CC6">
        <w:rPr>
          <w:sz w:val="24"/>
          <w:szCs w:val="24"/>
        </w:rPr>
        <w:t>there is</w:t>
      </w:r>
      <w:r>
        <w:rPr>
          <w:sz w:val="24"/>
          <w:szCs w:val="24"/>
        </w:rPr>
        <w:t xml:space="preserve"> also </w:t>
      </w:r>
      <w:r w:rsidRPr="009C1CC6">
        <w:rPr>
          <w:sz w:val="24"/>
          <w:szCs w:val="24"/>
        </w:rPr>
        <w:t xml:space="preserve">something of the mesmerist </w:t>
      </w:r>
      <w:r>
        <w:rPr>
          <w:sz w:val="24"/>
          <w:szCs w:val="24"/>
        </w:rPr>
        <w:t xml:space="preserve">about her. </w:t>
      </w:r>
      <w:r w:rsidR="001B6D46">
        <w:rPr>
          <w:sz w:val="24"/>
          <w:szCs w:val="24"/>
        </w:rPr>
        <w:t>This connection between Fanny and Fosco</w:t>
      </w:r>
      <w:r w:rsidR="00770F66">
        <w:rPr>
          <w:sz w:val="24"/>
          <w:szCs w:val="24"/>
        </w:rPr>
        <w:t xml:space="preserve"> </w:t>
      </w:r>
      <w:r w:rsidR="001B6D46">
        <w:rPr>
          <w:sz w:val="24"/>
          <w:szCs w:val="24"/>
        </w:rPr>
        <w:t>allows the influence of the gaze to be studied through</w:t>
      </w:r>
      <w:r w:rsidR="00770F66">
        <w:rPr>
          <w:sz w:val="24"/>
          <w:szCs w:val="24"/>
        </w:rPr>
        <w:t xml:space="preserve"> their texts,</w:t>
      </w:r>
      <w:r w:rsidR="001B6D46">
        <w:rPr>
          <w:sz w:val="24"/>
          <w:szCs w:val="24"/>
        </w:rPr>
        <w:t xml:space="preserve"> </w:t>
      </w:r>
      <w:r w:rsidR="00770F66">
        <w:rPr>
          <w:i/>
          <w:sz w:val="24"/>
          <w:szCs w:val="24"/>
        </w:rPr>
        <w:t>Mansfield Park</w:t>
      </w:r>
      <w:r w:rsidR="00770F66">
        <w:rPr>
          <w:sz w:val="24"/>
          <w:szCs w:val="24"/>
        </w:rPr>
        <w:t xml:space="preserve"> and </w:t>
      </w:r>
      <w:r w:rsidR="00770F66">
        <w:rPr>
          <w:i/>
          <w:sz w:val="24"/>
          <w:szCs w:val="24"/>
        </w:rPr>
        <w:t>The Woman in White</w:t>
      </w:r>
      <w:r w:rsidR="001B6D46">
        <w:rPr>
          <w:sz w:val="24"/>
          <w:szCs w:val="24"/>
        </w:rPr>
        <w:t>.</w:t>
      </w:r>
    </w:p>
    <w:p w14:paraId="3EB049E8" w14:textId="640768FF" w:rsidR="002140AA" w:rsidRPr="00666C89" w:rsidRDefault="002140AA" w:rsidP="00E07E16">
      <w:pPr>
        <w:spacing w:before="240" w:after="100" w:afterAutospacing="1"/>
        <w:rPr>
          <w:sz w:val="24"/>
          <w:szCs w:val="24"/>
        </w:rPr>
      </w:pPr>
      <w:r>
        <w:rPr>
          <w:sz w:val="24"/>
          <w:szCs w:val="24"/>
        </w:rPr>
        <w:t>The gaze has a destructive and reconstructive power, from both the wicked and the ben</w:t>
      </w:r>
      <w:r w:rsidR="00455BE3">
        <w:rPr>
          <w:sz w:val="24"/>
          <w:szCs w:val="24"/>
        </w:rPr>
        <w:t>ign</w:t>
      </w:r>
      <w:r>
        <w:rPr>
          <w:sz w:val="24"/>
          <w:szCs w:val="24"/>
        </w:rPr>
        <w:t xml:space="preserve"> intruder. Intertextually</w:t>
      </w:r>
      <w:r w:rsidR="00E04FC9">
        <w:rPr>
          <w:sz w:val="24"/>
          <w:szCs w:val="24"/>
        </w:rPr>
        <w:t>,</w:t>
      </w:r>
      <w:r>
        <w:rPr>
          <w:sz w:val="24"/>
          <w:szCs w:val="24"/>
        </w:rPr>
        <w:t xml:space="preserve"> these two sorts of intruder are distinguishable as distinct types. The </w:t>
      </w:r>
      <w:r>
        <w:rPr>
          <w:sz w:val="24"/>
          <w:szCs w:val="24"/>
        </w:rPr>
        <w:lastRenderedPageBreak/>
        <w:t>most immediately powerful is the wicked: a mesmeric foreign or exotic intruder, happy to brutally dismantle the society they intrude upon to meet their own ends. Fosco and Henry Crawford</w:t>
      </w:r>
      <w:r w:rsidR="00462E3B">
        <w:rPr>
          <w:sz w:val="24"/>
          <w:szCs w:val="24"/>
        </w:rPr>
        <w:t xml:space="preserve"> (</w:t>
      </w:r>
      <w:r w:rsidR="00462E3B">
        <w:rPr>
          <w:i/>
          <w:sz w:val="24"/>
          <w:szCs w:val="24"/>
        </w:rPr>
        <w:t>Mansfield Park</w:t>
      </w:r>
      <w:r w:rsidR="00462E3B">
        <w:rPr>
          <w:sz w:val="24"/>
          <w:szCs w:val="24"/>
        </w:rPr>
        <w:t>)</w:t>
      </w:r>
      <w:r>
        <w:rPr>
          <w:sz w:val="24"/>
          <w:szCs w:val="24"/>
        </w:rPr>
        <w:t xml:space="preserve"> will be deemed such.</w:t>
      </w:r>
      <w:r>
        <w:rPr>
          <w:rStyle w:val="FootnoteReference"/>
          <w:sz w:val="24"/>
          <w:szCs w:val="24"/>
        </w:rPr>
        <w:footnoteReference w:id="3"/>
      </w:r>
      <w:r>
        <w:rPr>
          <w:sz w:val="24"/>
          <w:szCs w:val="24"/>
        </w:rPr>
        <w:t xml:space="preserve"> </w:t>
      </w:r>
      <w:r w:rsidR="00CF7650">
        <w:rPr>
          <w:sz w:val="24"/>
          <w:szCs w:val="24"/>
        </w:rPr>
        <w:t xml:space="preserve">In contrast, </w:t>
      </w:r>
      <w:r>
        <w:rPr>
          <w:sz w:val="24"/>
          <w:szCs w:val="24"/>
        </w:rPr>
        <w:t>the ben</w:t>
      </w:r>
      <w:r w:rsidR="00C33FF4">
        <w:rPr>
          <w:sz w:val="24"/>
          <w:szCs w:val="24"/>
        </w:rPr>
        <w:t>ign</w:t>
      </w:r>
      <w:r w:rsidR="00675889">
        <w:rPr>
          <w:sz w:val="24"/>
          <w:szCs w:val="24"/>
        </w:rPr>
        <w:t xml:space="preserve"> </w:t>
      </w:r>
      <w:r>
        <w:rPr>
          <w:sz w:val="24"/>
          <w:szCs w:val="24"/>
        </w:rPr>
        <w:t>intrude</w:t>
      </w:r>
      <w:r w:rsidR="004E0FF8">
        <w:rPr>
          <w:sz w:val="24"/>
          <w:szCs w:val="24"/>
        </w:rPr>
        <w:t>r is one</w:t>
      </w:r>
      <w:r>
        <w:rPr>
          <w:sz w:val="24"/>
          <w:szCs w:val="24"/>
        </w:rPr>
        <w:t xml:space="preserve"> from a lower class</w:t>
      </w:r>
      <w:r w:rsidR="0064721D">
        <w:rPr>
          <w:sz w:val="24"/>
          <w:szCs w:val="24"/>
        </w:rPr>
        <w:t>;</w:t>
      </w:r>
      <w:r w:rsidR="008C0A95">
        <w:rPr>
          <w:sz w:val="24"/>
          <w:szCs w:val="24"/>
        </w:rPr>
        <w:t xml:space="preserve"> </w:t>
      </w:r>
      <w:r w:rsidR="001E62C1">
        <w:rPr>
          <w:sz w:val="24"/>
          <w:szCs w:val="24"/>
        </w:rPr>
        <w:t xml:space="preserve">those who, </w:t>
      </w:r>
      <w:r w:rsidR="008C0A95">
        <w:rPr>
          <w:sz w:val="24"/>
          <w:szCs w:val="24"/>
        </w:rPr>
        <w:t xml:space="preserve">rather than dismantle the society </w:t>
      </w:r>
      <w:r w:rsidR="008C0A95">
        <w:rPr>
          <w:sz w:val="24"/>
          <w:szCs w:val="24"/>
        </w:rPr>
        <w:t>they find themselves amongst</w:t>
      </w:r>
      <w:r w:rsidR="008C0A95">
        <w:rPr>
          <w:sz w:val="24"/>
          <w:szCs w:val="24"/>
        </w:rPr>
        <w:t>,</w:t>
      </w:r>
      <w:r>
        <w:rPr>
          <w:sz w:val="24"/>
          <w:szCs w:val="24"/>
        </w:rPr>
        <w:t xml:space="preserve"> covet </w:t>
      </w:r>
      <w:r w:rsidR="008C0A95">
        <w:rPr>
          <w:sz w:val="24"/>
          <w:szCs w:val="24"/>
        </w:rPr>
        <w:t>it</w:t>
      </w:r>
      <w:r>
        <w:rPr>
          <w:sz w:val="24"/>
          <w:szCs w:val="24"/>
        </w:rPr>
        <w:t>. These include Fanny and Walter Hartright (</w:t>
      </w:r>
      <w:r w:rsidRPr="005949C0">
        <w:rPr>
          <w:i/>
          <w:sz w:val="24"/>
          <w:szCs w:val="24"/>
        </w:rPr>
        <w:t>The</w:t>
      </w:r>
      <w:r>
        <w:rPr>
          <w:sz w:val="24"/>
          <w:szCs w:val="24"/>
        </w:rPr>
        <w:t xml:space="preserve"> </w:t>
      </w:r>
      <w:r>
        <w:rPr>
          <w:i/>
          <w:sz w:val="24"/>
          <w:szCs w:val="24"/>
        </w:rPr>
        <w:t>Woman in White</w:t>
      </w:r>
      <w:r>
        <w:rPr>
          <w:sz w:val="24"/>
          <w:szCs w:val="24"/>
        </w:rPr>
        <w:t>). Reading Fanny as an intruder expose</w:t>
      </w:r>
      <w:r w:rsidR="00C83909">
        <w:rPr>
          <w:sz w:val="24"/>
          <w:szCs w:val="24"/>
        </w:rPr>
        <w:t>s</w:t>
      </w:r>
      <w:r>
        <w:rPr>
          <w:sz w:val="24"/>
          <w:szCs w:val="24"/>
        </w:rPr>
        <w:t xml:space="preserve"> a ruling class whose dissipation ma</w:t>
      </w:r>
      <w:r w:rsidR="00C83909">
        <w:rPr>
          <w:sz w:val="24"/>
          <w:szCs w:val="24"/>
        </w:rPr>
        <w:t>kes</w:t>
      </w:r>
      <w:r>
        <w:rPr>
          <w:sz w:val="24"/>
          <w:szCs w:val="24"/>
        </w:rPr>
        <w:t xml:space="preserve"> it vulnerable; it need</w:t>
      </w:r>
      <w:r w:rsidR="00C83909">
        <w:rPr>
          <w:sz w:val="24"/>
          <w:szCs w:val="24"/>
        </w:rPr>
        <w:t>s</w:t>
      </w:r>
      <w:r>
        <w:rPr>
          <w:sz w:val="24"/>
          <w:szCs w:val="24"/>
        </w:rPr>
        <w:t xml:space="preserve"> change from outside that it d</w:t>
      </w:r>
      <w:r w:rsidR="00C83909">
        <w:rPr>
          <w:sz w:val="24"/>
          <w:szCs w:val="24"/>
        </w:rPr>
        <w:t>oes</w:t>
      </w:r>
      <w:r>
        <w:rPr>
          <w:sz w:val="24"/>
          <w:szCs w:val="24"/>
        </w:rPr>
        <w:t xml:space="preserve"> not want, in order to stabilise it. Fanny and Hartright take the mantle from 18</w:t>
      </w:r>
      <w:r w:rsidRPr="002A6DE2">
        <w:rPr>
          <w:sz w:val="24"/>
          <w:szCs w:val="24"/>
          <w:vertAlign w:val="superscript"/>
        </w:rPr>
        <w:t>th</w:t>
      </w:r>
      <w:r>
        <w:rPr>
          <w:sz w:val="24"/>
          <w:szCs w:val="24"/>
        </w:rPr>
        <w:t xml:space="preserve"> century class intruders such as Samuel Richardson’s Pamela (</w:t>
      </w:r>
      <w:r>
        <w:rPr>
          <w:i/>
          <w:sz w:val="24"/>
          <w:szCs w:val="24"/>
        </w:rPr>
        <w:t>Pamela</w:t>
      </w:r>
      <w:r>
        <w:rPr>
          <w:sz w:val="24"/>
          <w:szCs w:val="24"/>
        </w:rPr>
        <w:t>,</w:t>
      </w:r>
      <w:r>
        <w:rPr>
          <w:i/>
          <w:sz w:val="24"/>
          <w:szCs w:val="24"/>
        </w:rPr>
        <w:t xml:space="preserve"> </w:t>
      </w:r>
      <w:r w:rsidRPr="00F71BAD">
        <w:rPr>
          <w:sz w:val="24"/>
          <w:szCs w:val="24"/>
        </w:rPr>
        <w:t>1740)</w:t>
      </w:r>
      <w:r>
        <w:rPr>
          <w:sz w:val="24"/>
          <w:szCs w:val="24"/>
        </w:rPr>
        <w:t xml:space="preserve">. Why they become legitimised by a social class hostile to them, while Fosco and Crawford are not, will be considered a phenomenon particular to </w:t>
      </w:r>
      <w:r w:rsidR="00E0548A">
        <w:rPr>
          <w:sz w:val="24"/>
          <w:szCs w:val="24"/>
        </w:rPr>
        <w:t>19</w:t>
      </w:r>
      <w:r w:rsidR="00E0548A" w:rsidRPr="00E0548A">
        <w:rPr>
          <w:sz w:val="24"/>
          <w:szCs w:val="24"/>
          <w:vertAlign w:val="superscript"/>
        </w:rPr>
        <w:t>th</w:t>
      </w:r>
      <w:r w:rsidR="00E0548A">
        <w:rPr>
          <w:sz w:val="24"/>
          <w:szCs w:val="24"/>
        </w:rPr>
        <w:t xml:space="preserve"> century England</w:t>
      </w:r>
      <w:r>
        <w:rPr>
          <w:sz w:val="24"/>
          <w:szCs w:val="24"/>
        </w:rPr>
        <w:t xml:space="preserve">. </w:t>
      </w:r>
    </w:p>
    <w:p w14:paraId="0C1030B0" w14:textId="6E7E5E1D" w:rsidR="002140AA" w:rsidRDefault="002140AA" w:rsidP="00E07E16">
      <w:pPr>
        <w:spacing w:before="240" w:after="100" w:afterAutospacing="1"/>
        <w:rPr>
          <w:sz w:val="24"/>
          <w:szCs w:val="24"/>
        </w:rPr>
      </w:pPr>
      <w:r>
        <w:rPr>
          <w:sz w:val="24"/>
          <w:szCs w:val="24"/>
        </w:rPr>
        <w:t>By the 19</w:t>
      </w:r>
      <w:r w:rsidRPr="00C112DA">
        <w:rPr>
          <w:sz w:val="24"/>
          <w:szCs w:val="24"/>
          <w:vertAlign w:val="superscript"/>
        </w:rPr>
        <w:t>th</w:t>
      </w:r>
      <w:r>
        <w:rPr>
          <w:sz w:val="24"/>
          <w:szCs w:val="24"/>
        </w:rPr>
        <w:t xml:space="preserve"> century the class ‘intruded’ upon had become more complicated. It was no longer the clearly aristocratic society of an 18</w:t>
      </w:r>
      <w:r w:rsidRPr="00C112DA">
        <w:rPr>
          <w:sz w:val="24"/>
          <w:szCs w:val="24"/>
          <w:vertAlign w:val="superscript"/>
        </w:rPr>
        <w:t>th</w:t>
      </w:r>
      <w:r>
        <w:rPr>
          <w:sz w:val="24"/>
          <w:szCs w:val="24"/>
        </w:rPr>
        <w:t xml:space="preserve"> century Mr. B, intruded on by the low-born Pamela. The merchant and professional classes, rising during the 18</w:t>
      </w:r>
      <w:r w:rsidRPr="00C112DA">
        <w:rPr>
          <w:sz w:val="24"/>
          <w:szCs w:val="24"/>
          <w:vertAlign w:val="superscript"/>
        </w:rPr>
        <w:t>th</w:t>
      </w:r>
      <w:r>
        <w:rPr>
          <w:sz w:val="24"/>
          <w:szCs w:val="24"/>
        </w:rPr>
        <w:t xml:space="preserve"> century, came to dominate during the 19</w:t>
      </w:r>
      <w:r w:rsidRPr="00982C6D">
        <w:rPr>
          <w:sz w:val="24"/>
          <w:szCs w:val="24"/>
          <w:vertAlign w:val="superscript"/>
        </w:rPr>
        <w:t>th</w:t>
      </w:r>
      <w:r>
        <w:rPr>
          <w:sz w:val="24"/>
          <w:szCs w:val="24"/>
        </w:rPr>
        <w:t xml:space="preserve">. Everything by which the aristocracy differentiated themselves from other classes could be learnt by an aspiring individual. This, combined with the fact that the land which once marked the aristocracy’s unassailable power could now be bought, led to insecurities as boundaries blurred. It also led to anxiety about the stability of position: </w:t>
      </w:r>
      <w:r w:rsidR="003625E1">
        <w:rPr>
          <w:sz w:val="24"/>
          <w:szCs w:val="24"/>
        </w:rPr>
        <w:t xml:space="preserve">in a </w:t>
      </w:r>
      <w:r>
        <w:rPr>
          <w:sz w:val="24"/>
          <w:szCs w:val="24"/>
        </w:rPr>
        <w:t>society in which one could rise</w:t>
      </w:r>
      <w:r w:rsidR="00A02EDC">
        <w:rPr>
          <w:sz w:val="24"/>
          <w:szCs w:val="24"/>
        </w:rPr>
        <w:t xml:space="preserve"> one could</w:t>
      </w:r>
      <w:r>
        <w:rPr>
          <w:sz w:val="24"/>
          <w:szCs w:val="24"/>
        </w:rPr>
        <w:t xml:space="preserve"> also</w:t>
      </w:r>
      <w:r w:rsidR="00A02EDC">
        <w:rPr>
          <w:sz w:val="24"/>
          <w:szCs w:val="24"/>
        </w:rPr>
        <w:t xml:space="preserve"> </w:t>
      </w:r>
      <w:r>
        <w:rPr>
          <w:sz w:val="24"/>
          <w:szCs w:val="24"/>
        </w:rPr>
        <w:t xml:space="preserve">fall. </w:t>
      </w:r>
    </w:p>
    <w:p w14:paraId="64287686" w14:textId="31189683" w:rsidR="002140AA" w:rsidRPr="00A84961" w:rsidRDefault="002140AA" w:rsidP="00E07E16">
      <w:pPr>
        <w:spacing w:before="240" w:after="100" w:afterAutospacing="1"/>
        <w:rPr>
          <w:sz w:val="24"/>
          <w:szCs w:val="24"/>
        </w:rPr>
      </w:pPr>
      <w:r>
        <w:rPr>
          <w:sz w:val="24"/>
          <w:szCs w:val="24"/>
        </w:rPr>
        <w:lastRenderedPageBreak/>
        <w:t>As the century progressed</w:t>
      </w:r>
      <w:r w:rsidR="00CE23BF">
        <w:rPr>
          <w:sz w:val="24"/>
          <w:szCs w:val="24"/>
        </w:rPr>
        <w:t>,</w:t>
      </w:r>
      <w:r>
        <w:rPr>
          <w:sz w:val="24"/>
          <w:szCs w:val="24"/>
        </w:rPr>
        <w:t xml:space="preserve"> this insecurity was </w:t>
      </w:r>
      <w:r w:rsidR="00CE23BF">
        <w:rPr>
          <w:sz w:val="24"/>
          <w:szCs w:val="24"/>
        </w:rPr>
        <w:t>no longer</w:t>
      </w:r>
      <w:r>
        <w:rPr>
          <w:sz w:val="24"/>
          <w:szCs w:val="24"/>
        </w:rPr>
        <w:t xml:space="preserve"> confined to the social world: new sciences discovered the layers of change that formed the earth and mapped the development through time of the creatures that inhabited it. Disturbingly, the philosophy of the 18</w:t>
      </w:r>
      <w:r w:rsidRPr="00AA4595">
        <w:rPr>
          <w:sz w:val="24"/>
          <w:szCs w:val="24"/>
          <w:vertAlign w:val="superscript"/>
        </w:rPr>
        <w:t>th</w:t>
      </w:r>
      <w:r>
        <w:rPr>
          <w:sz w:val="24"/>
          <w:szCs w:val="24"/>
        </w:rPr>
        <w:t xml:space="preserve"> century enlightenment</w:t>
      </w:r>
      <w:r w:rsidR="00034A7D">
        <w:rPr>
          <w:sz w:val="24"/>
          <w:szCs w:val="24"/>
        </w:rPr>
        <w:t>,</w:t>
      </w:r>
      <w:r>
        <w:rPr>
          <w:sz w:val="24"/>
          <w:szCs w:val="24"/>
        </w:rPr>
        <w:t xml:space="preserve"> which had unfettered man from the hierarchy set by religion and social class</w:t>
      </w:r>
      <w:r w:rsidR="00034A7D">
        <w:rPr>
          <w:sz w:val="24"/>
          <w:szCs w:val="24"/>
        </w:rPr>
        <w:t>,</w:t>
      </w:r>
      <w:r>
        <w:rPr>
          <w:sz w:val="24"/>
          <w:szCs w:val="24"/>
        </w:rPr>
        <w:t xml:space="preserve"> was now joined by a science that positively set man adrift. Darwin’s evolutionary theory (presented in 1858 and published 1859) induced a new anxiety: if man were shown to have been the product of evolution, rather than created with intent, then there was a fear one could also devolve, or degenerate. Such science, at odds with religious thought, nevertheless seemed to create a fearful new aspect of the old preoccupation with ‘</w:t>
      </w:r>
      <w:r w:rsidR="003625E1">
        <w:rPr>
          <w:sz w:val="24"/>
          <w:szCs w:val="24"/>
        </w:rPr>
        <w:t>T</w:t>
      </w:r>
      <w:r>
        <w:rPr>
          <w:sz w:val="24"/>
          <w:szCs w:val="24"/>
        </w:rPr>
        <w:t xml:space="preserve">he Fall’. </w:t>
      </w:r>
    </w:p>
    <w:p w14:paraId="7F57E16C" w14:textId="21DA1CC2" w:rsidR="002140AA" w:rsidRDefault="002140AA" w:rsidP="00E07E16">
      <w:pPr>
        <w:spacing w:before="240" w:after="100" w:afterAutospacing="1"/>
        <w:rPr>
          <w:sz w:val="24"/>
          <w:szCs w:val="24"/>
        </w:rPr>
      </w:pPr>
      <w:r>
        <w:rPr>
          <w:sz w:val="24"/>
          <w:szCs w:val="24"/>
        </w:rPr>
        <w:t xml:space="preserve">Logically, </w:t>
      </w:r>
      <w:r w:rsidR="00263652">
        <w:rPr>
          <w:sz w:val="24"/>
          <w:szCs w:val="24"/>
        </w:rPr>
        <w:t xml:space="preserve">those </w:t>
      </w:r>
      <w:r>
        <w:rPr>
          <w:sz w:val="24"/>
          <w:szCs w:val="24"/>
        </w:rPr>
        <w:t>most at risk</w:t>
      </w:r>
      <w:r w:rsidR="00263652">
        <w:rPr>
          <w:sz w:val="24"/>
          <w:szCs w:val="24"/>
        </w:rPr>
        <w:t xml:space="preserve"> of a fall</w:t>
      </w:r>
      <w:r>
        <w:rPr>
          <w:sz w:val="24"/>
          <w:szCs w:val="24"/>
        </w:rPr>
        <w:t xml:space="preserve"> were at the top. By the mid-19</w:t>
      </w:r>
      <w:r w:rsidRPr="00D7414B">
        <w:rPr>
          <w:sz w:val="24"/>
          <w:szCs w:val="24"/>
          <w:vertAlign w:val="superscript"/>
        </w:rPr>
        <w:t>th</w:t>
      </w:r>
      <w:r>
        <w:rPr>
          <w:sz w:val="24"/>
          <w:szCs w:val="24"/>
        </w:rPr>
        <w:t xml:space="preserve"> century the population of England had doubled</w:t>
      </w:r>
      <w:r w:rsidR="00475A8B">
        <w:rPr>
          <w:sz w:val="24"/>
          <w:szCs w:val="24"/>
        </w:rPr>
        <w:t>. T</w:t>
      </w:r>
      <w:r>
        <w:rPr>
          <w:sz w:val="24"/>
          <w:szCs w:val="24"/>
        </w:rPr>
        <w:t>he immigrant and lower classes swelled, and lived in the poverty of the city slums</w:t>
      </w:r>
      <w:r w:rsidR="00475A8B">
        <w:rPr>
          <w:sz w:val="24"/>
          <w:szCs w:val="24"/>
        </w:rPr>
        <w:t>;</w:t>
      </w:r>
      <w:r>
        <w:rPr>
          <w:sz w:val="24"/>
          <w:szCs w:val="24"/>
        </w:rPr>
        <w:t xml:space="preserve"> post-Darwin these people </w:t>
      </w:r>
      <w:r w:rsidR="00273BAA">
        <w:rPr>
          <w:sz w:val="24"/>
          <w:szCs w:val="24"/>
        </w:rPr>
        <w:t>were</w:t>
      </w:r>
      <w:r>
        <w:rPr>
          <w:sz w:val="24"/>
          <w:szCs w:val="24"/>
        </w:rPr>
        <w:t xml:space="preserve"> considered the degenerate. But, the fear of degeneration itself became focused on the monied classes, as though their dissolution might usher in </w:t>
      </w:r>
      <w:r w:rsidR="00C16387">
        <w:rPr>
          <w:sz w:val="24"/>
          <w:szCs w:val="24"/>
        </w:rPr>
        <w:t xml:space="preserve">this </w:t>
      </w:r>
      <w:r>
        <w:rPr>
          <w:sz w:val="24"/>
          <w:szCs w:val="24"/>
        </w:rPr>
        <w:t>further contagion.</w:t>
      </w:r>
      <w:r>
        <w:rPr>
          <w:rStyle w:val="FootnoteReference"/>
          <w:sz w:val="24"/>
          <w:szCs w:val="24"/>
        </w:rPr>
        <w:footnoteReference w:id="4"/>
      </w:r>
      <w:r>
        <w:rPr>
          <w:sz w:val="24"/>
          <w:szCs w:val="24"/>
        </w:rPr>
        <w:t xml:space="preserve"> Even before the term </w:t>
      </w:r>
      <w:r w:rsidR="00D65A3C">
        <w:rPr>
          <w:sz w:val="24"/>
          <w:szCs w:val="24"/>
        </w:rPr>
        <w:t>‘</w:t>
      </w:r>
      <w:r>
        <w:rPr>
          <w:sz w:val="24"/>
          <w:szCs w:val="24"/>
        </w:rPr>
        <w:t>degeneration</w:t>
      </w:r>
      <w:r w:rsidR="00D65A3C">
        <w:rPr>
          <w:sz w:val="24"/>
          <w:szCs w:val="24"/>
        </w:rPr>
        <w:t>’</w:t>
      </w:r>
      <w:r>
        <w:rPr>
          <w:sz w:val="24"/>
          <w:szCs w:val="24"/>
        </w:rPr>
        <w:t xml:space="preserve"> </w:t>
      </w:r>
      <w:r w:rsidR="00D65A3C">
        <w:rPr>
          <w:sz w:val="24"/>
          <w:szCs w:val="24"/>
        </w:rPr>
        <w:t>was applied</w:t>
      </w:r>
      <w:r>
        <w:rPr>
          <w:sz w:val="24"/>
          <w:szCs w:val="24"/>
        </w:rPr>
        <w:t xml:space="preserve"> to this fear, the dissolution of the upper </w:t>
      </w:r>
      <w:r w:rsidR="005A47FA">
        <w:rPr>
          <w:sz w:val="24"/>
          <w:szCs w:val="24"/>
        </w:rPr>
        <w:t xml:space="preserve">classes </w:t>
      </w:r>
      <w:r>
        <w:rPr>
          <w:sz w:val="24"/>
          <w:szCs w:val="24"/>
        </w:rPr>
        <w:t xml:space="preserve">caused concern, </w:t>
      </w:r>
      <w:r w:rsidR="00DE54C2">
        <w:rPr>
          <w:sz w:val="24"/>
          <w:szCs w:val="24"/>
        </w:rPr>
        <w:t>it</w:t>
      </w:r>
      <w:r>
        <w:rPr>
          <w:sz w:val="24"/>
          <w:szCs w:val="24"/>
        </w:rPr>
        <w:t xml:space="preserve"> presented a sense of vulnerability to intrusion</w:t>
      </w:r>
      <w:r w:rsidR="00636850">
        <w:rPr>
          <w:sz w:val="24"/>
          <w:szCs w:val="24"/>
        </w:rPr>
        <w:t xml:space="preserve"> </w:t>
      </w:r>
      <w:r>
        <w:rPr>
          <w:sz w:val="24"/>
          <w:szCs w:val="24"/>
        </w:rPr>
        <w:t xml:space="preserve">heightened </w:t>
      </w:r>
      <w:r w:rsidR="00B45543">
        <w:rPr>
          <w:sz w:val="24"/>
          <w:szCs w:val="24"/>
        </w:rPr>
        <w:t>in the later of the</w:t>
      </w:r>
      <w:r w:rsidR="008F7A2A">
        <w:rPr>
          <w:sz w:val="24"/>
          <w:szCs w:val="24"/>
        </w:rPr>
        <w:t>se</w:t>
      </w:r>
      <w:r w:rsidR="00B45543">
        <w:rPr>
          <w:sz w:val="24"/>
          <w:szCs w:val="24"/>
        </w:rPr>
        <w:t xml:space="preserve"> two texts, </w:t>
      </w:r>
      <w:r w:rsidR="00B45543">
        <w:rPr>
          <w:i/>
          <w:sz w:val="24"/>
          <w:szCs w:val="24"/>
        </w:rPr>
        <w:t>The Woman in White</w:t>
      </w:r>
      <w:r>
        <w:rPr>
          <w:sz w:val="24"/>
          <w:szCs w:val="24"/>
        </w:rPr>
        <w:t>.</w:t>
      </w:r>
      <w:r>
        <w:rPr>
          <w:rStyle w:val="FootnoteReference"/>
          <w:sz w:val="24"/>
          <w:szCs w:val="24"/>
        </w:rPr>
        <w:footnoteReference w:id="5"/>
      </w:r>
      <w:r>
        <w:rPr>
          <w:sz w:val="24"/>
          <w:szCs w:val="24"/>
        </w:rPr>
        <w:t xml:space="preserve"> It </w:t>
      </w:r>
      <w:r>
        <w:rPr>
          <w:sz w:val="24"/>
          <w:szCs w:val="24"/>
        </w:rPr>
        <w:lastRenderedPageBreak/>
        <w:t xml:space="preserve">was blamed </w:t>
      </w:r>
      <w:r w:rsidR="00B45543">
        <w:rPr>
          <w:sz w:val="24"/>
          <w:szCs w:val="24"/>
        </w:rPr>
        <w:t>in the early part of the century</w:t>
      </w:r>
      <w:r>
        <w:rPr>
          <w:sz w:val="24"/>
          <w:szCs w:val="24"/>
        </w:rPr>
        <w:t xml:space="preserve"> on an excess in lifestyle</w:t>
      </w:r>
      <w:r w:rsidR="001F69CE">
        <w:rPr>
          <w:sz w:val="24"/>
          <w:szCs w:val="24"/>
        </w:rPr>
        <w:t>,</w:t>
      </w:r>
      <w:r>
        <w:rPr>
          <w:sz w:val="24"/>
          <w:szCs w:val="24"/>
        </w:rPr>
        <w:t xml:space="preserve"> born of decadence, which included a cult of unnecessary improvement and innovation.</w:t>
      </w:r>
      <w:r>
        <w:rPr>
          <w:rStyle w:val="FootnoteReference"/>
          <w:sz w:val="24"/>
          <w:szCs w:val="24"/>
        </w:rPr>
        <w:footnoteReference w:id="6"/>
      </w:r>
      <w:r>
        <w:rPr>
          <w:sz w:val="24"/>
          <w:szCs w:val="24"/>
        </w:rPr>
        <w:t xml:space="preserve"> </w:t>
      </w:r>
      <w:r>
        <w:rPr>
          <w:rStyle w:val="FootnoteReference"/>
          <w:sz w:val="24"/>
          <w:szCs w:val="24"/>
        </w:rPr>
        <w:footnoteReference w:id="7"/>
      </w:r>
      <w:r>
        <w:rPr>
          <w:sz w:val="24"/>
          <w:szCs w:val="24"/>
        </w:rPr>
        <w:t xml:space="preserve"> </w:t>
      </w:r>
      <w:r w:rsidR="00E7420F">
        <w:rPr>
          <w:sz w:val="24"/>
          <w:szCs w:val="24"/>
        </w:rPr>
        <w:t>While</w:t>
      </w:r>
      <w:r>
        <w:rPr>
          <w:sz w:val="24"/>
          <w:szCs w:val="24"/>
        </w:rPr>
        <w:t xml:space="preserve"> this dissolution was not caused by intruders, it created the weakness which made the ruling classes vulnerable to that intrusion. </w:t>
      </w:r>
      <w:r w:rsidR="00E25C7C">
        <w:rPr>
          <w:sz w:val="24"/>
          <w:szCs w:val="24"/>
        </w:rPr>
        <w:t>However, s</w:t>
      </w:r>
      <w:r>
        <w:rPr>
          <w:sz w:val="24"/>
          <w:szCs w:val="24"/>
        </w:rPr>
        <w:t>ince the dissolute upper classes remained the repository of wealth, power and securit</w:t>
      </w:r>
      <w:r w:rsidR="00703E08">
        <w:rPr>
          <w:sz w:val="24"/>
          <w:szCs w:val="24"/>
        </w:rPr>
        <w:t>y</w:t>
      </w:r>
      <w:r>
        <w:rPr>
          <w:sz w:val="24"/>
          <w:szCs w:val="24"/>
        </w:rPr>
        <w:t xml:space="preserve">, they continued to entice intrusion for either plunder or membership.   </w:t>
      </w:r>
    </w:p>
    <w:p w14:paraId="696FD7E7" w14:textId="26410428" w:rsidR="002140AA" w:rsidRDefault="002140AA" w:rsidP="00E07E16">
      <w:pPr>
        <w:spacing w:before="240" w:after="100" w:afterAutospacing="1"/>
        <w:rPr>
          <w:sz w:val="24"/>
          <w:szCs w:val="24"/>
        </w:rPr>
      </w:pPr>
      <w:r>
        <w:rPr>
          <w:sz w:val="24"/>
          <w:szCs w:val="24"/>
        </w:rPr>
        <w:t>The intruder too was changing. Intruders such as the low-born Pamela, who herself was increasingly gentrified by Richardson with each revision of the text, were replaced in the early 1800s by such as Fanny. Fanny was one step up: a poor relative, she at least belonged to her affluent extended family, and only adopted a role of servitude. Equally</w:t>
      </w:r>
      <w:r w:rsidR="00C247D2">
        <w:rPr>
          <w:sz w:val="24"/>
          <w:szCs w:val="24"/>
        </w:rPr>
        <w:t>,</w:t>
      </w:r>
      <w:r>
        <w:rPr>
          <w:sz w:val="24"/>
          <w:szCs w:val="24"/>
        </w:rPr>
        <w:t xml:space="preserve"> Hartright, as a painting instructor was not a member of the ruling classes, but he was hardly a member the lower classes either. Fosco is </w:t>
      </w:r>
      <w:r w:rsidR="00C247D2">
        <w:rPr>
          <w:sz w:val="24"/>
          <w:szCs w:val="24"/>
        </w:rPr>
        <w:t>of the</w:t>
      </w:r>
      <w:r>
        <w:rPr>
          <w:sz w:val="24"/>
          <w:szCs w:val="24"/>
        </w:rPr>
        <w:t xml:space="preserve"> aristocracy, </w:t>
      </w:r>
      <w:r w:rsidR="003C6ED2">
        <w:rPr>
          <w:sz w:val="24"/>
          <w:szCs w:val="24"/>
        </w:rPr>
        <w:t>but</w:t>
      </w:r>
      <w:r>
        <w:rPr>
          <w:sz w:val="24"/>
          <w:szCs w:val="24"/>
        </w:rPr>
        <w:t xml:space="preserve"> foreign and unreadable</w:t>
      </w:r>
      <w:r w:rsidR="00685842">
        <w:rPr>
          <w:sz w:val="24"/>
          <w:szCs w:val="24"/>
        </w:rPr>
        <w:t>.</w:t>
      </w:r>
      <w:r>
        <w:rPr>
          <w:sz w:val="24"/>
          <w:szCs w:val="24"/>
        </w:rPr>
        <w:t xml:space="preserve"> Gindele remarks on his ‘important attributes…[of] urbanity…culture and knowledge’.</w:t>
      </w:r>
      <w:r>
        <w:rPr>
          <w:rStyle w:val="FootnoteReference"/>
          <w:sz w:val="24"/>
          <w:szCs w:val="24"/>
        </w:rPr>
        <w:footnoteReference w:id="8"/>
      </w:r>
      <w:r>
        <w:rPr>
          <w:sz w:val="24"/>
          <w:szCs w:val="24"/>
        </w:rPr>
        <w:t xml:space="preserve"> These are attributes shared by Crawford who, despite belonging to the upper classes</w:t>
      </w:r>
      <w:r w:rsidR="00FA524F">
        <w:rPr>
          <w:sz w:val="24"/>
          <w:szCs w:val="24"/>
        </w:rPr>
        <w:t>,</w:t>
      </w:r>
      <w:r w:rsidR="005C6A6A">
        <w:rPr>
          <w:sz w:val="24"/>
          <w:szCs w:val="24"/>
        </w:rPr>
        <w:t xml:space="preserve"> </w:t>
      </w:r>
      <w:r w:rsidR="00FA524F">
        <w:rPr>
          <w:sz w:val="24"/>
          <w:szCs w:val="24"/>
        </w:rPr>
        <w:t xml:space="preserve">cannot be </w:t>
      </w:r>
      <w:r w:rsidR="005C6A6A">
        <w:rPr>
          <w:sz w:val="24"/>
          <w:szCs w:val="24"/>
        </w:rPr>
        <w:t>read by the</w:t>
      </w:r>
      <w:r w:rsidR="00FA524F">
        <w:rPr>
          <w:sz w:val="24"/>
          <w:szCs w:val="24"/>
        </w:rPr>
        <w:t xml:space="preserve"> landed gentry when he </w:t>
      </w:r>
      <w:r>
        <w:rPr>
          <w:sz w:val="24"/>
          <w:szCs w:val="24"/>
        </w:rPr>
        <w:t>arrives</w:t>
      </w:r>
      <w:r w:rsidR="00FA524F">
        <w:rPr>
          <w:sz w:val="24"/>
          <w:szCs w:val="24"/>
        </w:rPr>
        <w:t xml:space="preserve"> </w:t>
      </w:r>
      <w:r>
        <w:rPr>
          <w:sz w:val="24"/>
          <w:szCs w:val="24"/>
        </w:rPr>
        <w:t>dark, charismatic and urbanely exotic in the</w:t>
      </w:r>
      <w:r w:rsidR="00FA524F">
        <w:rPr>
          <w:sz w:val="24"/>
          <w:szCs w:val="24"/>
        </w:rPr>
        <w:t>ir</w:t>
      </w:r>
      <w:r>
        <w:rPr>
          <w:sz w:val="24"/>
          <w:szCs w:val="24"/>
        </w:rPr>
        <w:t xml:space="preserve"> rural world. </w:t>
      </w:r>
    </w:p>
    <w:p w14:paraId="02BAB9E0" w14:textId="751706A0" w:rsidR="002140AA" w:rsidRDefault="002140AA" w:rsidP="00E07E16">
      <w:pPr>
        <w:spacing w:after="100" w:afterAutospacing="1"/>
        <w:rPr>
          <w:sz w:val="24"/>
          <w:szCs w:val="24"/>
        </w:rPr>
      </w:pPr>
      <w:r>
        <w:rPr>
          <w:sz w:val="24"/>
          <w:szCs w:val="24"/>
        </w:rPr>
        <w:lastRenderedPageBreak/>
        <w:t>Fanny is a difficult starting point for an exploration of intruders: as a heroine she is rendered ambiguous by her intruder status, and her force of character and deed is often a passive absence, rather than an active presence.</w:t>
      </w:r>
      <w:r>
        <w:rPr>
          <w:rStyle w:val="FootnoteReference"/>
          <w:sz w:val="24"/>
          <w:szCs w:val="24"/>
        </w:rPr>
        <w:footnoteReference w:id="9"/>
      </w:r>
      <w:r>
        <w:rPr>
          <w:sz w:val="24"/>
          <w:szCs w:val="24"/>
        </w:rPr>
        <w:t xml:space="preserve"> She is perhaps more easily seen when reflected</w:t>
      </w:r>
      <w:r w:rsidR="00BB4E0D">
        <w:rPr>
          <w:sz w:val="24"/>
          <w:szCs w:val="24"/>
        </w:rPr>
        <w:t xml:space="preserve"> back on by</w:t>
      </w:r>
      <w:r>
        <w:rPr>
          <w:sz w:val="24"/>
          <w:szCs w:val="24"/>
        </w:rPr>
        <w:t xml:space="preserve"> others. </w:t>
      </w:r>
      <w:r w:rsidR="00C3366B">
        <w:rPr>
          <w:sz w:val="24"/>
          <w:szCs w:val="24"/>
        </w:rPr>
        <w:t>H</w:t>
      </w:r>
      <w:r>
        <w:rPr>
          <w:sz w:val="24"/>
          <w:szCs w:val="24"/>
        </w:rPr>
        <w:t xml:space="preserve">er innate strength, </w:t>
      </w:r>
      <w:r w:rsidR="00C3366B">
        <w:rPr>
          <w:sz w:val="24"/>
          <w:szCs w:val="24"/>
        </w:rPr>
        <w:t>which</w:t>
      </w:r>
      <w:r>
        <w:rPr>
          <w:sz w:val="24"/>
          <w:szCs w:val="24"/>
        </w:rPr>
        <w:t xml:space="preserve"> was bound in an importance borne of usefulness to her parents, and in the love she shared with her brother, was removed </w:t>
      </w:r>
      <w:r w:rsidR="00C3366B">
        <w:rPr>
          <w:sz w:val="24"/>
          <w:szCs w:val="24"/>
        </w:rPr>
        <w:t>when</w:t>
      </w:r>
      <w:r>
        <w:rPr>
          <w:sz w:val="24"/>
          <w:szCs w:val="24"/>
        </w:rPr>
        <w:t xml:space="preserve"> she was transplanted to Mansfield Park.  In a world of privilege, </w:t>
      </w:r>
      <w:r w:rsidR="00852515">
        <w:rPr>
          <w:sz w:val="24"/>
          <w:szCs w:val="24"/>
        </w:rPr>
        <w:t xml:space="preserve">and </w:t>
      </w:r>
      <w:r>
        <w:rPr>
          <w:sz w:val="24"/>
          <w:szCs w:val="24"/>
        </w:rPr>
        <w:t>in contrast to her cousins, she becomes a lack</w:t>
      </w:r>
      <w:r w:rsidR="00281C15">
        <w:rPr>
          <w:sz w:val="24"/>
          <w:szCs w:val="24"/>
        </w:rPr>
        <w:t>:</w:t>
      </w:r>
      <w:r>
        <w:rPr>
          <w:sz w:val="24"/>
          <w:szCs w:val="24"/>
        </w:rPr>
        <w:t xml:space="preserve"> of vitality, of self-confidence and of agency. Agency over her own life is taken as she is ‘rescued’ from the straightened circumstances of her birth. Fanny must replace it with an obsequious and self-effacing gratitude, and with an awareness of her inferiority. Her misery is noticed only by her cousin Edmund, </w:t>
      </w:r>
      <w:r w:rsidR="00BD4B85">
        <w:rPr>
          <w:sz w:val="24"/>
          <w:szCs w:val="24"/>
        </w:rPr>
        <w:t xml:space="preserve">he </w:t>
      </w:r>
      <w:r w:rsidR="00366A2B">
        <w:rPr>
          <w:sz w:val="24"/>
          <w:szCs w:val="24"/>
        </w:rPr>
        <w:t xml:space="preserve">comes to </w:t>
      </w:r>
      <w:r w:rsidR="00BD4B85">
        <w:rPr>
          <w:sz w:val="24"/>
          <w:szCs w:val="24"/>
        </w:rPr>
        <w:t>fill the</w:t>
      </w:r>
      <w:r w:rsidR="00366A2B">
        <w:rPr>
          <w:sz w:val="24"/>
          <w:szCs w:val="24"/>
        </w:rPr>
        <w:t xml:space="preserve"> role of brother as</w:t>
      </w:r>
      <w:r>
        <w:rPr>
          <w:sz w:val="24"/>
          <w:szCs w:val="24"/>
        </w:rPr>
        <w:t xml:space="preserve"> Fanny</w:t>
      </w:r>
      <w:r w:rsidR="00366A2B">
        <w:rPr>
          <w:sz w:val="24"/>
          <w:szCs w:val="24"/>
        </w:rPr>
        <w:t xml:space="preserve"> </w:t>
      </w:r>
      <w:r>
        <w:rPr>
          <w:sz w:val="24"/>
          <w:szCs w:val="24"/>
        </w:rPr>
        <w:t>tries to supplement what was erased from her life, and so herself. H</w:t>
      </w:r>
      <w:r w:rsidR="00852515">
        <w:rPr>
          <w:sz w:val="24"/>
          <w:szCs w:val="24"/>
        </w:rPr>
        <w:t>owever, h</w:t>
      </w:r>
      <w:r>
        <w:rPr>
          <w:sz w:val="24"/>
          <w:szCs w:val="24"/>
        </w:rPr>
        <w:t>er former usefulness</w:t>
      </w:r>
      <w:r w:rsidR="00852515">
        <w:rPr>
          <w:sz w:val="24"/>
          <w:szCs w:val="24"/>
        </w:rPr>
        <w:t xml:space="preserve"> </w:t>
      </w:r>
      <w:r>
        <w:rPr>
          <w:sz w:val="24"/>
          <w:szCs w:val="24"/>
        </w:rPr>
        <w:t xml:space="preserve">can only be replaced by supplying irrelevancies to her aunts. Therefore, </w:t>
      </w:r>
      <w:r w:rsidR="002C79CA">
        <w:rPr>
          <w:sz w:val="24"/>
          <w:szCs w:val="24"/>
        </w:rPr>
        <w:t xml:space="preserve">to flesh out </w:t>
      </w:r>
      <w:r w:rsidR="00FC6F98">
        <w:rPr>
          <w:sz w:val="24"/>
          <w:szCs w:val="24"/>
        </w:rPr>
        <w:t>Fanny as</w:t>
      </w:r>
      <w:r w:rsidR="002C79CA">
        <w:rPr>
          <w:sz w:val="24"/>
          <w:szCs w:val="24"/>
        </w:rPr>
        <w:t xml:space="preserve"> intruder</w:t>
      </w:r>
      <w:r w:rsidR="00FC6F98">
        <w:rPr>
          <w:sz w:val="24"/>
          <w:szCs w:val="24"/>
        </w:rPr>
        <w:t xml:space="preserve">, first her </w:t>
      </w:r>
      <w:r w:rsidR="002C79CA">
        <w:rPr>
          <w:sz w:val="24"/>
          <w:szCs w:val="24"/>
        </w:rPr>
        <w:t>diminished character</w:t>
      </w:r>
      <w:r w:rsidR="00FC6F98">
        <w:rPr>
          <w:sz w:val="24"/>
          <w:szCs w:val="24"/>
        </w:rPr>
        <w:t xml:space="preserve"> must be fleshed out, and </w:t>
      </w:r>
      <w:r>
        <w:rPr>
          <w:sz w:val="24"/>
          <w:szCs w:val="24"/>
        </w:rPr>
        <w:t>the first character</w:t>
      </w:r>
      <w:r w:rsidR="002B7048">
        <w:rPr>
          <w:sz w:val="24"/>
          <w:szCs w:val="24"/>
        </w:rPr>
        <w:t xml:space="preserve"> </w:t>
      </w:r>
      <w:r w:rsidR="00FC6F98">
        <w:rPr>
          <w:sz w:val="24"/>
          <w:szCs w:val="24"/>
        </w:rPr>
        <w:t xml:space="preserve">that can be used </w:t>
      </w:r>
      <w:r w:rsidR="002B7048">
        <w:rPr>
          <w:sz w:val="24"/>
          <w:szCs w:val="24"/>
        </w:rPr>
        <w:t xml:space="preserve">to </w:t>
      </w:r>
      <w:r w:rsidR="00FC6F98">
        <w:rPr>
          <w:sz w:val="24"/>
          <w:szCs w:val="24"/>
        </w:rPr>
        <w:t xml:space="preserve">do so is </w:t>
      </w:r>
      <w:r>
        <w:rPr>
          <w:sz w:val="24"/>
          <w:szCs w:val="24"/>
        </w:rPr>
        <w:t>her</w:t>
      </w:r>
      <w:r w:rsidR="002C79CA">
        <w:rPr>
          <w:sz w:val="24"/>
          <w:szCs w:val="24"/>
        </w:rPr>
        <w:t xml:space="preserve"> own</w:t>
      </w:r>
      <w:r>
        <w:rPr>
          <w:sz w:val="24"/>
          <w:szCs w:val="24"/>
        </w:rPr>
        <w:t xml:space="preserve"> lost self.  The next is Edmund, who as </w:t>
      </w:r>
      <w:r w:rsidR="007F0C4C">
        <w:rPr>
          <w:sz w:val="24"/>
          <w:szCs w:val="24"/>
        </w:rPr>
        <w:t xml:space="preserve">a </w:t>
      </w:r>
      <w:r>
        <w:rPr>
          <w:sz w:val="24"/>
          <w:szCs w:val="24"/>
        </w:rPr>
        <w:t>trainee clergyman corrects in himself the moral ‘lack’ in his education. Fanny becomes his first and most loyal congregation, and her introverted self-inspection, and socially insecure position, ensure that she absorbs the lessons well, particularly the lesson that there is a social impact to poor moral behaviour.</w:t>
      </w:r>
      <w:r>
        <w:rPr>
          <w:rStyle w:val="FootnoteReference"/>
          <w:sz w:val="24"/>
          <w:szCs w:val="24"/>
        </w:rPr>
        <w:footnoteReference w:id="10"/>
      </w:r>
      <w:r>
        <w:rPr>
          <w:sz w:val="24"/>
          <w:szCs w:val="24"/>
        </w:rPr>
        <w:t xml:space="preserve"> Her other three cousins, trusting in their privilege and unguided by their education, come to repent this lapse in </w:t>
      </w:r>
      <w:r>
        <w:rPr>
          <w:sz w:val="24"/>
          <w:szCs w:val="24"/>
        </w:rPr>
        <w:lastRenderedPageBreak/>
        <w:t>principle at their leisure: Thomas lays waste to his health, and at least a portion of the family wealth and reputation; Maria elopes with Crawford from a boring but secure marriage, afterwards banished with her horrible Aunt Norris; and Julia, in the style of her Aunt Price, makes a rash and unsuitable marriage which we presume will bring her a fitting share of misery.</w:t>
      </w:r>
      <w:r>
        <w:rPr>
          <w:rStyle w:val="FootnoteReference"/>
          <w:sz w:val="24"/>
          <w:szCs w:val="24"/>
        </w:rPr>
        <w:footnoteReference w:id="11"/>
      </w:r>
    </w:p>
    <w:p w14:paraId="50796AA4" w14:textId="1461E269" w:rsidR="002140AA" w:rsidRDefault="002140AA" w:rsidP="00E07E16">
      <w:pPr>
        <w:spacing w:after="100" w:afterAutospacing="1"/>
        <w:rPr>
          <w:sz w:val="24"/>
          <w:szCs w:val="24"/>
        </w:rPr>
      </w:pPr>
      <w:r>
        <w:rPr>
          <w:sz w:val="24"/>
          <w:szCs w:val="24"/>
        </w:rPr>
        <w:t>As a successful intruder, Fanny has to be emptied</w:t>
      </w:r>
      <w:r w:rsidR="0098027B">
        <w:rPr>
          <w:sz w:val="24"/>
          <w:szCs w:val="24"/>
        </w:rPr>
        <w:t xml:space="preserve"> of the class and selfhood of her Portsmouth life</w:t>
      </w:r>
      <w:r>
        <w:rPr>
          <w:sz w:val="24"/>
          <w:szCs w:val="24"/>
        </w:rPr>
        <w:t xml:space="preserve">, so that she can absorb, and be absorbed by, the society she comes to desire: ‘Mansfield. </w:t>
      </w:r>
      <w:r>
        <w:rPr>
          <w:i/>
          <w:sz w:val="24"/>
          <w:szCs w:val="24"/>
        </w:rPr>
        <w:t xml:space="preserve">That </w:t>
      </w:r>
      <w:r>
        <w:rPr>
          <w:sz w:val="24"/>
          <w:szCs w:val="24"/>
        </w:rPr>
        <w:t>was now the home.’</w:t>
      </w:r>
      <w:r>
        <w:rPr>
          <w:rStyle w:val="FootnoteReference"/>
          <w:sz w:val="24"/>
          <w:szCs w:val="24"/>
        </w:rPr>
        <w:footnoteReference w:id="12"/>
      </w:r>
      <w:r>
        <w:rPr>
          <w:sz w:val="24"/>
          <w:szCs w:val="24"/>
        </w:rPr>
        <w:t xml:space="preserve"> This renders her so unobtrusive </w:t>
      </w:r>
      <w:r w:rsidR="00FE3622">
        <w:rPr>
          <w:sz w:val="24"/>
          <w:szCs w:val="24"/>
        </w:rPr>
        <w:t xml:space="preserve">that </w:t>
      </w:r>
      <w:r>
        <w:rPr>
          <w:sz w:val="24"/>
          <w:szCs w:val="24"/>
        </w:rPr>
        <w:t>her intruder status is veiled, and it is further obscured by the stronger personality of the intruder Crawford. However, reading her against characters from other texts, in this instance Count Fosco and Walter Hartright, helps flesh out this aspect of Fanny, so that what seems eclipsed by Crawford is actually readable alongside him.</w:t>
      </w:r>
      <w:r>
        <w:rPr>
          <w:rStyle w:val="FootnoteReference"/>
          <w:sz w:val="24"/>
          <w:szCs w:val="24"/>
        </w:rPr>
        <w:footnoteReference w:id="13"/>
      </w:r>
      <w:r>
        <w:rPr>
          <w:sz w:val="24"/>
          <w:szCs w:val="24"/>
        </w:rPr>
        <w:t xml:space="preserve">  </w:t>
      </w:r>
    </w:p>
    <w:p w14:paraId="5CFCEC1F" w14:textId="3FEF6ED2" w:rsidR="002140AA" w:rsidRDefault="002140AA" w:rsidP="00E07E16">
      <w:pPr>
        <w:spacing w:after="100" w:afterAutospacing="1"/>
        <w:rPr>
          <w:sz w:val="24"/>
          <w:szCs w:val="24"/>
        </w:rPr>
      </w:pPr>
      <w:r>
        <w:rPr>
          <w:sz w:val="24"/>
          <w:szCs w:val="24"/>
        </w:rPr>
        <w:t>Fosco and Crawford are strategists. Though Sir Percival Glyde secure</w:t>
      </w:r>
      <w:r w:rsidR="00B149DB">
        <w:rPr>
          <w:sz w:val="24"/>
          <w:szCs w:val="24"/>
        </w:rPr>
        <w:t>s</w:t>
      </w:r>
      <w:r>
        <w:rPr>
          <w:sz w:val="24"/>
          <w:szCs w:val="24"/>
        </w:rPr>
        <w:t xml:space="preserve"> Laura Fairlie’s hand</w:t>
      </w:r>
      <w:r w:rsidR="00B149DB">
        <w:rPr>
          <w:sz w:val="24"/>
          <w:szCs w:val="24"/>
        </w:rPr>
        <w:t xml:space="preserve"> </w:t>
      </w:r>
      <w:r>
        <w:rPr>
          <w:sz w:val="24"/>
          <w:szCs w:val="24"/>
        </w:rPr>
        <w:t>in</w:t>
      </w:r>
      <w:r w:rsidR="00B149DB">
        <w:rPr>
          <w:sz w:val="24"/>
          <w:szCs w:val="24"/>
        </w:rPr>
        <w:t xml:space="preserve"> </w:t>
      </w:r>
      <w:r>
        <w:rPr>
          <w:sz w:val="24"/>
          <w:szCs w:val="24"/>
        </w:rPr>
        <w:t xml:space="preserve">marriage from her father, and later from the reluctant Laura herself, it </w:t>
      </w:r>
      <w:r w:rsidR="001B541C">
        <w:rPr>
          <w:sz w:val="24"/>
          <w:szCs w:val="24"/>
        </w:rPr>
        <w:t>i</w:t>
      </w:r>
      <w:r>
        <w:rPr>
          <w:sz w:val="24"/>
          <w:szCs w:val="24"/>
        </w:rPr>
        <w:t>s Fosco who mastermind</w:t>
      </w:r>
      <w:r w:rsidR="001B541C">
        <w:rPr>
          <w:sz w:val="24"/>
          <w:szCs w:val="24"/>
        </w:rPr>
        <w:t>s</w:t>
      </w:r>
      <w:r>
        <w:rPr>
          <w:sz w:val="24"/>
          <w:szCs w:val="24"/>
        </w:rPr>
        <w:t xml:space="preserve"> </w:t>
      </w:r>
      <w:r w:rsidR="00A00C1D">
        <w:rPr>
          <w:sz w:val="24"/>
          <w:szCs w:val="24"/>
        </w:rPr>
        <w:t>the</w:t>
      </w:r>
      <w:r>
        <w:rPr>
          <w:sz w:val="24"/>
          <w:szCs w:val="24"/>
        </w:rPr>
        <w:t xml:space="preserve"> increasingly complicated plan</w:t>
      </w:r>
      <w:r w:rsidR="00A00C1D">
        <w:rPr>
          <w:sz w:val="24"/>
          <w:szCs w:val="24"/>
        </w:rPr>
        <w:t>s</w:t>
      </w:r>
      <w:r>
        <w:rPr>
          <w:sz w:val="24"/>
          <w:szCs w:val="24"/>
        </w:rPr>
        <w:t xml:space="preserve"> </w:t>
      </w:r>
      <w:r w:rsidR="00935725">
        <w:rPr>
          <w:sz w:val="24"/>
          <w:szCs w:val="24"/>
        </w:rPr>
        <w:t xml:space="preserve">to </w:t>
      </w:r>
      <w:r w:rsidR="00E87DA2">
        <w:rPr>
          <w:sz w:val="24"/>
          <w:szCs w:val="24"/>
        </w:rPr>
        <w:t>gain</w:t>
      </w:r>
      <w:r>
        <w:rPr>
          <w:sz w:val="24"/>
          <w:szCs w:val="24"/>
        </w:rPr>
        <w:t xml:space="preserve"> her money: ‘the details of the grand scheme…occurred to me, in all their masterly combination’.</w:t>
      </w:r>
      <w:r>
        <w:rPr>
          <w:rStyle w:val="FootnoteReference"/>
          <w:sz w:val="24"/>
          <w:szCs w:val="24"/>
        </w:rPr>
        <w:footnoteReference w:id="14"/>
      </w:r>
      <w:r>
        <w:rPr>
          <w:sz w:val="24"/>
          <w:szCs w:val="24"/>
        </w:rPr>
        <w:t xml:space="preserve"> His flamboyant presence and mesmeric powers are put to use when he is amongst the society he wishes to manipulate. </w:t>
      </w:r>
      <w:r>
        <w:rPr>
          <w:sz w:val="24"/>
          <w:szCs w:val="24"/>
        </w:rPr>
        <w:lastRenderedPageBreak/>
        <w:t>Once in this company</w:t>
      </w:r>
      <w:r w:rsidR="00F117B2">
        <w:rPr>
          <w:sz w:val="24"/>
          <w:szCs w:val="24"/>
        </w:rPr>
        <w:t>,</w:t>
      </w:r>
      <w:r>
        <w:rPr>
          <w:sz w:val="24"/>
          <w:szCs w:val="24"/>
        </w:rPr>
        <w:t xml:space="preserve"> he exerts an influence that is not to be resisted</w:t>
      </w:r>
      <w:r w:rsidR="00F117B2">
        <w:rPr>
          <w:sz w:val="24"/>
          <w:szCs w:val="24"/>
        </w:rPr>
        <w:t>: h</w:t>
      </w:r>
      <w:r>
        <w:rPr>
          <w:sz w:val="24"/>
          <w:szCs w:val="24"/>
        </w:rPr>
        <w:t>e controls a savage hound who ‘crept back meekly to his kennel’</w:t>
      </w:r>
      <w:r w:rsidR="00F117B2">
        <w:rPr>
          <w:sz w:val="24"/>
          <w:szCs w:val="24"/>
        </w:rPr>
        <w:t>;</w:t>
      </w:r>
      <w:r>
        <w:rPr>
          <w:sz w:val="24"/>
          <w:szCs w:val="24"/>
        </w:rPr>
        <w:t xml:space="preserve"> </w:t>
      </w:r>
      <w:r w:rsidR="00F117B2">
        <w:rPr>
          <w:sz w:val="24"/>
          <w:szCs w:val="24"/>
        </w:rPr>
        <w:t>h</w:t>
      </w:r>
      <w:r>
        <w:rPr>
          <w:sz w:val="24"/>
          <w:szCs w:val="24"/>
        </w:rPr>
        <w:t>e controls his once formidable wife who is now ‘frozen up in the strangest manner’ as though Fosco has ‘sealed up something dangerous in her nature’</w:t>
      </w:r>
      <w:r w:rsidR="00F117B2">
        <w:rPr>
          <w:sz w:val="24"/>
          <w:szCs w:val="24"/>
        </w:rPr>
        <w:t>;</w:t>
      </w:r>
      <w:r>
        <w:rPr>
          <w:sz w:val="24"/>
          <w:szCs w:val="24"/>
        </w:rPr>
        <w:t xml:space="preserve"> </w:t>
      </w:r>
      <w:r w:rsidR="00F117B2">
        <w:rPr>
          <w:sz w:val="24"/>
          <w:szCs w:val="24"/>
        </w:rPr>
        <w:t>h</w:t>
      </w:r>
      <w:r>
        <w:rPr>
          <w:sz w:val="24"/>
          <w:szCs w:val="24"/>
        </w:rPr>
        <w:t>e even controls the indomitable Mari</w:t>
      </w:r>
      <w:r w:rsidR="00A151D8">
        <w:rPr>
          <w:sz w:val="24"/>
          <w:szCs w:val="24"/>
        </w:rPr>
        <w:t>a</w:t>
      </w:r>
      <w:r>
        <w:rPr>
          <w:sz w:val="24"/>
          <w:szCs w:val="24"/>
        </w:rPr>
        <w:t>n Halcomb, who recorded in her journal that ‘he fixed his unfathomable grey eyes on me…I tried to look away…strange as it seems, I hardly think I should have succeeded…if Madame Fosco had not [caused] him to…look away first’.</w:t>
      </w:r>
      <w:r>
        <w:rPr>
          <w:rStyle w:val="FootnoteReference"/>
          <w:sz w:val="24"/>
          <w:szCs w:val="24"/>
        </w:rPr>
        <w:footnoteReference w:id="15"/>
      </w:r>
    </w:p>
    <w:p w14:paraId="6DFB4A3C" w14:textId="3AFE51AC" w:rsidR="002140AA" w:rsidRDefault="002140AA" w:rsidP="00E07E16">
      <w:pPr>
        <w:spacing w:after="100" w:afterAutospacing="1"/>
        <w:rPr>
          <w:sz w:val="24"/>
          <w:szCs w:val="24"/>
        </w:rPr>
      </w:pPr>
      <w:r>
        <w:rPr>
          <w:sz w:val="24"/>
          <w:szCs w:val="24"/>
        </w:rPr>
        <w:t>Crawford is a set of eyes too</w:t>
      </w:r>
      <w:r w:rsidR="00552DE6">
        <w:rPr>
          <w:sz w:val="24"/>
          <w:szCs w:val="24"/>
        </w:rPr>
        <w:t>,</w:t>
      </w:r>
      <w:r>
        <w:rPr>
          <w:sz w:val="24"/>
          <w:szCs w:val="24"/>
        </w:rPr>
        <w:t xml:space="preserve"> though his rest on women</w:t>
      </w:r>
      <w:r w:rsidR="00552DE6">
        <w:rPr>
          <w:sz w:val="24"/>
          <w:szCs w:val="24"/>
        </w:rPr>
        <w:t>,</w:t>
      </w:r>
      <w:r>
        <w:rPr>
          <w:sz w:val="24"/>
          <w:szCs w:val="24"/>
        </w:rPr>
        <w:t xml:space="preserve"> for whom he has an endless appetite. He is blessed with a similar power to Fosco. His is the original source of mesmerism: animal magnetism.</w:t>
      </w:r>
      <w:r>
        <w:rPr>
          <w:rStyle w:val="FootnoteReference"/>
          <w:sz w:val="24"/>
          <w:szCs w:val="24"/>
        </w:rPr>
        <w:footnoteReference w:id="16"/>
      </w:r>
      <w:r>
        <w:rPr>
          <w:sz w:val="24"/>
          <w:szCs w:val="24"/>
        </w:rPr>
        <w:t xml:space="preserve"> The Bertram sisters, on first meeting him declare he was ‘not handsome; no…he was absolutely…black and plain’. By the second meeting ‘he was so well made’, and by the third it </w:t>
      </w:r>
      <w:r w:rsidR="009E1385">
        <w:rPr>
          <w:sz w:val="24"/>
          <w:szCs w:val="24"/>
        </w:rPr>
        <w:t>i</w:t>
      </w:r>
      <w:r>
        <w:rPr>
          <w:sz w:val="24"/>
          <w:szCs w:val="24"/>
        </w:rPr>
        <w:t>s decided that he was ‘the most agreeable young man the sisters had ever know’.</w:t>
      </w:r>
      <w:r>
        <w:rPr>
          <w:rStyle w:val="FootnoteReference"/>
          <w:sz w:val="24"/>
          <w:szCs w:val="24"/>
        </w:rPr>
        <w:footnoteReference w:id="17"/>
      </w:r>
      <w:r>
        <w:rPr>
          <w:sz w:val="24"/>
          <w:szCs w:val="24"/>
        </w:rPr>
        <w:t xml:space="preserve"> Like Fosco, Crawford is a plotter behind the scenes: of the two Misses Bertram, he meant to ‘mak[e] them like him’, though he ‘did not want them to die of love’</w:t>
      </w:r>
      <w:r w:rsidR="00D1004D">
        <w:rPr>
          <w:sz w:val="24"/>
          <w:szCs w:val="24"/>
        </w:rPr>
        <w:t>.</w:t>
      </w:r>
      <w:r>
        <w:rPr>
          <w:sz w:val="24"/>
          <w:szCs w:val="24"/>
        </w:rPr>
        <w:t xml:space="preserve"> Yet he proceeds to play them off </w:t>
      </w:r>
      <w:r w:rsidR="00D1004D">
        <w:rPr>
          <w:sz w:val="24"/>
          <w:szCs w:val="24"/>
        </w:rPr>
        <w:t>against each other</w:t>
      </w:r>
      <w:r>
        <w:rPr>
          <w:sz w:val="24"/>
          <w:szCs w:val="24"/>
        </w:rPr>
        <w:t>, so that Julia is miserably jealous, and the engaged Maria is encouraged to behave with him in a dangerously rash way.</w:t>
      </w:r>
      <w:r>
        <w:rPr>
          <w:rStyle w:val="FootnoteReference"/>
          <w:sz w:val="24"/>
          <w:szCs w:val="24"/>
        </w:rPr>
        <w:footnoteReference w:id="18"/>
      </w:r>
      <w:r>
        <w:rPr>
          <w:sz w:val="24"/>
          <w:szCs w:val="24"/>
        </w:rPr>
        <w:t xml:space="preserve"> Later</w:t>
      </w:r>
      <w:r w:rsidR="0036062A">
        <w:rPr>
          <w:sz w:val="24"/>
          <w:szCs w:val="24"/>
        </w:rPr>
        <w:t>,</w:t>
      </w:r>
      <w:r>
        <w:rPr>
          <w:sz w:val="24"/>
          <w:szCs w:val="24"/>
        </w:rPr>
        <w:t xml:space="preserve"> he declares that ‘my plan is to make Fanny Price in love with me’ but is frustrated in his attempts. He decides, on a short-lived whim, to tempt Maria to elope with him, thus </w:t>
      </w:r>
      <w:r>
        <w:rPr>
          <w:sz w:val="24"/>
          <w:szCs w:val="24"/>
        </w:rPr>
        <w:lastRenderedPageBreak/>
        <w:t>manag</w:t>
      </w:r>
      <w:r w:rsidR="00B068DE">
        <w:rPr>
          <w:sz w:val="24"/>
          <w:szCs w:val="24"/>
        </w:rPr>
        <w:t>ing</w:t>
      </w:r>
      <w:r>
        <w:rPr>
          <w:sz w:val="24"/>
          <w:szCs w:val="24"/>
        </w:rPr>
        <w:t xml:space="preserve"> to destroy her marriage and her social position, and tarnish the Bertram family name, all before he bores of the game.</w:t>
      </w:r>
      <w:r>
        <w:rPr>
          <w:rStyle w:val="FootnoteReference"/>
          <w:sz w:val="24"/>
          <w:szCs w:val="24"/>
        </w:rPr>
        <w:footnoteReference w:id="19"/>
      </w:r>
    </w:p>
    <w:p w14:paraId="5C5BCBFE" w14:textId="0260530F" w:rsidR="002140AA" w:rsidRDefault="002140AA" w:rsidP="00E07E16">
      <w:pPr>
        <w:spacing w:after="100" w:afterAutospacing="1"/>
        <w:rPr>
          <w:sz w:val="24"/>
          <w:szCs w:val="24"/>
        </w:rPr>
      </w:pPr>
      <w:r>
        <w:rPr>
          <w:sz w:val="24"/>
          <w:szCs w:val="24"/>
        </w:rPr>
        <w:t>Fosco and Crawford both make things happen with their powerful sets of eyes, but they are only truly powerful when they are present in their game. They do not have eyes that continue to mesmerise once the intruder is departed. However, Hartright and Fanny both leave their longed-for societies and yet still could be said to control those societ</w:t>
      </w:r>
      <w:r w:rsidR="008C1220">
        <w:rPr>
          <w:sz w:val="24"/>
          <w:szCs w:val="24"/>
        </w:rPr>
        <w:t>ies</w:t>
      </w:r>
      <w:r>
        <w:rPr>
          <w:sz w:val="24"/>
          <w:szCs w:val="24"/>
        </w:rPr>
        <w:t>’ narrative</w:t>
      </w:r>
      <w:r w:rsidR="00F209BE">
        <w:rPr>
          <w:sz w:val="24"/>
          <w:szCs w:val="24"/>
        </w:rPr>
        <w:t>s</w:t>
      </w:r>
      <w:r>
        <w:rPr>
          <w:sz w:val="24"/>
          <w:szCs w:val="24"/>
        </w:rPr>
        <w:t>. In fact, Hartright (</w:t>
      </w:r>
      <w:r w:rsidR="00543F4A">
        <w:rPr>
          <w:sz w:val="24"/>
          <w:szCs w:val="24"/>
        </w:rPr>
        <w:t>who</w:t>
      </w:r>
      <w:r w:rsidR="00801D43">
        <w:rPr>
          <w:sz w:val="24"/>
          <w:szCs w:val="24"/>
        </w:rPr>
        <w:t>,</w:t>
      </w:r>
      <w:r>
        <w:rPr>
          <w:sz w:val="24"/>
          <w:szCs w:val="24"/>
        </w:rPr>
        <w:t xml:space="preserve"> as a painting instructor is trained, and trains others, to look) could be said to achieve the greatest feat of mesmerism, and does so whil</w:t>
      </w:r>
      <w:r w:rsidR="00801D43">
        <w:rPr>
          <w:sz w:val="24"/>
          <w:szCs w:val="24"/>
        </w:rPr>
        <w:t>e</w:t>
      </w:r>
      <w:r>
        <w:rPr>
          <w:sz w:val="24"/>
          <w:szCs w:val="24"/>
        </w:rPr>
        <w:t xml:space="preserve"> far away from his society. In the </w:t>
      </w:r>
      <w:r w:rsidR="00EE11CF">
        <w:rPr>
          <w:sz w:val="24"/>
          <w:szCs w:val="24"/>
        </w:rPr>
        <w:t>absence of Hartright</w:t>
      </w:r>
      <w:r w:rsidR="00AF5764">
        <w:rPr>
          <w:sz w:val="24"/>
          <w:szCs w:val="24"/>
        </w:rPr>
        <w:t xml:space="preserve">, </w:t>
      </w:r>
      <w:r>
        <w:rPr>
          <w:sz w:val="24"/>
          <w:szCs w:val="24"/>
        </w:rPr>
        <w:t>Marian and Laura</w:t>
      </w:r>
      <w:r w:rsidR="00AF5764">
        <w:rPr>
          <w:sz w:val="24"/>
          <w:szCs w:val="24"/>
        </w:rPr>
        <w:t xml:space="preserve"> come to live under the </w:t>
      </w:r>
      <w:r>
        <w:rPr>
          <w:sz w:val="24"/>
          <w:szCs w:val="24"/>
        </w:rPr>
        <w:t xml:space="preserve">persecution </w:t>
      </w:r>
      <w:r w:rsidR="00AF5764">
        <w:rPr>
          <w:sz w:val="24"/>
          <w:szCs w:val="24"/>
        </w:rPr>
        <w:t>of</w:t>
      </w:r>
      <w:r>
        <w:rPr>
          <w:sz w:val="24"/>
          <w:szCs w:val="24"/>
        </w:rPr>
        <w:t xml:space="preserve"> Glyde and Fosco</w:t>
      </w:r>
      <w:r w:rsidR="00AF5764">
        <w:rPr>
          <w:sz w:val="24"/>
          <w:szCs w:val="24"/>
        </w:rPr>
        <w:t xml:space="preserve">. One day, in the midst of this persecution, the exhausted </w:t>
      </w:r>
      <w:r>
        <w:rPr>
          <w:sz w:val="24"/>
          <w:szCs w:val="24"/>
        </w:rPr>
        <w:t>Marian rests on a sofa ‘sorely against [her] will’.</w:t>
      </w:r>
      <w:r>
        <w:rPr>
          <w:rStyle w:val="FootnoteReference"/>
          <w:sz w:val="24"/>
          <w:szCs w:val="24"/>
        </w:rPr>
        <w:footnoteReference w:id="20"/>
      </w:r>
      <w:r>
        <w:rPr>
          <w:sz w:val="24"/>
          <w:szCs w:val="24"/>
        </w:rPr>
        <w:t xml:space="preserve"> She is soothed by ‘the low murmuring hum of summer insects’ and feels her ‘eyes close themselves’ and finds herself in ‘a trance, or day-dream’.</w:t>
      </w:r>
      <w:r>
        <w:rPr>
          <w:rStyle w:val="FootnoteReference"/>
          <w:sz w:val="24"/>
          <w:szCs w:val="24"/>
        </w:rPr>
        <w:footnoteReference w:id="21"/>
      </w:r>
      <w:r>
        <w:rPr>
          <w:sz w:val="24"/>
          <w:szCs w:val="24"/>
        </w:rPr>
        <w:t xml:space="preserve"> </w:t>
      </w:r>
      <w:r w:rsidR="00DE5CE4">
        <w:rPr>
          <w:sz w:val="24"/>
          <w:szCs w:val="24"/>
        </w:rPr>
        <w:t xml:space="preserve">During this trance </w:t>
      </w:r>
      <w:r>
        <w:rPr>
          <w:sz w:val="24"/>
          <w:szCs w:val="24"/>
        </w:rPr>
        <w:t>Walter communicates to her that three times he will face death, and three times he will overcome it. These are three steps on ‘the dark road’ that will lead him back to Mari</w:t>
      </w:r>
      <w:r w:rsidR="00DE5CE4">
        <w:rPr>
          <w:sz w:val="24"/>
          <w:szCs w:val="24"/>
        </w:rPr>
        <w:t>a</w:t>
      </w:r>
      <w:r>
        <w:rPr>
          <w:sz w:val="24"/>
          <w:szCs w:val="24"/>
        </w:rPr>
        <w:t>n and Laura, and the joint resolution of their lives.</w:t>
      </w:r>
      <w:r>
        <w:rPr>
          <w:rStyle w:val="FootnoteReference"/>
          <w:sz w:val="24"/>
          <w:szCs w:val="24"/>
        </w:rPr>
        <w:footnoteReference w:id="22"/>
      </w:r>
      <w:r>
        <w:rPr>
          <w:sz w:val="24"/>
          <w:szCs w:val="24"/>
        </w:rPr>
        <w:t xml:space="preserve"> Walter looks over them still</w:t>
      </w:r>
      <w:r w:rsidR="00DE5CE4">
        <w:rPr>
          <w:sz w:val="24"/>
          <w:szCs w:val="24"/>
        </w:rPr>
        <w:t xml:space="preserve"> even in his absence</w:t>
      </w:r>
      <w:r>
        <w:rPr>
          <w:sz w:val="24"/>
          <w:szCs w:val="24"/>
        </w:rPr>
        <w:t xml:space="preserve">, and produces a mesmeric state which communicates that he will survive and return, and that they will prevail. </w:t>
      </w:r>
    </w:p>
    <w:p w14:paraId="48ADB434" w14:textId="26774E47" w:rsidR="002140AA" w:rsidRDefault="002140AA" w:rsidP="00E07E16">
      <w:pPr>
        <w:spacing w:after="100" w:afterAutospacing="1"/>
        <w:rPr>
          <w:sz w:val="24"/>
          <w:szCs w:val="24"/>
        </w:rPr>
      </w:pPr>
      <w:r>
        <w:rPr>
          <w:sz w:val="24"/>
          <w:szCs w:val="24"/>
        </w:rPr>
        <w:t xml:space="preserve">Not only does Hartright produce an incidence of mesmerism more powerful than Fosco’s, but he counters Fosco’s sleight-of-hand. When Fosco replaces Laura with her nearly identical half-sister Anne Catherick, and Anne dies, Laura’s fortune is released to Fosco and </w:t>
      </w:r>
      <w:r>
        <w:rPr>
          <w:sz w:val="24"/>
          <w:szCs w:val="24"/>
        </w:rPr>
        <w:lastRenderedPageBreak/>
        <w:t xml:space="preserve">Glyde. </w:t>
      </w:r>
      <w:r w:rsidR="00543F4A">
        <w:rPr>
          <w:sz w:val="24"/>
          <w:szCs w:val="24"/>
        </w:rPr>
        <w:t>Later though, w</w:t>
      </w:r>
      <w:r>
        <w:rPr>
          <w:sz w:val="24"/>
          <w:szCs w:val="24"/>
        </w:rPr>
        <w:t>ith similar misdirection, Hartright marries Laura when she no longer legally exists</w:t>
      </w:r>
      <w:r w:rsidR="007E485D">
        <w:rPr>
          <w:sz w:val="24"/>
          <w:szCs w:val="24"/>
        </w:rPr>
        <w:t>: a</w:t>
      </w:r>
      <w:r>
        <w:rPr>
          <w:sz w:val="24"/>
          <w:szCs w:val="24"/>
        </w:rPr>
        <w:t xml:space="preserve">t </w:t>
      </w:r>
      <w:r w:rsidR="006F0E94">
        <w:rPr>
          <w:sz w:val="24"/>
          <w:szCs w:val="24"/>
        </w:rPr>
        <w:t>worst Laura’s legal status</w:t>
      </w:r>
      <w:r>
        <w:rPr>
          <w:sz w:val="24"/>
          <w:szCs w:val="24"/>
        </w:rPr>
        <w:t xml:space="preserve"> is ‘dead’</w:t>
      </w:r>
      <w:r w:rsidR="00EB63A8">
        <w:rPr>
          <w:sz w:val="24"/>
          <w:szCs w:val="24"/>
        </w:rPr>
        <w:t>,</w:t>
      </w:r>
      <w:r>
        <w:rPr>
          <w:sz w:val="24"/>
          <w:szCs w:val="24"/>
        </w:rPr>
        <w:t xml:space="preserve"> and at best</w:t>
      </w:r>
      <w:r w:rsidR="006F0E94">
        <w:rPr>
          <w:sz w:val="24"/>
          <w:szCs w:val="24"/>
        </w:rPr>
        <w:t xml:space="preserve"> it recognises her only as</w:t>
      </w:r>
      <w:r>
        <w:rPr>
          <w:sz w:val="24"/>
          <w:szCs w:val="24"/>
        </w:rPr>
        <w:t xml:space="preserve"> Anne Catherick. Though it is unclear how this would be possible in reality, textually </w:t>
      </w:r>
      <w:r w:rsidR="006F0E94">
        <w:rPr>
          <w:sz w:val="24"/>
          <w:szCs w:val="24"/>
        </w:rPr>
        <w:t>Hartright</w:t>
      </w:r>
      <w:r>
        <w:rPr>
          <w:sz w:val="24"/>
          <w:szCs w:val="24"/>
        </w:rPr>
        <w:t xml:space="preserve"> is able to marry </w:t>
      </w:r>
      <w:r w:rsidR="006F0E94">
        <w:rPr>
          <w:sz w:val="24"/>
          <w:szCs w:val="24"/>
        </w:rPr>
        <w:t>Laura</w:t>
      </w:r>
      <w:r>
        <w:rPr>
          <w:sz w:val="24"/>
          <w:szCs w:val="24"/>
        </w:rPr>
        <w:t xml:space="preserve"> while she is robbed of any class</w:t>
      </w:r>
      <w:r w:rsidR="006F0E94">
        <w:rPr>
          <w:sz w:val="24"/>
          <w:szCs w:val="24"/>
        </w:rPr>
        <w:t>,</w:t>
      </w:r>
      <w:r>
        <w:rPr>
          <w:sz w:val="24"/>
          <w:szCs w:val="24"/>
        </w:rPr>
        <w:t xml:space="preserve"> and thus ensures he upsets no social mores. Equally, once Laura is eventually legally restored to her rightful place, Hartright is instated with her. </w:t>
      </w:r>
    </w:p>
    <w:p w14:paraId="4AE6FC11" w14:textId="2820CEC9" w:rsidR="002140AA" w:rsidRDefault="002140AA" w:rsidP="00E07E16">
      <w:pPr>
        <w:spacing w:after="100" w:afterAutospacing="1"/>
        <w:rPr>
          <w:sz w:val="24"/>
          <w:szCs w:val="24"/>
        </w:rPr>
      </w:pPr>
      <w:r>
        <w:rPr>
          <w:sz w:val="24"/>
          <w:szCs w:val="24"/>
        </w:rPr>
        <w:t>If Hartright is a mesmerist even whil</w:t>
      </w:r>
      <w:r w:rsidR="00864766">
        <w:rPr>
          <w:sz w:val="24"/>
          <w:szCs w:val="24"/>
        </w:rPr>
        <w:t>e</w:t>
      </w:r>
      <w:r>
        <w:rPr>
          <w:sz w:val="24"/>
          <w:szCs w:val="24"/>
        </w:rPr>
        <w:t xml:space="preserve"> absent, then this, reflected back on Fanny, makes her exile from Mansfield Park become more interesting. Her gaze is repelled by her Portsmouth home, and turns longingly on what it desires: Mansfield Park and Edmund. The power of this desire is never so strong as during </w:t>
      </w:r>
      <w:r w:rsidR="0010320E">
        <w:rPr>
          <w:sz w:val="24"/>
          <w:szCs w:val="24"/>
        </w:rPr>
        <w:t>her</w:t>
      </w:r>
      <w:r>
        <w:rPr>
          <w:sz w:val="24"/>
          <w:szCs w:val="24"/>
        </w:rPr>
        <w:t xml:space="preserve"> miserable absence. Thus,</w:t>
      </w:r>
      <w:r w:rsidR="00E309CF">
        <w:rPr>
          <w:sz w:val="24"/>
          <w:szCs w:val="24"/>
        </w:rPr>
        <w:t xml:space="preserve"> that the Bertram</w:t>
      </w:r>
      <w:r>
        <w:rPr>
          <w:sz w:val="24"/>
          <w:szCs w:val="24"/>
        </w:rPr>
        <w:t xml:space="preserve"> family</w:t>
      </w:r>
      <w:r w:rsidR="00B703E3">
        <w:rPr>
          <w:sz w:val="24"/>
          <w:szCs w:val="24"/>
        </w:rPr>
        <w:t xml:space="preserve"> </w:t>
      </w:r>
      <w:r w:rsidR="00E309CF">
        <w:rPr>
          <w:sz w:val="24"/>
          <w:szCs w:val="24"/>
        </w:rPr>
        <w:t xml:space="preserve">collapse </w:t>
      </w:r>
      <w:r w:rsidR="00B703E3">
        <w:rPr>
          <w:sz w:val="24"/>
          <w:szCs w:val="24"/>
        </w:rPr>
        <w:t>during this absence</w:t>
      </w:r>
      <w:r>
        <w:rPr>
          <w:sz w:val="24"/>
          <w:szCs w:val="24"/>
        </w:rPr>
        <w:t xml:space="preserve"> seems to herald, not just Fanny’s return to Mansfield, but </w:t>
      </w:r>
      <w:r w:rsidR="00B703E3">
        <w:rPr>
          <w:sz w:val="24"/>
          <w:szCs w:val="24"/>
        </w:rPr>
        <w:t>the manifestation of her desires</w:t>
      </w:r>
      <w:r>
        <w:rPr>
          <w:sz w:val="24"/>
          <w:szCs w:val="24"/>
        </w:rPr>
        <w:t xml:space="preserve">. She returns more loved and needed, and as </w:t>
      </w:r>
      <w:r w:rsidR="00BD41F2">
        <w:rPr>
          <w:sz w:val="24"/>
          <w:szCs w:val="24"/>
        </w:rPr>
        <w:t>exactly the</w:t>
      </w:r>
      <w:r>
        <w:rPr>
          <w:sz w:val="24"/>
          <w:szCs w:val="24"/>
        </w:rPr>
        <w:t xml:space="preserve"> daughter </w:t>
      </w:r>
      <w:r w:rsidR="00BD41F2">
        <w:rPr>
          <w:sz w:val="24"/>
          <w:szCs w:val="24"/>
        </w:rPr>
        <w:t xml:space="preserve">that </w:t>
      </w:r>
      <w:r>
        <w:rPr>
          <w:sz w:val="24"/>
          <w:szCs w:val="24"/>
        </w:rPr>
        <w:t>Sir Thomas</w:t>
      </w:r>
      <w:r w:rsidR="00E309CF">
        <w:rPr>
          <w:sz w:val="24"/>
          <w:szCs w:val="24"/>
        </w:rPr>
        <w:t xml:space="preserve"> would choose</w:t>
      </w:r>
      <w:r>
        <w:rPr>
          <w:sz w:val="24"/>
          <w:szCs w:val="24"/>
        </w:rPr>
        <w:t>. Mary Crawford, the object of her jealousy, has gone</w:t>
      </w:r>
      <w:r w:rsidR="00012F2E">
        <w:rPr>
          <w:sz w:val="24"/>
          <w:szCs w:val="24"/>
        </w:rPr>
        <w:t>,</w:t>
      </w:r>
      <w:r>
        <w:rPr>
          <w:sz w:val="24"/>
          <w:szCs w:val="24"/>
        </w:rPr>
        <w:t xml:space="preserve"> along with Henry Crawford, the other intruder whose presence tormented Fanny. After an appropriate </w:t>
      </w:r>
      <w:r w:rsidR="00D83AA9">
        <w:rPr>
          <w:sz w:val="24"/>
          <w:szCs w:val="24"/>
        </w:rPr>
        <w:t xml:space="preserve">length of </w:t>
      </w:r>
      <w:r>
        <w:rPr>
          <w:sz w:val="24"/>
          <w:szCs w:val="24"/>
        </w:rPr>
        <w:t>time, the heartbroken Edmund makes Fanny his wife, a situation unimaginable at any time before, and the poisonous Aunt Norris is banished.</w:t>
      </w:r>
    </w:p>
    <w:p w14:paraId="4B02FD45" w14:textId="0598A4E7" w:rsidR="005D2047" w:rsidRDefault="002140AA" w:rsidP="005D2047">
      <w:pPr>
        <w:spacing w:after="100" w:afterAutospacing="1"/>
        <w:rPr>
          <w:sz w:val="24"/>
          <w:szCs w:val="24"/>
        </w:rPr>
      </w:pPr>
      <w:r>
        <w:rPr>
          <w:sz w:val="24"/>
          <w:szCs w:val="24"/>
        </w:rPr>
        <w:t xml:space="preserve">But </w:t>
      </w:r>
      <w:r w:rsidR="00720186">
        <w:rPr>
          <w:sz w:val="24"/>
          <w:szCs w:val="24"/>
        </w:rPr>
        <w:t>how</w:t>
      </w:r>
      <w:r>
        <w:rPr>
          <w:sz w:val="24"/>
          <w:szCs w:val="24"/>
        </w:rPr>
        <w:t xml:space="preserve"> </w:t>
      </w:r>
      <w:r w:rsidR="007055C1">
        <w:rPr>
          <w:sz w:val="24"/>
          <w:szCs w:val="24"/>
        </w:rPr>
        <w:t xml:space="preserve">is it that </w:t>
      </w:r>
      <w:r>
        <w:rPr>
          <w:sz w:val="24"/>
          <w:szCs w:val="24"/>
        </w:rPr>
        <w:t>Hartright and Fanny prevail in their intrusion, whe</w:t>
      </w:r>
      <w:r w:rsidR="00C170D3">
        <w:rPr>
          <w:sz w:val="24"/>
          <w:szCs w:val="24"/>
        </w:rPr>
        <w:t>n</w:t>
      </w:r>
      <w:r>
        <w:rPr>
          <w:sz w:val="24"/>
          <w:szCs w:val="24"/>
        </w:rPr>
        <w:t xml:space="preserve"> Fosco and Crawford do not? </w:t>
      </w:r>
      <w:r w:rsidR="00B37DCE">
        <w:rPr>
          <w:sz w:val="24"/>
          <w:szCs w:val="24"/>
        </w:rPr>
        <w:t>After all, i</w:t>
      </w:r>
      <w:r>
        <w:rPr>
          <w:sz w:val="24"/>
          <w:szCs w:val="24"/>
        </w:rPr>
        <w:t xml:space="preserve">n </w:t>
      </w:r>
      <w:r w:rsidRPr="00C01D76">
        <w:rPr>
          <w:i/>
          <w:sz w:val="24"/>
          <w:szCs w:val="24"/>
        </w:rPr>
        <w:t>Pamela</w:t>
      </w:r>
      <w:r>
        <w:rPr>
          <w:sz w:val="24"/>
          <w:szCs w:val="24"/>
        </w:rPr>
        <w:t xml:space="preserve">, Mr. B’s sister </w:t>
      </w:r>
      <w:r w:rsidR="004446C1">
        <w:rPr>
          <w:sz w:val="24"/>
          <w:szCs w:val="24"/>
        </w:rPr>
        <w:t>remind</w:t>
      </w:r>
      <w:r w:rsidR="004446C1">
        <w:rPr>
          <w:sz w:val="24"/>
          <w:szCs w:val="24"/>
        </w:rPr>
        <w:t>s</w:t>
      </w:r>
      <w:r w:rsidR="004446C1">
        <w:rPr>
          <w:sz w:val="24"/>
          <w:szCs w:val="24"/>
        </w:rPr>
        <w:t xml:space="preserve"> Mr. B that he is ‘of such noble and clear estate…with such ancient Blood in [his] Veins, untainted!</w:t>
      </w:r>
      <w:r w:rsidR="00450337">
        <w:rPr>
          <w:sz w:val="24"/>
          <w:szCs w:val="24"/>
        </w:rPr>
        <w:t>’</w:t>
      </w:r>
      <w:r w:rsidR="004446C1">
        <w:rPr>
          <w:sz w:val="24"/>
          <w:szCs w:val="24"/>
        </w:rPr>
        <w:t xml:space="preserve"> that</w:t>
      </w:r>
      <w:r w:rsidR="004446C1">
        <w:rPr>
          <w:sz w:val="24"/>
          <w:szCs w:val="24"/>
        </w:rPr>
        <w:t xml:space="preserve"> </w:t>
      </w:r>
      <w:r w:rsidR="00450337">
        <w:rPr>
          <w:sz w:val="24"/>
          <w:szCs w:val="24"/>
        </w:rPr>
        <w:t xml:space="preserve">their aristocratic family </w:t>
      </w:r>
      <w:r w:rsidR="00450337">
        <w:rPr>
          <w:sz w:val="24"/>
          <w:szCs w:val="24"/>
        </w:rPr>
        <w:t>will be</w:t>
      </w:r>
      <w:r>
        <w:rPr>
          <w:sz w:val="24"/>
          <w:szCs w:val="24"/>
        </w:rPr>
        <w:t xml:space="preserve"> contaminat</w:t>
      </w:r>
      <w:r w:rsidR="00450337">
        <w:rPr>
          <w:sz w:val="24"/>
          <w:szCs w:val="24"/>
        </w:rPr>
        <w:t>ed by congress with t</w:t>
      </w:r>
      <w:r>
        <w:rPr>
          <w:sz w:val="24"/>
          <w:szCs w:val="24"/>
        </w:rPr>
        <w:t>he low-born Pamela.</w:t>
      </w:r>
      <w:r>
        <w:rPr>
          <w:rStyle w:val="FootnoteReference"/>
          <w:sz w:val="24"/>
          <w:szCs w:val="24"/>
        </w:rPr>
        <w:footnoteReference w:id="23"/>
      </w:r>
      <w:r>
        <w:rPr>
          <w:sz w:val="24"/>
          <w:szCs w:val="24"/>
        </w:rPr>
        <w:t xml:space="preserve"> </w:t>
      </w:r>
      <w:r w:rsidR="0081148C">
        <w:rPr>
          <w:sz w:val="24"/>
          <w:szCs w:val="24"/>
        </w:rPr>
        <w:t>During</w:t>
      </w:r>
      <w:r>
        <w:rPr>
          <w:sz w:val="24"/>
          <w:szCs w:val="24"/>
        </w:rPr>
        <w:t xml:space="preserve"> the century that followed, the aristocracy was never fully reconciled to such </w:t>
      </w:r>
      <w:r w:rsidR="004163C2">
        <w:rPr>
          <w:sz w:val="24"/>
          <w:szCs w:val="24"/>
        </w:rPr>
        <w:t xml:space="preserve">class </w:t>
      </w:r>
      <w:r>
        <w:rPr>
          <w:sz w:val="24"/>
          <w:szCs w:val="24"/>
        </w:rPr>
        <w:t xml:space="preserve">intrusion. In fact, by the last decade </w:t>
      </w:r>
      <w:r>
        <w:rPr>
          <w:sz w:val="24"/>
          <w:szCs w:val="24"/>
        </w:rPr>
        <w:lastRenderedPageBreak/>
        <w:t>of the 18</w:t>
      </w:r>
      <w:r w:rsidRPr="008B1450">
        <w:rPr>
          <w:sz w:val="24"/>
          <w:szCs w:val="24"/>
          <w:vertAlign w:val="superscript"/>
        </w:rPr>
        <w:t>th</w:t>
      </w:r>
      <w:r>
        <w:rPr>
          <w:sz w:val="24"/>
          <w:szCs w:val="24"/>
        </w:rPr>
        <w:t xml:space="preserve"> century, in response to the French Revolution, Gothic work such as Ann Radcliff</w:t>
      </w:r>
      <w:r w:rsidR="00032483">
        <w:rPr>
          <w:sz w:val="24"/>
          <w:szCs w:val="24"/>
        </w:rPr>
        <w:t>e</w:t>
      </w:r>
      <w:r>
        <w:rPr>
          <w:sz w:val="24"/>
          <w:szCs w:val="24"/>
        </w:rPr>
        <w:t xml:space="preserve">’s </w:t>
      </w:r>
      <w:r w:rsidRPr="0033528D">
        <w:rPr>
          <w:i/>
          <w:sz w:val="24"/>
          <w:szCs w:val="24"/>
        </w:rPr>
        <w:t>The Italian</w:t>
      </w:r>
      <w:r>
        <w:rPr>
          <w:sz w:val="24"/>
          <w:szCs w:val="24"/>
        </w:rPr>
        <w:t xml:space="preserve"> (1797) sought security through a re-established social hierarchy. However, the same fear that inspired this in </w:t>
      </w:r>
      <w:r>
        <w:rPr>
          <w:i/>
          <w:sz w:val="24"/>
          <w:szCs w:val="24"/>
        </w:rPr>
        <w:t>The Italian</w:t>
      </w:r>
      <w:r>
        <w:rPr>
          <w:sz w:val="24"/>
          <w:szCs w:val="24"/>
        </w:rPr>
        <w:t xml:space="preserve"> also caused the text to be part of the movement towards a new nationalism. Nationali</w:t>
      </w:r>
      <w:r w:rsidR="001C2440">
        <w:rPr>
          <w:sz w:val="24"/>
          <w:szCs w:val="24"/>
        </w:rPr>
        <w:t>sm</w:t>
      </w:r>
      <w:r>
        <w:rPr>
          <w:sz w:val="24"/>
          <w:szCs w:val="24"/>
        </w:rPr>
        <w:t xml:space="preserve"> created a much needed ‘us’ to counter the terrifying ‘them’</w:t>
      </w:r>
      <w:r w:rsidR="000C15D1">
        <w:rPr>
          <w:sz w:val="24"/>
          <w:szCs w:val="24"/>
        </w:rPr>
        <w:t>;</w:t>
      </w:r>
      <w:r>
        <w:rPr>
          <w:sz w:val="24"/>
          <w:szCs w:val="24"/>
        </w:rPr>
        <w:t xml:space="preserve"> this ‘us’ was in opposition to the foreigner. </w:t>
      </w:r>
      <w:r w:rsidR="007E485D">
        <w:rPr>
          <w:sz w:val="24"/>
          <w:szCs w:val="24"/>
        </w:rPr>
        <w:t>This</w:t>
      </w:r>
      <w:r>
        <w:rPr>
          <w:sz w:val="24"/>
          <w:szCs w:val="24"/>
        </w:rPr>
        <w:t xml:space="preserve"> was to protect England against a fall into the world of revolution that the foreigner represented. If the ruling classes feared contamination by the lower classes, they feared infiltration by the foreigner more</w:t>
      </w:r>
      <w:r w:rsidR="00D32DD9">
        <w:rPr>
          <w:sz w:val="24"/>
          <w:szCs w:val="24"/>
        </w:rPr>
        <w:t>:</w:t>
      </w:r>
      <w:r>
        <w:rPr>
          <w:sz w:val="24"/>
          <w:szCs w:val="24"/>
        </w:rPr>
        <w:t xml:space="preserve"> an intruder from another class may be distasteful, but the foreign and exotic seemed to seek only to plunder and destroy. Fanny and Hartright are </w:t>
      </w:r>
      <w:r w:rsidR="005765D0">
        <w:rPr>
          <w:sz w:val="24"/>
          <w:szCs w:val="24"/>
        </w:rPr>
        <w:t>archetypal</w:t>
      </w:r>
      <w:r w:rsidR="005B3611">
        <w:rPr>
          <w:sz w:val="24"/>
          <w:szCs w:val="24"/>
        </w:rPr>
        <w:t xml:space="preserve"> </w:t>
      </w:r>
      <w:r>
        <w:rPr>
          <w:sz w:val="24"/>
          <w:szCs w:val="24"/>
        </w:rPr>
        <w:t xml:space="preserve">English intruders, and so despite the resistance of the society they intrude on, they must be allowed to prevail. Effaced, and then remoulded, they are the </w:t>
      </w:r>
      <w:r w:rsidR="00EC0087">
        <w:rPr>
          <w:sz w:val="24"/>
          <w:szCs w:val="24"/>
        </w:rPr>
        <w:t>tolerable</w:t>
      </w:r>
      <w:r>
        <w:rPr>
          <w:sz w:val="24"/>
          <w:szCs w:val="24"/>
        </w:rPr>
        <w:t xml:space="preserve"> intruder</w:t>
      </w:r>
      <w:r w:rsidR="00EC0087">
        <w:rPr>
          <w:sz w:val="24"/>
          <w:szCs w:val="24"/>
        </w:rPr>
        <w:t xml:space="preserve">; </w:t>
      </w:r>
      <w:r>
        <w:rPr>
          <w:sz w:val="24"/>
          <w:szCs w:val="24"/>
        </w:rPr>
        <w:t xml:space="preserve">sentinels to keep the foreign and exotic at bay. </w:t>
      </w:r>
      <w:r w:rsidR="005D2047">
        <w:rPr>
          <w:sz w:val="24"/>
          <w:szCs w:val="24"/>
        </w:rPr>
        <w:t xml:space="preserve">However, as sentinels they are in a precarious position </w:t>
      </w:r>
      <w:r w:rsidR="005D2047">
        <w:rPr>
          <w:sz w:val="24"/>
          <w:szCs w:val="24"/>
        </w:rPr>
        <w:t>since</w:t>
      </w:r>
      <w:r w:rsidR="005D2047">
        <w:rPr>
          <w:sz w:val="24"/>
          <w:szCs w:val="24"/>
        </w:rPr>
        <w:t xml:space="preserve"> full acceptance needs trust, and tolerated presence is </w:t>
      </w:r>
      <w:r w:rsidR="005D2047" w:rsidRPr="005D2047">
        <w:rPr>
          <w:i/>
          <w:sz w:val="24"/>
          <w:szCs w:val="24"/>
        </w:rPr>
        <w:t>not</w:t>
      </w:r>
      <w:r w:rsidR="005D2047">
        <w:rPr>
          <w:sz w:val="24"/>
          <w:szCs w:val="24"/>
        </w:rPr>
        <w:t xml:space="preserve"> acceptance.  They have gained their social position somewhat ambiguously</w:t>
      </w:r>
      <w:r w:rsidR="005D2047">
        <w:rPr>
          <w:sz w:val="24"/>
          <w:szCs w:val="24"/>
        </w:rPr>
        <w:t>, because</w:t>
      </w:r>
      <w:r w:rsidR="005D2047">
        <w:rPr>
          <w:sz w:val="24"/>
          <w:szCs w:val="24"/>
        </w:rPr>
        <w:t xml:space="preserve"> </w:t>
      </w:r>
      <w:r w:rsidR="005D2047">
        <w:rPr>
          <w:sz w:val="24"/>
          <w:szCs w:val="24"/>
        </w:rPr>
        <w:t>it</w:t>
      </w:r>
      <w:r w:rsidR="005D2047">
        <w:rPr>
          <w:sz w:val="24"/>
          <w:szCs w:val="24"/>
        </w:rPr>
        <w:t xml:space="preserve"> required the presence of the </w:t>
      </w:r>
      <w:r w:rsidR="005D2047">
        <w:rPr>
          <w:sz w:val="24"/>
          <w:szCs w:val="24"/>
        </w:rPr>
        <w:t xml:space="preserve">very </w:t>
      </w:r>
      <w:r w:rsidR="005D2047">
        <w:rPr>
          <w:sz w:val="24"/>
          <w:szCs w:val="24"/>
        </w:rPr>
        <w:t>danger that they</w:t>
      </w:r>
      <w:r w:rsidR="005D2047">
        <w:rPr>
          <w:sz w:val="24"/>
          <w:szCs w:val="24"/>
        </w:rPr>
        <w:t xml:space="preserve"> are tasked to</w:t>
      </w:r>
      <w:r w:rsidR="005D2047">
        <w:rPr>
          <w:sz w:val="24"/>
          <w:szCs w:val="24"/>
        </w:rPr>
        <w:t xml:space="preserve"> protect their society from.</w:t>
      </w:r>
    </w:p>
    <w:bookmarkEnd w:id="2"/>
    <w:p w14:paraId="36D5D91E" w14:textId="03CF83E1" w:rsidR="00133FE2" w:rsidRDefault="00133FE2" w:rsidP="00133FE2">
      <w:pPr>
        <w:spacing w:after="100" w:afterAutospacing="1"/>
        <w:rPr>
          <w:sz w:val="24"/>
          <w:szCs w:val="24"/>
        </w:rPr>
      </w:pPr>
    </w:p>
    <w:p w14:paraId="4D233B3A" w14:textId="77777777" w:rsidR="00B81A56" w:rsidRDefault="00B81A56" w:rsidP="00133FE2">
      <w:pPr>
        <w:spacing w:after="100" w:afterAutospacing="1"/>
        <w:rPr>
          <w:sz w:val="24"/>
          <w:szCs w:val="24"/>
        </w:rPr>
      </w:pPr>
    </w:p>
    <w:p w14:paraId="1743CB50" w14:textId="77777777" w:rsidR="00B81A56" w:rsidRDefault="00B81A56" w:rsidP="00133FE2">
      <w:pPr>
        <w:spacing w:after="100" w:afterAutospacing="1"/>
        <w:rPr>
          <w:sz w:val="24"/>
          <w:szCs w:val="24"/>
        </w:rPr>
      </w:pPr>
    </w:p>
    <w:p w14:paraId="3F5A87D9" w14:textId="1294F3D1" w:rsidR="000D1D82" w:rsidRDefault="000D1D82" w:rsidP="000D1D82">
      <w:pPr>
        <w:spacing w:after="100" w:afterAutospacing="1"/>
        <w:rPr>
          <w:sz w:val="24"/>
          <w:szCs w:val="24"/>
        </w:rPr>
      </w:pPr>
    </w:p>
    <w:p w14:paraId="4D92592B" w14:textId="3B038DB4" w:rsidR="00A81749" w:rsidRDefault="00A81749" w:rsidP="00A81749">
      <w:pPr>
        <w:spacing w:after="100" w:afterAutospacing="1"/>
        <w:rPr>
          <w:sz w:val="24"/>
          <w:szCs w:val="24"/>
        </w:rPr>
      </w:pPr>
    </w:p>
    <w:p w14:paraId="283E82AE" w14:textId="3FBFC9CF" w:rsidR="00A81749" w:rsidRDefault="00A81749" w:rsidP="00A81749">
      <w:pPr>
        <w:spacing w:after="100" w:afterAutospacing="1"/>
        <w:rPr>
          <w:sz w:val="24"/>
          <w:szCs w:val="24"/>
        </w:rPr>
      </w:pPr>
    </w:p>
    <w:p w14:paraId="5673E21E" w14:textId="7152255E" w:rsidR="000D1D82" w:rsidRDefault="000D1D82" w:rsidP="00E07E16">
      <w:pPr>
        <w:spacing w:after="100" w:afterAutospacing="1"/>
        <w:rPr>
          <w:sz w:val="24"/>
          <w:szCs w:val="24"/>
        </w:rPr>
      </w:pPr>
    </w:p>
    <w:p w14:paraId="78F4ED6E" w14:textId="3993D88A" w:rsidR="00054778" w:rsidRDefault="00054778" w:rsidP="00E07E16">
      <w:pPr>
        <w:spacing w:before="240" w:after="100" w:afterAutospacing="1"/>
      </w:pPr>
    </w:p>
    <w:p w14:paraId="77E6FFF8" w14:textId="73F6C520" w:rsidR="00151E6A" w:rsidRDefault="00151E6A" w:rsidP="002140AA">
      <w:pPr>
        <w:spacing w:before="240"/>
      </w:pPr>
    </w:p>
    <w:p w14:paraId="5CF55C87" w14:textId="4BEB8347" w:rsidR="00151E6A" w:rsidRDefault="00151E6A" w:rsidP="002140AA">
      <w:pPr>
        <w:spacing w:before="240"/>
      </w:pPr>
    </w:p>
    <w:p w14:paraId="25182BA3" w14:textId="2B4ED4D2" w:rsidR="00151E6A" w:rsidRDefault="00151E6A" w:rsidP="002140AA">
      <w:pPr>
        <w:spacing w:before="240"/>
      </w:pPr>
    </w:p>
    <w:p w14:paraId="0A475682" w14:textId="6DCE6103" w:rsidR="00151E6A" w:rsidRDefault="00151E6A" w:rsidP="002140AA">
      <w:pPr>
        <w:spacing w:before="240"/>
      </w:pPr>
    </w:p>
    <w:p w14:paraId="216C9B3D" w14:textId="5E8C4368" w:rsidR="00151E6A" w:rsidRDefault="00151E6A" w:rsidP="002140AA">
      <w:pPr>
        <w:spacing w:before="240"/>
      </w:pPr>
    </w:p>
    <w:p w14:paraId="4602DB3A" w14:textId="76A10FDE" w:rsidR="00151E6A" w:rsidRDefault="00151E6A" w:rsidP="002140AA">
      <w:pPr>
        <w:spacing w:before="240"/>
      </w:pPr>
    </w:p>
    <w:p w14:paraId="1BEAA2A6" w14:textId="136E7C78" w:rsidR="00151E6A" w:rsidRDefault="00151E6A" w:rsidP="002140AA">
      <w:pPr>
        <w:spacing w:before="240"/>
      </w:pPr>
    </w:p>
    <w:p w14:paraId="10A9C9FC" w14:textId="5CB67979" w:rsidR="00151E6A" w:rsidRDefault="00151E6A" w:rsidP="002140AA">
      <w:pPr>
        <w:spacing w:before="240"/>
      </w:pPr>
    </w:p>
    <w:p w14:paraId="2BB2BA17" w14:textId="77777777" w:rsidR="00E07E16" w:rsidRDefault="00E07E16" w:rsidP="00E07E16">
      <w:pPr>
        <w:spacing w:after="100" w:afterAutospacing="1" w:line="240" w:lineRule="auto"/>
      </w:pPr>
    </w:p>
    <w:p w14:paraId="5FC9458E" w14:textId="77777777" w:rsidR="00E07E16" w:rsidRDefault="00E07E16" w:rsidP="00E07E16">
      <w:pPr>
        <w:spacing w:after="100" w:afterAutospacing="1" w:line="240" w:lineRule="auto"/>
        <w:rPr>
          <w:b/>
          <w:sz w:val="24"/>
          <w:szCs w:val="24"/>
        </w:rPr>
      </w:pPr>
    </w:p>
    <w:p w14:paraId="25C4B124" w14:textId="0299C28D" w:rsidR="00151E6A" w:rsidRPr="005E078B" w:rsidRDefault="00151E6A" w:rsidP="00E07E16">
      <w:pPr>
        <w:spacing w:after="120" w:line="240" w:lineRule="auto"/>
        <w:rPr>
          <w:b/>
          <w:sz w:val="24"/>
          <w:szCs w:val="24"/>
        </w:rPr>
      </w:pPr>
      <w:r w:rsidRPr="005E078B">
        <w:rPr>
          <w:b/>
          <w:sz w:val="24"/>
          <w:szCs w:val="24"/>
        </w:rPr>
        <w:t>Bibliography</w:t>
      </w:r>
    </w:p>
    <w:p w14:paraId="52FC1EC2" w14:textId="77777777" w:rsidR="00E07E16" w:rsidRDefault="00E07E16" w:rsidP="00E07E16">
      <w:pPr>
        <w:spacing w:after="120" w:line="240" w:lineRule="auto"/>
        <w:rPr>
          <w:sz w:val="24"/>
          <w:szCs w:val="24"/>
        </w:rPr>
      </w:pPr>
    </w:p>
    <w:p w14:paraId="1248F1BF" w14:textId="477E4A7B" w:rsidR="00151E6A" w:rsidRPr="00DD18BC" w:rsidRDefault="00151E6A" w:rsidP="00E07E16">
      <w:pPr>
        <w:spacing w:after="120" w:line="240" w:lineRule="auto"/>
        <w:rPr>
          <w:sz w:val="24"/>
          <w:szCs w:val="24"/>
        </w:rPr>
      </w:pPr>
      <w:r w:rsidRPr="00DD18BC">
        <w:rPr>
          <w:sz w:val="24"/>
          <w:szCs w:val="24"/>
        </w:rPr>
        <w:t xml:space="preserve">Austen, J., </w:t>
      </w:r>
      <w:r w:rsidRPr="00DD18BC">
        <w:rPr>
          <w:i/>
          <w:sz w:val="24"/>
          <w:szCs w:val="24"/>
        </w:rPr>
        <w:t>Mansfield Park</w:t>
      </w:r>
      <w:r w:rsidRPr="00DD18BC">
        <w:rPr>
          <w:sz w:val="24"/>
          <w:szCs w:val="24"/>
        </w:rPr>
        <w:t>, (London: Penguin Classics, 1996)</w:t>
      </w:r>
    </w:p>
    <w:p w14:paraId="136EE197" w14:textId="5B52B1E1" w:rsidR="00151E6A" w:rsidRPr="00AA64B3" w:rsidRDefault="00151E6A" w:rsidP="00E07E16">
      <w:pPr>
        <w:spacing w:after="120" w:line="240" w:lineRule="auto"/>
        <w:rPr>
          <w:sz w:val="24"/>
          <w:szCs w:val="24"/>
        </w:rPr>
      </w:pPr>
      <w:r w:rsidRPr="00AA64B3">
        <w:rPr>
          <w:sz w:val="24"/>
          <w:szCs w:val="24"/>
        </w:rPr>
        <w:t>Chapman,</w:t>
      </w:r>
      <w:r>
        <w:rPr>
          <w:sz w:val="24"/>
          <w:szCs w:val="24"/>
        </w:rPr>
        <w:t xml:space="preserve"> A.,</w:t>
      </w:r>
      <w:r w:rsidRPr="00AA64B3">
        <w:rPr>
          <w:sz w:val="24"/>
          <w:szCs w:val="24"/>
        </w:rPr>
        <w:t xml:space="preserve"> ‘Mesmerism and Agency in the Courtship of Elizabeth Barrett and Robert Browning’, </w:t>
      </w:r>
      <w:r w:rsidRPr="00AA64B3">
        <w:rPr>
          <w:i/>
          <w:sz w:val="24"/>
          <w:szCs w:val="24"/>
        </w:rPr>
        <w:t>Victorian Literature and Culture</w:t>
      </w:r>
      <w:r w:rsidRPr="00AA64B3">
        <w:rPr>
          <w:sz w:val="24"/>
          <w:szCs w:val="24"/>
        </w:rPr>
        <w:t>, Vol. 26, No. 2 (1998)</w:t>
      </w:r>
    </w:p>
    <w:p w14:paraId="1FD10FFC" w14:textId="73B94BD9" w:rsidR="00151E6A" w:rsidRPr="005E078B" w:rsidRDefault="00151E6A" w:rsidP="00E07E16">
      <w:pPr>
        <w:spacing w:after="120" w:line="240" w:lineRule="auto"/>
        <w:rPr>
          <w:sz w:val="24"/>
          <w:szCs w:val="24"/>
        </w:rPr>
      </w:pPr>
      <w:r w:rsidRPr="005E078B">
        <w:rPr>
          <w:sz w:val="24"/>
          <w:szCs w:val="24"/>
        </w:rPr>
        <w:t xml:space="preserve">Collins, W., </w:t>
      </w:r>
      <w:r w:rsidRPr="005E078B">
        <w:rPr>
          <w:i/>
          <w:sz w:val="24"/>
          <w:szCs w:val="24"/>
        </w:rPr>
        <w:t>The Woman in White</w:t>
      </w:r>
      <w:r w:rsidRPr="005E078B">
        <w:rPr>
          <w:sz w:val="24"/>
          <w:szCs w:val="24"/>
        </w:rPr>
        <w:t>, (London: Harper Press, 2011)</w:t>
      </w:r>
    </w:p>
    <w:p w14:paraId="325EFDE1" w14:textId="77777777" w:rsidR="00151E6A" w:rsidRPr="00B03CF5" w:rsidRDefault="00151E6A" w:rsidP="00E07E16">
      <w:pPr>
        <w:pStyle w:val="FootnoteText"/>
        <w:spacing w:after="120"/>
        <w:rPr>
          <w:sz w:val="24"/>
          <w:szCs w:val="24"/>
        </w:rPr>
      </w:pPr>
      <w:r w:rsidRPr="00B03CF5">
        <w:rPr>
          <w:sz w:val="24"/>
          <w:szCs w:val="24"/>
        </w:rPr>
        <w:t>Flanders,</w:t>
      </w:r>
      <w:r>
        <w:rPr>
          <w:sz w:val="24"/>
          <w:szCs w:val="24"/>
        </w:rPr>
        <w:t xml:space="preserve"> J.,</w:t>
      </w:r>
      <w:r w:rsidRPr="00B03CF5">
        <w:rPr>
          <w:sz w:val="24"/>
          <w:szCs w:val="24"/>
        </w:rPr>
        <w:t xml:space="preserve"> ‘Slums’, </w:t>
      </w:r>
      <w:r w:rsidRPr="00B03CF5">
        <w:rPr>
          <w:i/>
          <w:sz w:val="24"/>
          <w:szCs w:val="24"/>
        </w:rPr>
        <w:t>Discovering Literature: Romantics and Victorians</w:t>
      </w:r>
      <w:r w:rsidRPr="00B03CF5">
        <w:rPr>
          <w:sz w:val="24"/>
          <w:szCs w:val="24"/>
        </w:rPr>
        <w:t xml:space="preserve">, The British Library, (2014). &lt; </w:t>
      </w:r>
      <w:hyperlink r:id="rId8" w:history="1">
        <w:r w:rsidRPr="00B03CF5">
          <w:rPr>
            <w:rStyle w:val="Hyperlink"/>
            <w:sz w:val="24"/>
            <w:szCs w:val="24"/>
          </w:rPr>
          <w:t>https://www.bl.uk/romantics-and-victorians/articles/slums</w:t>
        </w:r>
      </w:hyperlink>
      <w:r w:rsidRPr="00B03CF5">
        <w:rPr>
          <w:sz w:val="24"/>
          <w:szCs w:val="24"/>
        </w:rPr>
        <w:t>&gt; Accessed 10</w:t>
      </w:r>
      <w:r w:rsidRPr="00B03CF5">
        <w:rPr>
          <w:sz w:val="24"/>
          <w:szCs w:val="24"/>
          <w:vertAlign w:val="superscript"/>
        </w:rPr>
        <w:t>th</w:t>
      </w:r>
      <w:r w:rsidRPr="00B03CF5">
        <w:rPr>
          <w:sz w:val="24"/>
          <w:szCs w:val="24"/>
        </w:rPr>
        <w:t xml:space="preserve"> Feb. 2019</w:t>
      </w:r>
    </w:p>
    <w:p w14:paraId="1F2B4A8F" w14:textId="77777777" w:rsidR="00151E6A" w:rsidRDefault="00151E6A" w:rsidP="00E07E16">
      <w:pPr>
        <w:spacing w:after="120" w:line="240" w:lineRule="auto"/>
        <w:rPr>
          <w:sz w:val="24"/>
          <w:szCs w:val="24"/>
        </w:rPr>
      </w:pPr>
    </w:p>
    <w:p w14:paraId="547E569C" w14:textId="077E9BCA" w:rsidR="00151E6A" w:rsidRPr="00AF3689" w:rsidRDefault="00151E6A" w:rsidP="00E07E16">
      <w:pPr>
        <w:spacing w:after="120" w:line="240" w:lineRule="auto"/>
        <w:rPr>
          <w:sz w:val="24"/>
          <w:szCs w:val="24"/>
        </w:rPr>
      </w:pPr>
      <w:r w:rsidRPr="00AF3689">
        <w:rPr>
          <w:sz w:val="24"/>
          <w:szCs w:val="24"/>
        </w:rPr>
        <w:t>Gindele,</w:t>
      </w:r>
      <w:r>
        <w:rPr>
          <w:sz w:val="24"/>
          <w:szCs w:val="24"/>
        </w:rPr>
        <w:t xml:space="preserve"> K. C.,</w:t>
      </w:r>
      <w:r w:rsidRPr="00AF3689">
        <w:rPr>
          <w:sz w:val="24"/>
          <w:szCs w:val="24"/>
        </w:rPr>
        <w:t xml:space="preserve"> ‘Wonders Taken for Signs: Marian and Fosco in “The Woman in White”’, </w:t>
      </w:r>
      <w:r w:rsidRPr="00AF3689">
        <w:rPr>
          <w:i/>
          <w:sz w:val="24"/>
          <w:szCs w:val="24"/>
        </w:rPr>
        <w:t>Literature and Psychology</w:t>
      </w:r>
      <w:r w:rsidRPr="00AF3689">
        <w:rPr>
          <w:sz w:val="24"/>
          <w:szCs w:val="24"/>
        </w:rPr>
        <w:t>, Vol. 46, No. 3 (2000)</w:t>
      </w:r>
    </w:p>
    <w:p w14:paraId="0DCD8374" w14:textId="77777777" w:rsidR="00151E6A" w:rsidRPr="00FC5478" w:rsidRDefault="00151E6A" w:rsidP="00E07E16">
      <w:pPr>
        <w:spacing w:after="120" w:line="240" w:lineRule="auto"/>
        <w:rPr>
          <w:sz w:val="24"/>
          <w:szCs w:val="24"/>
        </w:rPr>
      </w:pPr>
      <w:r w:rsidRPr="00FC5478">
        <w:rPr>
          <w:sz w:val="24"/>
          <w:szCs w:val="24"/>
        </w:rPr>
        <w:lastRenderedPageBreak/>
        <w:t>Hill,</w:t>
      </w:r>
      <w:r>
        <w:rPr>
          <w:sz w:val="24"/>
          <w:szCs w:val="24"/>
        </w:rPr>
        <w:t xml:space="preserve"> C., </w:t>
      </w:r>
      <w:r w:rsidRPr="00FC5478">
        <w:rPr>
          <w:i/>
          <w:sz w:val="24"/>
          <w:szCs w:val="24"/>
        </w:rPr>
        <w:t>A Study of Mesmerism and the Literature of the Nineteenth Century, with Particular Reference to Harriet Martineau</w:t>
      </w:r>
      <w:r w:rsidRPr="00FC5478">
        <w:rPr>
          <w:sz w:val="24"/>
          <w:szCs w:val="24"/>
        </w:rPr>
        <w:t xml:space="preserve">, dissertation, University of Birmingham Research Archive, (1975), pp.47-48 &amp; 60-63. &lt; </w:t>
      </w:r>
      <w:hyperlink r:id="rId9" w:history="1">
        <w:r w:rsidRPr="00FC5478">
          <w:rPr>
            <w:rStyle w:val="Hyperlink"/>
            <w:sz w:val="24"/>
            <w:szCs w:val="24"/>
          </w:rPr>
          <w:t>http://etheses.bham.ac.uk/7316/4/Hill_1975_MA.pdf</w:t>
        </w:r>
      </w:hyperlink>
    </w:p>
    <w:p w14:paraId="2038C3D9" w14:textId="77777777" w:rsidR="00151E6A" w:rsidRPr="00302BDA" w:rsidRDefault="00151E6A" w:rsidP="00E07E16">
      <w:pPr>
        <w:pStyle w:val="FootnoteText"/>
        <w:spacing w:after="120"/>
        <w:rPr>
          <w:sz w:val="24"/>
          <w:szCs w:val="24"/>
        </w:rPr>
      </w:pPr>
      <w:r w:rsidRPr="00302BDA">
        <w:rPr>
          <w:sz w:val="24"/>
          <w:szCs w:val="24"/>
        </w:rPr>
        <w:t>Jenkins,</w:t>
      </w:r>
      <w:r>
        <w:rPr>
          <w:sz w:val="24"/>
          <w:szCs w:val="24"/>
        </w:rPr>
        <w:t xml:space="preserve"> J. L.,</w:t>
      </w:r>
      <w:r w:rsidRPr="00302BDA">
        <w:rPr>
          <w:sz w:val="24"/>
          <w:szCs w:val="24"/>
        </w:rPr>
        <w:t xml:space="preserve"> ‘The Puzzle of Fanny Price’, </w:t>
      </w:r>
      <w:r w:rsidRPr="00302BDA">
        <w:rPr>
          <w:i/>
          <w:sz w:val="24"/>
          <w:szCs w:val="24"/>
        </w:rPr>
        <w:t>Philosophy and Literature</w:t>
      </w:r>
      <w:r w:rsidRPr="00302BDA">
        <w:rPr>
          <w:sz w:val="24"/>
          <w:szCs w:val="24"/>
        </w:rPr>
        <w:t>, Vol. 30, No. “, (Oct 2006)</w:t>
      </w:r>
    </w:p>
    <w:p w14:paraId="3CBE12FB" w14:textId="77777777" w:rsidR="00151E6A" w:rsidRPr="00302BDA" w:rsidRDefault="00151E6A" w:rsidP="00E07E16">
      <w:pPr>
        <w:spacing w:after="120" w:line="240" w:lineRule="auto"/>
        <w:rPr>
          <w:sz w:val="24"/>
          <w:szCs w:val="24"/>
        </w:rPr>
      </w:pPr>
    </w:p>
    <w:p w14:paraId="62EAF508" w14:textId="77777777" w:rsidR="00151E6A" w:rsidRPr="007A03DF" w:rsidRDefault="00151E6A" w:rsidP="00E07E16">
      <w:pPr>
        <w:spacing w:after="120" w:line="240" w:lineRule="auto"/>
        <w:rPr>
          <w:sz w:val="24"/>
          <w:szCs w:val="24"/>
        </w:rPr>
      </w:pPr>
      <w:r w:rsidRPr="007A03DF">
        <w:rPr>
          <w:sz w:val="24"/>
          <w:szCs w:val="24"/>
        </w:rPr>
        <w:t>Karounos,</w:t>
      </w:r>
      <w:r>
        <w:rPr>
          <w:sz w:val="24"/>
          <w:szCs w:val="24"/>
        </w:rPr>
        <w:t xml:space="preserve"> M.,</w:t>
      </w:r>
      <w:r w:rsidRPr="007A03DF">
        <w:rPr>
          <w:sz w:val="24"/>
          <w:szCs w:val="24"/>
        </w:rPr>
        <w:t xml:space="preserve"> ‘Ordination and Revolution in “Mansfield Park”’, </w:t>
      </w:r>
      <w:r w:rsidRPr="007A03DF">
        <w:rPr>
          <w:i/>
          <w:sz w:val="24"/>
          <w:szCs w:val="24"/>
        </w:rPr>
        <w:t>SEL Studies in English Literature 1500-1900</w:t>
      </w:r>
      <w:r w:rsidRPr="007A03DF">
        <w:rPr>
          <w:sz w:val="24"/>
          <w:szCs w:val="24"/>
        </w:rPr>
        <w:t>, Vol. 44, No. 4, (Autumn 2004)</w:t>
      </w:r>
    </w:p>
    <w:p w14:paraId="6AC7298B" w14:textId="77777777" w:rsidR="00151E6A" w:rsidRPr="00253B60" w:rsidRDefault="00151E6A" w:rsidP="00E07E16">
      <w:pPr>
        <w:pStyle w:val="FootnoteText"/>
        <w:spacing w:after="120"/>
        <w:rPr>
          <w:sz w:val="24"/>
          <w:szCs w:val="24"/>
        </w:rPr>
      </w:pPr>
      <w:r w:rsidRPr="00253B60">
        <w:rPr>
          <w:sz w:val="24"/>
          <w:szCs w:val="24"/>
        </w:rPr>
        <w:t xml:space="preserve">McReynolds, </w:t>
      </w:r>
      <w:r>
        <w:rPr>
          <w:sz w:val="24"/>
          <w:szCs w:val="24"/>
        </w:rPr>
        <w:t xml:space="preserve">L. H., </w:t>
      </w:r>
      <w:r w:rsidRPr="00253B60">
        <w:rPr>
          <w:i/>
          <w:sz w:val="24"/>
          <w:szCs w:val="24"/>
        </w:rPr>
        <w:t>Fantastic Evidence: Mesmerism, Narrative, and Knowledge in the Heterodox Victorian Novel</w:t>
      </w:r>
      <w:r w:rsidRPr="00253B60">
        <w:rPr>
          <w:sz w:val="24"/>
          <w:szCs w:val="24"/>
        </w:rPr>
        <w:t>, Dissertation for George Washington University, published by Proquest (2016).  &lt;search.proquest.com/docview/1732359996&gt;</w:t>
      </w:r>
    </w:p>
    <w:p w14:paraId="75919A13" w14:textId="77777777" w:rsidR="00151E6A" w:rsidRDefault="00151E6A" w:rsidP="00E07E16">
      <w:pPr>
        <w:pStyle w:val="FootnoteText"/>
        <w:spacing w:after="120"/>
        <w:rPr>
          <w:sz w:val="24"/>
          <w:szCs w:val="24"/>
        </w:rPr>
      </w:pPr>
    </w:p>
    <w:p w14:paraId="6DD0D059" w14:textId="77777777" w:rsidR="00151E6A" w:rsidRPr="00A351E0" w:rsidRDefault="00151E6A" w:rsidP="00E07E16">
      <w:pPr>
        <w:pStyle w:val="FootnoteText"/>
        <w:spacing w:after="120"/>
        <w:rPr>
          <w:sz w:val="24"/>
          <w:szCs w:val="24"/>
        </w:rPr>
      </w:pPr>
      <w:r w:rsidRPr="00A351E0">
        <w:rPr>
          <w:sz w:val="24"/>
          <w:szCs w:val="24"/>
        </w:rPr>
        <w:t>Monaghan,</w:t>
      </w:r>
      <w:r>
        <w:rPr>
          <w:sz w:val="24"/>
          <w:szCs w:val="24"/>
        </w:rPr>
        <w:t xml:space="preserve"> D.,</w:t>
      </w:r>
      <w:r w:rsidRPr="00A351E0">
        <w:rPr>
          <w:sz w:val="24"/>
          <w:szCs w:val="24"/>
        </w:rPr>
        <w:t xml:space="preserve"> ‘Reinventing Fanny Price: Patricia Rozema’s Thoroughly Modern “Mansfield Park”’, </w:t>
      </w:r>
      <w:r w:rsidRPr="00A351E0">
        <w:rPr>
          <w:i/>
          <w:sz w:val="24"/>
          <w:szCs w:val="24"/>
        </w:rPr>
        <w:t>Mosaic</w:t>
      </w:r>
      <w:r w:rsidRPr="00A351E0">
        <w:rPr>
          <w:sz w:val="24"/>
          <w:szCs w:val="24"/>
        </w:rPr>
        <w:t>, Vol. 40, No. 3 (Sept 2007)</w:t>
      </w:r>
    </w:p>
    <w:p w14:paraId="7ED5D380" w14:textId="77777777" w:rsidR="00151E6A" w:rsidRDefault="00151E6A" w:rsidP="00E07E16">
      <w:pPr>
        <w:pStyle w:val="FootnoteText"/>
        <w:spacing w:after="120"/>
        <w:rPr>
          <w:sz w:val="24"/>
          <w:szCs w:val="24"/>
        </w:rPr>
      </w:pPr>
    </w:p>
    <w:p w14:paraId="6C1FC85D" w14:textId="77777777" w:rsidR="00151E6A" w:rsidRPr="00DF402D" w:rsidRDefault="00151E6A" w:rsidP="00E07E16">
      <w:pPr>
        <w:pStyle w:val="FootnoteText"/>
        <w:spacing w:after="120"/>
        <w:rPr>
          <w:sz w:val="24"/>
          <w:szCs w:val="24"/>
        </w:rPr>
      </w:pPr>
      <w:r w:rsidRPr="00DF402D">
        <w:rPr>
          <w:sz w:val="24"/>
          <w:szCs w:val="24"/>
        </w:rPr>
        <w:t>Pawl,</w:t>
      </w:r>
      <w:r>
        <w:rPr>
          <w:sz w:val="24"/>
          <w:szCs w:val="24"/>
        </w:rPr>
        <w:t xml:space="preserve"> A. J.,</w:t>
      </w:r>
      <w:r w:rsidRPr="00DF402D">
        <w:rPr>
          <w:sz w:val="24"/>
          <w:szCs w:val="24"/>
        </w:rPr>
        <w:t xml:space="preserve"> ‘Fanny Price and the Sentimental Genealogy of “Mansfield Park”’, </w:t>
      </w:r>
      <w:r w:rsidRPr="00DF402D">
        <w:rPr>
          <w:i/>
          <w:sz w:val="24"/>
          <w:szCs w:val="24"/>
        </w:rPr>
        <w:t>Eighteenth-Century Fiction</w:t>
      </w:r>
      <w:r w:rsidRPr="00DF402D">
        <w:rPr>
          <w:sz w:val="24"/>
          <w:szCs w:val="24"/>
        </w:rPr>
        <w:t>, Vol. 16, No. 2 (January 2004)</w:t>
      </w:r>
    </w:p>
    <w:p w14:paraId="1A568329" w14:textId="77777777" w:rsidR="00151E6A" w:rsidRDefault="00151E6A" w:rsidP="00E07E16">
      <w:pPr>
        <w:pStyle w:val="FootnoteText"/>
        <w:spacing w:after="120"/>
        <w:rPr>
          <w:sz w:val="24"/>
          <w:szCs w:val="24"/>
        </w:rPr>
      </w:pPr>
    </w:p>
    <w:p w14:paraId="03F27A9D" w14:textId="77777777" w:rsidR="00151E6A" w:rsidRPr="00942C04" w:rsidRDefault="00151E6A" w:rsidP="00E07E16">
      <w:pPr>
        <w:pStyle w:val="FootnoteText"/>
        <w:spacing w:after="120"/>
        <w:rPr>
          <w:sz w:val="24"/>
          <w:szCs w:val="24"/>
        </w:rPr>
      </w:pPr>
      <w:r w:rsidRPr="00942C04">
        <w:rPr>
          <w:sz w:val="24"/>
          <w:szCs w:val="24"/>
        </w:rPr>
        <w:t xml:space="preserve">Richardson, </w:t>
      </w:r>
      <w:r>
        <w:rPr>
          <w:sz w:val="24"/>
          <w:szCs w:val="24"/>
        </w:rPr>
        <w:t xml:space="preserve">S., </w:t>
      </w:r>
      <w:r w:rsidRPr="00942C04">
        <w:rPr>
          <w:i/>
          <w:sz w:val="24"/>
          <w:szCs w:val="24"/>
        </w:rPr>
        <w:t>Pamela; or Virtue Rewarded</w:t>
      </w:r>
      <w:r w:rsidRPr="00942C04">
        <w:rPr>
          <w:sz w:val="24"/>
          <w:szCs w:val="24"/>
        </w:rPr>
        <w:t>, (Oxford: Oxford University Press, 2008)</w:t>
      </w:r>
    </w:p>
    <w:p w14:paraId="08568DCA" w14:textId="77777777" w:rsidR="00151E6A" w:rsidRDefault="00151E6A" w:rsidP="00E07E16">
      <w:pPr>
        <w:pStyle w:val="FootnoteText"/>
        <w:spacing w:after="120"/>
        <w:rPr>
          <w:sz w:val="24"/>
          <w:szCs w:val="24"/>
        </w:rPr>
      </w:pPr>
    </w:p>
    <w:p w14:paraId="7B8A2D0F" w14:textId="77777777" w:rsidR="00151E6A" w:rsidRPr="005E078B" w:rsidRDefault="00151E6A" w:rsidP="00E07E16">
      <w:pPr>
        <w:pStyle w:val="FootnoteText"/>
        <w:spacing w:after="120"/>
        <w:rPr>
          <w:sz w:val="24"/>
          <w:szCs w:val="24"/>
        </w:rPr>
      </w:pPr>
      <w:r w:rsidRPr="005E078B">
        <w:rPr>
          <w:sz w:val="24"/>
          <w:szCs w:val="24"/>
        </w:rPr>
        <w:t xml:space="preserve">Shumaker, J. R., ‘Degeneration and Mesmerism in Wilkie Collin’s “Heart and Science”’, </w:t>
      </w:r>
      <w:r w:rsidRPr="005E078B">
        <w:rPr>
          <w:i/>
          <w:sz w:val="24"/>
          <w:szCs w:val="24"/>
        </w:rPr>
        <w:t>The South Carolina Review</w:t>
      </w:r>
      <w:r w:rsidRPr="005E078B">
        <w:rPr>
          <w:sz w:val="24"/>
          <w:szCs w:val="24"/>
        </w:rPr>
        <w:t>, Vol, no and date unavailable, p.102. Accessed 7</w:t>
      </w:r>
      <w:r w:rsidRPr="005E078B">
        <w:rPr>
          <w:sz w:val="24"/>
          <w:szCs w:val="24"/>
          <w:vertAlign w:val="superscript"/>
        </w:rPr>
        <w:t>th</w:t>
      </w:r>
      <w:r w:rsidRPr="005E078B">
        <w:rPr>
          <w:sz w:val="24"/>
          <w:szCs w:val="24"/>
        </w:rPr>
        <w:t xml:space="preserve"> Feb 2019 </w:t>
      </w:r>
    </w:p>
    <w:p w14:paraId="7EEF9EDE" w14:textId="77777777" w:rsidR="00151E6A" w:rsidRPr="005E078B" w:rsidRDefault="00151E6A" w:rsidP="00E07E16">
      <w:pPr>
        <w:pStyle w:val="FootnoteText"/>
        <w:spacing w:after="120"/>
        <w:rPr>
          <w:sz w:val="24"/>
          <w:szCs w:val="24"/>
        </w:rPr>
      </w:pPr>
      <w:r w:rsidRPr="005E078B">
        <w:rPr>
          <w:sz w:val="24"/>
          <w:szCs w:val="24"/>
        </w:rPr>
        <w:t>&lt;</w:t>
      </w:r>
      <w:hyperlink r:id="rId10" w:history="1">
        <w:r w:rsidRPr="005E078B">
          <w:rPr>
            <w:rStyle w:val="Hyperlink"/>
            <w:sz w:val="24"/>
            <w:szCs w:val="24"/>
          </w:rPr>
          <w:t>https://ezproxy.uwtsd.ac.uk/login?url=https://search.ebscohost.com/login.aspx?direct=true&amp;db=hus&amp;AN=509868146&amp;site=ehost-live</w:t>
        </w:r>
      </w:hyperlink>
      <w:r w:rsidRPr="005E078B">
        <w:rPr>
          <w:rStyle w:val="Hyperlink"/>
          <w:sz w:val="24"/>
          <w:szCs w:val="24"/>
        </w:rPr>
        <w:t>&gt;</w:t>
      </w:r>
    </w:p>
    <w:p w14:paraId="49AEA5C1" w14:textId="77777777" w:rsidR="00151E6A" w:rsidRDefault="00151E6A" w:rsidP="00E07E16">
      <w:pPr>
        <w:spacing w:after="120" w:line="240" w:lineRule="auto"/>
        <w:rPr>
          <w:sz w:val="24"/>
          <w:szCs w:val="24"/>
        </w:rPr>
      </w:pPr>
    </w:p>
    <w:p w14:paraId="4C19C7BC" w14:textId="77777777" w:rsidR="00151E6A" w:rsidRDefault="00151E6A" w:rsidP="00E07E16">
      <w:pPr>
        <w:spacing w:after="120" w:line="240" w:lineRule="auto"/>
        <w:rPr>
          <w:sz w:val="24"/>
          <w:szCs w:val="24"/>
        </w:rPr>
      </w:pPr>
      <w:r w:rsidRPr="00FB40CC">
        <w:rPr>
          <w:sz w:val="24"/>
          <w:szCs w:val="24"/>
        </w:rPr>
        <w:t xml:space="preserve">Waldron, M., ‘The Frailties of Fanny: “Mansfield Park” and the Evangelical Movement’, </w:t>
      </w:r>
      <w:r w:rsidRPr="00FB40CC">
        <w:rPr>
          <w:i/>
          <w:sz w:val="24"/>
          <w:szCs w:val="24"/>
        </w:rPr>
        <w:t>Eighteenth-Century Fiction</w:t>
      </w:r>
      <w:r w:rsidRPr="00FB40CC">
        <w:rPr>
          <w:sz w:val="24"/>
          <w:szCs w:val="24"/>
        </w:rPr>
        <w:t>, Vol. 6, No. 3, (April 1994)</w:t>
      </w:r>
    </w:p>
    <w:p w14:paraId="540D856E" w14:textId="77777777" w:rsidR="00151E6A" w:rsidRPr="00F7416C" w:rsidRDefault="00151E6A" w:rsidP="002140AA">
      <w:pPr>
        <w:spacing w:before="240"/>
      </w:pPr>
    </w:p>
    <w:sectPr w:rsidR="00151E6A" w:rsidRPr="00F7416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20E246" w14:textId="77777777" w:rsidR="0063689B" w:rsidRDefault="0063689B" w:rsidP="00F52751">
      <w:pPr>
        <w:spacing w:after="0" w:line="240" w:lineRule="auto"/>
      </w:pPr>
      <w:r>
        <w:separator/>
      </w:r>
    </w:p>
  </w:endnote>
  <w:endnote w:type="continuationSeparator" w:id="0">
    <w:p w14:paraId="4DEB510E" w14:textId="77777777" w:rsidR="0063689B" w:rsidRDefault="0063689B" w:rsidP="00F527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813809"/>
      <w:docPartObj>
        <w:docPartGallery w:val="Page Numbers (Bottom of Page)"/>
        <w:docPartUnique/>
      </w:docPartObj>
    </w:sdtPr>
    <w:sdtEndPr>
      <w:rPr>
        <w:noProof/>
      </w:rPr>
    </w:sdtEndPr>
    <w:sdtContent>
      <w:p w14:paraId="4E12AEEC" w14:textId="0D1F7002" w:rsidR="00C223B5" w:rsidRDefault="00C223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625C13" w14:textId="77777777" w:rsidR="00C223B5" w:rsidRDefault="00C223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9D5179" w14:textId="77777777" w:rsidR="0063689B" w:rsidRDefault="0063689B" w:rsidP="00F52751">
      <w:pPr>
        <w:spacing w:after="0" w:line="240" w:lineRule="auto"/>
      </w:pPr>
      <w:r>
        <w:separator/>
      </w:r>
    </w:p>
  </w:footnote>
  <w:footnote w:type="continuationSeparator" w:id="0">
    <w:p w14:paraId="00FA1506" w14:textId="77777777" w:rsidR="0063689B" w:rsidRDefault="0063689B" w:rsidP="00F52751">
      <w:pPr>
        <w:spacing w:after="0" w:line="240" w:lineRule="auto"/>
      </w:pPr>
      <w:r>
        <w:continuationSeparator/>
      </w:r>
    </w:p>
  </w:footnote>
  <w:footnote w:id="1">
    <w:p w14:paraId="14B58F2E" w14:textId="77777777" w:rsidR="002140AA" w:rsidRPr="00BC452B" w:rsidRDefault="002140AA" w:rsidP="002140AA">
      <w:pPr>
        <w:pStyle w:val="FootnoteText"/>
      </w:pPr>
      <w:r>
        <w:rPr>
          <w:rStyle w:val="FootnoteReference"/>
        </w:rPr>
        <w:footnoteRef/>
      </w:r>
      <w:r>
        <w:t xml:space="preserve"> Wilkie Collins, </w:t>
      </w:r>
      <w:r>
        <w:rPr>
          <w:i/>
        </w:rPr>
        <w:t>The Woman in White</w:t>
      </w:r>
      <w:r>
        <w:t>, (London: Harper Press, 2011), p.249</w:t>
      </w:r>
    </w:p>
  </w:footnote>
  <w:footnote w:id="2">
    <w:p w14:paraId="14428CFD" w14:textId="77777777" w:rsidR="002140AA" w:rsidRPr="00614B1B" w:rsidRDefault="002140AA" w:rsidP="002140AA">
      <w:pPr>
        <w:pStyle w:val="FootnoteText"/>
      </w:pPr>
      <w:r>
        <w:rPr>
          <w:rStyle w:val="FootnoteReference"/>
        </w:rPr>
        <w:footnoteRef/>
      </w:r>
      <w:r>
        <w:t xml:space="preserve"> Mary Waldron, ‘The Frailties of Fanny: “Mansfield Park” and the Evangelical Movement’, </w:t>
      </w:r>
      <w:r>
        <w:rPr>
          <w:i/>
        </w:rPr>
        <w:t>Eighteenth-Century Fiction</w:t>
      </w:r>
      <w:r>
        <w:t>, Vol. 6, No. 3, (April 1994), 280</w:t>
      </w:r>
    </w:p>
  </w:footnote>
  <w:footnote w:id="3">
    <w:p w14:paraId="58277F01" w14:textId="58B5B46A" w:rsidR="002140AA" w:rsidRDefault="002140AA" w:rsidP="002140AA">
      <w:pPr>
        <w:pStyle w:val="FootnoteText"/>
      </w:pPr>
      <w:r>
        <w:rPr>
          <w:rStyle w:val="FootnoteReference"/>
        </w:rPr>
        <w:footnoteRef/>
      </w:r>
      <w:r>
        <w:t xml:space="preserve"> Although both Mary and Henry Crawford enjoy the intruder status, they do so from subtly different positions. Mary, though perhaps an imprudent choice for a clergyman’s wife</w:t>
      </w:r>
      <w:r w:rsidR="002830EB">
        <w:t>, she</w:t>
      </w:r>
      <w:r>
        <w:t xml:space="preserve"> did love Edmund and would have married him, but would have gained nothing in social standing</w:t>
      </w:r>
      <w:r w:rsidR="00C506F9">
        <w:t>. I</w:t>
      </w:r>
      <w:r>
        <w:t xml:space="preserve">n this she stands outside of the </w:t>
      </w:r>
      <w:r w:rsidR="00825E8C">
        <w:t>category</w:t>
      </w:r>
      <w:r>
        <w:t xml:space="preserve"> of intruder for the purposes of this essay. Where she does intrude is on Fanny’s relationship with Edmund and so, in many ways, impacts on Fanny more than Henry. But Henry’s impact as an intruder is on the whole society as he entraps its young females for sport. Therefore, with space constraints, as the essay goes on it will focus on Henry and, sadly, consign Mary to the footnotes.</w:t>
      </w:r>
    </w:p>
  </w:footnote>
  <w:footnote w:id="4">
    <w:p w14:paraId="7E4032EF" w14:textId="77777777" w:rsidR="002140AA" w:rsidRDefault="002140AA" w:rsidP="002140AA">
      <w:pPr>
        <w:pStyle w:val="FootnoteText"/>
      </w:pPr>
      <w:r>
        <w:rPr>
          <w:rStyle w:val="FootnoteReference"/>
        </w:rPr>
        <w:footnoteRef/>
      </w:r>
      <w:r>
        <w:t xml:space="preserve"> For ideas about degeneration and contagion see: Jeanette Roberts Shumaker, ‘Degeneration and Mesmerism in Wilkie Collin’s “Heart and Science”’, </w:t>
      </w:r>
      <w:r>
        <w:rPr>
          <w:i/>
        </w:rPr>
        <w:t>The South Carolina Review</w:t>
      </w:r>
      <w:r>
        <w:t>, Vol, no and date unavailable, 102. Accessed 7</w:t>
      </w:r>
      <w:r w:rsidRPr="00C11BA1">
        <w:rPr>
          <w:vertAlign w:val="superscript"/>
        </w:rPr>
        <w:t>th</w:t>
      </w:r>
      <w:r>
        <w:t xml:space="preserve"> Feb 2019 </w:t>
      </w:r>
    </w:p>
    <w:p w14:paraId="7FEEF867" w14:textId="77777777" w:rsidR="002140AA" w:rsidRPr="008451FA" w:rsidRDefault="002140AA" w:rsidP="002140AA">
      <w:pPr>
        <w:pStyle w:val="FootnoteText"/>
      </w:pPr>
      <w:r>
        <w:t>&lt;</w:t>
      </w:r>
      <w:hyperlink r:id="rId1" w:history="1">
        <w:r w:rsidRPr="00CE1E63">
          <w:rPr>
            <w:rStyle w:val="Hyperlink"/>
          </w:rPr>
          <w:t>https://ezproxy.uwtsd.ac.uk/login?url=https://search.ebscohost.com/login.aspx?direct=true&amp;db=hus&amp;AN=509868146&amp;site=ehost-live</w:t>
        </w:r>
      </w:hyperlink>
      <w:r>
        <w:rPr>
          <w:rStyle w:val="Hyperlink"/>
        </w:rPr>
        <w:t>&gt;</w:t>
      </w:r>
    </w:p>
    <w:p w14:paraId="0DBC71BF" w14:textId="77777777" w:rsidR="002140AA" w:rsidRDefault="002140AA" w:rsidP="002140AA">
      <w:pPr>
        <w:pStyle w:val="FootnoteText"/>
      </w:pPr>
    </w:p>
  </w:footnote>
  <w:footnote w:id="5">
    <w:p w14:paraId="11645646" w14:textId="70530072" w:rsidR="002140AA" w:rsidRPr="00435B2A" w:rsidRDefault="002140AA" w:rsidP="002140AA">
      <w:pPr>
        <w:pStyle w:val="FootnoteText"/>
      </w:pPr>
      <w:r>
        <w:rPr>
          <w:rStyle w:val="FootnoteReference"/>
        </w:rPr>
        <w:footnoteRef/>
      </w:r>
      <w:r>
        <w:t xml:space="preserve"> In Mansfield Park there is only a small, closed world, </w:t>
      </w:r>
      <w:r w:rsidR="00B45543">
        <w:t xml:space="preserve">and is </w:t>
      </w:r>
      <w:r>
        <w:t xml:space="preserve">certainly one Fanny rarely leaves, but there </w:t>
      </w:r>
      <w:r w:rsidRPr="00153285">
        <w:rPr>
          <w:i/>
        </w:rPr>
        <w:t>is</w:t>
      </w:r>
      <w:r>
        <w:t xml:space="preserve"> at least a society, a</w:t>
      </w:r>
      <w:r w:rsidR="00B45543">
        <w:t>lso,</w:t>
      </w:r>
      <w:r>
        <w:t xml:space="preserve"> the sense of over-protection is not there. Granted</w:t>
      </w:r>
      <w:r w:rsidR="002855D0">
        <w:t>,</w:t>
      </w:r>
      <w:r>
        <w:t xml:space="preserve"> the arrival of one small niece and later two suspiciously urban, exotic intruders are about the limits of ingress, and the trouble brought by the Crawfords teaches the family a little late to be more cautious. But </w:t>
      </w:r>
      <w:r w:rsidR="006D06A5">
        <w:t>fifty years later in</w:t>
      </w:r>
      <w:r>
        <w:t xml:space="preserve"> </w:t>
      </w:r>
      <w:r>
        <w:rPr>
          <w:i/>
        </w:rPr>
        <w:t>The Woman in White</w:t>
      </w:r>
      <w:r>
        <w:t xml:space="preserve">, the </w:t>
      </w:r>
      <w:r w:rsidR="00B45543">
        <w:t xml:space="preserve">aristocratic </w:t>
      </w:r>
      <w:r>
        <w:t>social world is claustrophobically small despite the generous space the characters live in. In a household of four Hartright could not help but make an impact</w:t>
      </w:r>
      <w:r w:rsidR="00DC030F">
        <w:t>. F</w:t>
      </w:r>
      <w:r>
        <w:t>urther, one of the four,</w:t>
      </w:r>
      <w:r w:rsidR="00A36F0B">
        <w:t xml:space="preserve"> </w:t>
      </w:r>
      <w:r>
        <w:t>the supposed head of the household, perpetually shuts himself in his own quarters, shuttered and silent. The sense of quarantine makes the intrusion of Fosco and Glyde feverish, and their presence seem unavoidable even in a large house and estate.</w:t>
      </w:r>
    </w:p>
  </w:footnote>
  <w:footnote w:id="6">
    <w:p w14:paraId="514E8383" w14:textId="77777777" w:rsidR="002140AA" w:rsidRPr="007C0261" w:rsidRDefault="002140AA" w:rsidP="002140AA">
      <w:pPr>
        <w:pStyle w:val="FootnoteText"/>
      </w:pPr>
      <w:r>
        <w:rPr>
          <w:rStyle w:val="FootnoteReference"/>
        </w:rPr>
        <w:footnoteRef/>
      </w:r>
      <w:r>
        <w:t xml:space="preserve"> See: Michael Karounos, ‘Ordination and Revolution in “Mansfield Park”’, </w:t>
      </w:r>
      <w:r>
        <w:rPr>
          <w:i/>
        </w:rPr>
        <w:t>SEL Studies in English Literature 1500-1900</w:t>
      </w:r>
      <w:r>
        <w:t>, Vol. 44, No. 4, (Autumn 2004)</w:t>
      </w:r>
    </w:p>
  </w:footnote>
  <w:footnote w:id="7">
    <w:p w14:paraId="4C180863" w14:textId="741C37AE" w:rsidR="002140AA" w:rsidRPr="00682A77" w:rsidRDefault="002140AA" w:rsidP="002140AA">
      <w:pPr>
        <w:pStyle w:val="FootnoteText"/>
      </w:pPr>
      <w:r>
        <w:rPr>
          <w:rStyle w:val="FootnoteReference"/>
        </w:rPr>
        <w:footnoteRef/>
      </w:r>
      <w:r>
        <w:t xml:space="preserve"> </w:t>
      </w:r>
      <w:r w:rsidRPr="00814BAA">
        <w:t>I</w:t>
      </w:r>
      <w:r>
        <w:t>t is interesting that the dissipation of the aristocracy is connected to the word improvement. I</w:t>
      </w:r>
      <w:r w:rsidRPr="00814BAA">
        <w:t>n the latter part of the 19</w:t>
      </w:r>
      <w:r w:rsidRPr="00814BAA">
        <w:rPr>
          <w:vertAlign w:val="superscript"/>
        </w:rPr>
        <w:t>th</w:t>
      </w:r>
      <w:r w:rsidRPr="00814BAA">
        <w:t xml:space="preserve"> century the term </w:t>
      </w:r>
      <w:r>
        <w:t>became entirely</w:t>
      </w:r>
      <w:r w:rsidRPr="00814BAA">
        <w:t xml:space="preserve"> cynical as it</w:t>
      </w:r>
      <w:r>
        <w:t xml:space="preserve"> also</w:t>
      </w:r>
      <w:r w:rsidRPr="00814BAA">
        <w:t xml:space="preserve"> </w:t>
      </w:r>
      <w:r>
        <w:t xml:space="preserve">came to be </w:t>
      </w:r>
      <w:r w:rsidRPr="00814BAA">
        <w:t>applied to the ‘improvement’ of the slums</w:t>
      </w:r>
      <w:r>
        <w:t>. The slums were t</w:t>
      </w:r>
      <w:r w:rsidRPr="00814BAA">
        <w:t xml:space="preserve">ightly packed, filthy with raw sewage </w:t>
      </w:r>
      <w:r>
        <w:t>and had</w:t>
      </w:r>
      <w:r w:rsidRPr="00814BAA">
        <w:t xml:space="preserve"> scant shared facilities</w:t>
      </w:r>
      <w:r>
        <w:t xml:space="preserve">: there was often only </w:t>
      </w:r>
      <w:r w:rsidRPr="00814BAA">
        <w:t xml:space="preserve">one stand pipe and privy to several hundred people. Flanders notes the ‘improvements’ meant sweeping away </w:t>
      </w:r>
      <w:r>
        <w:t xml:space="preserve">the </w:t>
      </w:r>
      <w:r w:rsidRPr="00814BAA">
        <w:t>slum housing, though often</w:t>
      </w:r>
      <w:r>
        <w:t xml:space="preserve"> this was really</w:t>
      </w:r>
      <w:r w:rsidRPr="00814BAA">
        <w:t xml:space="preserve"> to access the land for factories and the railway, </w:t>
      </w:r>
      <w:r>
        <w:t>not to replace the homes that were lost. T</w:t>
      </w:r>
      <w:r w:rsidRPr="00814BAA">
        <w:t xml:space="preserve">he poor were forced to move on to other slums, swelling their ranks. </w:t>
      </w:r>
      <w:r>
        <w:t>Sometimes,</w:t>
      </w:r>
      <w:r w:rsidRPr="00814BAA">
        <w:t xml:space="preserve"> the area</w:t>
      </w:r>
      <w:r>
        <w:t>s</w:t>
      </w:r>
      <w:r w:rsidRPr="00814BAA">
        <w:t xml:space="preserve"> </w:t>
      </w:r>
      <w:r>
        <w:t>remained</w:t>
      </w:r>
      <w:r w:rsidR="007940CE">
        <w:t>;</w:t>
      </w:r>
      <w:r w:rsidRPr="00814BAA">
        <w:t xml:space="preserve"> </w:t>
      </w:r>
      <w:r>
        <w:t>the</w:t>
      </w:r>
      <w:r w:rsidRPr="00814BAA">
        <w:t xml:space="preserve"> example </w:t>
      </w:r>
      <w:r>
        <w:t xml:space="preserve">given is </w:t>
      </w:r>
      <w:r w:rsidRPr="00814BAA">
        <w:t>St Giles</w:t>
      </w:r>
      <w:r>
        <w:t xml:space="preserve"> - which</w:t>
      </w:r>
      <w:r w:rsidRPr="00814BAA">
        <w:t xml:space="preserve"> lost its sole privy </w:t>
      </w:r>
      <w:r>
        <w:t>as a consequence of</w:t>
      </w:r>
      <w:r w:rsidRPr="00814BAA">
        <w:t xml:space="preserve"> its ‘improvement’.</w:t>
      </w:r>
      <w:r>
        <w:t xml:space="preserve"> Judith Flanders, ‘Slums’, </w:t>
      </w:r>
      <w:r>
        <w:rPr>
          <w:i/>
        </w:rPr>
        <w:t>Discovering Literature: Romantics and Victorians</w:t>
      </w:r>
      <w:r>
        <w:t>, The British Library, (2014). &lt;</w:t>
      </w:r>
      <w:r w:rsidRPr="000A2DA1">
        <w:t xml:space="preserve"> </w:t>
      </w:r>
      <w:hyperlink r:id="rId2" w:history="1">
        <w:r w:rsidRPr="00CE1E63">
          <w:rPr>
            <w:rStyle w:val="Hyperlink"/>
          </w:rPr>
          <w:t>https://www.bl.uk/romantics-and-victorians/articles/slums</w:t>
        </w:r>
      </w:hyperlink>
      <w:r>
        <w:t>&gt; Accessed 10</w:t>
      </w:r>
      <w:r w:rsidRPr="000A2DA1">
        <w:rPr>
          <w:vertAlign w:val="superscript"/>
        </w:rPr>
        <w:t>th</w:t>
      </w:r>
      <w:r>
        <w:t xml:space="preserve"> Feb. 2019</w:t>
      </w:r>
    </w:p>
  </w:footnote>
  <w:footnote w:id="8">
    <w:p w14:paraId="5106A8F6" w14:textId="77777777" w:rsidR="002140AA" w:rsidRPr="007B723D" w:rsidRDefault="002140AA" w:rsidP="002140AA">
      <w:pPr>
        <w:pStyle w:val="FootnoteText"/>
      </w:pPr>
      <w:r>
        <w:rPr>
          <w:rStyle w:val="FootnoteReference"/>
        </w:rPr>
        <w:footnoteRef/>
      </w:r>
      <w:r>
        <w:t xml:space="preserve"> Karen C. Gindele, ‘Wonders Taken for Signs: Marian and Fosco in “The Woman in White”’, </w:t>
      </w:r>
      <w:r>
        <w:rPr>
          <w:i/>
        </w:rPr>
        <w:t>Literature and Psychology</w:t>
      </w:r>
      <w:r>
        <w:t>, Vol. 46, No. 3 (2000), 71</w:t>
      </w:r>
    </w:p>
  </w:footnote>
  <w:footnote w:id="9">
    <w:p w14:paraId="078CCDE5" w14:textId="714AD8CA" w:rsidR="002140AA" w:rsidRPr="00DB290D" w:rsidRDefault="002140AA" w:rsidP="002140AA">
      <w:pPr>
        <w:pStyle w:val="FootnoteText"/>
      </w:pPr>
      <w:r>
        <w:rPr>
          <w:rStyle w:val="FootnoteReference"/>
        </w:rPr>
        <w:footnoteRef/>
      </w:r>
      <w:r>
        <w:t xml:space="preserve"> For Fanny as a passive, inert character, see: Joyce L Jenkins, ‘The Puzzle of Fanny Price’, </w:t>
      </w:r>
      <w:r>
        <w:rPr>
          <w:i/>
        </w:rPr>
        <w:t>Philosophy and Literature</w:t>
      </w:r>
      <w:r>
        <w:t xml:space="preserve">, Vol. 30, No. “, (Oct 2006), this is similarly, though more sympathetically backed by Amy J. Pawl, ‘Fanny Price and the Sentimental Genealogy of “Mansfield Park”’, </w:t>
      </w:r>
      <w:r>
        <w:rPr>
          <w:i/>
        </w:rPr>
        <w:t>Eighteenth-Century Fiction</w:t>
      </w:r>
      <w:r>
        <w:t xml:space="preserve">, Vol. 16, No. 2 (January 2004) but is countered by Monaghan who notes this sedateness as a controlled self-possession that grows throughout the novel. David Monaghan, ‘Reinventing Fanny Price: Patricia Rozema’s Thoroughly Modern “Mansfield Park”’, </w:t>
      </w:r>
      <w:r>
        <w:rPr>
          <w:i/>
        </w:rPr>
        <w:t>Mosaic</w:t>
      </w:r>
      <w:r>
        <w:t>, Vol. 40, No. 3 (Sept 2007). I wonder</w:t>
      </w:r>
      <w:r w:rsidR="00A52DD6">
        <w:t xml:space="preserve">, </w:t>
      </w:r>
      <w:r w:rsidR="00B42390">
        <w:t xml:space="preserve">is </w:t>
      </w:r>
      <w:r>
        <w:t xml:space="preserve">there is a </w:t>
      </w:r>
      <w:r w:rsidR="00A52DD6">
        <w:t>difference</w:t>
      </w:r>
      <w:r>
        <w:t xml:space="preserve"> in </w:t>
      </w:r>
      <w:r w:rsidR="00A52DD6">
        <w:t xml:space="preserve">the reception of </w:t>
      </w:r>
      <w:r>
        <w:t>Fanny b</w:t>
      </w:r>
      <w:r w:rsidR="00A52DD6">
        <w:t>y</w:t>
      </w:r>
      <w:r>
        <w:t xml:space="preserve"> introverted and extroverted reader?</w:t>
      </w:r>
    </w:p>
  </w:footnote>
  <w:footnote w:id="10">
    <w:p w14:paraId="3FC38C94" w14:textId="77777777" w:rsidR="002140AA" w:rsidRDefault="002140AA" w:rsidP="002140AA">
      <w:pPr>
        <w:pStyle w:val="FootnoteText"/>
      </w:pPr>
      <w:r>
        <w:rPr>
          <w:rStyle w:val="FootnoteReference"/>
        </w:rPr>
        <w:footnoteRef/>
      </w:r>
      <w:r>
        <w:t xml:space="preserve"> See Waldron for a reading of </w:t>
      </w:r>
      <w:r>
        <w:rPr>
          <w:i/>
        </w:rPr>
        <w:t>Mansfield Park</w:t>
      </w:r>
      <w:r>
        <w:t xml:space="preserve"> and Fanny as a study of an Evangelical position, brought to a conclusion that it would be difficult to applaud.</w:t>
      </w:r>
    </w:p>
  </w:footnote>
  <w:footnote w:id="11">
    <w:p w14:paraId="4BF4E10F" w14:textId="77777777" w:rsidR="002140AA" w:rsidRDefault="002140AA" w:rsidP="002140AA">
      <w:pPr>
        <w:pStyle w:val="FootnoteText"/>
      </w:pPr>
      <w:r>
        <w:rPr>
          <w:rStyle w:val="FootnoteReference"/>
        </w:rPr>
        <w:footnoteRef/>
      </w:r>
      <w:r>
        <w:t xml:space="preserve"> As Jenkins says, ‘The Bertram daughters…come a cropper because Sir Thomas teaches them manner, not principle’. Jenkins, 350</w:t>
      </w:r>
    </w:p>
  </w:footnote>
  <w:footnote w:id="12">
    <w:p w14:paraId="0C6AC762" w14:textId="77777777" w:rsidR="002140AA" w:rsidRPr="00AE0E9C" w:rsidRDefault="002140AA" w:rsidP="002140AA">
      <w:pPr>
        <w:pStyle w:val="FootnoteText"/>
      </w:pPr>
      <w:r>
        <w:rPr>
          <w:rStyle w:val="FootnoteReference"/>
        </w:rPr>
        <w:footnoteRef/>
      </w:r>
      <w:r>
        <w:t xml:space="preserve"> Jane Austen, </w:t>
      </w:r>
      <w:r>
        <w:rPr>
          <w:i/>
        </w:rPr>
        <w:t>Mansfield Park</w:t>
      </w:r>
      <w:r>
        <w:t>, (London: Penguin Classics, 1996), p. 400</w:t>
      </w:r>
    </w:p>
  </w:footnote>
  <w:footnote w:id="13">
    <w:p w14:paraId="776FA04A" w14:textId="3DE16DB2" w:rsidR="002140AA" w:rsidRPr="00486A48" w:rsidRDefault="002140AA" w:rsidP="002140AA">
      <w:pPr>
        <w:spacing w:line="240" w:lineRule="auto"/>
        <w:rPr>
          <w:sz w:val="20"/>
          <w:szCs w:val="20"/>
        </w:rPr>
      </w:pPr>
      <w:r>
        <w:rPr>
          <w:rStyle w:val="FootnoteReference"/>
        </w:rPr>
        <w:footnoteRef/>
      </w:r>
      <w:r>
        <w:t xml:space="preserve"> </w:t>
      </w:r>
      <w:r w:rsidRPr="007F5409">
        <w:rPr>
          <w:sz w:val="20"/>
          <w:szCs w:val="20"/>
        </w:rPr>
        <w:t>Equally illuminating in a consideration of Fanny as intruder are texts and characters there is no room for here</w:t>
      </w:r>
      <w:r w:rsidR="001A6421">
        <w:rPr>
          <w:sz w:val="20"/>
          <w:szCs w:val="20"/>
        </w:rPr>
        <w:t>,</w:t>
      </w:r>
      <w:r w:rsidRPr="007F5409">
        <w:rPr>
          <w:sz w:val="20"/>
          <w:szCs w:val="20"/>
        </w:rPr>
        <w:t xml:space="preserve"> notably Heathcliff (</w:t>
      </w:r>
      <w:r w:rsidRPr="007F5409">
        <w:rPr>
          <w:i/>
          <w:sz w:val="20"/>
          <w:szCs w:val="20"/>
        </w:rPr>
        <w:t>Wuthering Heights</w:t>
      </w:r>
      <w:r w:rsidRPr="007F5409">
        <w:rPr>
          <w:sz w:val="20"/>
          <w:szCs w:val="20"/>
        </w:rPr>
        <w:t>, 1847)</w:t>
      </w:r>
      <w:r w:rsidR="001A6421">
        <w:rPr>
          <w:sz w:val="20"/>
          <w:szCs w:val="20"/>
        </w:rPr>
        <w:t>,</w:t>
      </w:r>
      <w:r w:rsidRPr="007F5409">
        <w:rPr>
          <w:i/>
          <w:sz w:val="20"/>
          <w:szCs w:val="20"/>
        </w:rPr>
        <w:t xml:space="preserve"> </w:t>
      </w:r>
      <w:r w:rsidRPr="007F5409">
        <w:rPr>
          <w:sz w:val="20"/>
          <w:szCs w:val="20"/>
        </w:rPr>
        <w:t>the most notorious 19</w:t>
      </w:r>
      <w:r w:rsidRPr="007F5409">
        <w:rPr>
          <w:sz w:val="20"/>
          <w:szCs w:val="20"/>
          <w:vertAlign w:val="superscript"/>
        </w:rPr>
        <w:t>th</w:t>
      </w:r>
      <w:r w:rsidRPr="007F5409">
        <w:rPr>
          <w:sz w:val="20"/>
          <w:szCs w:val="20"/>
        </w:rPr>
        <w:t xml:space="preserve"> century literary ‘cuckoo’: both Fanny and Heathcliff become gentrified, both usurp the offspring of their host families, both novels have a ‘romance’ between those who should be brother and sister, and share the themes of the marriage market and slavery. Perhaps </w:t>
      </w:r>
      <w:r w:rsidRPr="007F5409">
        <w:rPr>
          <w:i/>
          <w:sz w:val="20"/>
          <w:szCs w:val="20"/>
        </w:rPr>
        <w:t xml:space="preserve">Wuthering Heights </w:t>
      </w:r>
      <w:r w:rsidRPr="007F5409">
        <w:rPr>
          <w:sz w:val="20"/>
          <w:szCs w:val="20"/>
        </w:rPr>
        <w:t xml:space="preserve">and </w:t>
      </w:r>
      <w:r w:rsidRPr="007F5409">
        <w:rPr>
          <w:i/>
          <w:sz w:val="20"/>
          <w:szCs w:val="20"/>
        </w:rPr>
        <w:t>Mansfield Park</w:t>
      </w:r>
      <w:r w:rsidRPr="007F5409">
        <w:rPr>
          <w:sz w:val="20"/>
          <w:szCs w:val="20"/>
        </w:rPr>
        <w:t xml:space="preserve"> share </w:t>
      </w:r>
      <w:r>
        <w:rPr>
          <w:sz w:val="20"/>
          <w:szCs w:val="20"/>
        </w:rPr>
        <w:t>everything</w:t>
      </w:r>
      <w:r w:rsidRPr="007F5409">
        <w:rPr>
          <w:sz w:val="20"/>
          <w:szCs w:val="20"/>
        </w:rPr>
        <w:t xml:space="preserve"> but tone - the subdued, mannered cruelties of Austin, are replaced by the wild, vicious cruelties of Bronte, but that change in tone heightens the cuckoo trope in Heathcliff, and one can reflect that back at Fanny.</w:t>
      </w:r>
    </w:p>
  </w:footnote>
  <w:footnote w:id="14">
    <w:p w14:paraId="10651EBD" w14:textId="77777777" w:rsidR="002140AA" w:rsidRDefault="002140AA" w:rsidP="002140AA">
      <w:pPr>
        <w:pStyle w:val="FootnoteText"/>
      </w:pPr>
      <w:r>
        <w:rPr>
          <w:rStyle w:val="FootnoteReference"/>
        </w:rPr>
        <w:footnoteRef/>
      </w:r>
      <w:r>
        <w:t xml:space="preserve"> Collins, p. 699</w:t>
      </w:r>
    </w:p>
  </w:footnote>
  <w:footnote w:id="15">
    <w:p w14:paraId="56FD80E9" w14:textId="6528DB02" w:rsidR="002140AA" w:rsidRDefault="002140AA" w:rsidP="002140AA">
      <w:pPr>
        <w:pStyle w:val="FootnoteText"/>
      </w:pPr>
      <w:r>
        <w:rPr>
          <w:rStyle w:val="FootnoteReference"/>
        </w:rPr>
        <w:footnoteRef/>
      </w:r>
      <w:r>
        <w:t xml:space="preserve"> </w:t>
      </w:r>
      <w:r w:rsidR="00F117B2">
        <w:t xml:space="preserve">Collins, p. 252, pp. </w:t>
      </w:r>
      <w:r w:rsidR="00F117B2" w:rsidRPr="009D0676">
        <w:t>246-7</w:t>
      </w:r>
      <w:r w:rsidR="00F117B2">
        <w:t xml:space="preserve"> and </w:t>
      </w:r>
      <w:r>
        <w:t>p. 303</w:t>
      </w:r>
    </w:p>
  </w:footnote>
  <w:footnote w:id="16">
    <w:p w14:paraId="56475737" w14:textId="77777777" w:rsidR="002140AA" w:rsidRDefault="002140AA" w:rsidP="002140AA">
      <w:pPr>
        <w:pStyle w:val="FootnoteText"/>
      </w:pPr>
      <w:r>
        <w:rPr>
          <w:rStyle w:val="FootnoteReference"/>
        </w:rPr>
        <w:footnoteRef/>
      </w:r>
      <w:r>
        <w:t xml:space="preserve"> McReynolds notes animal magnetism was a term used interchangeably with mesmerism throughout this period. Leigha High McReynolds, </w:t>
      </w:r>
      <w:r>
        <w:rPr>
          <w:i/>
        </w:rPr>
        <w:t>Fantastic Evidence: Mesmerism, Narrative, and Knowledge in the Heterodox Victorian Novel</w:t>
      </w:r>
      <w:r>
        <w:t>, Dissertation for George Washington University, published by Proquest (2016).  &lt;</w:t>
      </w:r>
      <w:r w:rsidRPr="00B325BA">
        <w:t>search.proquest.com/docview/1732359996</w:t>
      </w:r>
      <w:r>
        <w:t>&gt; Accessed 5</w:t>
      </w:r>
      <w:r w:rsidRPr="00C05646">
        <w:rPr>
          <w:vertAlign w:val="superscript"/>
        </w:rPr>
        <w:t>th</w:t>
      </w:r>
      <w:r>
        <w:t xml:space="preserve"> Feb 2019. Frustratingly this is only an abstract, though quite a long one, the thesis is American and unavailable.</w:t>
      </w:r>
    </w:p>
  </w:footnote>
  <w:footnote w:id="17">
    <w:p w14:paraId="09E9BA64" w14:textId="77777777" w:rsidR="002140AA" w:rsidRDefault="002140AA" w:rsidP="002140AA">
      <w:pPr>
        <w:pStyle w:val="FootnoteText"/>
      </w:pPr>
      <w:r>
        <w:rPr>
          <w:rStyle w:val="FootnoteReference"/>
        </w:rPr>
        <w:footnoteRef/>
      </w:r>
      <w:r>
        <w:t xml:space="preserve"> Austen, p. 42</w:t>
      </w:r>
    </w:p>
  </w:footnote>
  <w:footnote w:id="18">
    <w:p w14:paraId="66A046E6" w14:textId="77777777" w:rsidR="002140AA" w:rsidRDefault="002140AA" w:rsidP="002140AA">
      <w:pPr>
        <w:pStyle w:val="FootnoteText"/>
      </w:pPr>
      <w:r>
        <w:rPr>
          <w:rStyle w:val="FootnoteReference"/>
        </w:rPr>
        <w:footnoteRef/>
      </w:r>
      <w:r>
        <w:t xml:space="preserve"> Ibid., p.43</w:t>
      </w:r>
    </w:p>
  </w:footnote>
  <w:footnote w:id="19">
    <w:p w14:paraId="2DCCC4B7" w14:textId="77777777" w:rsidR="002140AA" w:rsidRDefault="002140AA" w:rsidP="002140AA">
      <w:pPr>
        <w:pStyle w:val="FootnoteText"/>
      </w:pPr>
      <w:r>
        <w:rPr>
          <w:rStyle w:val="FootnoteReference"/>
        </w:rPr>
        <w:footnoteRef/>
      </w:r>
      <w:r>
        <w:t xml:space="preserve"> Ibid., p.212</w:t>
      </w:r>
    </w:p>
  </w:footnote>
  <w:footnote w:id="20">
    <w:p w14:paraId="23A36E2F" w14:textId="77777777" w:rsidR="002140AA" w:rsidRDefault="002140AA" w:rsidP="002140AA">
      <w:pPr>
        <w:pStyle w:val="FootnoteText"/>
      </w:pPr>
      <w:r>
        <w:rPr>
          <w:rStyle w:val="FootnoteReference"/>
        </w:rPr>
        <w:footnoteRef/>
      </w:r>
      <w:r>
        <w:t xml:space="preserve"> Collins, p.312</w:t>
      </w:r>
    </w:p>
  </w:footnote>
  <w:footnote w:id="21">
    <w:p w14:paraId="4FC6C269" w14:textId="77777777" w:rsidR="002140AA" w:rsidRDefault="002140AA" w:rsidP="002140AA">
      <w:pPr>
        <w:pStyle w:val="FootnoteText"/>
      </w:pPr>
      <w:r>
        <w:rPr>
          <w:rStyle w:val="FootnoteReference"/>
        </w:rPr>
        <w:footnoteRef/>
      </w:r>
      <w:r>
        <w:t xml:space="preserve"> Ibid., p.312</w:t>
      </w:r>
    </w:p>
  </w:footnote>
  <w:footnote w:id="22">
    <w:p w14:paraId="171D1EF9" w14:textId="77777777" w:rsidR="002140AA" w:rsidRDefault="002140AA" w:rsidP="002140AA">
      <w:pPr>
        <w:pStyle w:val="FootnoteText"/>
      </w:pPr>
      <w:r>
        <w:rPr>
          <w:rStyle w:val="FootnoteReference"/>
        </w:rPr>
        <w:footnoteRef/>
      </w:r>
      <w:r>
        <w:t xml:space="preserve"> Ibid., pp. 313-14</w:t>
      </w:r>
    </w:p>
  </w:footnote>
  <w:footnote w:id="23">
    <w:p w14:paraId="5339EE5A" w14:textId="77777777" w:rsidR="002140AA" w:rsidRPr="006D4B75" w:rsidRDefault="002140AA" w:rsidP="002140AA">
      <w:pPr>
        <w:pStyle w:val="FootnoteText"/>
      </w:pPr>
      <w:r>
        <w:rPr>
          <w:rStyle w:val="FootnoteReference"/>
        </w:rPr>
        <w:footnoteRef/>
      </w:r>
      <w:r>
        <w:t xml:space="preserve"> </w:t>
      </w:r>
      <w:bookmarkStart w:id="3" w:name="_Hlk536795146"/>
      <w:r>
        <w:t xml:space="preserve">Samuel Richardson, </w:t>
      </w:r>
      <w:r>
        <w:rPr>
          <w:i/>
        </w:rPr>
        <w:t>Pamela; or Virtue Rewarded</w:t>
      </w:r>
      <w:r>
        <w:t>, (Oxford: Oxford University Press, 2008)</w:t>
      </w:r>
      <w:bookmarkEnd w:id="3"/>
      <w:r>
        <w:t>, p.257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ExtDAyNbM0NbAwszBQ0lEKTi0uzszPAykwrAUAq7QKIiwAAAA="/>
  </w:docVars>
  <w:rsids>
    <w:rsidRoot w:val="003A50BF"/>
    <w:rsid w:val="00012F2E"/>
    <w:rsid w:val="00032483"/>
    <w:rsid w:val="00034A7D"/>
    <w:rsid w:val="00054778"/>
    <w:rsid w:val="000C15D1"/>
    <w:rsid w:val="000D1D82"/>
    <w:rsid w:val="0010108A"/>
    <w:rsid w:val="0010320E"/>
    <w:rsid w:val="00133FE2"/>
    <w:rsid w:val="00141B3C"/>
    <w:rsid w:val="00151E6A"/>
    <w:rsid w:val="00155741"/>
    <w:rsid w:val="00181841"/>
    <w:rsid w:val="001A2364"/>
    <w:rsid w:val="001A275E"/>
    <w:rsid w:val="001A6421"/>
    <w:rsid w:val="001B541C"/>
    <w:rsid w:val="001B6D46"/>
    <w:rsid w:val="001C13DA"/>
    <w:rsid w:val="001C2440"/>
    <w:rsid w:val="001C2C13"/>
    <w:rsid w:val="001E62C1"/>
    <w:rsid w:val="001E64EC"/>
    <w:rsid w:val="001F69CE"/>
    <w:rsid w:val="002140AA"/>
    <w:rsid w:val="00236F47"/>
    <w:rsid w:val="00263652"/>
    <w:rsid w:val="00266874"/>
    <w:rsid w:val="00273BAA"/>
    <w:rsid w:val="00281C15"/>
    <w:rsid w:val="002830EB"/>
    <w:rsid w:val="002855D0"/>
    <w:rsid w:val="00295C14"/>
    <w:rsid w:val="002A7BD4"/>
    <w:rsid w:val="002B7048"/>
    <w:rsid w:val="002C79CA"/>
    <w:rsid w:val="002E5341"/>
    <w:rsid w:val="00344703"/>
    <w:rsid w:val="0036062A"/>
    <w:rsid w:val="003611C0"/>
    <w:rsid w:val="003625E1"/>
    <w:rsid w:val="003654A3"/>
    <w:rsid w:val="00366A2B"/>
    <w:rsid w:val="003A50BF"/>
    <w:rsid w:val="003C6ED2"/>
    <w:rsid w:val="0041012B"/>
    <w:rsid w:val="004163C2"/>
    <w:rsid w:val="004177FA"/>
    <w:rsid w:val="004446C1"/>
    <w:rsid w:val="00450337"/>
    <w:rsid w:val="00455BE3"/>
    <w:rsid w:val="00462096"/>
    <w:rsid w:val="00462E3B"/>
    <w:rsid w:val="00475A8B"/>
    <w:rsid w:val="00482B2D"/>
    <w:rsid w:val="004B08A6"/>
    <w:rsid w:val="004C00ED"/>
    <w:rsid w:val="004E0FF8"/>
    <w:rsid w:val="004F7378"/>
    <w:rsid w:val="00543F4A"/>
    <w:rsid w:val="00552DE6"/>
    <w:rsid w:val="005765D0"/>
    <w:rsid w:val="005A47FA"/>
    <w:rsid w:val="005B3611"/>
    <w:rsid w:val="005B3A13"/>
    <w:rsid w:val="005C6A6A"/>
    <w:rsid w:val="005D2047"/>
    <w:rsid w:val="005D3B5F"/>
    <w:rsid w:val="005E470C"/>
    <w:rsid w:val="00614A69"/>
    <w:rsid w:val="00636850"/>
    <w:rsid w:val="0063689B"/>
    <w:rsid w:val="0064721D"/>
    <w:rsid w:val="00663C93"/>
    <w:rsid w:val="00675889"/>
    <w:rsid w:val="00685842"/>
    <w:rsid w:val="006A13EE"/>
    <w:rsid w:val="006A69E4"/>
    <w:rsid w:val="006B21CC"/>
    <w:rsid w:val="006D06A5"/>
    <w:rsid w:val="006F0E94"/>
    <w:rsid w:val="00703E08"/>
    <w:rsid w:val="00704F0F"/>
    <w:rsid w:val="007055C1"/>
    <w:rsid w:val="0071240F"/>
    <w:rsid w:val="00720186"/>
    <w:rsid w:val="0073731F"/>
    <w:rsid w:val="00770F66"/>
    <w:rsid w:val="007940CE"/>
    <w:rsid w:val="007A0A88"/>
    <w:rsid w:val="007D1208"/>
    <w:rsid w:val="007E485D"/>
    <w:rsid w:val="007F0C4C"/>
    <w:rsid w:val="00801D43"/>
    <w:rsid w:val="0081148C"/>
    <w:rsid w:val="00825E8C"/>
    <w:rsid w:val="00837671"/>
    <w:rsid w:val="00852515"/>
    <w:rsid w:val="00864766"/>
    <w:rsid w:val="008C0A95"/>
    <w:rsid w:val="008C1220"/>
    <w:rsid w:val="008F7A2A"/>
    <w:rsid w:val="00935725"/>
    <w:rsid w:val="0095359D"/>
    <w:rsid w:val="0098027B"/>
    <w:rsid w:val="009E1385"/>
    <w:rsid w:val="00A00C1D"/>
    <w:rsid w:val="00A02EDC"/>
    <w:rsid w:val="00A151D8"/>
    <w:rsid w:val="00A323E3"/>
    <w:rsid w:val="00A36F0B"/>
    <w:rsid w:val="00A52DD6"/>
    <w:rsid w:val="00A81749"/>
    <w:rsid w:val="00AB45E0"/>
    <w:rsid w:val="00AB6CB2"/>
    <w:rsid w:val="00AF5764"/>
    <w:rsid w:val="00B068DE"/>
    <w:rsid w:val="00B108B7"/>
    <w:rsid w:val="00B149DB"/>
    <w:rsid w:val="00B37DCE"/>
    <w:rsid w:val="00B42390"/>
    <w:rsid w:val="00B45543"/>
    <w:rsid w:val="00B703E3"/>
    <w:rsid w:val="00B81A56"/>
    <w:rsid w:val="00B87D60"/>
    <w:rsid w:val="00BB4E0D"/>
    <w:rsid w:val="00BD41F2"/>
    <w:rsid w:val="00BD4B85"/>
    <w:rsid w:val="00BF1848"/>
    <w:rsid w:val="00C014AE"/>
    <w:rsid w:val="00C16387"/>
    <w:rsid w:val="00C170D3"/>
    <w:rsid w:val="00C223B5"/>
    <w:rsid w:val="00C247D2"/>
    <w:rsid w:val="00C3366B"/>
    <w:rsid w:val="00C33FF4"/>
    <w:rsid w:val="00C506F9"/>
    <w:rsid w:val="00C526FD"/>
    <w:rsid w:val="00C83909"/>
    <w:rsid w:val="00CA4048"/>
    <w:rsid w:val="00CE23BF"/>
    <w:rsid w:val="00CF476A"/>
    <w:rsid w:val="00CF73DA"/>
    <w:rsid w:val="00CF7650"/>
    <w:rsid w:val="00D0097E"/>
    <w:rsid w:val="00D1004D"/>
    <w:rsid w:val="00D2380B"/>
    <w:rsid w:val="00D32DD9"/>
    <w:rsid w:val="00D65A3C"/>
    <w:rsid w:val="00D67AAE"/>
    <w:rsid w:val="00D70F14"/>
    <w:rsid w:val="00D77E01"/>
    <w:rsid w:val="00D83AA9"/>
    <w:rsid w:val="00D9710C"/>
    <w:rsid w:val="00DB290D"/>
    <w:rsid w:val="00DB50F4"/>
    <w:rsid w:val="00DC030F"/>
    <w:rsid w:val="00DC4DBC"/>
    <w:rsid w:val="00DE54C2"/>
    <w:rsid w:val="00DE5CE4"/>
    <w:rsid w:val="00E04FC9"/>
    <w:rsid w:val="00E0548A"/>
    <w:rsid w:val="00E07E16"/>
    <w:rsid w:val="00E22671"/>
    <w:rsid w:val="00E25C7C"/>
    <w:rsid w:val="00E309CF"/>
    <w:rsid w:val="00E5341B"/>
    <w:rsid w:val="00E539FF"/>
    <w:rsid w:val="00E70A08"/>
    <w:rsid w:val="00E7420F"/>
    <w:rsid w:val="00E87DA2"/>
    <w:rsid w:val="00E93D2D"/>
    <w:rsid w:val="00EA54B6"/>
    <w:rsid w:val="00EB63A8"/>
    <w:rsid w:val="00EC0087"/>
    <w:rsid w:val="00EE11CF"/>
    <w:rsid w:val="00EF2DB8"/>
    <w:rsid w:val="00F117B2"/>
    <w:rsid w:val="00F1732A"/>
    <w:rsid w:val="00F209BE"/>
    <w:rsid w:val="00F40348"/>
    <w:rsid w:val="00F52751"/>
    <w:rsid w:val="00F7416C"/>
    <w:rsid w:val="00FA524F"/>
    <w:rsid w:val="00FC6F98"/>
    <w:rsid w:val="00FE36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B82932"/>
  <w15:chartTrackingRefBased/>
  <w15:docId w15:val="{5317887E-1559-4159-8CD4-20E14629B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416C"/>
  </w:style>
  <w:style w:type="paragraph" w:styleId="Heading1">
    <w:name w:val="heading 1"/>
    <w:basedOn w:val="Normal"/>
    <w:next w:val="Normal"/>
    <w:link w:val="Heading1Char"/>
    <w:qFormat/>
    <w:rsid w:val="00A323E3"/>
    <w:pPr>
      <w:keepNext/>
      <w:spacing w:before="240" w:after="60" w:line="240" w:lineRule="auto"/>
      <w:outlineLvl w:val="0"/>
    </w:pPr>
    <w:rPr>
      <w:rFonts w:ascii="Arial" w:eastAsia="SimSun" w:hAnsi="Arial" w:cs="Arial"/>
      <w:b/>
      <w:bCs/>
      <w:kern w:val="32"/>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F52751"/>
    <w:rPr>
      <w:sz w:val="20"/>
      <w:szCs w:val="20"/>
    </w:rPr>
  </w:style>
  <w:style w:type="paragraph" w:styleId="FootnoteText">
    <w:name w:val="footnote text"/>
    <w:basedOn w:val="Normal"/>
    <w:link w:val="FootnoteTextChar"/>
    <w:uiPriority w:val="99"/>
    <w:unhideWhenUsed/>
    <w:rsid w:val="00F52751"/>
    <w:pPr>
      <w:spacing w:after="0" w:line="240" w:lineRule="auto"/>
    </w:pPr>
    <w:rPr>
      <w:sz w:val="20"/>
      <w:szCs w:val="20"/>
    </w:rPr>
  </w:style>
  <w:style w:type="character" w:styleId="FootnoteReference">
    <w:name w:val="footnote reference"/>
    <w:basedOn w:val="DefaultParagraphFont"/>
    <w:uiPriority w:val="99"/>
    <w:semiHidden/>
    <w:unhideWhenUsed/>
    <w:rsid w:val="00F52751"/>
    <w:rPr>
      <w:vertAlign w:val="superscript"/>
    </w:rPr>
  </w:style>
  <w:style w:type="character" w:styleId="Hyperlink">
    <w:name w:val="Hyperlink"/>
    <w:basedOn w:val="DefaultParagraphFont"/>
    <w:uiPriority w:val="99"/>
    <w:unhideWhenUsed/>
    <w:rsid w:val="00F52751"/>
    <w:rPr>
      <w:color w:val="0563C1" w:themeColor="hyperlink"/>
      <w:u w:val="single"/>
    </w:rPr>
  </w:style>
  <w:style w:type="paragraph" w:styleId="TOC2">
    <w:name w:val="toc 2"/>
    <w:basedOn w:val="Normal"/>
    <w:next w:val="Normal"/>
    <w:autoRedefine/>
    <w:uiPriority w:val="39"/>
    <w:unhideWhenUsed/>
    <w:rsid w:val="00F7416C"/>
    <w:pPr>
      <w:tabs>
        <w:tab w:val="right" w:leader="dot" w:pos="9350"/>
      </w:tabs>
      <w:spacing w:after="100" w:line="300" w:lineRule="auto"/>
    </w:pPr>
    <w:rPr>
      <w:rFonts w:eastAsiaTheme="minorEastAsia" w:cs="Times New Roman"/>
      <w:szCs w:val="21"/>
      <w:lang/>
    </w:rPr>
  </w:style>
  <w:style w:type="paragraph" w:styleId="TOC1">
    <w:name w:val="toc 1"/>
    <w:basedOn w:val="Normal"/>
    <w:next w:val="Normal"/>
    <w:autoRedefine/>
    <w:uiPriority w:val="39"/>
    <w:unhideWhenUsed/>
    <w:rsid w:val="00F7416C"/>
    <w:pPr>
      <w:tabs>
        <w:tab w:val="left" w:pos="1320"/>
        <w:tab w:val="right" w:leader="dot" w:pos="9350"/>
      </w:tabs>
      <w:spacing w:after="100" w:line="300" w:lineRule="auto"/>
    </w:pPr>
    <w:rPr>
      <w:rFonts w:eastAsiaTheme="minorEastAsia" w:cs="Times New Roman"/>
      <w:b/>
      <w:szCs w:val="21"/>
      <w:lang/>
    </w:rPr>
  </w:style>
  <w:style w:type="paragraph" w:styleId="TOC3">
    <w:name w:val="toc 3"/>
    <w:basedOn w:val="Normal"/>
    <w:next w:val="Normal"/>
    <w:autoRedefine/>
    <w:uiPriority w:val="39"/>
    <w:unhideWhenUsed/>
    <w:rsid w:val="00F7416C"/>
    <w:pPr>
      <w:tabs>
        <w:tab w:val="right" w:leader="dot" w:pos="9350"/>
      </w:tabs>
      <w:spacing w:after="100" w:line="300" w:lineRule="auto"/>
    </w:pPr>
    <w:rPr>
      <w:rFonts w:eastAsiaTheme="minorEastAsia" w:cs="Times New Roman"/>
      <w:szCs w:val="21"/>
      <w:lang/>
    </w:rPr>
  </w:style>
  <w:style w:type="character" w:styleId="UnresolvedMention">
    <w:name w:val="Unresolved Mention"/>
    <w:basedOn w:val="DefaultParagraphFont"/>
    <w:uiPriority w:val="99"/>
    <w:semiHidden/>
    <w:unhideWhenUsed/>
    <w:rsid w:val="00F7416C"/>
    <w:rPr>
      <w:color w:val="605E5C"/>
      <w:shd w:val="clear" w:color="auto" w:fill="E1DFDD"/>
    </w:rPr>
  </w:style>
  <w:style w:type="character" w:styleId="FollowedHyperlink">
    <w:name w:val="FollowedHyperlink"/>
    <w:basedOn w:val="DefaultParagraphFont"/>
    <w:uiPriority w:val="99"/>
    <w:semiHidden/>
    <w:unhideWhenUsed/>
    <w:rsid w:val="00F7416C"/>
    <w:rPr>
      <w:color w:val="954F72" w:themeColor="followedHyperlink"/>
      <w:u w:val="single"/>
    </w:rPr>
  </w:style>
  <w:style w:type="paragraph" w:styleId="Header">
    <w:name w:val="header"/>
    <w:basedOn w:val="Normal"/>
    <w:link w:val="HeaderChar"/>
    <w:uiPriority w:val="99"/>
    <w:unhideWhenUsed/>
    <w:rsid w:val="00C223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3B5"/>
  </w:style>
  <w:style w:type="paragraph" w:styleId="Footer">
    <w:name w:val="footer"/>
    <w:basedOn w:val="Normal"/>
    <w:link w:val="FooterChar"/>
    <w:uiPriority w:val="99"/>
    <w:unhideWhenUsed/>
    <w:rsid w:val="00C223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3B5"/>
  </w:style>
  <w:style w:type="character" w:customStyle="1" w:styleId="Heading1Char">
    <w:name w:val="Heading 1 Char"/>
    <w:basedOn w:val="DefaultParagraphFont"/>
    <w:link w:val="Heading1"/>
    <w:rsid w:val="00A323E3"/>
    <w:rPr>
      <w:rFonts w:ascii="Arial" w:eastAsia="SimSun" w:hAnsi="Arial" w:cs="Arial"/>
      <w:b/>
      <w:bCs/>
      <w:kern w:val="32"/>
      <w:sz w:val="32"/>
      <w:szCs w:val="32"/>
      <w:lang w:eastAsia="zh-CN"/>
    </w:rPr>
  </w:style>
  <w:style w:type="paragraph" w:styleId="NormalWeb">
    <w:name w:val="Normal (Web)"/>
    <w:basedOn w:val="Normal"/>
    <w:rsid w:val="00A323E3"/>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uk/romantics-and-victorians/articles/slum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zproxy.uwtsd.ac.uk/login?url=https://search.ebscohost.com/login.aspx?direct=true&amp;db=hus&amp;AN=509868146&amp;site=ehost-live" TargetMode="External"/><Relationship Id="rId4" Type="http://schemas.openxmlformats.org/officeDocument/2006/relationships/webSettings" Target="webSettings.xml"/><Relationship Id="rId9" Type="http://schemas.openxmlformats.org/officeDocument/2006/relationships/hyperlink" Target="http://etheses.bham.ac.uk/7316/4/Hill_1975_MA.pdf"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bl.uk/romantics-and-victorians/articles/slums" TargetMode="External"/><Relationship Id="rId1" Type="http://schemas.openxmlformats.org/officeDocument/2006/relationships/hyperlink" Target="https://ezproxy.uwtsd.ac.uk/login?url=https://search.ebscohost.com/login.aspx?direct=true&amp;db=hus&amp;AN=509868146&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6EFE1354-2C2D-46C3-9F97-237F0CA3B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857</TotalTime>
  <Pages>13</Pages>
  <Words>3074</Words>
  <Characters>15467</Characters>
  <Application>Microsoft Office Word</Application>
  <DocSecurity>0</DocSecurity>
  <Lines>217</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129</cp:revision>
  <dcterms:created xsi:type="dcterms:W3CDTF">2019-02-12T23:06:00Z</dcterms:created>
  <dcterms:modified xsi:type="dcterms:W3CDTF">2019-02-13T14:01:00Z</dcterms:modified>
</cp:coreProperties>
</file>