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5215B" w14:textId="26867496" w:rsidR="00B86004" w:rsidRPr="00CA5293" w:rsidRDefault="00B86004" w:rsidP="006B7217">
      <w:pPr>
        <w:spacing w:line="480" w:lineRule="auto"/>
        <w:rPr>
          <w:color w:val="222222"/>
          <w:u w:val="single"/>
          <w:lang w:eastAsia="en-GB"/>
        </w:rPr>
      </w:pPr>
      <w:r w:rsidRPr="00B86004">
        <w:rPr>
          <w:color w:val="222222"/>
          <w:u w:val="single"/>
          <w:lang w:eastAsia="en-GB"/>
        </w:rPr>
        <w:t>How important was the concept of economic reward in motivating people to go on crusade?</w:t>
      </w:r>
    </w:p>
    <w:p w14:paraId="76452038" w14:textId="2BED5B33" w:rsidR="00B86004" w:rsidRDefault="00B86004" w:rsidP="006B7217">
      <w:pPr>
        <w:spacing w:line="480" w:lineRule="auto"/>
      </w:pPr>
      <w:r>
        <w:t xml:space="preserve">The issue of motivation for individuals in early crusades, particularly the First Crusade is difficult to assess due to the lack of laymen accounts from the time, </w:t>
      </w:r>
      <w:r w:rsidR="00053DFE">
        <w:t>creating</w:t>
      </w:r>
      <w:r>
        <w:t xml:space="preserve"> difficult</w:t>
      </w:r>
      <w:r w:rsidR="00053DFE">
        <w:t>y</w:t>
      </w:r>
      <w:r>
        <w:t xml:space="preserve"> </w:t>
      </w:r>
      <w:r w:rsidR="00053DFE">
        <w:t>in</w:t>
      </w:r>
      <w:r>
        <w:t xml:space="preserve"> obtain</w:t>
      </w:r>
      <w:r w:rsidR="00053DFE">
        <w:t>ing</w:t>
      </w:r>
      <w:r>
        <w:t xml:space="preserve"> information </w:t>
      </w:r>
      <w:r w:rsidR="00053DFE">
        <w:t>regarding</w:t>
      </w:r>
      <w:r>
        <w:t xml:space="preserve"> </w:t>
      </w:r>
      <w:r w:rsidR="00D62302">
        <w:t>the motivations of many crusaders</w:t>
      </w:r>
      <w:r w:rsidR="00270E53">
        <w:t>.</w:t>
      </w:r>
      <w:r>
        <w:rPr>
          <w:rStyle w:val="FootnoteReference"/>
        </w:rPr>
        <w:footnoteReference w:id="1"/>
      </w:r>
      <w:r w:rsidR="00270E53">
        <w:t xml:space="preserve"> The economic </w:t>
      </w:r>
      <w:r w:rsidR="00053DFE">
        <w:t>issue</w:t>
      </w:r>
      <w:r w:rsidR="00270E53">
        <w:t xml:space="preserve"> is particularly difficult, due to the focus of the Latin sources on religious aspects and the motivations of other sources </w:t>
      </w:r>
      <w:r w:rsidR="00053DFE">
        <w:t>in</w:t>
      </w:r>
      <w:r w:rsidR="00270E53">
        <w:t xml:space="preserve"> discrediting opponents.</w:t>
      </w:r>
      <w:r w:rsidR="00270E53">
        <w:rPr>
          <w:rStyle w:val="FootnoteReference"/>
        </w:rPr>
        <w:footnoteReference w:id="2"/>
      </w:r>
      <w:r>
        <w:t xml:space="preserve"> However, it is possible by examining the </w:t>
      </w:r>
      <w:r w:rsidR="00053DFE">
        <w:t>content of</w:t>
      </w:r>
      <w:r>
        <w:t xml:space="preserve"> Urban II’s speech at Clermont, as well as accounts of the actions of individuals in the crusades to give an impression of what the factors in motivating the crusaders </w:t>
      </w:r>
      <w:r w:rsidR="00270E53">
        <w:t xml:space="preserve">were. This essay will primarily cover the First Crusade, due to its ambiguity, while also giving a brief discussion of the Fourth Crusade, </w:t>
      </w:r>
      <w:r w:rsidR="00376266">
        <w:t>because of the economically motivated actions within. For discussions on the motivations of later crusade</w:t>
      </w:r>
      <w:r w:rsidR="00053DFE">
        <w:t>r</w:t>
      </w:r>
      <w:r w:rsidR="00376266">
        <w:t xml:space="preserve">s, there are </w:t>
      </w:r>
      <w:r w:rsidR="00053DFE">
        <w:t>other</w:t>
      </w:r>
      <w:r w:rsidR="00376266">
        <w:t xml:space="preserve"> works available.</w:t>
      </w:r>
      <w:r w:rsidR="00376266">
        <w:rPr>
          <w:rStyle w:val="FootnoteReference"/>
        </w:rPr>
        <w:footnoteReference w:id="3"/>
      </w:r>
      <w:r w:rsidR="00376266">
        <w:t xml:space="preserve"> </w:t>
      </w:r>
    </w:p>
    <w:p w14:paraId="025EA55B" w14:textId="0E7E613F" w:rsidR="00053DFE" w:rsidRDefault="00053DFE" w:rsidP="006B7217">
      <w:pPr>
        <w:spacing w:line="480" w:lineRule="auto"/>
      </w:pPr>
      <w:r>
        <w:tab/>
        <w:t>The first issue which will be addressed is the content of Urban II’s speech at the Council of Clermont, containing some references to the likelihood of material gain within. Robert the Monk’s account of the speech makes references to the ‘Land of milk and honey… fruitful above all others’,</w:t>
      </w:r>
      <w:r>
        <w:rPr>
          <w:rStyle w:val="FootnoteReference"/>
        </w:rPr>
        <w:footnoteReference w:id="4"/>
      </w:r>
      <w:r>
        <w:t xml:space="preserve"> referring to Jerusalem</w:t>
      </w:r>
      <w:r w:rsidR="001A3D24">
        <w:t>, which Jonathan Phillips refers to as a clear inducement of profit.</w:t>
      </w:r>
      <w:r w:rsidR="001A3D24">
        <w:rPr>
          <w:rStyle w:val="FootnoteReference"/>
        </w:rPr>
        <w:footnoteReference w:id="5"/>
      </w:r>
      <w:r w:rsidR="001A3D24">
        <w:t xml:space="preserve"> The version of Baldric of </w:t>
      </w:r>
      <w:proofErr w:type="spellStart"/>
      <w:r w:rsidR="001A3D24">
        <w:t>Dol</w:t>
      </w:r>
      <w:proofErr w:type="spellEnd"/>
      <w:r w:rsidR="001A3D24">
        <w:t xml:space="preserve"> also refers to the possibility of taking the possessions of the enemy.</w:t>
      </w:r>
      <w:r w:rsidR="001A3D24">
        <w:rPr>
          <w:rStyle w:val="FootnoteReference"/>
        </w:rPr>
        <w:footnoteReference w:id="6"/>
      </w:r>
      <w:r w:rsidR="001A3D24">
        <w:t xml:space="preserve"> This shows that the church clearly accepted the possibility of individuals obtaining material gain as a result of the crusades, </w:t>
      </w:r>
      <w:r w:rsidR="00F44A1C">
        <w:t>with crusaders developing an ‘obsession with plunder’, according to Norman Housley</w:t>
      </w:r>
      <w:r w:rsidR="001A3D24">
        <w:t>.</w:t>
      </w:r>
      <w:r w:rsidR="001A3D24">
        <w:rPr>
          <w:rStyle w:val="FootnoteReference"/>
        </w:rPr>
        <w:footnoteReference w:id="7"/>
      </w:r>
      <w:r w:rsidR="00CF7E34">
        <w:t xml:space="preserve"> However, this plunder may be </w:t>
      </w:r>
      <w:r w:rsidR="00CF7E34">
        <w:lastRenderedPageBreak/>
        <w:t>referring to relics, rather than economic possessions.</w:t>
      </w:r>
      <w:r w:rsidR="00CF7E34">
        <w:rPr>
          <w:rStyle w:val="FootnoteReference"/>
        </w:rPr>
        <w:footnoteReference w:id="8"/>
      </w:r>
      <w:r w:rsidR="00CF7E34">
        <w:t xml:space="preserve"> This means that the idea that material possessions are separate from the spiritual is somewhat of a false dichotomy, </w:t>
      </w:r>
      <w:r w:rsidR="00B1765D">
        <w:t>with</w:t>
      </w:r>
      <w:r w:rsidR="00CF7E34">
        <w:t xml:space="preserve"> religious devotion and desire for material gain not </w:t>
      </w:r>
      <w:r w:rsidR="00B1765D">
        <w:t xml:space="preserve">being </w:t>
      </w:r>
      <w:r w:rsidR="00CF7E34">
        <w:t>mutually exclusive.</w:t>
      </w:r>
      <w:r w:rsidR="00CF7E34">
        <w:rPr>
          <w:rStyle w:val="FootnoteReference"/>
        </w:rPr>
        <w:footnoteReference w:id="9"/>
      </w:r>
      <w:r w:rsidR="00F44A1C">
        <w:t xml:space="preserve"> The speech in Robert’s version also makes reference to a lack of opportunities in Europe at the time, likely using this to contrast with the plunder mentioned in other sections.</w:t>
      </w:r>
      <w:r w:rsidR="00F44A1C">
        <w:rPr>
          <w:rStyle w:val="FootnoteReference"/>
        </w:rPr>
        <w:footnoteReference w:id="10"/>
      </w:r>
      <w:r w:rsidR="00F44A1C">
        <w:t xml:space="preserve"> </w:t>
      </w:r>
      <w:r w:rsidR="00C42A9F">
        <w:t>Ekkehard’s account of the response to the speech also contains similar sentiments.</w:t>
      </w:r>
      <w:r w:rsidR="00C42A9F">
        <w:rPr>
          <w:rStyle w:val="FootnoteReference"/>
        </w:rPr>
        <w:footnoteReference w:id="11"/>
      </w:r>
      <w:r w:rsidR="00C42A9F">
        <w:t xml:space="preserve"> </w:t>
      </w:r>
      <w:r w:rsidR="00F44A1C">
        <w:t>These poor conditions, according to Hans Mayer, made it an easier choice to leave home, referring to the population as ‘naïve, vague’ and not knowing the difference between the worldly and heavenly Jerusalem.</w:t>
      </w:r>
      <w:r w:rsidR="00FC7B7A">
        <w:rPr>
          <w:rStyle w:val="FootnoteReference"/>
        </w:rPr>
        <w:footnoteReference w:id="12"/>
      </w:r>
      <w:r w:rsidR="00DF4B8E">
        <w:t xml:space="preserve"> However, I agree with Housley, in that people were not greedy, unreflective or fanatical and that people were more taking advantage of a way to escape their conditions.</w:t>
      </w:r>
      <w:r w:rsidR="00DF4B8E">
        <w:rPr>
          <w:rStyle w:val="FootnoteReference"/>
        </w:rPr>
        <w:footnoteReference w:id="13"/>
      </w:r>
      <w:r w:rsidR="00DF4B8E">
        <w:t xml:space="preserve"> Overall, these additions do give the impression that economic consequences were certainly in the mind of Urban while </w:t>
      </w:r>
      <w:r w:rsidR="00EC01A7">
        <w:t>promoting the crusade</w:t>
      </w:r>
      <w:r w:rsidR="00DF4B8E">
        <w:t xml:space="preserve">, but </w:t>
      </w:r>
      <w:r w:rsidR="004F6DF5">
        <w:t>are</w:t>
      </w:r>
      <w:r w:rsidR="00DF4B8E">
        <w:t xml:space="preserve"> not enough to determine that economic reward was </w:t>
      </w:r>
      <w:r w:rsidR="0094599B">
        <w:t>a</w:t>
      </w:r>
      <w:r w:rsidR="00DF4B8E">
        <w:t xml:space="preserve"> ma</w:t>
      </w:r>
      <w:r w:rsidR="0094599B">
        <w:t>jor</w:t>
      </w:r>
      <w:r w:rsidR="00DF4B8E">
        <w:t xml:space="preserve"> factor in the popularity of crusading.</w:t>
      </w:r>
    </w:p>
    <w:p w14:paraId="24DCC9DC" w14:textId="42DCAA05" w:rsidR="00DF4B8E" w:rsidRDefault="00DF4B8E" w:rsidP="006B7217">
      <w:pPr>
        <w:spacing w:line="480" w:lineRule="auto"/>
      </w:pPr>
      <w:r>
        <w:tab/>
        <w:t xml:space="preserve">In contrast to these inclusions, the version in the </w:t>
      </w:r>
      <w:proofErr w:type="spellStart"/>
      <w:r>
        <w:rPr>
          <w:i/>
        </w:rPr>
        <w:t>Gesta</w:t>
      </w:r>
      <w:proofErr w:type="spellEnd"/>
      <w:r>
        <w:rPr>
          <w:i/>
        </w:rPr>
        <w:t xml:space="preserve"> Francorum</w:t>
      </w:r>
      <w:r w:rsidR="00B33562">
        <w:t xml:space="preserve"> and </w:t>
      </w:r>
      <w:proofErr w:type="spellStart"/>
      <w:r w:rsidR="00B33562">
        <w:t>Guibert</w:t>
      </w:r>
      <w:proofErr w:type="spellEnd"/>
      <w:r w:rsidR="00B33562">
        <w:t xml:space="preserve"> and Fulcher’s versions do not contain such references. Specifically, the </w:t>
      </w:r>
      <w:proofErr w:type="spellStart"/>
      <w:r w:rsidR="00B33562">
        <w:rPr>
          <w:i/>
        </w:rPr>
        <w:t>Gesta</w:t>
      </w:r>
      <w:proofErr w:type="spellEnd"/>
      <w:r w:rsidR="00B33562">
        <w:rPr>
          <w:i/>
        </w:rPr>
        <w:t xml:space="preserve"> Francorum</w:t>
      </w:r>
      <w:r w:rsidR="00B33562">
        <w:t xml:space="preserve"> actively encourages poverty as a means of emulating Christ.</w:t>
      </w:r>
      <w:r w:rsidR="00B33562">
        <w:rPr>
          <w:rStyle w:val="FootnoteReference"/>
        </w:rPr>
        <w:footnoteReference w:id="14"/>
      </w:r>
      <w:r w:rsidR="009E3AE3">
        <w:t xml:space="preserve"> The version of Fulcher of Chartres also encourages ‘Those who until recently existed as plunderers, be soldiers of Christ’.</w:t>
      </w:r>
      <w:r w:rsidR="009E3AE3">
        <w:rPr>
          <w:rStyle w:val="FootnoteReference"/>
        </w:rPr>
        <w:footnoteReference w:id="15"/>
      </w:r>
      <w:r w:rsidR="001C00A7">
        <w:t xml:space="preserve"> These extracts suggest an active discouragement of using the crusade as a means of attaining wealth and plunder</w:t>
      </w:r>
      <w:r w:rsidR="005D2571">
        <w:t xml:space="preserve">. However, these accounts are </w:t>
      </w:r>
      <w:r w:rsidR="00EC01A7">
        <w:t xml:space="preserve">much shorter than their other counterparts, so may </w:t>
      </w:r>
      <w:r w:rsidR="00EC01A7">
        <w:lastRenderedPageBreak/>
        <w:t xml:space="preserve">have omitted the economic encouragement to promote the idea of the crusade being a spiritually motivated affair. The </w:t>
      </w:r>
      <w:r w:rsidR="004F6DF5">
        <w:t>title</w:t>
      </w:r>
      <w:r w:rsidR="00EC01A7">
        <w:t xml:space="preserve"> of </w:t>
      </w:r>
      <w:proofErr w:type="spellStart"/>
      <w:r w:rsidR="00EC01A7">
        <w:t>Guibert’s</w:t>
      </w:r>
      <w:proofErr w:type="spellEnd"/>
      <w:r w:rsidR="00EC01A7">
        <w:t xml:space="preserve"> work, translated as </w:t>
      </w:r>
      <w:r w:rsidR="00EC01A7">
        <w:rPr>
          <w:i/>
        </w:rPr>
        <w:t>The Deeds of God Through the Franks</w:t>
      </w:r>
      <w:r w:rsidR="00EC01A7">
        <w:t xml:space="preserve"> particularly suggests this inclination. On the other hand, the other accounts may contain phrases which were not included in the actual speech, as it was transcribed through memory. Therefore, it is difficult to determine which of the accounts </w:t>
      </w:r>
      <w:r w:rsidR="006A48AC">
        <w:t>are</w:t>
      </w:r>
      <w:r w:rsidR="00EC01A7">
        <w:t xml:space="preserve"> more accurate.</w:t>
      </w:r>
    </w:p>
    <w:p w14:paraId="3688D203" w14:textId="2DCEF74F" w:rsidR="0091784D" w:rsidRDefault="00EC01A7" w:rsidP="006B7217">
      <w:pPr>
        <w:spacing w:line="480" w:lineRule="auto"/>
      </w:pPr>
      <w:r w:rsidRPr="0091784D">
        <w:rPr>
          <w:color w:val="FF0000"/>
        </w:rPr>
        <w:tab/>
      </w:r>
      <w:r w:rsidR="0041146C">
        <w:t xml:space="preserve">One element </w:t>
      </w:r>
      <w:r w:rsidR="004E4FBB">
        <w:t>given great emphasis in the speech is the offering of indulgence in exchange for military action.</w:t>
      </w:r>
      <w:r w:rsidR="004E4FBB">
        <w:rPr>
          <w:rStyle w:val="FootnoteReference"/>
        </w:rPr>
        <w:footnoteReference w:id="16"/>
      </w:r>
      <w:r w:rsidR="004E4FBB">
        <w:t xml:space="preserve"> This offering was a particularly important addition, given the context of the time. </w:t>
      </w:r>
      <w:r w:rsidR="003443B8">
        <w:t>Multiple scholars</w:t>
      </w:r>
      <w:r w:rsidR="004E4FBB">
        <w:t xml:space="preserve"> point out that the people of the time would have felt ‘trapped in sin’ and this offered an escape which was previously only available in monasticism.</w:t>
      </w:r>
      <w:r w:rsidR="004E4FBB">
        <w:rPr>
          <w:rStyle w:val="FootnoteReference"/>
        </w:rPr>
        <w:footnoteReference w:id="17"/>
      </w:r>
      <w:r w:rsidR="004E4FBB">
        <w:t xml:space="preserve"> This particularly appealed to the </w:t>
      </w:r>
      <w:r w:rsidR="006F0EF1">
        <w:t>knightly class, giving them a way to achieve salvation by using their skills for the benefit of the church and, in their eyes, God</w:t>
      </w:r>
      <w:r w:rsidR="007E5B75">
        <w:t>, rather than acting against their religion in conflict with fellow Christians.</w:t>
      </w:r>
      <w:r w:rsidR="007E5B75">
        <w:rPr>
          <w:rStyle w:val="FootnoteReference"/>
        </w:rPr>
        <w:footnoteReference w:id="18"/>
      </w:r>
      <w:r w:rsidR="007E5B75">
        <w:t xml:space="preserve"> This also links into a theme of Christian unity which is addressed in the speech, calling for people to assist their ‘Christian brothers’ in the East, or something to that effect, highlighting the supposed brutal acts against them by the Muslim rulers.</w:t>
      </w:r>
      <w:r w:rsidR="007E5B75">
        <w:rPr>
          <w:rStyle w:val="FootnoteReference"/>
        </w:rPr>
        <w:footnoteReference w:id="19"/>
      </w:r>
      <w:r w:rsidR="007E5B75">
        <w:t xml:space="preserve"> </w:t>
      </w:r>
      <w:r w:rsidR="003443B8">
        <w:t xml:space="preserve">This idea of liberating their ‘brothers’ from oppression is, according to Phillis, a major stimulus of motivating participants, and </w:t>
      </w:r>
      <w:proofErr w:type="spellStart"/>
      <w:r w:rsidR="003443B8">
        <w:t>Asbridge</w:t>
      </w:r>
      <w:proofErr w:type="spellEnd"/>
      <w:r w:rsidR="003443B8">
        <w:t xml:space="preserve"> states that the ‘defamation of the other’ was a factor in the sometimes brutal actions of the crusaders.</w:t>
      </w:r>
      <w:r w:rsidR="003443B8">
        <w:rPr>
          <w:rStyle w:val="FootnoteReference"/>
        </w:rPr>
        <w:footnoteReference w:id="20"/>
      </w:r>
      <w:r w:rsidR="00E4594D">
        <w:t xml:space="preserve"> Housley, however, argues that a desire for revenge was not a primary factor.</w:t>
      </w:r>
      <w:r w:rsidR="00E4594D">
        <w:rPr>
          <w:rStyle w:val="FootnoteReference"/>
        </w:rPr>
        <w:footnoteReference w:id="21"/>
      </w:r>
      <w:r w:rsidR="00E4594D">
        <w:t xml:space="preserve"> </w:t>
      </w:r>
      <w:r w:rsidR="00271AA3">
        <w:t>On the other hand, this rhetoric, as mentioned by Ekkehard, had the opposite effect on the Holy Roman Empire, due to the schism between the</w:t>
      </w:r>
      <w:r w:rsidR="006A48AC">
        <w:t xml:space="preserve"> state</w:t>
      </w:r>
      <w:r w:rsidR="00271AA3">
        <w:t xml:space="preserve"> and the church.</w:t>
      </w:r>
      <w:r w:rsidR="00271AA3">
        <w:rPr>
          <w:rStyle w:val="FootnoteReference"/>
        </w:rPr>
        <w:footnoteReference w:id="22"/>
      </w:r>
      <w:r w:rsidR="00271AA3">
        <w:t xml:space="preserve"> </w:t>
      </w:r>
      <w:r w:rsidR="00E4594D">
        <w:t xml:space="preserve">Overall, this drive </w:t>
      </w:r>
      <w:r w:rsidR="00E4594D">
        <w:lastRenderedPageBreak/>
        <w:t>for Christian unity and offering of indulgences played the role of giving a motivation for people in both a worldly context, with the unification of likeminded, but previously fragmented peoples, and a motivation for using their skills in a way which benefits them in a practical and spiritual way.</w:t>
      </w:r>
    </w:p>
    <w:p w14:paraId="176AF769" w14:textId="33552080" w:rsidR="009665B9" w:rsidRPr="00C42A9F" w:rsidRDefault="00E4594D" w:rsidP="006B7217">
      <w:pPr>
        <w:spacing w:line="480" w:lineRule="auto"/>
      </w:pPr>
      <w:r w:rsidRPr="00E4594D">
        <w:tab/>
        <w:t>Another factor</w:t>
      </w:r>
      <w:r w:rsidR="00DA1DCB">
        <w:t xml:space="preserve"> </w:t>
      </w:r>
      <w:r>
        <w:t xml:space="preserve">that is frequently addressed in </w:t>
      </w:r>
      <w:r w:rsidR="00DA1DCB">
        <w:t>Urban’s speech is the appeal to ancestry, calling on people to follow the deeds of their ancestors</w:t>
      </w:r>
      <w:r w:rsidR="00427DA4">
        <w:t>.</w:t>
      </w:r>
      <w:r w:rsidR="00427DA4">
        <w:rPr>
          <w:rStyle w:val="FootnoteReference"/>
        </w:rPr>
        <w:footnoteReference w:id="23"/>
      </w:r>
      <w:r w:rsidR="002C51AE">
        <w:t xml:space="preserve"> This particularly influences later crusades, creating a family tradition of crusading in some cases.</w:t>
      </w:r>
      <w:r w:rsidR="002C51AE">
        <w:rPr>
          <w:rStyle w:val="FootnoteReference"/>
        </w:rPr>
        <w:footnoteReference w:id="24"/>
      </w:r>
      <w:r w:rsidR="002C51AE">
        <w:t xml:space="preserve"> It also played a role in the First Crusade, however, giving scriptural and historical examples, such as the Maccabees or Charlemagne to emulate.</w:t>
      </w:r>
      <w:r w:rsidR="002C51AE">
        <w:rPr>
          <w:rStyle w:val="FootnoteReference"/>
        </w:rPr>
        <w:footnoteReference w:id="25"/>
      </w:r>
      <w:r w:rsidR="00C42A9F">
        <w:t xml:space="preserve"> This would have appealed to medieval society’s hyper-awareness of their ancestry</w:t>
      </w:r>
      <w:r w:rsidR="009402E1">
        <w:t xml:space="preserve"> and sense of honour,</w:t>
      </w:r>
      <w:r w:rsidR="00C42A9F">
        <w:t xml:space="preserve"> giving people a sense of familial duty</w:t>
      </w:r>
      <w:r w:rsidR="009402E1">
        <w:t xml:space="preserve"> and </w:t>
      </w:r>
      <w:r w:rsidR="0032736E">
        <w:t xml:space="preserve">setting up a </w:t>
      </w:r>
      <w:r w:rsidR="009402E1">
        <w:t>legacy</w:t>
      </w:r>
      <w:r w:rsidR="00C42A9F">
        <w:t xml:space="preserve"> in taking part in the crusade, although it likely played most of its role in later crusades.</w:t>
      </w:r>
    </w:p>
    <w:p w14:paraId="3C082165" w14:textId="0C313D15" w:rsidR="0091784D" w:rsidRDefault="0091784D" w:rsidP="006B7217">
      <w:pPr>
        <w:spacing w:line="480" w:lineRule="auto"/>
        <w:rPr>
          <w:color w:val="FF0000"/>
        </w:rPr>
      </w:pPr>
      <w:r>
        <w:rPr>
          <w:color w:val="FF0000"/>
        </w:rPr>
        <w:tab/>
      </w:r>
      <w:r w:rsidR="00C047CC">
        <w:t xml:space="preserve">One individual who fits the greedy stereotype of crusaders is Bohemund of </w:t>
      </w:r>
      <w:proofErr w:type="spellStart"/>
      <w:r w:rsidR="00C047CC">
        <w:t>Tarento</w:t>
      </w:r>
      <w:proofErr w:type="spellEnd"/>
      <w:r w:rsidR="00C047CC">
        <w:t xml:space="preserve">, only taking the oath to Emperor Alexia when bribed with </w:t>
      </w:r>
      <w:r w:rsidR="00417D9D">
        <w:t>treasure.</w:t>
      </w:r>
      <w:r w:rsidR="00417D9D">
        <w:rPr>
          <w:rStyle w:val="FootnoteReference"/>
        </w:rPr>
        <w:footnoteReference w:id="26"/>
      </w:r>
      <w:r w:rsidR="00C047CC">
        <w:t xml:space="preserve"> </w:t>
      </w:r>
      <w:r w:rsidR="00386CCE">
        <w:t>His setting up of the Principality of Antioch is an example of Urban’s inducement of land and profit, as Phillips points out.</w:t>
      </w:r>
      <w:r w:rsidR="00386CCE">
        <w:rPr>
          <w:rStyle w:val="FootnoteReference"/>
        </w:rPr>
        <w:footnoteReference w:id="27"/>
      </w:r>
      <w:r w:rsidR="00386CCE">
        <w:t xml:space="preserve"> </w:t>
      </w:r>
      <w:r w:rsidR="00417D9D">
        <w:t xml:space="preserve">This shows a clear economic motivation for Bohemund specifically, but as pointed out by </w:t>
      </w:r>
      <w:proofErr w:type="spellStart"/>
      <w:r w:rsidR="00417D9D">
        <w:t>Asbridge</w:t>
      </w:r>
      <w:proofErr w:type="spellEnd"/>
      <w:r w:rsidR="00417D9D">
        <w:t>, he was a minority figure, with most other leaders acting more honourably.</w:t>
      </w:r>
      <w:r w:rsidR="00417D9D">
        <w:rPr>
          <w:rStyle w:val="FootnoteReference"/>
        </w:rPr>
        <w:footnoteReference w:id="28"/>
      </w:r>
      <w:r w:rsidR="00417D9D">
        <w:t xml:space="preserve"> Another action which shows an economic motivation for some leaders is the taking of Edessa by Baldwin of Boulogne, who took the city after being adopted by the previous duke and succeeding him after his murder.</w:t>
      </w:r>
      <w:r w:rsidR="00417D9D">
        <w:rPr>
          <w:rStyle w:val="FootnoteReference"/>
        </w:rPr>
        <w:footnoteReference w:id="29"/>
      </w:r>
      <w:r w:rsidR="00417D9D">
        <w:t xml:space="preserve"> These actions of economic motive were attributed in the </w:t>
      </w:r>
      <w:proofErr w:type="spellStart"/>
      <w:r w:rsidR="00417D9D">
        <w:rPr>
          <w:i/>
        </w:rPr>
        <w:t>Gesta</w:t>
      </w:r>
      <w:proofErr w:type="spellEnd"/>
      <w:r w:rsidR="00417D9D">
        <w:rPr>
          <w:i/>
        </w:rPr>
        <w:t xml:space="preserve"> Regis </w:t>
      </w:r>
      <w:proofErr w:type="spellStart"/>
      <w:r w:rsidR="00417D9D">
        <w:rPr>
          <w:i/>
        </w:rPr>
        <w:t>Ricardi</w:t>
      </w:r>
      <w:proofErr w:type="spellEnd"/>
      <w:r w:rsidR="00417D9D">
        <w:t xml:space="preserve"> as the primary reason for the fall of the Crusader States, </w:t>
      </w:r>
      <w:r w:rsidR="00417D9D">
        <w:lastRenderedPageBreak/>
        <w:t xml:space="preserve">showing a lack of </w:t>
      </w:r>
      <w:r w:rsidR="00386CCE">
        <w:t>religious devotion causing God to abandon them.</w:t>
      </w:r>
      <w:r w:rsidR="00386CCE">
        <w:rPr>
          <w:rStyle w:val="FootnoteReference"/>
        </w:rPr>
        <w:footnoteReference w:id="30"/>
      </w:r>
      <w:r w:rsidR="00417D9D">
        <w:t xml:space="preserve"> </w:t>
      </w:r>
      <w:r w:rsidR="00386CCE">
        <w:t xml:space="preserve">However, these actions do not necessarily convey an initial economic motivation, and could be linked to the stress of the moment, or just simply a default mode for military </w:t>
      </w:r>
      <w:r w:rsidR="0016309D">
        <w:t>leaders</w:t>
      </w:r>
      <w:r w:rsidR="00386CCE">
        <w:t xml:space="preserve"> of the time</w:t>
      </w:r>
      <w:r w:rsidR="009402E1">
        <w:t xml:space="preserve">, </w:t>
      </w:r>
      <w:r w:rsidR="0016309D">
        <w:t>with</w:t>
      </w:r>
      <w:r w:rsidR="009402E1">
        <w:t xml:space="preserve"> Norman expansion </w:t>
      </w:r>
      <w:r w:rsidR="0016309D">
        <w:t>a particularly</w:t>
      </w:r>
      <w:r w:rsidR="009402E1">
        <w:t xml:space="preserve"> prominent feature</w:t>
      </w:r>
      <w:r w:rsidR="00386CCE">
        <w:t>.</w:t>
      </w:r>
      <w:r w:rsidR="00386CCE">
        <w:rPr>
          <w:rStyle w:val="FootnoteReference"/>
        </w:rPr>
        <w:footnoteReference w:id="31"/>
      </w:r>
      <w:r w:rsidR="001B4963">
        <w:t xml:space="preserve"> Overall, although there certainly were some individuals whose actions were economically motivated, it is not enough to prove that an economic motivation was the factor in them participating in the first place, or that these motivations were widespread.</w:t>
      </w:r>
    </w:p>
    <w:p w14:paraId="36B5745D" w14:textId="1B1794E7" w:rsidR="00C42A9F" w:rsidRPr="009402E1" w:rsidRDefault="009402E1" w:rsidP="006B7217">
      <w:pPr>
        <w:spacing w:line="480" w:lineRule="auto"/>
      </w:pPr>
      <w:r>
        <w:tab/>
        <w:t>Contrasting the economic gains mentioned previously, the cost of crusading for most was exceedingly high, which most were aware of, and there is little evidence that many people returned from the First Crusade particularly wealthy, dispelling the idea of crusaders being motivated by greed.</w:t>
      </w:r>
      <w:r>
        <w:rPr>
          <w:rStyle w:val="FootnoteReference"/>
        </w:rPr>
        <w:footnoteReference w:id="32"/>
      </w:r>
      <w:r w:rsidR="00DB77E2">
        <w:t xml:space="preserve">  This high cost continued through subsequent crusades, with Henry II spending significantly on the </w:t>
      </w:r>
      <w:proofErr w:type="spellStart"/>
      <w:r w:rsidR="00DB77E2">
        <w:t>defense</w:t>
      </w:r>
      <w:proofErr w:type="spellEnd"/>
      <w:r w:rsidR="00DB77E2">
        <w:t xml:space="preserve"> of Tyre, for example.</w:t>
      </w:r>
      <w:r w:rsidR="00DB77E2">
        <w:rPr>
          <w:rStyle w:val="FootnoteReference"/>
        </w:rPr>
        <w:footnoteReference w:id="33"/>
      </w:r>
      <w:r w:rsidR="00DB77E2">
        <w:t xml:space="preserve"> The fact that decrees were passed freezing debt payments while on crusade could suggest that people were actually prevented from going by economic losses, rather than motivated by prospects of economic gain.</w:t>
      </w:r>
      <w:r w:rsidR="00DB77E2">
        <w:rPr>
          <w:rStyle w:val="FootnoteReference"/>
        </w:rPr>
        <w:footnoteReference w:id="34"/>
      </w:r>
      <w:r w:rsidR="00987F09">
        <w:t xml:space="preserve"> Overall, the cost involved for most people far outstripped the potential economic gains</w:t>
      </w:r>
      <w:r w:rsidR="0085028E">
        <w:t>, leaving a motivation for economic gain unlikely.</w:t>
      </w:r>
    </w:p>
    <w:p w14:paraId="7327B65A" w14:textId="72B823C7" w:rsidR="00EC01A7" w:rsidRDefault="0091784D" w:rsidP="006B7217">
      <w:pPr>
        <w:spacing w:line="480" w:lineRule="auto"/>
      </w:pPr>
      <w:r>
        <w:rPr>
          <w:color w:val="FF0000"/>
        </w:rPr>
        <w:tab/>
      </w:r>
      <w:r>
        <w:t xml:space="preserve">An additional point of discussion worth partaking in outside of the First Crusade is the motivations of the Fourth Crusade. Housley makes the argument that the crusaders developed an obsession with plunder, </w:t>
      </w:r>
      <w:r w:rsidR="005F352E">
        <w:t xml:space="preserve">of </w:t>
      </w:r>
      <w:r>
        <w:t>which the Sack of Constantinople was the summit.</w:t>
      </w:r>
      <w:r>
        <w:rPr>
          <w:rStyle w:val="FootnoteReference"/>
        </w:rPr>
        <w:footnoteReference w:id="35"/>
      </w:r>
      <w:r w:rsidR="00EC01A7" w:rsidRPr="0091784D">
        <w:rPr>
          <w:color w:val="FF0000"/>
        </w:rPr>
        <w:t xml:space="preserve"> </w:t>
      </w:r>
      <w:r>
        <w:t xml:space="preserve">However, as pointed out by Christopher </w:t>
      </w:r>
      <w:proofErr w:type="spellStart"/>
      <w:r>
        <w:t>Tyerman</w:t>
      </w:r>
      <w:proofErr w:type="spellEnd"/>
      <w:r>
        <w:t xml:space="preserve">, there is no evidence that the overthrow of Byzantium </w:t>
      </w:r>
      <w:r>
        <w:lastRenderedPageBreak/>
        <w:t>was planned until they had no alternative.</w:t>
      </w:r>
      <w:r>
        <w:rPr>
          <w:rStyle w:val="FootnoteReference"/>
        </w:rPr>
        <w:footnoteReference w:id="36"/>
      </w:r>
      <w:r w:rsidR="00A03C14">
        <w:t xml:space="preserve"> Geoffrey of </w:t>
      </w:r>
      <w:proofErr w:type="spellStart"/>
      <w:r w:rsidR="00A03C14">
        <w:t>Villehardoiun’s</w:t>
      </w:r>
      <w:proofErr w:type="spellEnd"/>
      <w:r w:rsidR="00A03C14">
        <w:t xml:space="preserve"> account of the crusade points out that people were met with a genuine desire to go to Jerusalem as a result of the expanded indulgences.</w:t>
      </w:r>
      <w:r w:rsidR="00A03C14">
        <w:rPr>
          <w:rStyle w:val="FootnoteReference"/>
        </w:rPr>
        <w:footnoteReference w:id="37"/>
      </w:r>
      <w:r>
        <w:t xml:space="preserve"> The actions taken in the Fourth Crusade were not a premeditated desire to take the wealth and power of Constantinople for themselves, but rather a necessary part of repaying the debts bestowed on them by the Venetians in exchange for their fleet, due to the lack of participants leaving them little money to give</w:t>
      </w:r>
      <w:r w:rsidR="00A03C14">
        <w:t xml:space="preserve"> and little manpower, requiring the assistance of additional forces</w:t>
      </w:r>
      <w:r>
        <w:t>.</w:t>
      </w:r>
      <w:r>
        <w:rPr>
          <w:rStyle w:val="FootnoteReference"/>
        </w:rPr>
        <w:footnoteReference w:id="38"/>
      </w:r>
      <w:r w:rsidR="00A03C14">
        <w:t xml:space="preserve"> Therefore, the perception of the Fourth Crusade as a manifestations of people’s desires for material gain does not hold up, as the actions put forward as evidence were only performed in a desperate situation, leaving no alternative.</w:t>
      </w:r>
    </w:p>
    <w:p w14:paraId="4DF0890E" w14:textId="1C507CC3" w:rsidR="00E574DF" w:rsidRDefault="00E574DF" w:rsidP="006B7217">
      <w:pPr>
        <w:spacing w:line="480" w:lineRule="auto"/>
      </w:pPr>
      <w:r>
        <w:tab/>
      </w:r>
      <w:r w:rsidR="005F352E">
        <w:t xml:space="preserve">All in all, </w:t>
      </w:r>
      <w:proofErr w:type="gramStart"/>
      <w:r w:rsidR="005F352E">
        <w:t>it is clear that although</w:t>
      </w:r>
      <w:proofErr w:type="gramEnd"/>
      <w:r w:rsidR="005F352E">
        <w:t xml:space="preserve"> economic reward was likely a motivation for certain individuals, such as </w:t>
      </w:r>
      <w:proofErr w:type="spellStart"/>
      <w:r w:rsidR="005F352E">
        <w:t>Bohemud</w:t>
      </w:r>
      <w:proofErr w:type="spellEnd"/>
      <w:r w:rsidR="005F352E">
        <w:t xml:space="preserve"> of </w:t>
      </w:r>
      <w:proofErr w:type="spellStart"/>
      <w:r w:rsidR="005F352E">
        <w:t>Tarento</w:t>
      </w:r>
      <w:proofErr w:type="spellEnd"/>
      <w:r w:rsidR="005F352E">
        <w:t xml:space="preserve"> or Baldwin of Boulogne, for many others the economic cost of crusading was in fact a discouragement. This leads to the conclusion that other factors, such as the offering of indulgences, the desire for legacy and familial honour, and the pushing of the idea of Christian unity were far more important. For this reason, the concept of economic reward in motivating crusaders was negligible in most cases, and in fact </w:t>
      </w:r>
      <w:r w:rsidR="0085028E">
        <w:t>economic issues were more of a hindrance for most.</w:t>
      </w:r>
    </w:p>
    <w:p w14:paraId="513A1BBA" w14:textId="0087BC17" w:rsidR="0085028E" w:rsidRPr="0085028E" w:rsidRDefault="0085028E" w:rsidP="006B7217">
      <w:pPr>
        <w:spacing w:line="480" w:lineRule="auto"/>
        <w:rPr>
          <w:b/>
        </w:rPr>
      </w:pPr>
      <w:r w:rsidRPr="0085028E">
        <w:rPr>
          <w:b/>
        </w:rPr>
        <w:t>Word Count:</w:t>
      </w:r>
      <w:r w:rsidR="00FE4C81">
        <w:rPr>
          <w:b/>
        </w:rPr>
        <w:t xml:space="preserve"> 2128</w:t>
      </w:r>
    </w:p>
    <w:p w14:paraId="6244207A" w14:textId="77777777" w:rsidR="006B7217" w:rsidRDefault="006B7217" w:rsidP="006B7217">
      <w:pPr>
        <w:spacing w:line="480" w:lineRule="auto"/>
        <w:rPr>
          <w:b/>
          <w:u w:val="single"/>
        </w:rPr>
      </w:pPr>
    </w:p>
    <w:p w14:paraId="6C9056C1" w14:textId="77777777" w:rsidR="006B7217" w:rsidRDefault="006B7217" w:rsidP="006B7217">
      <w:pPr>
        <w:spacing w:line="480" w:lineRule="auto"/>
        <w:rPr>
          <w:b/>
          <w:u w:val="single"/>
        </w:rPr>
      </w:pPr>
    </w:p>
    <w:p w14:paraId="43181803" w14:textId="77777777" w:rsidR="00CA5293" w:rsidRDefault="00CA5293" w:rsidP="006B7217">
      <w:pPr>
        <w:spacing w:line="480" w:lineRule="auto"/>
        <w:rPr>
          <w:b/>
          <w:u w:val="single"/>
        </w:rPr>
      </w:pPr>
    </w:p>
    <w:p w14:paraId="4501B1E3" w14:textId="77777777" w:rsidR="00CA5293" w:rsidRDefault="00CA5293" w:rsidP="006B7217">
      <w:pPr>
        <w:spacing w:line="480" w:lineRule="auto"/>
        <w:rPr>
          <w:b/>
          <w:u w:val="single"/>
        </w:rPr>
      </w:pPr>
    </w:p>
    <w:p w14:paraId="367DD706" w14:textId="0E5DF160" w:rsidR="00864ED4" w:rsidRPr="0085028E" w:rsidRDefault="00864ED4" w:rsidP="006B7217">
      <w:pPr>
        <w:spacing w:line="480" w:lineRule="auto"/>
        <w:rPr>
          <w:b/>
          <w:u w:val="single"/>
        </w:rPr>
      </w:pPr>
      <w:r w:rsidRPr="0085028E">
        <w:rPr>
          <w:b/>
          <w:u w:val="single"/>
        </w:rPr>
        <w:lastRenderedPageBreak/>
        <w:t>Bibliography</w:t>
      </w:r>
    </w:p>
    <w:p w14:paraId="13C3E9BD" w14:textId="5CAC379F" w:rsidR="00864ED4" w:rsidRDefault="00864ED4" w:rsidP="006B7217">
      <w:pPr>
        <w:spacing w:line="480" w:lineRule="auto"/>
        <w:rPr>
          <w:u w:val="single"/>
        </w:rPr>
      </w:pPr>
      <w:r>
        <w:rPr>
          <w:u w:val="single"/>
        </w:rPr>
        <w:t>Primary Sources</w:t>
      </w:r>
    </w:p>
    <w:p w14:paraId="46709405" w14:textId="572D28F3" w:rsidR="00561C30" w:rsidRDefault="00864ED4" w:rsidP="006B7217">
      <w:pPr>
        <w:spacing w:line="480" w:lineRule="auto"/>
      </w:pPr>
      <w:r>
        <w:t xml:space="preserve">Anna </w:t>
      </w:r>
      <w:proofErr w:type="spellStart"/>
      <w:r>
        <w:t>Comnena</w:t>
      </w:r>
      <w:proofErr w:type="spellEnd"/>
      <w:r>
        <w:t xml:space="preserve">, </w:t>
      </w:r>
      <w:proofErr w:type="spellStart"/>
      <w:r>
        <w:rPr>
          <w:i/>
        </w:rPr>
        <w:t>Alexiad</w:t>
      </w:r>
      <w:proofErr w:type="spellEnd"/>
      <w:r>
        <w:rPr>
          <w:i/>
        </w:rPr>
        <w:t xml:space="preserve">, </w:t>
      </w:r>
      <w:r>
        <w:t>trans. Elizabeth A. Davies, (2001)</w:t>
      </w:r>
      <w:r w:rsidR="00561C30">
        <w:t xml:space="preserve"> </w:t>
      </w:r>
      <w:hyperlink r:id="rId6" w:history="1">
        <w:r w:rsidR="00561C30" w:rsidRPr="00FF4B75">
          <w:rPr>
            <w:rStyle w:val="Hyperlink"/>
          </w:rPr>
          <w:t>https://sourcebooks.fordham.edu/Halsall/basis/AnnaComnena-Alexiad.asp</w:t>
        </w:r>
      </w:hyperlink>
      <w:r w:rsidR="00561C30">
        <w:t xml:space="preserve"> [Accessed 16 March 2018].</w:t>
      </w:r>
    </w:p>
    <w:p w14:paraId="7A88D601" w14:textId="6215E143" w:rsidR="00561C30" w:rsidRDefault="00561C30" w:rsidP="006B7217">
      <w:pPr>
        <w:spacing w:line="480" w:lineRule="auto"/>
      </w:pPr>
      <w:r>
        <w:t xml:space="preserve">Joinville and </w:t>
      </w:r>
      <w:proofErr w:type="spellStart"/>
      <w:r>
        <w:t>Villehardouin</w:t>
      </w:r>
      <w:proofErr w:type="spellEnd"/>
      <w:r>
        <w:t xml:space="preserve">, </w:t>
      </w:r>
      <w:r>
        <w:rPr>
          <w:i/>
        </w:rPr>
        <w:t xml:space="preserve">Chronicles of the Crusades, </w:t>
      </w:r>
      <w:r>
        <w:t>trans. Caroline Smith</w:t>
      </w:r>
      <w:r>
        <w:rPr>
          <w:i/>
        </w:rPr>
        <w:t xml:space="preserve"> </w:t>
      </w:r>
      <w:r>
        <w:t>(London: Penguin, 2008).</w:t>
      </w:r>
    </w:p>
    <w:p w14:paraId="7C6FB542" w14:textId="05B3B2FC" w:rsidR="00561C30" w:rsidRPr="00561C30" w:rsidRDefault="00561C30" w:rsidP="006B7217">
      <w:pPr>
        <w:spacing w:line="480" w:lineRule="auto"/>
      </w:pPr>
      <w:proofErr w:type="spellStart"/>
      <w:r>
        <w:t>Krey</w:t>
      </w:r>
      <w:proofErr w:type="spellEnd"/>
      <w:r>
        <w:t>, A. C. ed.</w:t>
      </w:r>
      <w:r w:rsidR="003A675C">
        <w:t>,</w:t>
      </w:r>
      <w:r>
        <w:t xml:space="preserve"> </w:t>
      </w:r>
      <w:r>
        <w:rPr>
          <w:i/>
        </w:rPr>
        <w:t xml:space="preserve">The First Crusade: The Accounts of Eyewitnesses and Participants </w:t>
      </w:r>
      <w:r>
        <w:t>(London: Humphrey Milford, 1921).</w:t>
      </w:r>
    </w:p>
    <w:p w14:paraId="5838E528" w14:textId="59E623A5" w:rsidR="00561C30" w:rsidRPr="00561C30" w:rsidRDefault="00561C30" w:rsidP="006B7217">
      <w:pPr>
        <w:spacing w:line="480" w:lineRule="auto"/>
      </w:pPr>
      <w:r>
        <w:t>Peters. E. ed.</w:t>
      </w:r>
      <w:r w:rsidR="003A675C">
        <w:t>,</w:t>
      </w:r>
      <w:bookmarkStart w:id="0" w:name="_GoBack"/>
      <w:bookmarkEnd w:id="0"/>
      <w:r>
        <w:t xml:space="preserve"> </w:t>
      </w:r>
      <w:r>
        <w:rPr>
          <w:i/>
        </w:rPr>
        <w:t xml:space="preserve">The First Crusade: The Chronicle of Fulcher of Chartres and Other Source Materials </w:t>
      </w:r>
      <w:r>
        <w:t>(Philadelphia: University of Pennsylvania Press, 1971).</w:t>
      </w:r>
    </w:p>
    <w:p w14:paraId="756DCCA4" w14:textId="64D04691" w:rsidR="00561C30" w:rsidRDefault="00561C30" w:rsidP="006B7217">
      <w:pPr>
        <w:spacing w:line="480" w:lineRule="auto"/>
      </w:pPr>
      <w:r w:rsidRPr="00561C30">
        <w:rPr>
          <w:i/>
        </w:rPr>
        <w:t>The Chronicle of the First Crusade</w:t>
      </w:r>
      <w:r>
        <w:rPr>
          <w:i/>
        </w:rPr>
        <w:t xml:space="preserve">: The </w:t>
      </w:r>
      <w:proofErr w:type="spellStart"/>
      <w:r>
        <w:rPr>
          <w:i/>
        </w:rPr>
        <w:t>Itinerarium</w:t>
      </w:r>
      <w:proofErr w:type="spellEnd"/>
      <w:r>
        <w:rPr>
          <w:i/>
        </w:rPr>
        <w:t xml:space="preserve"> </w:t>
      </w:r>
      <w:proofErr w:type="spellStart"/>
      <w:r>
        <w:rPr>
          <w:i/>
        </w:rPr>
        <w:t>Peregrinorum</w:t>
      </w:r>
      <w:proofErr w:type="spellEnd"/>
      <w:r>
        <w:rPr>
          <w:i/>
        </w:rPr>
        <w:t xml:space="preserve"> et </w:t>
      </w:r>
      <w:proofErr w:type="spellStart"/>
      <w:r>
        <w:rPr>
          <w:i/>
        </w:rPr>
        <w:t>Gesta</w:t>
      </w:r>
      <w:proofErr w:type="spellEnd"/>
      <w:r>
        <w:rPr>
          <w:i/>
        </w:rPr>
        <w:t xml:space="preserve"> Regis </w:t>
      </w:r>
      <w:proofErr w:type="spellStart"/>
      <w:r>
        <w:rPr>
          <w:i/>
        </w:rPr>
        <w:t>Ricardi</w:t>
      </w:r>
      <w:proofErr w:type="spellEnd"/>
      <w:r>
        <w:rPr>
          <w:i/>
        </w:rPr>
        <w:t xml:space="preserve">, </w:t>
      </w:r>
      <w:r>
        <w:t>trans. Helen J. Nicholson (Farnham: Ashgate, 2001).</w:t>
      </w:r>
    </w:p>
    <w:p w14:paraId="2530092F" w14:textId="5FCDFD5F" w:rsidR="00561C30" w:rsidRDefault="00561C30" w:rsidP="006B7217">
      <w:pPr>
        <w:spacing w:line="480" w:lineRule="auto"/>
        <w:rPr>
          <w:u w:val="single"/>
        </w:rPr>
      </w:pPr>
      <w:r>
        <w:rPr>
          <w:u w:val="single"/>
        </w:rPr>
        <w:t>Modern Sources</w:t>
      </w:r>
    </w:p>
    <w:p w14:paraId="5FE63C01" w14:textId="0BDB4134" w:rsidR="008E0A5C" w:rsidRDefault="008E0A5C" w:rsidP="006B7217">
      <w:pPr>
        <w:spacing w:line="480" w:lineRule="auto"/>
      </w:pPr>
      <w:proofErr w:type="spellStart"/>
      <w:r>
        <w:t>Asbridge</w:t>
      </w:r>
      <w:proofErr w:type="spellEnd"/>
      <w:r>
        <w:t xml:space="preserve">. T., </w:t>
      </w:r>
      <w:r>
        <w:rPr>
          <w:i/>
        </w:rPr>
        <w:t>The First Crusade: A New History</w:t>
      </w:r>
      <w:r>
        <w:t xml:space="preserve"> (London: Simon &amp; Schuster, 2004).</w:t>
      </w:r>
    </w:p>
    <w:p w14:paraId="1B73A8F8" w14:textId="75610C14" w:rsidR="00561C30" w:rsidRDefault="008E0A5C" w:rsidP="006B7217">
      <w:pPr>
        <w:spacing w:line="480" w:lineRule="auto"/>
      </w:pPr>
      <w:r w:rsidRPr="008E0A5C">
        <w:t>Housley</w:t>
      </w:r>
      <w:r>
        <w:t>. N.</w:t>
      </w:r>
      <w:r w:rsidRPr="008E0A5C">
        <w:t xml:space="preserve">, </w:t>
      </w:r>
      <w:r w:rsidRPr="008E0A5C">
        <w:rPr>
          <w:i/>
        </w:rPr>
        <w:t>Contesting the Crusades</w:t>
      </w:r>
      <w:r w:rsidRPr="008E0A5C">
        <w:t xml:space="preserve"> (Oxford: Blackwell, 2006).</w:t>
      </w:r>
    </w:p>
    <w:p w14:paraId="33BF5F86" w14:textId="27195134" w:rsidR="008E0A5C" w:rsidRDefault="008E0A5C" w:rsidP="006B7217">
      <w:pPr>
        <w:spacing w:line="480" w:lineRule="auto"/>
        <w:rPr>
          <w:color w:val="000000"/>
          <w:szCs w:val="24"/>
          <w:shd w:val="clear" w:color="auto" w:fill="FFFFFF"/>
        </w:rPr>
      </w:pPr>
      <w:r w:rsidRPr="008E0A5C">
        <w:rPr>
          <w:color w:val="000000"/>
          <w:szCs w:val="24"/>
          <w:shd w:val="clear" w:color="auto" w:fill="FFFFFF"/>
        </w:rPr>
        <w:t>Mayer. H. E., </w:t>
      </w:r>
      <w:r w:rsidRPr="008E0A5C">
        <w:rPr>
          <w:i/>
          <w:iCs/>
          <w:color w:val="000000"/>
          <w:szCs w:val="24"/>
          <w:shd w:val="clear" w:color="auto" w:fill="FFFFFF"/>
        </w:rPr>
        <w:t>The Crusades</w:t>
      </w:r>
      <w:r w:rsidRPr="008E0A5C">
        <w:rPr>
          <w:color w:val="000000"/>
          <w:szCs w:val="24"/>
          <w:shd w:val="clear" w:color="auto" w:fill="FFFFFF"/>
        </w:rPr>
        <w:t xml:space="preserve">, trans. John Gillingham, 2nd </w:t>
      </w:r>
      <w:proofErr w:type="spellStart"/>
      <w:r w:rsidRPr="008E0A5C">
        <w:rPr>
          <w:color w:val="000000"/>
          <w:szCs w:val="24"/>
          <w:shd w:val="clear" w:color="auto" w:fill="FFFFFF"/>
        </w:rPr>
        <w:t>edn</w:t>
      </w:r>
      <w:proofErr w:type="spellEnd"/>
      <w:r w:rsidRPr="008E0A5C">
        <w:rPr>
          <w:color w:val="000000"/>
          <w:szCs w:val="24"/>
          <w:shd w:val="clear" w:color="auto" w:fill="FFFFFF"/>
        </w:rPr>
        <w:t xml:space="preserve"> (Oxford: Oxford University Press, 1990 (1972)).</w:t>
      </w:r>
    </w:p>
    <w:p w14:paraId="4BA1163C" w14:textId="77777777" w:rsidR="00DF5E79" w:rsidRDefault="00DE6801" w:rsidP="006B7217">
      <w:pPr>
        <w:spacing w:line="480" w:lineRule="auto"/>
        <w:rPr>
          <w:color w:val="000000"/>
          <w:szCs w:val="24"/>
        </w:rPr>
      </w:pPr>
      <w:r w:rsidRPr="00DE6801">
        <w:rPr>
          <w:color w:val="000000"/>
          <w:szCs w:val="24"/>
          <w:shd w:val="clear" w:color="auto" w:fill="FFFFFF"/>
        </w:rPr>
        <w:t>Phillips. J., </w:t>
      </w:r>
      <w:r w:rsidRPr="00DE6801">
        <w:rPr>
          <w:i/>
          <w:iCs/>
          <w:color w:val="000000"/>
          <w:szCs w:val="24"/>
          <w:shd w:val="clear" w:color="auto" w:fill="FFFFFF"/>
        </w:rPr>
        <w:t>The Crusades: 1095-1197</w:t>
      </w:r>
      <w:r w:rsidRPr="00DE6801">
        <w:rPr>
          <w:color w:val="000000"/>
          <w:szCs w:val="24"/>
          <w:shd w:val="clear" w:color="auto" w:fill="FFFFFF"/>
        </w:rPr>
        <w:t> (Harlow: Longman, 2002).</w:t>
      </w:r>
    </w:p>
    <w:p w14:paraId="3F5C6C8E" w14:textId="5BCB3E54" w:rsidR="00DF5E79" w:rsidRDefault="00DE6801" w:rsidP="006B7217">
      <w:pPr>
        <w:spacing w:line="480" w:lineRule="auto"/>
        <w:rPr>
          <w:color w:val="000000"/>
          <w:szCs w:val="24"/>
        </w:rPr>
      </w:pPr>
      <w:r w:rsidRPr="00DE6801">
        <w:rPr>
          <w:color w:val="000000"/>
          <w:szCs w:val="24"/>
          <w:shd w:val="clear" w:color="auto" w:fill="FFFFFF"/>
        </w:rPr>
        <w:t>Riley-Smith. J., 'The State of Mind of Crusaders to the East: 1095-1300', in </w:t>
      </w:r>
      <w:r w:rsidRPr="00DE6801">
        <w:rPr>
          <w:i/>
          <w:iCs/>
          <w:color w:val="000000"/>
          <w:szCs w:val="24"/>
          <w:shd w:val="clear" w:color="auto" w:fill="FFFFFF"/>
        </w:rPr>
        <w:t>The Oxford History of the Crusades</w:t>
      </w:r>
      <w:r w:rsidRPr="00DE6801">
        <w:rPr>
          <w:color w:val="000000"/>
          <w:szCs w:val="24"/>
          <w:shd w:val="clear" w:color="auto" w:fill="FFFFFF"/>
        </w:rPr>
        <w:t>, ed. Jonathan Riley-</w:t>
      </w:r>
      <w:proofErr w:type="gramStart"/>
      <w:r w:rsidRPr="00DE6801">
        <w:rPr>
          <w:color w:val="000000"/>
          <w:szCs w:val="24"/>
          <w:shd w:val="clear" w:color="auto" w:fill="FFFFFF"/>
        </w:rPr>
        <w:t>Smith(</w:t>
      </w:r>
      <w:proofErr w:type="gramEnd"/>
      <w:r w:rsidRPr="00DE6801">
        <w:rPr>
          <w:color w:val="000000"/>
          <w:szCs w:val="24"/>
          <w:shd w:val="clear" w:color="auto" w:fill="FFFFFF"/>
        </w:rPr>
        <w:t>Oxford: Oxford University Press, 1999), p. 68-90</w:t>
      </w:r>
    </w:p>
    <w:p w14:paraId="2383F030" w14:textId="77777777" w:rsidR="00DF5E79" w:rsidRDefault="00DE6801" w:rsidP="006B7217">
      <w:pPr>
        <w:spacing w:line="480" w:lineRule="auto"/>
        <w:rPr>
          <w:color w:val="000000"/>
          <w:szCs w:val="24"/>
        </w:rPr>
      </w:pPr>
      <w:proofErr w:type="spellStart"/>
      <w:r w:rsidRPr="00DE6801">
        <w:rPr>
          <w:color w:val="000000"/>
          <w:szCs w:val="24"/>
          <w:shd w:val="clear" w:color="auto" w:fill="FFFFFF"/>
        </w:rPr>
        <w:lastRenderedPageBreak/>
        <w:t>Siberry</w:t>
      </w:r>
      <w:proofErr w:type="spellEnd"/>
      <w:r w:rsidRPr="00DE6801">
        <w:rPr>
          <w:color w:val="000000"/>
          <w:szCs w:val="24"/>
          <w:shd w:val="clear" w:color="auto" w:fill="FFFFFF"/>
        </w:rPr>
        <w:t>. E., </w:t>
      </w:r>
      <w:r w:rsidRPr="00DE6801">
        <w:rPr>
          <w:i/>
          <w:iCs/>
          <w:color w:val="000000"/>
          <w:szCs w:val="24"/>
          <w:shd w:val="clear" w:color="auto" w:fill="FFFFFF"/>
        </w:rPr>
        <w:t>Criticism of Crusading</w:t>
      </w:r>
      <w:r w:rsidRPr="00DE6801">
        <w:rPr>
          <w:color w:val="000000"/>
          <w:szCs w:val="24"/>
          <w:shd w:val="clear" w:color="auto" w:fill="FFFFFF"/>
        </w:rPr>
        <w:t> (Oxford: Clarendon Press, 1985).</w:t>
      </w:r>
    </w:p>
    <w:p w14:paraId="114D0E23" w14:textId="7CD21BDD" w:rsidR="008E0A5C" w:rsidRPr="00DE6801" w:rsidRDefault="00DE6801" w:rsidP="006B7217">
      <w:pPr>
        <w:spacing w:line="480" w:lineRule="auto"/>
        <w:rPr>
          <w:color w:val="000000"/>
          <w:szCs w:val="24"/>
          <w:shd w:val="clear" w:color="auto" w:fill="FFFFFF"/>
        </w:rPr>
      </w:pPr>
      <w:proofErr w:type="spellStart"/>
      <w:r w:rsidRPr="00DE6801">
        <w:rPr>
          <w:color w:val="000000"/>
          <w:szCs w:val="24"/>
          <w:shd w:val="clear" w:color="auto" w:fill="FFFFFF"/>
        </w:rPr>
        <w:t>Tyerman</w:t>
      </w:r>
      <w:proofErr w:type="spellEnd"/>
      <w:r w:rsidRPr="00DE6801">
        <w:rPr>
          <w:color w:val="000000"/>
          <w:szCs w:val="24"/>
          <w:shd w:val="clear" w:color="auto" w:fill="FFFFFF"/>
        </w:rPr>
        <w:t>. C., </w:t>
      </w:r>
      <w:r w:rsidRPr="00DE6801">
        <w:rPr>
          <w:i/>
          <w:iCs/>
          <w:color w:val="000000"/>
          <w:szCs w:val="24"/>
          <w:shd w:val="clear" w:color="auto" w:fill="FFFFFF"/>
        </w:rPr>
        <w:t>God's War: A New History of the Crusades</w:t>
      </w:r>
      <w:r w:rsidRPr="00DE6801">
        <w:rPr>
          <w:color w:val="000000"/>
          <w:szCs w:val="24"/>
          <w:shd w:val="clear" w:color="auto" w:fill="FFFFFF"/>
        </w:rPr>
        <w:t> (London: Penguin, 2007).</w:t>
      </w:r>
    </w:p>
    <w:p w14:paraId="440EEE5D" w14:textId="77777777" w:rsidR="008E0A5C" w:rsidRPr="00DE6801" w:rsidRDefault="008E0A5C" w:rsidP="006B7217">
      <w:pPr>
        <w:spacing w:line="480" w:lineRule="auto"/>
        <w:rPr>
          <w:szCs w:val="24"/>
        </w:rPr>
      </w:pPr>
    </w:p>
    <w:sectPr w:rsidR="008E0A5C" w:rsidRPr="00DE68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45D1B" w14:textId="77777777" w:rsidR="00B73215" w:rsidRDefault="00B73215" w:rsidP="00B86004">
      <w:pPr>
        <w:spacing w:after="0" w:line="240" w:lineRule="auto"/>
      </w:pPr>
      <w:r>
        <w:separator/>
      </w:r>
    </w:p>
  </w:endnote>
  <w:endnote w:type="continuationSeparator" w:id="0">
    <w:p w14:paraId="68B9C7CA" w14:textId="77777777" w:rsidR="00B73215" w:rsidRDefault="00B73215" w:rsidP="00B86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66134" w14:textId="77777777" w:rsidR="00B73215" w:rsidRDefault="00B73215" w:rsidP="00B86004">
      <w:pPr>
        <w:spacing w:after="0" w:line="240" w:lineRule="auto"/>
      </w:pPr>
      <w:r>
        <w:separator/>
      </w:r>
    </w:p>
  </w:footnote>
  <w:footnote w:type="continuationSeparator" w:id="0">
    <w:p w14:paraId="23E6F966" w14:textId="77777777" w:rsidR="00B73215" w:rsidRDefault="00B73215" w:rsidP="00B86004">
      <w:pPr>
        <w:spacing w:after="0" w:line="240" w:lineRule="auto"/>
      </w:pPr>
      <w:r>
        <w:continuationSeparator/>
      </w:r>
    </w:p>
  </w:footnote>
  <w:footnote w:id="1">
    <w:p w14:paraId="6BB49597" w14:textId="6C1D8165" w:rsidR="00B86004" w:rsidRPr="00B86004" w:rsidRDefault="00B86004">
      <w:pPr>
        <w:pStyle w:val="FootnoteText"/>
      </w:pPr>
      <w:r>
        <w:rPr>
          <w:rStyle w:val="FootnoteReference"/>
        </w:rPr>
        <w:footnoteRef/>
      </w:r>
      <w:r>
        <w:t xml:space="preserve"> Norman Housley, </w:t>
      </w:r>
      <w:r>
        <w:rPr>
          <w:i/>
        </w:rPr>
        <w:t>Contesting the Crusades</w:t>
      </w:r>
      <w:r>
        <w:t xml:space="preserve"> (Oxford: Blackwell, 2006) p.</w:t>
      </w:r>
      <w:r w:rsidR="00270E53">
        <w:t xml:space="preserve"> </w:t>
      </w:r>
      <w:r>
        <w:t xml:space="preserve">81; Jonathan Phillips, </w:t>
      </w:r>
      <w:r>
        <w:rPr>
          <w:i/>
        </w:rPr>
        <w:t xml:space="preserve">The Crusades: 1095-1197 </w:t>
      </w:r>
      <w:r>
        <w:t>(Harlow: Longman, 2002)</w:t>
      </w:r>
      <w:r w:rsidR="00270E53">
        <w:t xml:space="preserve"> p.17.</w:t>
      </w:r>
    </w:p>
  </w:footnote>
  <w:footnote w:id="2">
    <w:p w14:paraId="7B4133F9" w14:textId="77777777" w:rsidR="00270E53" w:rsidRPr="00270E53" w:rsidRDefault="00270E53" w:rsidP="00270E53">
      <w:pPr>
        <w:pStyle w:val="FootnoteText"/>
      </w:pPr>
      <w:r>
        <w:rPr>
          <w:rStyle w:val="FootnoteReference"/>
        </w:rPr>
        <w:footnoteRef/>
      </w:r>
      <w:r>
        <w:t xml:space="preserve"> Housley, </w:t>
      </w:r>
      <w:r>
        <w:rPr>
          <w:i/>
        </w:rPr>
        <w:t>Contesting,</w:t>
      </w:r>
      <w:r>
        <w:t xml:space="preserve"> p. 76</w:t>
      </w:r>
    </w:p>
  </w:footnote>
  <w:footnote w:id="3">
    <w:p w14:paraId="6474F12F" w14:textId="1BB28759" w:rsidR="00376266" w:rsidRPr="00376266" w:rsidRDefault="00376266">
      <w:pPr>
        <w:pStyle w:val="FootnoteText"/>
      </w:pPr>
      <w:r>
        <w:rPr>
          <w:rStyle w:val="FootnoteReference"/>
        </w:rPr>
        <w:footnoteRef/>
      </w:r>
      <w:r>
        <w:t xml:space="preserve"> Elizabeth </w:t>
      </w:r>
      <w:proofErr w:type="spellStart"/>
      <w:r>
        <w:t>Siberry</w:t>
      </w:r>
      <w:proofErr w:type="spellEnd"/>
      <w:r>
        <w:t xml:space="preserve">, </w:t>
      </w:r>
      <w:r>
        <w:rPr>
          <w:i/>
        </w:rPr>
        <w:t xml:space="preserve">Criticism of Crusading: 1095-1274 </w:t>
      </w:r>
      <w:r>
        <w:t xml:space="preserve">(Oxford: Clarendon Press, 1985) p.p. 95-108; Jonathan Riley-Smith, ‘The State of Mind of Crusaders to the East: 1095-1300’, </w:t>
      </w:r>
      <w:r>
        <w:rPr>
          <w:i/>
        </w:rPr>
        <w:t>The Oxford History of the Crusades,</w:t>
      </w:r>
      <w:r>
        <w:t xml:space="preserve"> ed. Jonathan Riley Smith (Oxford: Oxford University Press, 1999) p.p. 68-89.</w:t>
      </w:r>
    </w:p>
  </w:footnote>
  <w:footnote w:id="4">
    <w:p w14:paraId="5ADAFC89" w14:textId="41D5FBBD" w:rsidR="00053DFE" w:rsidRPr="001A3D24" w:rsidRDefault="00053DFE">
      <w:pPr>
        <w:pStyle w:val="FootnoteText"/>
      </w:pPr>
      <w:r>
        <w:rPr>
          <w:rStyle w:val="FootnoteReference"/>
        </w:rPr>
        <w:footnoteRef/>
      </w:r>
      <w:r>
        <w:t xml:space="preserve"> Robert the Monk</w:t>
      </w:r>
      <w:r w:rsidR="001A3D24">
        <w:t xml:space="preserve">, In: </w:t>
      </w:r>
      <w:r w:rsidR="001A3D24">
        <w:rPr>
          <w:i/>
        </w:rPr>
        <w:t>The First Crusade: The Chronicle of Fulcher of Chartres and Other Source Materials</w:t>
      </w:r>
      <w:r w:rsidR="001A3D24">
        <w:t>, trans. Munro, ed. Edward Peters (Philadelphia: University of Pennsylvania Press, 1971) p.3.</w:t>
      </w:r>
    </w:p>
  </w:footnote>
  <w:footnote w:id="5">
    <w:p w14:paraId="793D5459" w14:textId="736CDF02" w:rsidR="001A3D24" w:rsidRPr="001A3D24" w:rsidRDefault="001A3D24">
      <w:pPr>
        <w:pStyle w:val="FootnoteText"/>
      </w:pPr>
      <w:r>
        <w:rPr>
          <w:rStyle w:val="FootnoteReference"/>
        </w:rPr>
        <w:footnoteRef/>
      </w:r>
      <w:r>
        <w:t xml:space="preserve"> Phillips, </w:t>
      </w:r>
      <w:r>
        <w:rPr>
          <w:i/>
        </w:rPr>
        <w:t>Crusades</w:t>
      </w:r>
      <w:r>
        <w:t>, p.18.</w:t>
      </w:r>
    </w:p>
  </w:footnote>
  <w:footnote w:id="6">
    <w:p w14:paraId="6675A663" w14:textId="6328A999" w:rsidR="001A3D24" w:rsidRPr="001A3D24" w:rsidRDefault="001A3D24">
      <w:pPr>
        <w:pStyle w:val="FootnoteText"/>
      </w:pPr>
      <w:r>
        <w:rPr>
          <w:rStyle w:val="FootnoteReference"/>
        </w:rPr>
        <w:footnoteRef/>
      </w:r>
      <w:r>
        <w:t xml:space="preserve"> Baldric of </w:t>
      </w:r>
      <w:proofErr w:type="spellStart"/>
      <w:r>
        <w:t>Dol</w:t>
      </w:r>
      <w:proofErr w:type="spellEnd"/>
      <w:r>
        <w:t xml:space="preserve">, In: </w:t>
      </w:r>
      <w:r>
        <w:rPr>
          <w:i/>
        </w:rPr>
        <w:t xml:space="preserve">The First Crusade: The Chronicle of Fulcher of Chartres and Other Source Materials, </w:t>
      </w:r>
      <w:r>
        <w:t xml:space="preserve">trans. </w:t>
      </w:r>
      <w:proofErr w:type="spellStart"/>
      <w:r>
        <w:t>Krey</w:t>
      </w:r>
      <w:proofErr w:type="spellEnd"/>
      <w:r>
        <w:t>, ed. Edward Peters (Philadelphia: University of Pennsylvania Press, 1971) p. 9.</w:t>
      </w:r>
    </w:p>
  </w:footnote>
  <w:footnote w:id="7">
    <w:p w14:paraId="7722E86D" w14:textId="10014821" w:rsidR="001A3D24" w:rsidRPr="001A3D24" w:rsidRDefault="001A3D24">
      <w:pPr>
        <w:pStyle w:val="FootnoteText"/>
      </w:pPr>
      <w:r>
        <w:rPr>
          <w:rStyle w:val="FootnoteReference"/>
        </w:rPr>
        <w:footnoteRef/>
      </w:r>
      <w:r>
        <w:t xml:space="preserve"> Housley, </w:t>
      </w:r>
      <w:r>
        <w:rPr>
          <w:i/>
        </w:rPr>
        <w:t xml:space="preserve">Contesting, </w:t>
      </w:r>
      <w:r>
        <w:t>p.</w:t>
      </w:r>
      <w:r w:rsidR="00F44A1C">
        <w:t xml:space="preserve"> 76, 91.</w:t>
      </w:r>
    </w:p>
  </w:footnote>
  <w:footnote w:id="8">
    <w:p w14:paraId="6C7763D1" w14:textId="3D3EE021" w:rsidR="00CF7E34" w:rsidRPr="00CF7E34" w:rsidRDefault="00CF7E34">
      <w:pPr>
        <w:pStyle w:val="FootnoteText"/>
      </w:pPr>
      <w:r>
        <w:rPr>
          <w:rStyle w:val="FootnoteReference"/>
        </w:rPr>
        <w:footnoteRef/>
      </w:r>
      <w:r>
        <w:t xml:space="preserve"> Housley, </w:t>
      </w:r>
      <w:r>
        <w:rPr>
          <w:i/>
        </w:rPr>
        <w:t xml:space="preserve">Contesting, </w:t>
      </w:r>
      <w:r>
        <w:t>p. 92.</w:t>
      </w:r>
    </w:p>
  </w:footnote>
  <w:footnote w:id="9">
    <w:p w14:paraId="29F17257" w14:textId="07F63C2E" w:rsidR="00CF7E34" w:rsidRPr="00CF7E34" w:rsidRDefault="00CF7E34">
      <w:pPr>
        <w:pStyle w:val="FootnoteText"/>
      </w:pPr>
      <w:r>
        <w:rPr>
          <w:rStyle w:val="FootnoteReference"/>
        </w:rPr>
        <w:footnoteRef/>
      </w:r>
      <w:r>
        <w:t xml:space="preserve"> Christopher Tyreman, </w:t>
      </w:r>
      <w:r>
        <w:rPr>
          <w:i/>
        </w:rPr>
        <w:t>God’s War: A New History of the Crusades</w:t>
      </w:r>
      <w:r>
        <w:t xml:space="preserve"> (London: Penguin, 2007) p. 84; Thomas </w:t>
      </w:r>
      <w:proofErr w:type="spellStart"/>
      <w:r>
        <w:t>Asbridge</w:t>
      </w:r>
      <w:proofErr w:type="spellEnd"/>
      <w:r>
        <w:t xml:space="preserve">, </w:t>
      </w:r>
      <w:r>
        <w:rPr>
          <w:i/>
        </w:rPr>
        <w:t xml:space="preserve">The First Crusade: A New History </w:t>
      </w:r>
      <w:r>
        <w:t>(London: Simon &amp; Schuster, 2004) p. 68</w:t>
      </w:r>
    </w:p>
  </w:footnote>
  <w:footnote w:id="10">
    <w:p w14:paraId="0299845F" w14:textId="080811D2" w:rsidR="00F44A1C" w:rsidRPr="00F44A1C" w:rsidRDefault="00F44A1C">
      <w:pPr>
        <w:pStyle w:val="FootnoteText"/>
      </w:pPr>
      <w:r>
        <w:rPr>
          <w:rStyle w:val="FootnoteReference"/>
        </w:rPr>
        <w:footnoteRef/>
      </w:r>
      <w:r>
        <w:t xml:space="preserve"> Robert the Monk, in </w:t>
      </w:r>
      <w:r>
        <w:rPr>
          <w:i/>
        </w:rPr>
        <w:t>The First Crusade,</w:t>
      </w:r>
      <w:r>
        <w:t xml:space="preserve"> ed. Edward Peters. p. 3.</w:t>
      </w:r>
    </w:p>
  </w:footnote>
  <w:footnote w:id="11">
    <w:p w14:paraId="27B30591" w14:textId="5624FD38" w:rsidR="00C42A9F" w:rsidRPr="00C42A9F" w:rsidRDefault="00C42A9F">
      <w:pPr>
        <w:pStyle w:val="FootnoteText"/>
      </w:pPr>
      <w:r>
        <w:rPr>
          <w:rStyle w:val="FootnoteReference"/>
        </w:rPr>
        <w:footnoteRef/>
      </w:r>
      <w:r>
        <w:t xml:space="preserve"> Ekkehard of </w:t>
      </w:r>
      <w:proofErr w:type="spellStart"/>
      <w:r>
        <w:t>Aurach</w:t>
      </w:r>
      <w:proofErr w:type="spellEnd"/>
      <w:r>
        <w:t xml:space="preserve">, In: </w:t>
      </w:r>
      <w:r w:rsidRPr="00C42A9F">
        <w:rPr>
          <w:i/>
        </w:rPr>
        <w:t xml:space="preserve">The First Crusade: </w:t>
      </w:r>
      <w:r>
        <w:rPr>
          <w:i/>
        </w:rPr>
        <w:t xml:space="preserve">The Accounts of Eyewitnesses and Participants, </w:t>
      </w:r>
      <w:r>
        <w:t xml:space="preserve">ed. &amp; trans. August C. </w:t>
      </w:r>
      <w:proofErr w:type="spellStart"/>
      <w:r>
        <w:t>Krey</w:t>
      </w:r>
      <w:proofErr w:type="spellEnd"/>
      <w:r>
        <w:t xml:space="preserve"> (London: Humphrey Milford, 1921), p. 41.</w:t>
      </w:r>
    </w:p>
  </w:footnote>
  <w:footnote w:id="12">
    <w:p w14:paraId="13024993" w14:textId="504DC644" w:rsidR="00FC7B7A" w:rsidRPr="00FC7B7A" w:rsidRDefault="00FC7B7A">
      <w:pPr>
        <w:pStyle w:val="FootnoteText"/>
      </w:pPr>
      <w:r>
        <w:rPr>
          <w:rStyle w:val="FootnoteReference"/>
        </w:rPr>
        <w:footnoteRef/>
      </w:r>
      <w:r>
        <w:t xml:space="preserve"> Hans Eberhard Mayer, </w:t>
      </w:r>
      <w:r>
        <w:rPr>
          <w:i/>
        </w:rPr>
        <w:t xml:space="preserve">The Crusades, </w:t>
      </w:r>
      <w:r>
        <w:t>2</w:t>
      </w:r>
      <w:r w:rsidRPr="00FC7B7A">
        <w:rPr>
          <w:vertAlign w:val="superscript"/>
        </w:rPr>
        <w:t>nd</w:t>
      </w:r>
      <w:r>
        <w:t xml:space="preserve"> edition (Oxford: Oxford University Press, 1990</w:t>
      </w:r>
      <w:r w:rsidR="00DF4B8E">
        <w:t xml:space="preserve"> (1972)) p.p. 11-12.</w:t>
      </w:r>
    </w:p>
  </w:footnote>
  <w:footnote w:id="13">
    <w:p w14:paraId="01219A28" w14:textId="36A78CA8" w:rsidR="00DF4B8E" w:rsidRPr="00B1765D" w:rsidRDefault="00DF4B8E">
      <w:pPr>
        <w:pStyle w:val="FootnoteText"/>
      </w:pPr>
      <w:r>
        <w:rPr>
          <w:rStyle w:val="FootnoteReference"/>
        </w:rPr>
        <w:footnoteRef/>
      </w:r>
      <w:r>
        <w:t xml:space="preserve"> Housley, </w:t>
      </w:r>
      <w:r>
        <w:rPr>
          <w:i/>
        </w:rPr>
        <w:t xml:space="preserve">Contesting, </w:t>
      </w:r>
      <w:r>
        <w:t xml:space="preserve">p. 79; Riley-Smith, </w:t>
      </w:r>
      <w:r>
        <w:rPr>
          <w:i/>
        </w:rPr>
        <w:t xml:space="preserve">State of Mind, </w:t>
      </w:r>
      <w:r>
        <w:t>p. 68</w:t>
      </w:r>
      <w:r w:rsidR="00CF7E34">
        <w:t xml:space="preserve">; </w:t>
      </w:r>
      <w:proofErr w:type="spellStart"/>
      <w:r w:rsidR="00B1765D">
        <w:t>Asbridge</w:t>
      </w:r>
      <w:proofErr w:type="spellEnd"/>
      <w:r w:rsidR="00B1765D">
        <w:t xml:space="preserve">, </w:t>
      </w:r>
      <w:r w:rsidR="00B1765D">
        <w:rPr>
          <w:i/>
        </w:rPr>
        <w:t>First Crusade</w:t>
      </w:r>
      <w:r w:rsidR="00B1765D">
        <w:t>, p. 68.</w:t>
      </w:r>
    </w:p>
  </w:footnote>
  <w:footnote w:id="14">
    <w:p w14:paraId="2081FDD3" w14:textId="3D35A2C5" w:rsidR="00B33562" w:rsidRPr="00B33562" w:rsidRDefault="00B33562">
      <w:pPr>
        <w:pStyle w:val="FootnoteText"/>
      </w:pPr>
      <w:r>
        <w:rPr>
          <w:rStyle w:val="FootnoteReference"/>
        </w:rPr>
        <w:footnoteRef/>
      </w:r>
      <w:r>
        <w:t xml:space="preserve"> </w:t>
      </w:r>
      <w:proofErr w:type="spellStart"/>
      <w:r>
        <w:rPr>
          <w:i/>
        </w:rPr>
        <w:t>Gesta</w:t>
      </w:r>
      <w:proofErr w:type="spellEnd"/>
      <w:r>
        <w:rPr>
          <w:i/>
        </w:rPr>
        <w:t xml:space="preserve"> Francorum, </w:t>
      </w:r>
      <w:r>
        <w:t xml:space="preserve">In: </w:t>
      </w:r>
      <w:r>
        <w:rPr>
          <w:i/>
        </w:rPr>
        <w:t xml:space="preserve">The First Crusade: The Chronicle of Fulcher of Chartres and Other Source Materials, </w:t>
      </w:r>
      <w:r>
        <w:t xml:space="preserve">trans. </w:t>
      </w:r>
      <w:proofErr w:type="spellStart"/>
      <w:r>
        <w:t>Krey</w:t>
      </w:r>
      <w:proofErr w:type="spellEnd"/>
      <w:r>
        <w:t>, ed. Edward Peters</w:t>
      </w:r>
      <w:r w:rsidR="009E3AE3">
        <w:t xml:space="preserve"> (Philadelphia: University of Pennsylvania Press, 1971) p.6.</w:t>
      </w:r>
    </w:p>
  </w:footnote>
  <w:footnote w:id="15">
    <w:p w14:paraId="11567D5F" w14:textId="3688ACBC" w:rsidR="009E3AE3" w:rsidRPr="009E3AE3" w:rsidRDefault="009E3AE3">
      <w:pPr>
        <w:pStyle w:val="FootnoteText"/>
      </w:pPr>
      <w:r>
        <w:rPr>
          <w:rStyle w:val="FootnoteReference"/>
        </w:rPr>
        <w:footnoteRef/>
      </w:r>
      <w:r>
        <w:t xml:space="preserve"> Fulcher of Chartres</w:t>
      </w:r>
      <w:r w:rsidR="001C00A7">
        <w:t xml:space="preserve"> 1.3.7</w:t>
      </w:r>
      <w:r>
        <w:t xml:space="preserve">, In: </w:t>
      </w:r>
      <w:r>
        <w:rPr>
          <w:i/>
        </w:rPr>
        <w:t xml:space="preserve">The First Crusade: The Chronicle of Fulcher of Chartres and Other Source Materials, </w:t>
      </w:r>
      <w:r>
        <w:t xml:space="preserve">trans. </w:t>
      </w:r>
      <w:r w:rsidR="001C00A7">
        <w:t>Marta E. McGinty, ed. Edward Peters (Philadelphia: University of Pennsylvania Press, 1971) p.31.</w:t>
      </w:r>
    </w:p>
  </w:footnote>
  <w:footnote w:id="16">
    <w:p w14:paraId="171E342A" w14:textId="45FB88BB" w:rsidR="004E4FBB" w:rsidRPr="004E4FBB" w:rsidRDefault="004E4FBB">
      <w:pPr>
        <w:pStyle w:val="FootnoteText"/>
      </w:pPr>
      <w:r>
        <w:rPr>
          <w:rStyle w:val="FootnoteReference"/>
        </w:rPr>
        <w:footnoteRef/>
      </w:r>
      <w:r>
        <w:t xml:space="preserve"> Robert the Monk p.4, </w:t>
      </w:r>
      <w:proofErr w:type="spellStart"/>
      <w:r>
        <w:rPr>
          <w:i/>
        </w:rPr>
        <w:t>Gesta</w:t>
      </w:r>
      <w:proofErr w:type="spellEnd"/>
      <w:r>
        <w:rPr>
          <w:i/>
        </w:rPr>
        <w:t xml:space="preserve">, </w:t>
      </w:r>
      <w:r>
        <w:t xml:space="preserve">p.6, </w:t>
      </w:r>
      <w:proofErr w:type="spellStart"/>
      <w:r>
        <w:t>Guibert</w:t>
      </w:r>
      <w:proofErr w:type="spellEnd"/>
      <w:r>
        <w:t>, p.12.</w:t>
      </w:r>
    </w:p>
  </w:footnote>
  <w:footnote w:id="17">
    <w:p w14:paraId="1AB395FF" w14:textId="406D5A25" w:rsidR="004E4FBB" w:rsidRPr="003443B8" w:rsidRDefault="004E4FBB">
      <w:pPr>
        <w:pStyle w:val="FootnoteText"/>
      </w:pPr>
      <w:r>
        <w:rPr>
          <w:rStyle w:val="FootnoteReference"/>
        </w:rPr>
        <w:footnoteRef/>
      </w:r>
      <w:r>
        <w:t xml:space="preserve"> Riley-Smith, </w:t>
      </w:r>
      <w:r>
        <w:rPr>
          <w:i/>
        </w:rPr>
        <w:t>State of Mind,</w:t>
      </w:r>
      <w:r>
        <w:t xml:space="preserve"> p.83; Phillips, </w:t>
      </w:r>
      <w:r>
        <w:rPr>
          <w:i/>
        </w:rPr>
        <w:t xml:space="preserve">Crusades, </w:t>
      </w:r>
      <w:r>
        <w:t>p.15</w:t>
      </w:r>
      <w:r w:rsidR="003443B8">
        <w:t xml:space="preserve">; </w:t>
      </w:r>
      <w:proofErr w:type="spellStart"/>
      <w:r w:rsidR="003443B8">
        <w:t>Asbridge</w:t>
      </w:r>
      <w:proofErr w:type="spellEnd"/>
      <w:r w:rsidR="003443B8">
        <w:t xml:space="preserve">, </w:t>
      </w:r>
      <w:r w:rsidR="003443B8">
        <w:rPr>
          <w:i/>
        </w:rPr>
        <w:t xml:space="preserve">First Crusade, </w:t>
      </w:r>
      <w:r w:rsidR="003443B8">
        <w:t>p. 70-71</w:t>
      </w:r>
    </w:p>
  </w:footnote>
  <w:footnote w:id="18">
    <w:p w14:paraId="61C6E853" w14:textId="53AD7956" w:rsidR="007E5B75" w:rsidRPr="007E5B75" w:rsidRDefault="007E5B75">
      <w:pPr>
        <w:pStyle w:val="FootnoteText"/>
      </w:pPr>
      <w:r>
        <w:rPr>
          <w:rStyle w:val="FootnoteReference"/>
        </w:rPr>
        <w:footnoteRef/>
      </w:r>
      <w:r>
        <w:t xml:space="preserve"> Phillips, </w:t>
      </w:r>
      <w:r>
        <w:rPr>
          <w:i/>
        </w:rPr>
        <w:t xml:space="preserve">Crusades, </w:t>
      </w:r>
      <w:r>
        <w:t xml:space="preserve">p.15; Housley, </w:t>
      </w:r>
      <w:r>
        <w:rPr>
          <w:i/>
        </w:rPr>
        <w:t xml:space="preserve">Contesting, </w:t>
      </w:r>
      <w:r>
        <w:t xml:space="preserve">p.86; Riley Smith, </w:t>
      </w:r>
      <w:r>
        <w:rPr>
          <w:i/>
        </w:rPr>
        <w:t xml:space="preserve">State of Mind, </w:t>
      </w:r>
      <w:r>
        <w:t xml:space="preserve">p.p.76, 83; </w:t>
      </w:r>
      <w:proofErr w:type="spellStart"/>
      <w:r>
        <w:t>Asbridge</w:t>
      </w:r>
      <w:proofErr w:type="spellEnd"/>
      <w:r>
        <w:t xml:space="preserve">, </w:t>
      </w:r>
      <w:r>
        <w:rPr>
          <w:i/>
        </w:rPr>
        <w:t xml:space="preserve">First Crusade, </w:t>
      </w:r>
      <w:r>
        <w:t>p. 28.</w:t>
      </w:r>
    </w:p>
  </w:footnote>
  <w:footnote w:id="19">
    <w:p w14:paraId="42BD60CD" w14:textId="40A2C82B" w:rsidR="007E5B75" w:rsidRDefault="007E5B75">
      <w:pPr>
        <w:pStyle w:val="FootnoteText"/>
      </w:pPr>
      <w:r>
        <w:rPr>
          <w:rStyle w:val="FootnoteReference"/>
        </w:rPr>
        <w:footnoteRef/>
      </w:r>
      <w:r>
        <w:t xml:space="preserve"> Robert the Monk, p.</w:t>
      </w:r>
      <w:r w:rsidR="00DA1DCB">
        <w:t>p.</w:t>
      </w:r>
      <w:r>
        <w:t>2</w:t>
      </w:r>
      <w:r w:rsidR="00DA1DCB">
        <w:t>-3</w:t>
      </w:r>
      <w:r>
        <w:t xml:space="preserve">; Baldric of </w:t>
      </w:r>
      <w:proofErr w:type="spellStart"/>
      <w:r>
        <w:t>Dol</w:t>
      </w:r>
      <w:proofErr w:type="spellEnd"/>
      <w:r>
        <w:t>, p.9; Fulcher of Chartres, 1.3.2</w:t>
      </w:r>
    </w:p>
  </w:footnote>
  <w:footnote w:id="20">
    <w:p w14:paraId="1FFB032F" w14:textId="39031D88" w:rsidR="003443B8" w:rsidRPr="00E4594D" w:rsidRDefault="003443B8">
      <w:pPr>
        <w:pStyle w:val="FootnoteText"/>
      </w:pPr>
      <w:r>
        <w:rPr>
          <w:rStyle w:val="FootnoteReference"/>
        </w:rPr>
        <w:footnoteRef/>
      </w:r>
      <w:r>
        <w:t xml:space="preserve"> Phillips, </w:t>
      </w:r>
      <w:r w:rsidR="00E4594D">
        <w:rPr>
          <w:i/>
        </w:rPr>
        <w:t xml:space="preserve">Crusades, </w:t>
      </w:r>
      <w:r w:rsidR="00E4594D">
        <w:t xml:space="preserve">p.17; </w:t>
      </w:r>
      <w:proofErr w:type="spellStart"/>
      <w:r w:rsidR="00E4594D">
        <w:t>Asbridge</w:t>
      </w:r>
      <w:proofErr w:type="spellEnd"/>
      <w:r w:rsidR="00E4594D">
        <w:t xml:space="preserve">, </w:t>
      </w:r>
      <w:r w:rsidR="00E4594D">
        <w:rPr>
          <w:i/>
        </w:rPr>
        <w:t xml:space="preserve">First Crusade, </w:t>
      </w:r>
      <w:r w:rsidR="00E4594D">
        <w:t>p.p. 34-36.</w:t>
      </w:r>
    </w:p>
  </w:footnote>
  <w:footnote w:id="21">
    <w:p w14:paraId="7A990B30" w14:textId="1F17B287" w:rsidR="00E4594D" w:rsidRPr="00E4594D" w:rsidRDefault="00E4594D">
      <w:pPr>
        <w:pStyle w:val="FootnoteText"/>
      </w:pPr>
      <w:r>
        <w:rPr>
          <w:rStyle w:val="FootnoteReference"/>
        </w:rPr>
        <w:footnoteRef/>
      </w:r>
      <w:r>
        <w:t xml:space="preserve"> Housley, </w:t>
      </w:r>
      <w:r>
        <w:rPr>
          <w:i/>
        </w:rPr>
        <w:t xml:space="preserve">Contesting, </w:t>
      </w:r>
      <w:r>
        <w:t>p.88.</w:t>
      </w:r>
    </w:p>
  </w:footnote>
  <w:footnote w:id="22">
    <w:p w14:paraId="0C573EB7" w14:textId="1E3A8296" w:rsidR="00271AA3" w:rsidRDefault="00271AA3">
      <w:pPr>
        <w:pStyle w:val="FootnoteText"/>
      </w:pPr>
      <w:r>
        <w:rPr>
          <w:rStyle w:val="FootnoteReference"/>
        </w:rPr>
        <w:footnoteRef/>
      </w:r>
      <w:r>
        <w:t xml:space="preserve"> Ekkehard of </w:t>
      </w:r>
      <w:proofErr w:type="spellStart"/>
      <w:r>
        <w:t>Aurach</w:t>
      </w:r>
      <w:proofErr w:type="spellEnd"/>
      <w:r>
        <w:t>, p. 42.</w:t>
      </w:r>
    </w:p>
  </w:footnote>
  <w:footnote w:id="23">
    <w:p w14:paraId="6BA90AB3" w14:textId="1E8BF3D8" w:rsidR="00427DA4" w:rsidRDefault="00427DA4">
      <w:pPr>
        <w:pStyle w:val="FootnoteText"/>
      </w:pPr>
      <w:r>
        <w:rPr>
          <w:rStyle w:val="FootnoteReference"/>
        </w:rPr>
        <w:footnoteRef/>
      </w:r>
      <w:r>
        <w:t xml:space="preserve"> Robert the Monk, p.3.</w:t>
      </w:r>
    </w:p>
  </w:footnote>
  <w:footnote w:id="24">
    <w:p w14:paraId="3CFC229E" w14:textId="34EF80E2" w:rsidR="002C51AE" w:rsidRPr="002C51AE" w:rsidRDefault="002C51AE">
      <w:pPr>
        <w:pStyle w:val="FootnoteText"/>
      </w:pPr>
      <w:r>
        <w:rPr>
          <w:rStyle w:val="FootnoteReference"/>
        </w:rPr>
        <w:footnoteRef/>
      </w:r>
      <w:r>
        <w:t xml:space="preserve"> Housley, </w:t>
      </w:r>
      <w:r>
        <w:rPr>
          <w:i/>
        </w:rPr>
        <w:t>Contesting</w:t>
      </w:r>
      <w:r>
        <w:t xml:space="preserve">, p. 89-90; Riley-Smith, </w:t>
      </w:r>
      <w:r>
        <w:rPr>
          <w:i/>
        </w:rPr>
        <w:t xml:space="preserve">State of Mind, </w:t>
      </w:r>
      <w:r>
        <w:t>p. 81.</w:t>
      </w:r>
    </w:p>
  </w:footnote>
  <w:footnote w:id="25">
    <w:p w14:paraId="2547CF1B" w14:textId="6E1FAE27" w:rsidR="002C51AE" w:rsidRPr="00C42A9F" w:rsidRDefault="002C51AE">
      <w:pPr>
        <w:pStyle w:val="FootnoteText"/>
      </w:pPr>
      <w:r>
        <w:rPr>
          <w:rStyle w:val="FootnoteReference"/>
        </w:rPr>
        <w:footnoteRef/>
      </w:r>
      <w:r>
        <w:t xml:space="preserve"> </w:t>
      </w:r>
      <w:proofErr w:type="spellStart"/>
      <w:r w:rsidR="00C42A9F">
        <w:t>Guibert</w:t>
      </w:r>
      <w:proofErr w:type="spellEnd"/>
      <w:r w:rsidR="00C42A9F">
        <w:t xml:space="preserve"> of </w:t>
      </w:r>
      <w:proofErr w:type="spellStart"/>
      <w:r w:rsidR="00C42A9F">
        <w:t>Nogent</w:t>
      </w:r>
      <w:proofErr w:type="spellEnd"/>
      <w:r w:rsidR="00C42A9F">
        <w:t xml:space="preserve">, p. 12; </w:t>
      </w:r>
      <w:proofErr w:type="spellStart"/>
      <w:r w:rsidR="00C42A9F">
        <w:t>Tyerman</w:t>
      </w:r>
      <w:proofErr w:type="spellEnd"/>
      <w:r w:rsidR="00C42A9F">
        <w:t xml:space="preserve">, </w:t>
      </w:r>
      <w:r w:rsidR="00C42A9F">
        <w:rPr>
          <w:i/>
        </w:rPr>
        <w:t xml:space="preserve">God’s War, </w:t>
      </w:r>
      <w:r w:rsidR="00C42A9F">
        <w:t>p. 86.</w:t>
      </w:r>
    </w:p>
  </w:footnote>
  <w:footnote w:id="26">
    <w:p w14:paraId="79D4AF99" w14:textId="6DB16484" w:rsidR="00417D9D" w:rsidRDefault="00417D9D">
      <w:pPr>
        <w:pStyle w:val="FootnoteText"/>
      </w:pPr>
      <w:r>
        <w:rPr>
          <w:rStyle w:val="FootnoteReference"/>
        </w:rPr>
        <w:footnoteRef/>
      </w:r>
      <w:r>
        <w:t xml:space="preserve"> Anna </w:t>
      </w:r>
      <w:proofErr w:type="spellStart"/>
      <w:r>
        <w:t>Comnena</w:t>
      </w:r>
      <w:proofErr w:type="spellEnd"/>
      <w:r>
        <w:t xml:space="preserve">, </w:t>
      </w:r>
      <w:proofErr w:type="spellStart"/>
      <w:r w:rsidRPr="00417D9D">
        <w:rPr>
          <w:i/>
        </w:rPr>
        <w:t>Alexiad</w:t>
      </w:r>
      <w:proofErr w:type="spellEnd"/>
      <w:r>
        <w:t xml:space="preserve"> 10:11.</w:t>
      </w:r>
    </w:p>
  </w:footnote>
  <w:footnote w:id="27">
    <w:p w14:paraId="5AA94C3E" w14:textId="1C92436F" w:rsidR="00386CCE" w:rsidRPr="00386CCE" w:rsidRDefault="00386CCE">
      <w:pPr>
        <w:pStyle w:val="FootnoteText"/>
      </w:pPr>
      <w:r>
        <w:rPr>
          <w:rStyle w:val="FootnoteReference"/>
        </w:rPr>
        <w:footnoteRef/>
      </w:r>
      <w:r>
        <w:t xml:space="preserve"> Phillips, </w:t>
      </w:r>
      <w:r>
        <w:rPr>
          <w:i/>
        </w:rPr>
        <w:t xml:space="preserve">Crusades, </w:t>
      </w:r>
      <w:r>
        <w:t>p. p. 18.</w:t>
      </w:r>
    </w:p>
  </w:footnote>
  <w:footnote w:id="28">
    <w:p w14:paraId="2E6E62A6" w14:textId="5674EFE1" w:rsidR="00417D9D" w:rsidRPr="00417D9D" w:rsidRDefault="00417D9D">
      <w:pPr>
        <w:pStyle w:val="FootnoteText"/>
      </w:pPr>
      <w:r>
        <w:rPr>
          <w:rStyle w:val="FootnoteReference"/>
        </w:rPr>
        <w:footnoteRef/>
      </w:r>
      <w:r>
        <w:t xml:space="preserve"> </w:t>
      </w:r>
      <w:proofErr w:type="spellStart"/>
      <w:r>
        <w:t>Asbridge</w:t>
      </w:r>
      <w:proofErr w:type="spellEnd"/>
      <w:r>
        <w:t xml:space="preserve">, </w:t>
      </w:r>
      <w:r>
        <w:rPr>
          <w:i/>
        </w:rPr>
        <w:t xml:space="preserve">First Crusade, </w:t>
      </w:r>
      <w:r>
        <w:t>p. 68.</w:t>
      </w:r>
    </w:p>
  </w:footnote>
  <w:footnote w:id="29">
    <w:p w14:paraId="079B7379" w14:textId="2DC232AE" w:rsidR="00417D9D" w:rsidRDefault="00417D9D">
      <w:pPr>
        <w:pStyle w:val="FootnoteText"/>
      </w:pPr>
      <w:r>
        <w:rPr>
          <w:rStyle w:val="FootnoteReference"/>
        </w:rPr>
        <w:footnoteRef/>
      </w:r>
      <w:r>
        <w:t xml:space="preserve"> Fulcher of Chartres, 1.19.3.</w:t>
      </w:r>
    </w:p>
  </w:footnote>
  <w:footnote w:id="30">
    <w:p w14:paraId="05F86912" w14:textId="4E5F02BE" w:rsidR="00386CCE" w:rsidRPr="00386CCE" w:rsidRDefault="00386CCE">
      <w:pPr>
        <w:pStyle w:val="FootnoteText"/>
      </w:pPr>
      <w:r>
        <w:rPr>
          <w:rStyle w:val="FootnoteReference"/>
        </w:rPr>
        <w:footnoteRef/>
      </w:r>
      <w:r>
        <w:t xml:space="preserve"> </w:t>
      </w:r>
      <w:r>
        <w:rPr>
          <w:i/>
        </w:rPr>
        <w:t xml:space="preserve">The Chronicle of the Third Crusade: The </w:t>
      </w:r>
      <w:proofErr w:type="spellStart"/>
      <w:r>
        <w:rPr>
          <w:i/>
        </w:rPr>
        <w:t>Itinerarium</w:t>
      </w:r>
      <w:proofErr w:type="spellEnd"/>
      <w:r>
        <w:rPr>
          <w:i/>
        </w:rPr>
        <w:t xml:space="preserve"> </w:t>
      </w:r>
      <w:proofErr w:type="spellStart"/>
      <w:r>
        <w:rPr>
          <w:i/>
        </w:rPr>
        <w:t>Peregrinorum</w:t>
      </w:r>
      <w:proofErr w:type="spellEnd"/>
      <w:r>
        <w:rPr>
          <w:i/>
        </w:rPr>
        <w:t xml:space="preserve"> et </w:t>
      </w:r>
      <w:proofErr w:type="spellStart"/>
      <w:r>
        <w:rPr>
          <w:i/>
        </w:rPr>
        <w:t>Gesta</w:t>
      </w:r>
      <w:proofErr w:type="spellEnd"/>
      <w:r>
        <w:rPr>
          <w:i/>
        </w:rPr>
        <w:t xml:space="preserve"> Regis </w:t>
      </w:r>
      <w:proofErr w:type="spellStart"/>
      <w:r>
        <w:rPr>
          <w:i/>
        </w:rPr>
        <w:t>Ricardi</w:t>
      </w:r>
      <w:proofErr w:type="spellEnd"/>
      <w:r>
        <w:rPr>
          <w:i/>
        </w:rPr>
        <w:t xml:space="preserve">, </w:t>
      </w:r>
      <w:r>
        <w:t>trans. Helen J. Nicholson (Farnham: Ashgate, 2001), 1.1, p.23.</w:t>
      </w:r>
    </w:p>
  </w:footnote>
  <w:footnote w:id="31">
    <w:p w14:paraId="2DB164A6" w14:textId="1B20771F" w:rsidR="00386CCE" w:rsidRPr="001B4963" w:rsidRDefault="00386CCE">
      <w:pPr>
        <w:pStyle w:val="FootnoteText"/>
      </w:pPr>
      <w:r>
        <w:rPr>
          <w:rStyle w:val="FootnoteReference"/>
        </w:rPr>
        <w:footnoteRef/>
      </w:r>
      <w:r>
        <w:t xml:space="preserve"> Housley, </w:t>
      </w:r>
      <w:r>
        <w:rPr>
          <w:i/>
        </w:rPr>
        <w:t xml:space="preserve">Contesting, </w:t>
      </w:r>
      <w:r>
        <w:t>p.p. 80,</w:t>
      </w:r>
      <w:r w:rsidR="009402E1">
        <w:t xml:space="preserve"> 83,</w:t>
      </w:r>
      <w:r>
        <w:t xml:space="preserve"> 91; </w:t>
      </w:r>
      <w:proofErr w:type="spellStart"/>
      <w:r w:rsidR="001B4963">
        <w:t>Tyerman</w:t>
      </w:r>
      <w:proofErr w:type="spellEnd"/>
      <w:r w:rsidR="001B4963">
        <w:t xml:space="preserve">, </w:t>
      </w:r>
      <w:r w:rsidR="001B4963">
        <w:rPr>
          <w:i/>
        </w:rPr>
        <w:t xml:space="preserve">God’s War, </w:t>
      </w:r>
      <w:r w:rsidR="001B4963">
        <w:t>p. 85.</w:t>
      </w:r>
    </w:p>
  </w:footnote>
  <w:footnote w:id="32">
    <w:p w14:paraId="0AE8F28C" w14:textId="01EBED7D" w:rsidR="009402E1" w:rsidRPr="00DB77E2" w:rsidRDefault="009402E1">
      <w:pPr>
        <w:pStyle w:val="FootnoteText"/>
      </w:pPr>
      <w:r>
        <w:rPr>
          <w:rStyle w:val="FootnoteReference"/>
        </w:rPr>
        <w:footnoteRef/>
      </w:r>
      <w:r>
        <w:t xml:space="preserve"> Riley-Smith, </w:t>
      </w:r>
      <w:r>
        <w:rPr>
          <w:i/>
        </w:rPr>
        <w:t xml:space="preserve">State of Mind, </w:t>
      </w:r>
      <w:r>
        <w:t xml:space="preserve">p. 75; </w:t>
      </w:r>
      <w:proofErr w:type="spellStart"/>
      <w:r w:rsidR="00547132">
        <w:t>Asbridge</w:t>
      </w:r>
      <w:proofErr w:type="spellEnd"/>
      <w:r w:rsidR="00547132">
        <w:t xml:space="preserve">, </w:t>
      </w:r>
      <w:r w:rsidR="00547132">
        <w:rPr>
          <w:i/>
        </w:rPr>
        <w:t xml:space="preserve">First Crusade, </w:t>
      </w:r>
      <w:r w:rsidR="00547132">
        <w:t xml:space="preserve">p. </w:t>
      </w:r>
      <w:r w:rsidR="00DB77E2">
        <w:t xml:space="preserve">68; </w:t>
      </w:r>
      <w:proofErr w:type="spellStart"/>
      <w:r w:rsidR="00DB77E2">
        <w:t>Tyerman</w:t>
      </w:r>
      <w:proofErr w:type="spellEnd"/>
      <w:r w:rsidR="00DB77E2">
        <w:t xml:space="preserve">, </w:t>
      </w:r>
      <w:r w:rsidR="00DB77E2">
        <w:rPr>
          <w:i/>
        </w:rPr>
        <w:t xml:space="preserve">God’s War, </w:t>
      </w:r>
      <w:r w:rsidR="00DB77E2">
        <w:t>p. 85.</w:t>
      </w:r>
    </w:p>
  </w:footnote>
  <w:footnote w:id="33">
    <w:p w14:paraId="3353A4EE" w14:textId="72C6A2B9" w:rsidR="00DB77E2" w:rsidRPr="00DB77E2" w:rsidRDefault="00DB77E2">
      <w:pPr>
        <w:pStyle w:val="FootnoteText"/>
      </w:pPr>
      <w:r>
        <w:rPr>
          <w:rStyle w:val="FootnoteReference"/>
        </w:rPr>
        <w:footnoteRef/>
      </w:r>
      <w:r>
        <w:t xml:space="preserve"> </w:t>
      </w:r>
      <w:proofErr w:type="spellStart"/>
      <w:r>
        <w:rPr>
          <w:i/>
        </w:rPr>
        <w:t>Gesta</w:t>
      </w:r>
      <w:proofErr w:type="spellEnd"/>
      <w:r>
        <w:rPr>
          <w:i/>
        </w:rPr>
        <w:t xml:space="preserve"> Regis </w:t>
      </w:r>
      <w:proofErr w:type="spellStart"/>
      <w:r>
        <w:rPr>
          <w:i/>
        </w:rPr>
        <w:t>Ricardi</w:t>
      </w:r>
      <w:proofErr w:type="spellEnd"/>
      <w:r>
        <w:rPr>
          <w:i/>
        </w:rPr>
        <w:t xml:space="preserve">, </w:t>
      </w:r>
      <w:r>
        <w:t>1.12.</w:t>
      </w:r>
    </w:p>
  </w:footnote>
  <w:footnote w:id="34">
    <w:p w14:paraId="63EED972" w14:textId="5E98B16A" w:rsidR="00DB77E2" w:rsidRDefault="00DB77E2">
      <w:pPr>
        <w:pStyle w:val="FootnoteText"/>
      </w:pPr>
      <w:r>
        <w:rPr>
          <w:rStyle w:val="FootnoteReference"/>
        </w:rPr>
        <w:footnoteRef/>
      </w:r>
      <w:r>
        <w:t xml:space="preserve"> ‘Decree of King Philip of France, 1188’, In: </w:t>
      </w:r>
      <w:r>
        <w:rPr>
          <w:i/>
        </w:rPr>
        <w:t xml:space="preserve">The First Crusade: The Chronicle of Fulcher of Chartres and Other Source Materials, </w:t>
      </w:r>
      <w:r>
        <w:t>trans. Munro, ed. Edward Peters (Philadelphia: University of Pennsylvania Press, 1971), p.p. 240-242.</w:t>
      </w:r>
    </w:p>
  </w:footnote>
  <w:footnote w:id="35">
    <w:p w14:paraId="0DE9CE5F" w14:textId="0C14B2A7" w:rsidR="0091784D" w:rsidRPr="0091784D" w:rsidRDefault="0091784D">
      <w:pPr>
        <w:pStyle w:val="FootnoteText"/>
      </w:pPr>
      <w:r>
        <w:rPr>
          <w:rStyle w:val="FootnoteReference"/>
        </w:rPr>
        <w:footnoteRef/>
      </w:r>
      <w:r>
        <w:t xml:space="preserve"> Housley, </w:t>
      </w:r>
      <w:r>
        <w:rPr>
          <w:i/>
        </w:rPr>
        <w:t xml:space="preserve">Contesting, </w:t>
      </w:r>
      <w:r>
        <w:t>p.91.</w:t>
      </w:r>
    </w:p>
  </w:footnote>
  <w:footnote w:id="36">
    <w:p w14:paraId="022D4918" w14:textId="5F19059E" w:rsidR="0091784D" w:rsidRPr="0091784D" w:rsidRDefault="0091784D">
      <w:pPr>
        <w:pStyle w:val="FootnoteText"/>
      </w:pPr>
      <w:r>
        <w:rPr>
          <w:rStyle w:val="FootnoteReference"/>
        </w:rPr>
        <w:footnoteRef/>
      </w:r>
      <w:r>
        <w:t xml:space="preserve"> </w:t>
      </w:r>
      <w:proofErr w:type="spellStart"/>
      <w:r>
        <w:t>Tyerman</w:t>
      </w:r>
      <w:proofErr w:type="spellEnd"/>
      <w:r>
        <w:t xml:space="preserve">, </w:t>
      </w:r>
      <w:r>
        <w:rPr>
          <w:i/>
        </w:rPr>
        <w:t xml:space="preserve">God’s War, </w:t>
      </w:r>
      <w:r>
        <w:t>p.559.</w:t>
      </w:r>
    </w:p>
  </w:footnote>
  <w:footnote w:id="37">
    <w:p w14:paraId="072C649E" w14:textId="73BC12F5" w:rsidR="00A03C14" w:rsidRDefault="00A03C14">
      <w:pPr>
        <w:pStyle w:val="FootnoteText"/>
      </w:pPr>
      <w:r>
        <w:rPr>
          <w:rStyle w:val="FootnoteReference"/>
        </w:rPr>
        <w:footnoteRef/>
      </w:r>
      <w:r>
        <w:t xml:space="preserve"> Geoffrey of </w:t>
      </w:r>
      <w:proofErr w:type="spellStart"/>
      <w:r>
        <w:t>Villehardouin</w:t>
      </w:r>
      <w:proofErr w:type="spellEnd"/>
      <w:r>
        <w:t xml:space="preserve">, ‘The Conquest of Constantinople’, In: </w:t>
      </w:r>
      <w:r>
        <w:rPr>
          <w:i/>
        </w:rPr>
        <w:t xml:space="preserve">Chronicles of the Crusades, </w:t>
      </w:r>
      <w:r>
        <w:t>trans. Caroline Smith (London: Penguin, 2008) chapters 2, 27.</w:t>
      </w:r>
    </w:p>
  </w:footnote>
  <w:footnote w:id="38">
    <w:p w14:paraId="2C867348" w14:textId="65033774" w:rsidR="0091784D" w:rsidRPr="00A03C14" w:rsidRDefault="0091784D">
      <w:pPr>
        <w:pStyle w:val="FootnoteText"/>
      </w:pPr>
      <w:r>
        <w:rPr>
          <w:rStyle w:val="FootnoteReference"/>
        </w:rPr>
        <w:footnoteRef/>
      </w:r>
      <w:r w:rsidR="00A03C14">
        <w:t xml:space="preserve"> Geoffrey of </w:t>
      </w:r>
      <w:proofErr w:type="spellStart"/>
      <w:r w:rsidR="00A03C14">
        <w:t>Villehardouin</w:t>
      </w:r>
      <w:proofErr w:type="spellEnd"/>
      <w:r w:rsidR="00A03C14">
        <w:t>, Chapters 55, 57-9, 62-3, 115.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DCF"/>
    <w:rsid w:val="00053DFE"/>
    <w:rsid w:val="0016309D"/>
    <w:rsid w:val="001A3D24"/>
    <w:rsid w:val="001B4963"/>
    <w:rsid w:val="001C00A7"/>
    <w:rsid w:val="00205419"/>
    <w:rsid w:val="00270E53"/>
    <w:rsid w:val="00271AA3"/>
    <w:rsid w:val="002C51AE"/>
    <w:rsid w:val="0032736E"/>
    <w:rsid w:val="003443B8"/>
    <w:rsid w:val="00376266"/>
    <w:rsid w:val="00386CCE"/>
    <w:rsid w:val="003A675C"/>
    <w:rsid w:val="004003B2"/>
    <w:rsid w:val="0041146C"/>
    <w:rsid w:val="00417D9D"/>
    <w:rsid w:val="00427DA4"/>
    <w:rsid w:val="004E4FBB"/>
    <w:rsid w:val="004F6DF5"/>
    <w:rsid w:val="00547132"/>
    <w:rsid w:val="00561C30"/>
    <w:rsid w:val="005D2571"/>
    <w:rsid w:val="005F352E"/>
    <w:rsid w:val="006A48AC"/>
    <w:rsid w:val="006B7217"/>
    <w:rsid w:val="006F0EF1"/>
    <w:rsid w:val="007E5B75"/>
    <w:rsid w:val="0085028E"/>
    <w:rsid w:val="00860198"/>
    <w:rsid w:val="00864ED4"/>
    <w:rsid w:val="008704D0"/>
    <w:rsid w:val="008E0A5C"/>
    <w:rsid w:val="0091784D"/>
    <w:rsid w:val="009402E1"/>
    <w:rsid w:val="0094599B"/>
    <w:rsid w:val="009665B9"/>
    <w:rsid w:val="00987F09"/>
    <w:rsid w:val="009D29C5"/>
    <w:rsid w:val="009E3AE3"/>
    <w:rsid w:val="00A003CE"/>
    <w:rsid w:val="00A03C14"/>
    <w:rsid w:val="00B1765D"/>
    <w:rsid w:val="00B33562"/>
    <w:rsid w:val="00B73215"/>
    <w:rsid w:val="00B86004"/>
    <w:rsid w:val="00C047CC"/>
    <w:rsid w:val="00C35D03"/>
    <w:rsid w:val="00C36726"/>
    <w:rsid w:val="00C42A9F"/>
    <w:rsid w:val="00CA0AC3"/>
    <w:rsid w:val="00CA5293"/>
    <w:rsid w:val="00CF7E34"/>
    <w:rsid w:val="00D30DCF"/>
    <w:rsid w:val="00D62302"/>
    <w:rsid w:val="00DA1DCB"/>
    <w:rsid w:val="00DB77E2"/>
    <w:rsid w:val="00DE6801"/>
    <w:rsid w:val="00DF4B8E"/>
    <w:rsid w:val="00DF5E79"/>
    <w:rsid w:val="00E25907"/>
    <w:rsid w:val="00E4594D"/>
    <w:rsid w:val="00E574DF"/>
    <w:rsid w:val="00EC01A7"/>
    <w:rsid w:val="00F44A1C"/>
    <w:rsid w:val="00FC7B7A"/>
    <w:rsid w:val="00FE4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540ED"/>
  <w15:chartTrackingRefBased/>
  <w15:docId w15:val="{D91C5282-13B7-4BFE-A8B4-30F21AA9F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860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6004"/>
    <w:rPr>
      <w:sz w:val="20"/>
      <w:szCs w:val="20"/>
    </w:rPr>
  </w:style>
  <w:style w:type="character" w:styleId="FootnoteReference">
    <w:name w:val="footnote reference"/>
    <w:basedOn w:val="DefaultParagraphFont"/>
    <w:uiPriority w:val="99"/>
    <w:semiHidden/>
    <w:unhideWhenUsed/>
    <w:rsid w:val="00B86004"/>
    <w:rPr>
      <w:vertAlign w:val="superscript"/>
    </w:rPr>
  </w:style>
  <w:style w:type="character" w:styleId="Hyperlink">
    <w:name w:val="Hyperlink"/>
    <w:basedOn w:val="DefaultParagraphFont"/>
    <w:uiPriority w:val="99"/>
    <w:unhideWhenUsed/>
    <w:rsid w:val="00561C30"/>
    <w:rPr>
      <w:color w:val="0563C1" w:themeColor="hyperlink"/>
      <w:u w:val="single"/>
    </w:rPr>
  </w:style>
  <w:style w:type="character" w:styleId="UnresolvedMention">
    <w:name w:val="Unresolved Mention"/>
    <w:basedOn w:val="DefaultParagraphFont"/>
    <w:uiPriority w:val="99"/>
    <w:semiHidden/>
    <w:unhideWhenUsed/>
    <w:rsid w:val="00561C3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ourcebooks.fordham.edu/Halsall/basis/AnnaComnena-Alexiad.as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8</Pages>
  <Words>1733</Words>
  <Characters>9880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35</cp:revision>
  <dcterms:created xsi:type="dcterms:W3CDTF">2018-03-16T15:27:00Z</dcterms:created>
  <dcterms:modified xsi:type="dcterms:W3CDTF">2018-03-18T19:28:00Z</dcterms:modified>
</cp:coreProperties>
</file>