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F7463" w14:textId="77777777" w:rsidR="001A27A0" w:rsidRDefault="001A27A0">
      <w:pPr>
        <w:spacing w:line="360" w:lineRule="auto"/>
        <w:jc w:val="center"/>
      </w:pPr>
    </w:p>
    <w:p w14:paraId="07D0A50D" w14:textId="77777777" w:rsidR="001A27A0" w:rsidRDefault="001A27A0">
      <w:pPr>
        <w:spacing w:line="360" w:lineRule="auto"/>
        <w:jc w:val="center"/>
      </w:pPr>
    </w:p>
    <w:p w14:paraId="6A58A834" w14:textId="77777777" w:rsidR="001A27A0" w:rsidRDefault="001A27A0">
      <w:pPr>
        <w:spacing w:line="360" w:lineRule="auto"/>
        <w:jc w:val="center"/>
      </w:pPr>
    </w:p>
    <w:p w14:paraId="6639D3D7" w14:textId="77777777" w:rsidR="001A27A0" w:rsidRDefault="001A27A0">
      <w:pPr>
        <w:spacing w:line="360" w:lineRule="auto"/>
        <w:jc w:val="center"/>
      </w:pPr>
    </w:p>
    <w:p w14:paraId="5380D019" w14:textId="77777777" w:rsidR="001A27A0" w:rsidRDefault="001A27A0">
      <w:pPr>
        <w:spacing w:line="360" w:lineRule="auto"/>
        <w:jc w:val="center"/>
      </w:pPr>
    </w:p>
    <w:p w14:paraId="0FBC25A1" w14:textId="77777777" w:rsidR="001A27A0" w:rsidRDefault="00000000">
      <w:pPr>
        <w:spacing w:before="0" w:line="360" w:lineRule="auto"/>
        <w:jc w:val="center"/>
        <w:rPr>
          <w:b/>
        </w:rPr>
      </w:pPr>
      <w:r>
        <w:rPr>
          <w:rFonts w:ascii="Calibri" w:eastAsia="Calibri" w:hAnsi="Calibri" w:cs="Calibri"/>
          <w:noProof/>
          <w:sz w:val="22"/>
          <w:szCs w:val="22"/>
        </w:rPr>
        <w:drawing>
          <wp:inline distT="0" distB="0" distL="0" distR="0" wp14:anchorId="27D6B037" wp14:editId="7232E773">
            <wp:extent cx="2276475" cy="100012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76475" cy="1000125"/>
                    </a:xfrm>
                    <a:prstGeom prst="rect">
                      <a:avLst/>
                    </a:prstGeom>
                    <a:ln/>
                  </pic:spPr>
                </pic:pic>
              </a:graphicData>
            </a:graphic>
          </wp:inline>
        </w:drawing>
      </w:r>
    </w:p>
    <w:p w14:paraId="3FFC3D19" w14:textId="77777777" w:rsidR="001A27A0" w:rsidRDefault="001A27A0">
      <w:pPr>
        <w:spacing w:before="0" w:line="360" w:lineRule="auto"/>
        <w:jc w:val="center"/>
        <w:rPr>
          <w:b/>
        </w:rPr>
      </w:pPr>
    </w:p>
    <w:p w14:paraId="4AC0B6FB" w14:textId="77777777" w:rsidR="001A27A0" w:rsidRDefault="001A27A0">
      <w:pPr>
        <w:spacing w:before="0" w:line="360" w:lineRule="auto"/>
        <w:jc w:val="center"/>
        <w:rPr>
          <w:b/>
        </w:rPr>
      </w:pPr>
    </w:p>
    <w:p w14:paraId="5E389F49" w14:textId="77777777" w:rsidR="001A27A0" w:rsidRDefault="00000000">
      <w:pPr>
        <w:spacing w:before="0" w:line="360" w:lineRule="auto"/>
        <w:jc w:val="center"/>
        <w:rPr>
          <w:b/>
        </w:rPr>
      </w:pPr>
      <w:r>
        <w:rPr>
          <w:b/>
        </w:rPr>
        <w:t xml:space="preserve">Digital Skills for Personal and Professional Growth </w:t>
      </w:r>
    </w:p>
    <w:p w14:paraId="3D43A722" w14:textId="77777777" w:rsidR="001A27A0" w:rsidRDefault="001A27A0">
      <w:pPr>
        <w:spacing w:before="0" w:line="360" w:lineRule="auto"/>
        <w:jc w:val="center"/>
        <w:rPr>
          <w:b/>
        </w:rPr>
      </w:pPr>
    </w:p>
    <w:p w14:paraId="676FA79B" w14:textId="77777777" w:rsidR="001A27A0" w:rsidRDefault="001A27A0">
      <w:pPr>
        <w:spacing w:before="0" w:line="360" w:lineRule="auto"/>
        <w:jc w:val="center"/>
        <w:rPr>
          <w:b/>
        </w:rPr>
      </w:pPr>
    </w:p>
    <w:p w14:paraId="417DC07F" w14:textId="77777777" w:rsidR="001A27A0" w:rsidRDefault="00000000">
      <w:pPr>
        <w:spacing w:before="0" w:after="0" w:line="240" w:lineRule="auto"/>
        <w:jc w:val="center"/>
        <w:rPr>
          <w:rFonts w:ascii="Arial" w:eastAsia="Arial" w:hAnsi="Arial" w:cs="Arial"/>
          <w:sz w:val="22"/>
          <w:szCs w:val="22"/>
        </w:rPr>
      </w:pPr>
      <w:r>
        <w:rPr>
          <w:rFonts w:ascii="Arial" w:eastAsia="Arial" w:hAnsi="Arial" w:cs="Arial"/>
          <w:b/>
          <w:sz w:val="22"/>
          <w:szCs w:val="22"/>
        </w:rPr>
        <w:t xml:space="preserve">(E-Portfolio) - Evidence of Learning </w:t>
      </w:r>
    </w:p>
    <w:p w14:paraId="104EA427" w14:textId="77777777" w:rsidR="001A27A0" w:rsidRDefault="00000000">
      <w:pPr>
        <w:spacing w:before="0" w:line="360" w:lineRule="auto"/>
        <w:jc w:val="center"/>
        <w:rPr>
          <w:b/>
        </w:rPr>
      </w:pPr>
      <w:r>
        <w:rPr>
          <w:b/>
        </w:rPr>
        <w:t xml:space="preserve"> </w:t>
      </w:r>
    </w:p>
    <w:p w14:paraId="33FC21BE" w14:textId="77777777" w:rsidR="001A27A0" w:rsidRDefault="001A27A0">
      <w:pPr>
        <w:spacing w:before="0" w:line="360" w:lineRule="auto"/>
        <w:jc w:val="center"/>
        <w:rPr>
          <w:b/>
        </w:rPr>
      </w:pPr>
    </w:p>
    <w:p w14:paraId="6AA74AFD" w14:textId="77777777" w:rsidR="001A27A0" w:rsidRDefault="001A27A0">
      <w:pPr>
        <w:spacing w:before="0" w:line="360" w:lineRule="auto"/>
        <w:jc w:val="center"/>
        <w:rPr>
          <w:b/>
        </w:rPr>
      </w:pPr>
    </w:p>
    <w:p w14:paraId="2EF4CB5D" w14:textId="77777777" w:rsidR="001A27A0" w:rsidRDefault="001A27A0">
      <w:pPr>
        <w:spacing w:before="0" w:line="360" w:lineRule="auto"/>
        <w:jc w:val="center"/>
        <w:rPr>
          <w:b/>
        </w:rPr>
      </w:pPr>
    </w:p>
    <w:p w14:paraId="002A8781" w14:textId="77777777" w:rsidR="001A27A0" w:rsidRDefault="00000000">
      <w:pPr>
        <w:spacing w:before="0" w:line="360" w:lineRule="auto"/>
        <w:jc w:val="center"/>
        <w:rPr>
          <w:b/>
          <w:sz w:val="26"/>
          <w:szCs w:val="26"/>
        </w:rPr>
      </w:pPr>
      <w:r>
        <w:rPr>
          <w:b/>
          <w:sz w:val="26"/>
          <w:szCs w:val="26"/>
        </w:rPr>
        <w:t>Salsabeel Ali Islam</w:t>
      </w:r>
    </w:p>
    <w:p w14:paraId="16824F39" w14:textId="30C070CF" w:rsidR="00F96945" w:rsidRDefault="00F96945">
      <w:pPr>
        <w:spacing w:before="0" w:line="360" w:lineRule="auto"/>
        <w:jc w:val="center"/>
        <w:rPr>
          <w:b/>
          <w:sz w:val="26"/>
          <w:szCs w:val="26"/>
        </w:rPr>
      </w:pPr>
      <w:r>
        <w:rPr>
          <w:b/>
          <w:sz w:val="26"/>
          <w:szCs w:val="26"/>
        </w:rPr>
        <w:t>2330870</w:t>
      </w:r>
    </w:p>
    <w:p w14:paraId="7A9D15BC" w14:textId="77777777" w:rsidR="001A27A0" w:rsidRDefault="001A27A0">
      <w:pPr>
        <w:spacing w:line="360" w:lineRule="auto"/>
        <w:jc w:val="center"/>
      </w:pPr>
    </w:p>
    <w:p w14:paraId="7757BE23" w14:textId="77777777" w:rsidR="001A27A0" w:rsidRDefault="00000000">
      <w:pPr>
        <w:spacing w:before="0" w:line="360" w:lineRule="auto"/>
      </w:pPr>
      <w:r>
        <w:br w:type="page"/>
      </w:r>
    </w:p>
    <w:p w14:paraId="7C264211" w14:textId="77777777" w:rsidR="001A27A0" w:rsidRDefault="00000000">
      <w:pPr>
        <w:pStyle w:val="Heading1"/>
        <w:spacing w:line="360" w:lineRule="auto"/>
        <w:jc w:val="left"/>
      </w:pPr>
      <w:r>
        <w:lastRenderedPageBreak/>
        <w:t xml:space="preserve">Task 1 - Questionnaire Analysis </w:t>
      </w:r>
    </w:p>
    <w:p w14:paraId="3505E050" w14:textId="038F330A" w:rsidR="00CE465C" w:rsidRPr="00CE465C" w:rsidRDefault="00000000" w:rsidP="00CE465C">
      <w:pPr>
        <w:pStyle w:val="Heading2"/>
        <w:spacing w:line="360" w:lineRule="auto"/>
        <w:rPr>
          <w:rFonts w:ascii="Times New Roman" w:eastAsia="Times New Roman" w:hAnsi="Times New Roman" w:cs="Times New Roman"/>
          <w:sz w:val="24"/>
          <w:szCs w:val="24"/>
        </w:rPr>
      </w:pPr>
      <w:bookmarkStart w:id="0" w:name="_iglr69847h1i" w:colFirst="0" w:colLast="0"/>
      <w:bookmarkEnd w:id="0"/>
      <w:r>
        <w:rPr>
          <w:rFonts w:ascii="Times New Roman" w:eastAsia="Times New Roman" w:hAnsi="Times New Roman" w:cs="Times New Roman"/>
          <w:sz w:val="24"/>
          <w:szCs w:val="24"/>
        </w:rPr>
        <w:t xml:space="preserve">Introduction </w:t>
      </w:r>
    </w:p>
    <w:p w14:paraId="79F0754D" w14:textId="5DB67539" w:rsidR="00CE465C" w:rsidRDefault="00CE465C">
      <w:pPr>
        <w:pStyle w:val="Heading2"/>
        <w:spacing w:line="360" w:lineRule="auto"/>
        <w:rPr>
          <w:rFonts w:ascii="Times New Roman" w:eastAsia="Times New Roman" w:hAnsi="Times New Roman" w:cs="Times New Roman"/>
          <w:color w:val="auto"/>
          <w:sz w:val="24"/>
          <w:szCs w:val="24"/>
        </w:rPr>
      </w:pPr>
      <w:r w:rsidRPr="00CE465C">
        <w:rPr>
          <w:rFonts w:ascii="Times New Roman" w:eastAsia="Times New Roman" w:hAnsi="Times New Roman" w:cs="Times New Roman"/>
          <w:color w:val="auto"/>
          <w:sz w:val="24"/>
          <w:szCs w:val="24"/>
        </w:rPr>
        <w:t xml:space="preserve">This </w:t>
      </w:r>
      <w:r>
        <w:rPr>
          <w:rFonts w:ascii="Times New Roman" w:eastAsia="Times New Roman" w:hAnsi="Times New Roman" w:cs="Times New Roman"/>
          <w:color w:val="auto"/>
          <w:sz w:val="24"/>
          <w:szCs w:val="24"/>
        </w:rPr>
        <w:t xml:space="preserve">research aimed to explore consumer perceptions of women’s designer clothing brands in the United Kingdom. A survey containing ten questions was designed and distributed through Microsoft Forms, with 45 respondents completing it. The questions focused on attitudes towards brand importance, designer appeal, pricing expectations, and willingness to pay a premium. These areas were chosen because they reflect key factors that influence purchase decisions in the fashion industry. From the full set of questions, four were identified as generating the most significant findings and are discussed in detail below. </w:t>
      </w:r>
    </w:p>
    <w:p w14:paraId="261C954E" w14:textId="77777777" w:rsidR="00CE465C" w:rsidRDefault="00CE465C">
      <w:pPr>
        <w:pStyle w:val="Heading2"/>
        <w:spacing w:line="360" w:lineRule="auto"/>
        <w:rPr>
          <w:rFonts w:ascii="Times New Roman" w:eastAsia="Times New Roman" w:hAnsi="Times New Roman" w:cs="Times New Roman"/>
          <w:color w:val="auto"/>
          <w:sz w:val="24"/>
          <w:szCs w:val="24"/>
        </w:rPr>
      </w:pPr>
    </w:p>
    <w:p w14:paraId="6B6A8E3E" w14:textId="7BFEE9B8" w:rsidR="001A27A0" w:rsidRDefault="00000000">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Question 1: Importance of Supporting Designer Clothing Brands </w:t>
      </w:r>
    </w:p>
    <w:p w14:paraId="71DFE19F" w14:textId="77777777" w:rsidR="001A27A0" w:rsidRDefault="00000000">
      <w:pPr>
        <w:spacing w:before="0" w:line="360" w:lineRule="auto"/>
        <w:jc w:val="center"/>
      </w:pPr>
      <w:r>
        <w:rPr>
          <w:noProof/>
        </w:rPr>
        <w:drawing>
          <wp:inline distT="114300" distB="114300" distL="114300" distR="114300" wp14:anchorId="25E60CD5" wp14:editId="058709FE">
            <wp:extent cx="1695450" cy="17240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695450" cy="1724025"/>
                    </a:xfrm>
                    <a:prstGeom prst="rect">
                      <a:avLst/>
                    </a:prstGeom>
                    <a:ln/>
                  </pic:spPr>
                </pic:pic>
              </a:graphicData>
            </a:graphic>
          </wp:inline>
        </w:drawing>
      </w:r>
    </w:p>
    <w:p w14:paraId="34DF8FC4" w14:textId="77777777" w:rsidR="001A27A0" w:rsidRDefault="00000000">
      <w:pPr>
        <w:spacing w:before="0" w:line="360" w:lineRule="auto"/>
        <w:jc w:val="center"/>
        <w:rPr>
          <w:b/>
          <w:sz w:val="20"/>
          <w:szCs w:val="20"/>
        </w:rPr>
      </w:pPr>
      <w:r>
        <w:rPr>
          <w:b/>
          <w:sz w:val="20"/>
          <w:szCs w:val="20"/>
        </w:rPr>
        <w:t>Figure 1: Percentage of respondents for Importance of Supporting Designer Clothing Brands</w:t>
      </w:r>
    </w:p>
    <w:p w14:paraId="7F9B278B" w14:textId="081D4647" w:rsidR="001A27A0" w:rsidRDefault="00283645">
      <w:pPr>
        <w:spacing w:line="360" w:lineRule="auto"/>
      </w:pPr>
      <w:r w:rsidRPr="00283645">
        <w:t xml:space="preserve">Responses showed that 21 percent found supporting designer brands "very important," 25 percent "somewhat important," 29 percent were neutral, and 25 percent considered it "not important." Crucially, no one dismissed it entirely. This suggests brand image alone is insufficient. As </w:t>
      </w:r>
      <w:proofErr w:type="spellStart"/>
      <w:r w:rsidRPr="00283645">
        <w:t>Cabigiosu</w:t>
      </w:r>
      <w:proofErr w:type="spellEnd"/>
      <w:r w:rsidRPr="00283645">
        <w:t xml:space="preserve"> (2020) explains, luxury branding adds intangible value—but remains contingent on perceived uniqueness and symbolic status. Consumers also consider quality, trust, and affordability when evaluating designer goods.</w:t>
      </w:r>
    </w:p>
    <w:p w14:paraId="7E48FB6D" w14:textId="77777777" w:rsidR="001A27A0" w:rsidRDefault="00000000">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Question 2: Choosing a Brand Based on Designer Appeal </w:t>
      </w:r>
    </w:p>
    <w:p w14:paraId="50E26F12" w14:textId="77777777" w:rsidR="001A27A0" w:rsidRDefault="00000000">
      <w:pPr>
        <w:spacing w:before="0" w:line="360" w:lineRule="auto"/>
        <w:jc w:val="center"/>
      </w:pPr>
      <w:r>
        <w:rPr>
          <w:noProof/>
        </w:rPr>
        <w:drawing>
          <wp:inline distT="114300" distB="114300" distL="114300" distR="114300" wp14:anchorId="28971B1C" wp14:editId="47F7BFBD">
            <wp:extent cx="2028825" cy="18383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028825" cy="1838325"/>
                    </a:xfrm>
                    <a:prstGeom prst="rect">
                      <a:avLst/>
                    </a:prstGeom>
                    <a:ln/>
                  </pic:spPr>
                </pic:pic>
              </a:graphicData>
            </a:graphic>
          </wp:inline>
        </w:drawing>
      </w:r>
    </w:p>
    <w:p w14:paraId="19CBE3BA" w14:textId="77777777" w:rsidR="001A27A0" w:rsidRDefault="00000000">
      <w:pPr>
        <w:spacing w:before="0" w:line="360" w:lineRule="auto"/>
        <w:jc w:val="center"/>
        <w:rPr>
          <w:b/>
          <w:sz w:val="20"/>
          <w:szCs w:val="20"/>
        </w:rPr>
      </w:pPr>
      <w:r>
        <w:rPr>
          <w:b/>
          <w:sz w:val="20"/>
          <w:szCs w:val="20"/>
        </w:rPr>
        <w:t>Figure 2: Percentage of respondents for choosing a Brand on designer Appeal</w:t>
      </w:r>
    </w:p>
    <w:p w14:paraId="3DEC1669" w14:textId="7D8576D2" w:rsidR="001A27A0" w:rsidRDefault="00283645">
      <w:pPr>
        <w:spacing w:line="360" w:lineRule="auto"/>
      </w:pPr>
      <w:r>
        <w:rPr>
          <w:rStyle w:val="relative"/>
        </w:rPr>
        <w:t>Here, 46 percent chose a brand for its designer identity, 46 percent did not, and 8 percent were uncertain. The split indicates that while exclusivity attracts, it is not sole motivation. Luxury value is co</w:t>
      </w:r>
      <w:r>
        <w:rPr>
          <w:rStyle w:val="relative"/>
        </w:rPr>
        <w:noBreakHyphen/>
        <w:t>created through quality, narrative, and consumer engagement (Tynan et al., 2010)</w:t>
      </w:r>
      <w:r>
        <w:t xml:space="preserve"> </w:t>
      </w:r>
      <w:r>
        <w:rPr>
          <w:rStyle w:val="relative"/>
        </w:rPr>
        <w:t>designer branding must be complemented by substance.</w:t>
      </w:r>
      <w:r w:rsidR="00000000">
        <w:t xml:space="preserve"> </w:t>
      </w:r>
    </w:p>
    <w:p w14:paraId="25248AB2" w14:textId="77777777" w:rsidR="001A27A0" w:rsidRDefault="00000000">
      <w:pPr>
        <w:pStyle w:val="Heading2"/>
        <w:spacing w:line="360" w:lineRule="auto"/>
        <w:rPr>
          <w:rFonts w:ascii="Times New Roman" w:eastAsia="Times New Roman" w:hAnsi="Times New Roman" w:cs="Times New Roman"/>
          <w:sz w:val="24"/>
          <w:szCs w:val="24"/>
        </w:rPr>
      </w:pPr>
      <w:bookmarkStart w:id="1" w:name="_lgclqg2lc6ke" w:colFirst="0" w:colLast="0"/>
      <w:bookmarkEnd w:id="1"/>
      <w:r>
        <w:rPr>
          <w:rFonts w:ascii="Times New Roman" w:eastAsia="Times New Roman" w:hAnsi="Times New Roman" w:cs="Times New Roman"/>
          <w:sz w:val="24"/>
          <w:szCs w:val="24"/>
        </w:rPr>
        <w:t xml:space="preserve">Question 3: Ideal Price Premium for Designer Clothes </w:t>
      </w:r>
    </w:p>
    <w:p w14:paraId="05E98C42" w14:textId="77777777" w:rsidR="001A27A0" w:rsidRDefault="00000000">
      <w:pPr>
        <w:spacing w:before="0" w:line="360" w:lineRule="auto"/>
        <w:jc w:val="center"/>
      </w:pPr>
      <w:r>
        <w:rPr>
          <w:noProof/>
        </w:rPr>
        <w:drawing>
          <wp:inline distT="114300" distB="114300" distL="114300" distR="114300" wp14:anchorId="068382D7" wp14:editId="7E3F2906">
            <wp:extent cx="2000250" cy="17526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2000250" cy="1752600"/>
                    </a:xfrm>
                    <a:prstGeom prst="rect">
                      <a:avLst/>
                    </a:prstGeom>
                    <a:ln/>
                  </pic:spPr>
                </pic:pic>
              </a:graphicData>
            </a:graphic>
          </wp:inline>
        </w:drawing>
      </w:r>
    </w:p>
    <w:p w14:paraId="6BB67F4A" w14:textId="34A2CA13" w:rsidR="001A27A0" w:rsidRDefault="00000000">
      <w:pPr>
        <w:spacing w:before="0" w:line="360" w:lineRule="auto"/>
        <w:jc w:val="center"/>
      </w:pPr>
      <w:r>
        <w:rPr>
          <w:b/>
          <w:sz w:val="20"/>
          <w:szCs w:val="20"/>
        </w:rPr>
        <w:t xml:space="preserve">Figure </w:t>
      </w:r>
      <w:r w:rsidR="00283645">
        <w:rPr>
          <w:b/>
          <w:sz w:val="20"/>
          <w:szCs w:val="20"/>
        </w:rPr>
        <w:t>3</w:t>
      </w:r>
      <w:r>
        <w:rPr>
          <w:b/>
          <w:sz w:val="20"/>
          <w:szCs w:val="20"/>
        </w:rPr>
        <w:t>: Percentage of respondents for choosing ideal price premium for designer clothes</w:t>
      </w:r>
    </w:p>
    <w:p w14:paraId="533E2661" w14:textId="4DBA75DC" w:rsidR="001A27A0" w:rsidRDefault="00211D86">
      <w:pPr>
        <w:spacing w:line="360" w:lineRule="auto"/>
      </w:pPr>
      <w:r w:rsidRPr="00211D86">
        <w:t>Nearly 67 percent of respondents deemed a 1–6 percent premium reasonable, with 25 percent specifying 4–6 percent, while 34 percent considered a 7–10 percent premium acceptable. Moderate pricing can enhance perceived value without causing alienation. Premium pricing, when communicated transparently, reinforces exclusivity and builds credibility (Kotler &amp; Armstrong, 2021).</w:t>
      </w:r>
      <w:r w:rsidRPr="00211D86">
        <w:t xml:space="preserve"> </w:t>
      </w:r>
    </w:p>
    <w:p w14:paraId="125331AE" w14:textId="77777777" w:rsidR="001A27A0" w:rsidRDefault="00000000">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Question 4: Willingness to Pay More for Exclusive Designer Wear </w:t>
      </w:r>
    </w:p>
    <w:p w14:paraId="1CA59CE8" w14:textId="77777777" w:rsidR="001A27A0" w:rsidRDefault="00000000">
      <w:pPr>
        <w:spacing w:before="0" w:line="360" w:lineRule="auto"/>
        <w:jc w:val="center"/>
      </w:pPr>
      <w:r>
        <w:rPr>
          <w:noProof/>
        </w:rPr>
        <w:drawing>
          <wp:inline distT="114300" distB="114300" distL="114300" distR="114300" wp14:anchorId="5815D0DA" wp14:editId="57FA16D5">
            <wp:extent cx="2262188" cy="2026231"/>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262188" cy="2026231"/>
                    </a:xfrm>
                    <a:prstGeom prst="rect">
                      <a:avLst/>
                    </a:prstGeom>
                    <a:ln/>
                  </pic:spPr>
                </pic:pic>
              </a:graphicData>
            </a:graphic>
          </wp:inline>
        </w:drawing>
      </w:r>
    </w:p>
    <w:p w14:paraId="188128B4" w14:textId="77777777" w:rsidR="001A27A0" w:rsidRDefault="00000000">
      <w:pPr>
        <w:spacing w:before="0" w:line="360" w:lineRule="auto"/>
        <w:jc w:val="center"/>
      </w:pPr>
      <w:r>
        <w:rPr>
          <w:b/>
          <w:sz w:val="20"/>
          <w:szCs w:val="20"/>
        </w:rPr>
        <w:t xml:space="preserve">Figure 2: Percentage of respondents for willingness to pay more </w:t>
      </w:r>
    </w:p>
    <w:p w14:paraId="2E03529D" w14:textId="77777777" w:rsidR="001A27A0" w:rsidRDefault="001A27A0">
      <w:pPr>
        <w:spacing w:before="0" w:line="360" w:lineRule="auto"/>
      </w:pPr>
    </w:p>
    <w:p w14:paraId="44E0E5E8" w14:textId="5C143A59" w:rsidR="00211D86" w:rsidRDefault="00211D86">
      <w:pPr>
        <w:spacing w:line="360" w:lineRule="auto"/>
        <w:rPr>
          <w:rStyle w:val="relative"/>
        </w:rPr>
      </w:pPr>
      <w:r w:rsidRPr="00211D86">
        <w:rPr>
          <w:rStyle w:val="relative"/>
        </w:rPr>
        <w:t xml:space="preserve">Respondents showed cautious openness to paying more: 46 percent would </w:t>
      </w:r>
      <w:proofErr w:type="gramStart"/>
      <w:r w:rsidRPr="00211D86">
        <w:rPr>
          <w:rStyle w:val="relative"/>
        </w:rPr>
        <w:t>definitely pay</w:t>
      </w:r>
      <w:proofErr w:type="gramEnd"/>
      <w:r w:rsidRPr="00211D86">
        <w:rPr>
          <w:rStyle w:val="relative"/>
        </w:rPr>
        <w:t xml:space="preserve"> more for exclusive designer pieces, 29 percent possibly would, and 25 percent would not. This indicates that exclusivity alone doesn't guarantee additional spending; consumers need clear evidence of quality and value. Social influence and perceived authenticity also play a role (</w:t>
      </w:r>
      <w:proofErr w:type="spellStart"/>
      <w:r w:rsidRPr="00211D86">
        <w:rPr>
          <w:rStyle w:val="relative"/>
        </w:rPr>
        <w:t>Efendioglu</w:t>
      </w:r>
      <w:proofErr w:type="spellEnd"/>
      <w:r w:rsidRPr="00211D86">
        <w:rPr>
          <w:rStyle w:val="relative"/>
        </w:rPr>
        <w:t xml:space="preserve"> &amp; Durmaz, 2022).</w:t>
      </w:r>
    </w:p>
    <w:p w14:paraId="2A69FAF0" w14:textId="314503EF" w:rsidR="00211D86" w:rsidRPr="00211D86" w:rsidRDefault="00211D86" w:rsidP="00211D86">
      <w:pPr>
        <w:pStyle w:val="Heading2"/>
        <w:spacing w:line="360" w:lineRule="auto"/>
        <w:rPr>
          <w:rStyle w:val="relative"/>
          <w:rFonts w:ascii="Times New Roman" w:eastAsia="Times New Roman" w:hAnsi="Times New Roman" w:cs="Times New Roman"/>
          <w:sz w:val="24"/>
          <w:szCs w:val="24"/>
        </w:rPr>
      </w:pPr>
      <w:r>
        <w:rPr>
          <w:rFonts w:ascii="Times New Roman" w:eastAsia="Times New Roman" w:hAnsi="Times New Roman" w:cs="Times New Roman"/>
          <w:sz w:val="24"/>
          <w:szCs w:val="24"/>
        </w:rPr>
        <w:t>Discussion and Theoretical Context</w:t>
      </w:r>
    </w:p>
    <w:p w14:paraId="4192A6A8" w14:textId="1EA50565" w:rsidR="00211D86" w:rsidRPr="00211D86" w:rsidRDefault="0058676E" w:rsidP="00211D86">
      <w:pPr>
        <w:spacing w:line="360" w:lineRule="auto"/>
        <w:rPr>
          <w:lang w:val="en-GB"/>
        </w:rPr>
      </w:pPr>
      <w:r w:rsidRPr="0058676E">
        <w:rPr>
          <w:lang w:val="en-GB"/>
        </w:rPr>
        <w:t>These findings align with established branding models. Brand equity allows firms to command higher prices, but credibility and consistent quality are essential (Aaker, 1991; Keller, 1993). Luxury brands benefit from symbolic consumption, where prestige and meaning justify premium pricing. Moreover, sustainability is increasingly important: consumers willing to pay more for eco-conscious luxury strengthen brand reputation (Wang, 2024). Social media also plays a key role—platforms such as Instagram and TikTok enable brands to build community, showcase authenticity, and influence purchasing behaviour (Nash, 2019).</w:t>
      </w:r>
    </w:p>
    <w:p w14:paraId="792052E5" w14:textId="77777777" w:rsidR="00211D86" w:rsidRDefault="00211D86" w:rsidP="00211D86">
      <w:pPr>
        <w:pStyle w:val="Heading2"/>
        <w:spacing w:line="360" w:lineRule="auto"/>
        <w:rPr>
          <w:rFonts w:ascii="Times New Roman" w:eastAsia="Times New Roman" w:hAnsi="Times New Roman" w:cs="Times New Roman"/>
          <w:sz w:val="24"/>
          <w:szCs w:val="24"/>
        </w:rPr>
      </w:pPr>
    </w:p>
    <w:p w14:paraId="47D23853" w14:textId="00D7FD62" w:rsidR="00211D86" w:rsidRPr="00211D86" w:rsidRDefault="00211D86" w:rsidP="00211D86">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Recommendations</w:t>
      </w:r>
    </w:p>
    <w:p w14:paraId="2DE4D344" w14:textId="77777777" w:rsidR="00211D86" w:rsidRPr="00211D86" w:rsidRDefault="00211D86" w:rsidP="00211D86">
      <w:pPr>
        <w:spacing w:line="360" w:lineRule="auto"/>
        <w:rPr>
          <w:lang w:val="en-GB"/>
        </w:rPr>
      </w:pPr>
      <w:r w:rsidRPr="00211D86">
        <w:rPr>
          <w:lang w:val="en-GB"/>
        </w:rPr>
        <w:t>For women's designer clothing brands in the UK, the following steps are suggested:</w:t>
      </w:r>
    </w:p>
    <w:p w14:paraId="3E89931F" w14:textId="77777777" w:rsidR="00211D86" w:rsidRPr="00211D86" w:rsidRDefault="00211D86" w:rsidP="00211D86">
      <w:pPr>
        <w:numPr>
          <w:ilvl w:val="0"/>
          <w:numId w:val="12"/>
        </w:numPr>
        <w:spacing w:line="360" w:lineRule="auto"/>
        <w:rPr>
          <w:lang w:val="en-GB"/>
        </w:rPr>
      </w:pPr>
      <w:r w:rsidRPr="00211D86">
        <w:rPr>
          <w:b/>
          <w:bCs/>
          <w:lang w:val="en-GB"/>
        </w:rPr>
        <w:lastRenderedPageBreak/>
        <w:t>Adopt moderate price premiums</w:t>
      </w:r>
      <w:r w:rsidRPr="00211D86">
        <w:rPr>
          <w:lang w:val="en-GB"/>
        </w:rPr>
        <w:t xml:space="preserve"> (1–6 percent), clearly tied to quality, craftsmanship, or exclusivity.</w:t>
      </w:r>
    </w:p>
    <w:p w14:paraId="3EDDE7AD" w14:textId="77777777" w:rsidR="00211D86" w:rsidRPr="00211D86" w:rsidRDefault="00211D86" w:rsidP="00211D86">
      <w:pPr>
        <w:numPr>
          <w:ilvl w:val="0"/>
          <w:numId w:val="12"/>
        </w:numPr>
        <w:spacing w:line="360" w:lineRule="auto"/>
        <w:rPr>
          <w:lang w:val="en-GB"/>
        </w:rPr>
      </w:pPr>
      <w:r w:rsidRPr="00211D86">
        <w:rPr>
          <w:b/>
          <w:bCs/>
          <w:lang w:val="en-GB"/>
        </w:rPr>
        <w:t>Highlight craftsmanship and heritage</w:t>
      </w:r>
      <w:r w:rsidRPr="00211D86">
        <w:rPr>
          <w:lang w:val="en-GB"/>
        </w:rPr>
        <w:t xml:space="preserve"> through storytelling and attention to detail—key luxury indicators.</w:t>
      </w:r>
    </w:p>
    <w:p w14:paraId="620DA266" w14:textId="77777777" w:rsidR="00211D86" w:rsidRPr="00211D86" w:rsidRDefault="00211D86" w:rsidP="00211D86">
      <w:pPr>
        <w:numPr>
          <w:ilvl w:val="0"/>
          <w:numId w:val="12"/>
        </w:numPr>
        <w:spacing w:line="360" w:lineRule="auto"/>
        <w:rPr>
          <w:lang w:val="en-GB"/>
        </w:rPr>
      </w:pPr>
      <w:r w:rsidRPr="00211D86">
        <w:rPr>
          <w:b/>
          <w:bCs/>
          <w:lang w:val="en-GB"/>
        </w:rPr>
        <w:t>Integrate sustainability</w:t>
      </w:r>
      <w:r w:rsidRPr="00211D86">
        <w:rPr>
          <w:lang w:val="en-GB"/>
        </w:rPr>
        <w:t xml:space="preserve"> to align with consumer values and justify pricing.</w:t>
      </w:r>
    </w:p>
    <w:p w14:paraId="401C18FE" w14:textId="77777777" w:rsidR="00211D86" w:rsidRPr="00211D86" w:rsidRDefault="00211D86" w:rsidP="00211D86">
      <w:pPr>
        <w:numPr>
          <w:ilvl w:val="0"/>
          <w:numId w:val="12"/>
        </w:numPr>
        <w:spacing w:line="360" w:lineRule="auto"/>
        <w:rPr>
          <w:lang w:val="en-GB"/>
        </w:rPr>
      </w:pPr>
      <w:r w:rsidRPr="00211D86">
        <w:rPr>
          <w:b/>
          <w:bCs/>
          <w:lang w:val="en-GB"/>
        </w:rPr>
        <w:t>Leverage social media and influencer marketing</w:t>
      </w:r>
      <w:r w:rsidRPr="00211D86">
        <w:rPr>
          <w:lang w:val="en-GB"/>
        </w:rPr>
        <w:t xml:space="preserve"> to build narrative credibility and engage younger audiences through authentic content (</w:t>
      </w:r>
      <w:proofErr w:type="spellStart"/>
      <w:r w:rsidRPr="00211D86">
        <w:rPr>
          <w:lang w:val="en-GB"/>
        </w:rPr>
        <w:t>Efendioglu</w:t>
      </w:r>
      <w:proofErr w:type="spellEnd"/>
      <w:r w:rsidRPr="00211D86">
        <w:rPr>
          <w:lang w:val="en-GB"/>
        </w:rPr>
        <w:t xml:space="preserve"> &amp; Durmaz, 2022; Nash, 2019).</w:t>
      </w:r>
    </w:p>
    <w:p w14:paraId="1C8C33C8" w14:textId="77777777" w:rsidR="00211D86" w:rsidRDefault="00211D86">
      <w:pPr>
        <w:spacing w:line="360" w:lineRule="auto"/>
        <w:rPr>
          <w:rStyle w:val="relative"/>
        </w:rPr>
      </w:pPr>
    </w:p>
    <w:p w14:paraId="48AFE732" w14:textId="77777777" w:rsidR="00211D86" w:rsidRDefault="00211D86">
      <w:pPr>
        <w:spacing w:line="360" w:lineRule="auto"/>
      </w:pPr>
    </w:p>
    <w:p w14:paraId="1F352BC6" w14:textId="77777777" w:rsidR="001A27A0" w:rsidRDefault="00000000">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w:t>
      </w:r>
    </w:p>
    <w:p w14:paraId="3F6A5087" w14:textId="692C2575" w:rsidR="00211D86" w:rsidRDefault="00211D86">
      <w:pPr>
        <w:spacing w:line="360" w:lineRule="auto"/>
      </w:pPr>
      <w:r w:rsidRPr="00211D86">
        <w:t>The survey indicates that while designer branding strengthens appeal, long-term consumer loyalty depends on tangible value, fair pricing, and meaningful brand communication. UK designer clothing brands can succeed by combining exclusivity with transparency, quality, and ethical values—this balanced approach resonates with both style-focused and value-conscious consumers.</w:t>
      </w:r>
    </w:p>
    <w:p w14:paraId="547A9D61" w14:textId="77777777" w:rsidR="00211D86" w:rsidRDefault="00211D86">
      <w:pPr>
        <w:spacing w:line="360" w:lineRule="auto"/>
      </w:pPr>
    </w:p>
    <w:p w14:paraId="035E7BDF" w14:textId="77777777" w:rsidR="00211D86" w:rsidRDefault="00211D86">
      <w:pPr>
        <w:spacing w:line="360" w:lineRule="auto"/>
      </w:pPr>
    </w:p>
    <w:p w14:paraId="7D3852C1" w14:textId="77777777" w:rsidR="00211D86" w:rsidRDefault="00211D86">
      <w:pPr>
        <w:spacing w:line="360" w:lineRule="auto"/>
      </w:pPr>
    </w:p>
    <w:p w14:paraId="2EDF22DF" w14:textId="77777777" w:rsidR="0058676E" w:rsidRDefault="0058676E">
      <w:pPr>
        <w:spacing w:line="360" w:lineRule="auto"/>
      </w:pPr>
    </w:p>
    <w:p w14:paraId="3EDBD454" w14:textId="77777777" w:rsidR="0058676E" w:rsidRDefault="0058676E">
      <w:pPr>
        <w:spacing w:line="360" w:lineRule="auto"/>
      </w:pPr>
    </w:p>
    <w:p w14:paraId="09275A7D" w14:textId="77777777" w:rsidR="0058676E" w:rsidRDefault="0058676E">
      <w:pPr>
        <w:spacing w:line="360" w:lineRule="auto"/>
      </w:pPr>
    </w:p>
    <w:p w14:paraId="4E439183" w14:textId="77777777" w:rsidR="00325021" w:rsidRDefault="00325021">
      <w:pPr>
        <w:spacing w:line="360" w:lineRule="auto"/>
      </w:pPr>
    </w:p>
    <w:p w14:paraId="1D65C76F" w14:textId="77777777" w:rsidR="001A27A0" w:rsidRDefault="00000000">
      <w:pPr>
        <w:pStyle w:val="Heading1"/>
        <w:spacing w:line="360" w:lineRule="auto"/>
      </w:pPr>
      <w:r>
        <w:lastRenderedPageBreak/>
        <w:t>Task 2: Design and Marketing Materials</w:t>
      </w:r>
    </w:p>
    <w:p w14:paraId="0F90F796" w14:textId="77777777" w:rsidR="00527B84" w:rsidRDefault="00527B84">
      <w:pPr>
        <w:pStyle w:val="Heading2"/>
        <w:spacing w:line="360" w:lineRule="auto"/>
        <w:rPr>
          <w:rFonts w:ascii="Times New Roman" w:eastAsia="Times New Roman" w:hAnsi="Times New Roman" w:cs="Times New Roman"/>
          <w:color w:val="auto"/>
          <w:sz w:val="24"/>
          <w:szCs w:val="24"/>
        </w:rPr>
      </w:pPr>
      <w:r w:rsidRPr="00527B84">
        <w:rPr>
          <w:rFonts w:ascii="Times New Roman" w:eastAsia="Times New Roman" w:hAnsi="Times New Roman" w:cs="Times New Roman"/>
          <w:color w:val="auto"/>
          <w:sz w:val="24"/>
          <w:szCs w:val="24"/>
        </w:rPr>
        <w:t xml:space="preserve">This section explains how insights from the questionnaire informed the design of a two-page website and accompanying marketing materials for a women’s designer-wear concept. The survey (n=45) showed that designer identity matters to many respondents, but value and comfort also influence decisions. Most participants were comfortable with only a modest price premium and just under half said they would </w:t>
      </w:r>
      <w:proofErr w:type="gramStart"/>
      <w:r w:rsidRPr="00527B84">
        <w:rPr>
          <w:rFonts w:ascii="Times New Roman" w:eastAsia="Times New Roman" w:hAnsi="Times New Roman" w:cs="Times New Roman"/>
          <w:color w:val="auto"/>
          <w:sz w:val="24"/>
          <w:szCs w:val="24"/>
        </w:rPr>
        <w:t>definitely pay</w:t>
      </w:r>
      <w:proofErr w:type="gramEnd"/>
      <w:r w:rsidRPr="00527B84">
        <w:rPr>
          <w:rFonts w:ascii="Times New Roman" w:eastAsia="Times New Roman" w:hAnsi="Times New Roman" w:cs="Times New Roman"/>
          <w:color w:val="auto"/>
          <w:sz w:val="24"/>
          <w:szCs w:val="24"/>
        </w:rPr>
        <w:t xml:space="preserve"> more for exclusive items. These findings guided the brand position, page structure, content choices, and the search-engine optimisation (SEO) set-up.</w:t>
      </w:r>
    </w:p>
    <w:p w14:paraId="3AD980FA" w14:textId="77777777" w:rsidR="00527B84" w:rsidRPr="00527B84" w:rsidRDefault="00527B84" w:rsidP="00527B84"/>
    <w:p w14:paraId="039B8F40" w14:textId="3A093DB4" w:rsidR="001A27A0" w:rsidRDefault="00000000">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Key Insights from Questionnaire</w:t>
      </w:r>
    </w:p>
    <w:p w14:paraId="3373ED5C" w14:textId="77777777" w:rsidR="00527B84" w:rsidRDefault="00527B84">
      <w:pPr>
        <w:spacing w:line="360" w:lineRule="auto"/>
      </w:pPr>
      <w:r w:rsidRPr="00527B84">
        <w:t>Four findings were most useful for design decisions. First, visual appeal matters. Participants were attracted to designer identity, which implies that imagery, layout, and typography must signal quality immediately. Research shows that visual design and clarity of layout build trust and encourage exploration (Cyr, 2008). Second, respondents valued comfort and affordability, so the site and copy needed to communicate quality and wearability rather than hype alone. Third, the acceptable premium clustered at the lower end, so the offer should feel attainable. Finally, a substantial group indicated they might pay more, which suggested the need for persuasive elements (proof points, craft cues, limited collections).</w:t>
      </w:r>
    </w:p>
    <w:p w14:paraId="1DE8B1C8" w14:textId="0165AB55" w:rsidR="001A27A0" w:rsidRDefault="00000000">
      <w:pPr>
        <w:spacing w:line="360" w:lineRule="auto"/>
      </w:pPr>
      <w:r>
        <w:tab/>
        <w:t xml:space="preserve"> </w:t>
      </w:r>
    </w:p>
    <w:p w14:paraId="02F90DD2" w14:textId="5D9AE44D" w:rsidR="001A27A0" w:rsidRDefault="00000000">
      <w:pPr>
        <w:pStyle w:val="Heading2"/>
        <w:spacing w:line="360" w:lineRule="auto"/>
        <w:rPr>
          <w:rFonts w:ascii="Times New Roman" w:eastAsia="Times New Roman" w:hAnsi="Times New Roman" w:cs="Times New Roman"/>
          <w:sz w:val="24"/>
          <w:szCs w:val="24"/>
        </w:rPr>
      </w:pPr>
      <w:bookmarkStart w:id="2" w:name="_moziuneiih1w" w:colFirst="0" w:colLast="0"/>
      <w:bookmarkEnd w:id="2"/>
      <w:r>
        <w:rPr>
          <w:rFonts w:ascii="Times New Roman" w:eastAsia="Times New Roman" w:hAnsi="Times New Roman" w:cs="Times New Roman"/>
          <w:sz w:val="24"/>
          <w:szCs w:val="24"/>
        </w:rPr>
        <w:lastRenderedPageBreak/>
        <w:t>Segmentation</w:t>
      </w:r>
      <w:r w:rsidR="00527B84">
        <w:rPr>
          <w:rFonts w:ascii="Times New Roman" w:eastAsia="Times New Roman" w:hAnsi="Times New Roman" w:cs="Times New Roman"/>
          <w:sz w:val="24"/>
          <w:szCs w:val="24"/>
        </w:rPr>
        <w:t xml:space="preserve"> and targeting</w:t>
      </w:r>
    </w:p>
    <w:p w14:paraId="0DEFEB0F" w14:textId="663363D3" w:rsidR="00527B84" w:rsidRPr="00527B84" w:rsidRDefault="00527B84" w:rsidP="00527B84">
      <w:pPr>
        <w:pStyle w:val="Heading2"/>
        <w:spacing w:line="360" w:lineRule="auto"/>
        <w:rPr>
          <w:rFonts w:ascii="Times New Roman" w:eastAsia="Times New Roman" w:hAnsi="Times New Roman" w:cs="Times New Roman"/>
          <w:color w:val="auto"/>
          <w:sz w:val="24"/>
          <w:szCs w:val="24"/>
        </w:rPr>
      </w:pPr>
      <w:r w:rsidRPr="00527B84">
        <w:rPr>
          <w:rFonts w:ascii="Times New Roman" w:eastAsia="Times New Roman" w:hAnsi="Times New Roman" w:cs="Times New Roman"/>
          <w:color w:val="auto"/>
          <w:sz w:val="24"/>
          <w:szCs w:val="24"/>
        </w:rPr>
        <w:t>Using STP principles (Kotler and Armstrong, 2021), the audience was split into three practical segments:</w:t>
      </w:r>
    </w:p>
    <w:p w14:paraId="0FFE108A" w14:textId="5C8975C9" w:rsidR="00527B84" w:rsidRPr="00527B84" w:rsidRDefault="00527B84" w:rsidP="00527B84">
      <w:pPr>
        <w:pStyle w:val="Heading2"/>
        <w:spacing w:line="360" w:lineRule="auto"/>
        <w:rPr>
          <w:rFonts w:ascii="Times New Roman" w:eastAsia="Times New Roman" w:hAnsi="Times New Roman" w:cs="Times New Roman"/>
          <w:color w:val="auto"/>
          <w:sz w:val="24"/>
          <w:szCs w:val="24"/>
        </w:rPr>
      </w:pPr>
      <w:r w:rsidRPr="00527B84">
        <w:rPr>
          <w:rFonts w:ascii="Times New Roman" w:eastAsia="Times New Roman" w:hAnsi="Times New Roman" w:cs="Times New Roman"/>
          <w:b/>
          <w:bCs/>
          <w:color w:val="auto"/>
          <w:sz w:val="24"/>
          <w:szCs w:val="24"/>
        </w:rPr>
        <w:t>Style-first, value-aware:</w:t>
      </w:r>
      <w:r w:rsidRPr="00527B84">
        <w:rPr>
          <w:rFonts w:ascii="Times New Roman" w:eastAsia="Times New Roman" w:hAnsi="Times New Roman" w:cs="Times New Roman"/>
          <w:color w:val="auto"/>
          <w:sz w:val="24"/>
          <w:szCs w:val="24"/>
        </w:rPr>
        <w:t xml:space="preserve"> attracted by designer aesthetics but sensitive to price. The homepage hero copy </w:t>
      </w:r>
      <w:proofErr w:type="spellStart"/>
      <w:r w:rsidRPr="00527B84">
        <w:rPr>
          <w:rFonts w:ascii="Times New Roman" w:eastAsia="Times New Roman" w:hAnsi="Times New Roman" w:cs="Times New Roman"/>
          <w:color w:val="auto"/>
          <w:sz w:val="24"/>
          <w:szCs w:val="24"/>
        </w:rPr>
        <w:t>emphasises</w:t>
      </w:r>
      <w:proofErr w:type="spellEnd"/>
      <w:r w:rsidRPr="00527B84">
        <w:rPr>
          <w:rFonts w:ascii="Times New Roman" w:eastAsia="Times New Roman" w:hAnsi="Times New Roman" w:cs="Times New Roman"/>
          <w:color w:val="auto"/>
          <w:sz w:val="24"/>
          <w:szCs w:val="24"/>
        </w:rPr>
        <w:t xml:space="preserve"> “comfort” and “style” and the grid shows outfits that look wearable day-to-day. Clear prices, shipping info, and a “Shop now” call-to-action address their need for transparency.</w:t>
      </w:r>
    </w:p>
    <w:p w14:paraId="7A0C29D1" w14:textId="20787B96" w:rsidR="00527B84" w:rsidRPr="00527B84" w:rsidRDefault="00527B84" w:rsidP="00527B84">
      <w:pPr>
        <w:pStyle w:val="Heading2"/>
        <w:spacing w:line="360" w:lineRule="auto"/>
        <w:rPr>
          <w:rFonts w:ascii="Times New Roman" w:eastAsia="Times New Roman" w:hAnsi="Times New Roman" w:cs="Times New Roman"/>
          <w:color w:val="auto"/>
          <w:sz w:val="24"/>
          <w:szCs w:val="24"/>
        </w:rPr>
      </w:pPr>
      <w:r w:rsidRPr="00527B84">
        <w:rPr>
          <w:rFonts w:ascii="Times New Roman" w:eastAsia="Times New Roman" w:hAnsi="Times New Roman" w:cs="Times New Roman"/>
          <w:b/>
          <w:bCs/>
          <w:color w:val="auto"/>
          <w:sz w:val="24"/>
          <w:szCs w:val="24"/>
        </w:rPr>
        <w:t>Exclusivity seekers:</w:t>
      </w:r>
      <w:r w:rsidRPr="00527B84">
        <w:rPr>
          <w:rFonts w:ascii="Times New Roman" w:eastAsia="Times New Roman" w:hAnsi="Times New Roman" w:cs="Times New Roman"/>
          <w:color w:val="auto"/>
          <w:sz w:val="24"/>
          <w:szCs w:val="24"/>
        </w:rPr>
        <w:t xml:space="preserve"> open to paying a premium if uniqueness is clear. For this group, the site and poster highlight “Limited Edition Drops Every Season”. Luxury branding literature recommends </w:t>
      </w:r>
      <w:proofErr w:type="spellStart"/>
      <w:r w:rsidRPr="00527B84">
        <w:rPr>
          <w:rFonts w:ascii="Times New Roman" w:eastAsia="Times New Roman" w:hAnsi="Times New Roman" w:cs="Times New Roman"/>
          <w:color w:val="auto"/>
          <w:sz w:val="24"/>
          <w:szCs w:val="24"/>
        </w:rPr>
        <w:t>signalling</w:t>
      </w:r>
      <w:proofErr w:type="spellEnd"/>
      <w:r w:rsidRPr="00527B84">
        <w:rPr>
          <w:rFonts w:ascii="Times New Roman" w:eastAsia="Times New Roman" w:hAnsi="Times New Roman" w:cs="Times New Roman"/>
          <w:color w:val="auto"/>
          <w:sz w:val="24"/>
          <w:szCs w:val="24"/>
        </w:rPr>
        <w:t xml:space="preserve"> scarcity and craft to justify higher willingness to pay (Kapferer and Bastien, 2012; Tynan, McKechnie and Chhuon, 2010).</w:t>
      </w:r>
    </w:p>
    <w:p w14:paraId="715FB338" w14:textId="4929DB9E" w:rsidR="00527B84" w:rsidRPr="00527B84" w:rsidRDefault="00527B84" w:rsidP="00527B84">
      <w:pPr>
        <w:pStyle w:val="Heading2"/>
        <w:spacing w:line="360" w:lineRule="auto"/>
        <w:rPr>
          <w:rFonts w:ascii="Times New Roman" w:eastAsia="Times New Roman" w:hAnsi="Times New Roman" w:cs="Times New Roman"/>
          <w:color w:val="auto"/>
          <w:sz w:val="24"/>
          <w:szCs w:val="24"/>
        </w:rPr>
      </w:pPr>
      <w:r w:rsidRPr="00527B84">
        <w:rPr>
          <w:rFonts w:ascii="Times New Roman" w:eastAsia="Times New Roman" w:hAnsi="Times New Roman" w:cs="Times New Roman"/>
          <w:b/>
          <w:bCs/>
          <w:color w:val="auto"/>
          <w:sz w:val="24"/>
          <w:szCs w:val="24"/>
        </w:rPr>
        <w:t>Undecided browsers:</w:t>
      </w:r>
      <w:r w:rsidRPr="00527B84">
        <w:rPr>
          <w:rFonts w:ascii="Times New Roman" w:eastAsia="Times New Roman" w:hAnsi="Times New Roman" w:cs="Times New Roman"/>
          <w:color w:val="auto"/>
          <w:sz w:val="24"/>
          <w:szCs w:val="24"/>
        </w:rPr>
        <w:t xml:space="preserve"> the survey’s “maybe pay more” group. Trust-building elements target them: consistent typography, clean navigation, and an email sign-up for updates. Clarity and consistency reduce friction and encourage return visits (Cyr, 2008; Chaffey and Ellis-Chadwick, 2022).</w:t>
      </w:r>
    </w:p>
    <w:p w14:paraId="7A7ADC8B" w14:textId="77777777" w:rsidR="00527B84" w:rsidRDefault="00527B84" w:rsidP="00527B84">
      <w:pPr>
        <w:pStyle w:val="Heading2"/>
        <w:spacing w:line="360" w:lineRule="auto"/>
        <w:rPr>
          <w:rFonts w:ascii="Times New Roman" w:eastAsia="Times New Roman" w:hAnsi="Times New Roman" w:cs="Times New Roman"/>
          <w:color w:val="auto"/>
          <w:sz w:val="24"/>
          <w:szCs w:val="24"/>
        </w:rPr>
      </w:pPr>
      <w:r w:rsidRPr="00527B84">
        <w:rPr>
          <w:rFonts w:ascii="Times New Roman" w:eastAsia="Times New Roman" w:hAnsi="Times New Roman" w:cs="Times New Roman"/>
          <w:color w:val="auto"/>
          <w:sz w:val="24"/>
          <w:szCs w:val="24"/>
        </w:rPr>
        <w:t>Positioning integrates these segments: a designer label that feels exclusive yet approachable. Brand-equity theory supports this balance: strong brands can command a premium only when consumers perceive real added value (Aaker, 1991; Keller, 1993). Copy choices such as “crafted with comfort and style in mind” translate this idea into benefits.</w:t>
      </w:r>
    </w:p>
    <w:p w14:paraId="6CF8E4B0" w14:textId="01EDEC43" w:rsidR="001A27A0" w:rsidRDefault="00527B84" w:rsidP="00527B84">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Website design choices informed by data</w:t>
      </w:r>
    </w:p>
    <w:p w14:paraId="1FE86B61" w14:textId="40E19F10" w:rsidR="00504B27" w:rsidRDefault="00504B27" w:rsidP="00504B27">
      <w:r w:rsidRPr="00504B27">
        <w:rPr>
          <w:b/>
          <w:bCs/>
        </w:rPr>
        <w:t>Structure and navigation.</w:t>
      </w:r>
      <w:r>
        <w:t xml:space="preserve"> The main menu focuses on “Home”, “Shop”, “Lookbook/Blog”, and “Contact”. This keeps paths simple and supports intent-based journeys (browse inspiration vs. buy). A persistent CTA on the hero section reduces the steps to product exploration (Chaffey and Ellis-Chadwick, 2022).</w:t>
      </w:r>
    </w:p>
    <w:p w14:paraId="7D2A36B4" w14:textId="07C8E40E" w:rsidR="00504B27" w:rsidRDefault="00504B27" w:rsidP="00504B27">
      <w:r w:rsidRPr="00504B27">
        <w:rPr>
          <w:b/>
          <w:bCs/>
        </w:rPr>
        <w:t xml:space="preserve">Visual system. </w:t>
      </w:r>
      <w:r>
        <w:t xml:space="preserve">Warm, earthy tones and soft serif headings create a premium but calm feel. Large hero photography with cohesive art direction foregrounds fabric texture and drape, aligning with </w:t>
      </w:r>
      <w:r>
        <w:lastRenderedPageBreak/>
        <w:t>the comfort theme. Consistent spacing and clear section breaks follow best practice for scannability and trust (Cyr, 2008).</w:t>
      </w:r>
    </w:p>
    <w:p w14:paraId="2045A38B" w14:textId="19D126C4" w:rsidR="00504B27" w:rsidRDefault="00504B27" w:rsidP="00504B27">
      <w:r w:rsidRPr="00504B27">
        <w:rPr>
          <w:b/>
          <w:bCs/>
        </w:rPr>
        <w:t>Copy and value cues.</w:t>
      </w:r>
      <w:r>
        <w:t xml:space="preserve"> Short paragraphs and benefit-led headings (“Elegance redefined”, “Be the first to know”) reflect the survey’s call for exclusivity tempered by value. Micro-copy avoids hype and focuses on craft, fit and versatility. Newsletter sign-up offers early access to drops, which both rewards exclusivity seekers and grows an owned audience for lower-cost remarketing (Chaffey and Ellis-Chadwick, 2022).</w:t>
      </w:r>
    </w:p>
    <w:p w14:paraId="1C83B883" w14:textId="2A9FBE73" w:rsidR="00504B27" w:rsidRPr="00504B27" w:rsidRDefault="00504B27" w:rsidP="00504B27">
      <w:r w:rsidRPr="00504B27">
        <w:rPr>
          <w:b/>
          <w:bCs/>
        </w:rPr>
        <w:t>Social proof and reassurance</w:t>
      </w:r>
      <w:r>
        <w:t>. The layout leaves space for future testimonials and garment-care details. These elements speak to the hesitant “maybe pay more” group and align with brand-equity logic that credibility sustains premiums (Keller, 1993).</w:t>
      </w:r>
    </w:p>
    <w:p w14:paraId="1A0E79E9" w14:textId="19901980" w:rsidR="00527B84" w:rsidRDefault="00527B84" w:rsidP="00527B84">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materials (Canva poster)</w:t>
      </w:r>
    </w:p>
    <w:p w14:paraId="5875A81F" w14:textId="76384B07" w:rsidR="00504B27" w:rsidRPr="00504B27" w:rsidRDefault="00504B27" w:rsidP="00504B27">
      <w:r>
        <w:t xml:space="preserve">The poster carries the same typography and </w:t>
      </w:r>
      <w:proofErr w:type="spellStart"/>
      <w:r>
        <w:t>colour</w:t>
      </w:r>
      <w:proofErr w:type="spellEnd"/>
      <w:r>
        <w:t xml:space="preserve"> palette to reinforce recognition. The headline “FABRISSE” uses generous letter-spacing to signal premium positioning, while the sub-lines </w:t>
      </w:r>
      <w:proofErr w:type="spellStart"/>
      <w:r>
        <w:t>emphasise</w:t>
      </w:r>
      <w:proofErr w:type="spellEnd"/>
      <w:r>
        <w:t xml:space="preserve"> wearability and attainable luxury. A </w:t>
      </w:r>
      <w:r>
        <w:rPr>
          <w:rStyle w:val="Strong"/>
        </w:rPr>
        <w:t>QR code</w:t>
      </w:r>
      <w:r>
        <w:t xml:space="preserve"> links directly to the homepage, reducing friction on mobile. The “Limited Edition Drops Every Season” line appeals to scarcity motives found in luxury research (Kapferer and Bastien, 2012), while the closing URL increases memorability. Photography is lifestyle-led rather than runway-led, which reflects the survey’s value-for-money and comfort concerns.</w:t>
      </w:r>
    </w:p>
    <w:p w14:paraId="3867AF25" w14:textId="2519FC5B" w:rsidR="00527B84" w:rsidRDefault="00527B84" w:rsidP="00527B84">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SEO approach</w:t>
      </w:r>
      <w:r>
        <w:rPr>
          <w:rFonts w:ascii="Times New Roman" w:eastAsia="Times New Roman" w:hAnsi="Times New Roman" w:cs="Times New Roman"/>
          <w:sz w:val="24"/>
          <w:szCs w:val="24"/>
        </w:rPr>
        <w:t xml:space="preserve"> </w:t>
      </w:r>
    </w:p>
    <w:p w14:paraId="32AA4808" w14:textId="77777777" w:rsidR="00504B27" w:rsidRDefault="00504B27" w:rsidP="00504B27">
      <w:r>
        <w:t>The SEO setup follows Google’s starter guidance and textbook practice (Google, 2024; Chaffey and Ellis-Chadwick, 2022):</w:t>
      </w:r>
    </w:p>
    <w:p w14:paraId="499A1A98" w14:textId="77777777" w:rsidR="00504B27" w:rsidRDefault="00504B27" w:rsidP="00504B27"/>
    <w:p w14:paraId="385B9DFF" w14:textId="0176D268" w:rsidR="00504B27" w:rsidRDefault="00504B27" w:rsidP="00504B27">
      <w:r w:rsidRPr="00504B27">
        <w:rPr>
          <w:b/>
          <w:bCs/>
        </w:rPr>
        <w:t>Keyword focus.</w:t>
      </w:r>
      <w:r>
        <w:t xml:space="preserve"> Primary phrases: “designer women’s clothing UK”, “affordable designer womenswear”, “limited-edition women’s fashion”. Secondary phrases: “comfortable designer dresses”, “craftsmanship womenswear”. These mirror the survey themes (designer appeal, comfort, modest premium).</w:t>
      </w:r>
    </w:p>
    <w:p w14:paraId="188C9BDB" w14:textId="4672865F" w:rsidR="00504B27" w:rsidRDefault="00504B27" w:rsidP="00504B27">
      <w:r w:rsidRPr="00504B27">
        <w:rPr>
          <w:b/>
          <w:bCs/>
        </w:rPr>
        <w:t>On-page optimisation.</w:t>
      </w:r>
      <w:r>
        <w:t xml:space="preserve"> Each page has a concise title tag (under ~60 characters) and a descriptive meta description that includes one primary keyword and a benefit (e.g., “Limited-edition women’s designer wear that blends comfort and style”). Headings use a single H1 describing the page purpose, with logical H2/H3s for scannability. Alt text describes images in plain language (fabric, </w:t>
      </w:r>
      <w:proofErr w:type="spellStart"/>
      <w:r>
        <w:t>colour</w:t>
      </w:r>
      <w:proofErr w:type="spellEnd"/>
      <w:r>
        <w:t>, garment type) to aid accessibility and image search (Google, 2024).</w:t>
      </w:r>
    </w:p>
    <w:p w14:paraId="76AE68FD" w14:textId="3299B2E5" w:rsidR="00504B27" w:rsidRDefault="00504B27" w:rsidP="00504B27">
      <w:r w:rsidRPr="00504B27">
        <w:rPr>
          <w:b/>
          <w:bCs/>
        </w:rPr>
        <w:t>Internal linking.</w:t>
      </w:r>
      <w:r>
        <w:t xml:space="preserve"> The homepage hero and image tiles link to key product categories to concentrate relevance and reduce bounce. A footer link to “About/Our story” supports brand queries and reassures undecided visitors (Chaffey and Ellis-Chadwick, 2022).</w:t>
      </w:r>
    </w:p>
    <w:p w14:paraId="1548D12E" w14:textId="4D70CBF7" w:rsidR="00504B27" w:rsidRDefault="00504B27" w:rsidP="00504B27">
      <w:r w:rsidRPr="00504B27">
        <w:rPr>
          <w:b/>
          <w:bCs/>
        </w:rPr>
        <w:t>Performance and mobile.</w:t>
      </w:r>
      <w:r>
        <w:t xml:space="preserve"> Images are exported at appropriate dimensions and compressed to improve load times. A responsive grid and touch-friendly buttons align with Google’s mobile-first indexing recommendations (Google, 2024).</w:t>
      </w:r>
    </w:p>
    <w:p w14:paraId="68AFAD60" w14:textId="258D9BE4" w:rsidR="00504B27" w:rsidRPr="00504B27" w:rsidRDefault="00504B27" w:rsidP="00504B27">
      <w:r w:rsidRPr="00504B27">
        <w:rPr>
          <w:b/>
          <w:bCs/>
        </w:rPr>
        <w:t>Content plan.</w:t>
      </w:r>
      <w:r>
        <w:t xml:space="preserve"> A lightweight Lookbook/Blog will feature short posts on fabric choices, behind-the-scenes craft, and drop announcements. This approach builds authority over time and supports long-tail search (Chaffey and Ellis-Chadwick, 2022). It also reinforces brand meaning, a driver of equity and premium tolerance (Aaker, 1991; Keller, 1993).</w:t>
      </w:r>
    </w:p>
    <w:p w14:paraId="1928D910" w14:textId="62C76481" w:rsidR="00504B27" w:rsidRDefault="00504B27" w:rsidP="00504B27">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 the website reflects each insight</w:t>
      </w:r>
    </w:p>
    <w:p w14:paraId="0DE3EC60" w14:textId="374D4AAE" w:rsidR="00504B27" w:rsidRDefault="00504B27" w:rsidP="00504B27">
      <w:r w:rsidRPr="00504B27">
        <w:rPr>
          <w:b/>
          <w:bCs/>
        </w:rPr>
        <w:t>Designer appeal with substance:</w:t>
      </w:r>
      <w:r>
        <w:t xml:space="preserve"> high-quality photography and elegant type signal “designer”, while copy and close-ups </w:t>
      </w:r>
      <w:proofErr w:type="spellStart"/>
      <w:r>
        <w:t>emphasise</w:t>
      </w:r>
      <w:proofErr w:type="spellEnd"/>
      <w:r>
        <w:t xml:space="preserve"> comfort and fabric quality (Cyr, 2008).</w:t>
      </w:r>
    </w:p>
    <w:p w14:paraId="38EA2970" w14:textId="2B36B5A7" w:rsidR="00504B27" w:rsidRDefault="00504B27" w:rsidP="00504B27">
      <w:r w:rsidRPr="00504B27">
        <w:rPr>
          <w:b/>
          <w:bCs/>
        </w:rPr>
        <w:t>Modest acceptable premium:</w:t>
      </w:r>
      <w:r>
        <w:t xml:space="preserve"> tone is refined but not ostentatious; messaging stresses “value through craft”.</w:t>
      </w:r>
    </w:p>
    <w:p w14:paraId="03074C99" w14:textId="6CE3833C" w:rsidR="00504B27" w:rsidRDefault="00504B27" w:rsidP="00504B27">
      <w:r w:rsidRPr="00504B27">
        <w:rPr>
          <w:b/>
          <w:bCs/>
        </w:rPr>
        <w:t>Exclusivity seekers:</w:t>
      </w:r>
      <w:r>
        <w:t xml:space="preserve"> limited-edition language appears on both the site and poster, consistent with luxury-branding guidance (Kapferer and Bastien, 2012; Tynan, McKechnie and Chhuon, 2010).</w:t>
      </w:r>
    </w:p>
    <w:p w14:paraId="6A62AB62" w14:textId="4A123377" w:rsidR="00504B27" w:rsidRPr="00504B27" w:rsidRDefault="00504B27" w:rsidP="00504B27">
      <w:r w:rsidRPr="00504B27">
        <w:rPr>
          <w:b/>
          <w:bCs/>
        </w:rPr>
        <w:t>Hesitant “maybe” group:</w:t>
      </w:r>
      <w:r>
        <w:t xml:space="preserve"> clear navigation, transparent info, consistent visual system, and a newsletter path reduce decision risk (Chaffey and Ellis-Chadwick, 2022).</w:t>
      </w:r>
    </w:p>
    <w:p w14:paraId="7CB6ED90" w14:textId="77777777" w:rsidR="00527B84" w:rsidRDefault="00527B84" w:rsidP="00527B84">
      <w:pPr>
        <w:pStyle w:val="Heading2"/>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w:t>
      </w:r>
    </w:p>
    <w:p w14:paraId="7DCF7027" w14:textId="306D62CA" w:rsidR="00527B84" w:rsidRPr="00527B84" w:rsidRDefault="00504B27" w:rsidP="00527B84">
      <w:r w:rsidRPr="00504B27">
        <w:t>The final materials present a coherent brand that is exclusive but approachable. The questionnaire steered visual and copy choices toward comfort, quality and modest premiums, while segmentation ensured each audience had a clear path: shop now, learn about craft, or subscribe for drops. SEO was implemented at page-build stage rather than as an afterthought, using keyword focus, clean structure, descriptive alt text, and internal links in line with Google’s guidance. Together, these choices support awareness, trust and conversion, which are prerequisites for building brand equity and sustaining a small but credible price premium (Aaker, 1991; Keller, 1993).</w:t>
      </w:r>
    </w:p>
    <w:p w14:paraId="343C7EAE" w14:textId="16679D3B" w:rsidR="001A27A0" w:rsidRDefault="00000000" w:rsidP="00504B27">
      <w:pPr>
        <w:spacing w:line="360" w:lineRule="auto"/>
      </w:pPr>
      <w:r>
        <w:tab/>
        <w:t xml:space="preserve"> </w:t>
      </w:r>
    </w:p>
    <w:p w14:paraId="0FD4A0D8" w14:textId="77777777" w:rsidR="001A27A0" w:rsidRDefault="00000000">
      <w:pPr>
        <w:spacing w:before="0" w:line="360" w:lineRule="auto"/>
      </w:pPr>
      <w:r>
        <w:br w:type="page"/>
      </w:r>
    </w:p>
    <w:p w14:paraId="6B2B4AD2" w14:textId="77777777" w:rsidR="001A27A0" w:rsidRDefault="00000000">
      <w:pPr>
        <w:pStyle w:val="Heading1"/>
        <w:spacing w:before="0" w:line="360" w:lineRule="auto"/>
      </w:pPr>
      <w:bookmarkStart w:id="3" w:name="_m30re182jlmx" w:colFirst="0" w:colLast="0"/>
      <w:bookmarkEnd w:id="3"/>
      <w:r>
        <w:lastRenderedPageBreak/>
        <w:t>Task 3: Financial Projection for Designer Wear Brand Using Microsoft Excel</w:t>
      </w:r>
    </w:p>
    <w:p w14:paraId="6527D21E" w14:textId="48555B72" w:rsidR="00A517F5" w:rsidRPr="00A517F5" w:rsidRDefault="00A517F5" w:rsidP="00A517F5">
      <w:pPr>
        <w:pStyle w:val="Heading2"/>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p w14:paraId="44D54C38" w14:textId="77777777" w:rsidR="00A517F5" w:rsidRDefault="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 xml:space="preserve">This task uses Microsoft Excel to build a one-year projection for </w:t>
      </w:r>
      <w:proofErr w:type="spellStart"/>
      <w:r w:rsidRPr="00A517F5">
        <w:rPr>
          <w:rFonts w:ascii="Times New Roman" w:eastAsia="Times New Roman" w:hAnsi="Times New Roman" w:cs="Times New Roman"/>
          <w:color w:val="auto"/>
          <w:sz w:val="24"/>
          <w:szCs w:val="24"/>
        </w:rPr>
        <w:t>Fabrisse</w:t>
      </w:r>
      <w:proofErr w:type="spellEnd"/>
      <w:r w:rsidRPr="00A517F5">
        <w:rPr>
          <w:rFonts w:ascii="Times New Roman" w:eastAsia="Times New Roman" w:hAnsi="Times New Roman" w:cs="Times New Roman"/>
          <w:color w:val="auto"/>
          <w:sz w:val="24"/>
          <w:szCs w:val="24"/>
        </w:rPr>
        <w:t xml:space="preserve">, the women’s designer-wear concept developed in Tasks 1 and 2. Excel is appropriate for small businesses because it combines modelling, analysis, and communication in a single, familiar tool. In management practice and teaching, spreadsheet modelling is still treated as a core decision-support skill for entrepreneurs and analysts (Winston, 2019; Powell and Baker, 2017; Camm et al., 2021). </w:t>
      </w:r>
    </w:p>
    <w:p w14:paraId="5F7DC195" w14:textId="3F629AB1" w:rsidR="001A27A0" w:rsidRDefault="00E93BA9">
      <w:pPr>
        <w:pStyle w:val="Heading2"/>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Model set-up in Excel</w:t>
      </w:r>
    </w:p>
    <w:p w14:paraId="652E1297" w14:textId="1C5BAD06"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The workbook uses monthly columns (Jan–Dec) and rows for Sales Revenue, Cost of Goods Sold (COGS), gross profit (labelled Total Revenue in the sheet), operating expenses (administrative, salaries, digital software, miscellaneous), Total Expenses, and Profit. Core formulas are straightforward:</w:t>
      </w:r>
    </w:p>
    <w:p w14:paraId="22291DF6" w14:textId="1F6E1037"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Gross profit = Sales − COGS</w:t>
      </w:r>
    </w:p>
    <w:p w14:paraId="2A054533" w14:textId="5C70C474"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 xml:space="preserve">Total expenses = </w:t>
      </w:r>
      <w:proofErr w:type="gramStart"/>
      <w:r w:rsidRPr="00A517F5">
        <w:rPr>
          <w:rFonts w:ascii="Times New Roman" w:eastAsia="Times New Roman" w:hAnsi="Times New Roman" w:cs="Times New Roman"/>
          <w:color w:val="auto"/>
          <w:sz w:val="24"/>
          <w:szCs w:val="24"/>
        </w:rPr>
        <w:t>SUM(</w:t>
      </w:r>
      <w:proofErr w:type="gramEnd"/>
      <w:r w:rsidRPr="00A517F5">
        <w:rPr>
          <w:rFonts w:ascii="Times New Roman" w:eastAsia="Times New Roman" w:hAnsi="Times New Roman" w:cs="Times New Roman"/>
          <w:color w:val="auto"/>
          <w:sz w:val="24"/>
          <w:szCs w:val="24"/>
        </w:rPr>
        <w:t xml:space="preserve">admin, salaries, software, </w:t>
      </w:r>
      <w:proofErr w:type="spellStart"/>
      <w:r w:rsidRPr="00A517F5">
        <w:rPr>
          <w:rFonts w:ascii="Times New Roman" w:eastAsia="Times New Roman" w:hAnsi="Times New Roman" w:cs="Times New Roman"/>
          <w:color w:val="auto"/>
          <w:sz w:val="24"/>
          <w:szCs w:val="24"/>
        </w:rPr>
        <w:t>misc</w:t>
      </w:r>
      <w:proofErr w:type="spellEnd"/>
      <w:r w:rsidRPr="00A517F5">
        <w:rPr>
          <w:rFonts w:ascii="Times New Roman" w:eastAsia="Times New Roman" w:hAnsi="Times New Roman" w:cs="Times New Roman"/>
          <w:color w:val="auto"/>
          <w:sz w:val="24"/>
          <w:szCs w:val="24"/>
        </w:rPr>
        <w:t>)</w:t>
      </w:r>
    </w:p>
    <w:p w14:paraId="5632DEE7" w14:textId="6D2D7200"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Profit = Gross profit − Total expenses</w:t>
      </w:r>
    </w:p>
    <w:p w14:paraId="64AC0FDD" w14:textId="037B5E5E"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Annual totals = SUM across months.</w:t>
      </w:r>
    </w:p>
    <w:p w14:paraId="5417F1C7" w14:textId="607CD8D9" w:rsid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 xml:space="preserve">To reduce error and improve readability, currency formatting, bold totals, and consistent decimals are applied. A simple column chart then compares annual Sales, COGS, and Profit, following Microsoft’s guidance to use Recommended Charts for quick, legible comparisons (Microsoft, 2024a). </w:t>
      </w:r>
    </w:p>
    <w:p w14:paraId="4C58530D" w14:textId="77777777" w:rsidR="00A517F5" w:rsidRPr="00A517F5" w:rsidRDefault="00A517F5" w:rsidP="00A517F5"/>
    <w:p w14:paraId="7F8AA1A4" w14:textId="45D9EAF7" w:rsidR="001A27A0" w:rsidRDefault="00E93BA9" w:rsidP="00E93BA9">
      <w:pPr>
        <w:pStyle w:val="Heading2"/>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Results and interpretation</w:t>
      </w:r>
    </w:p>
    <w:p w14:paraId="74782A9C" w14:textId="389D8A2D"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 xml:space="preserve">Your base scenario assumes monthly sales of 8,000, COGS of 5,500, and operating expenses of 2,100 (admin 800; salaries 1,000; software 100; </w:t>
      </w:r>
      <w:proofErr w:type="spellStart"/>
      <w:r w:rsidRPr="00A517F5">
        <w:rPr>
          <w:rFonts w:ascii="Times New Roman" w:eastAsia="Times New Roman" w:hAnsi="Times New Roman" w:cs="Times New Roman"/>
          <w:color w:val="auto"/>
          <w:sz w:val="24"/>
          <w:szCs w:val="24"/>
        </w:rPr>
        <w:t>misc</w:t>
      </w:r>
      <w:proofErr w:type="spellEnd"/>
      <w:r w:rsidRPr="00A517F5">
        <w:rPr>
          <w:rFonts w:ascii="Times New Roman" w:eastAsia="Times New Roman" w:hAnsi="Times New Roman" w:cs="Times New Roman"/>
          <w:color w:val="auto"/>
          <w:sz w:val="24"/>
          <w:szCs w:val="24"/>
        </w:rPr>
        <w:t xml:space="preserve"> 300). This yields a monthly gross profit of 2,500 and a monthly net profit of 400. Totals for the year are:</w:t>
      </w:r>
    </w:p>
    <w:p w14:paraId="5951678A" w14:textId="0ECA9F5E"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Sales 96,000; COGS 66,000; gross profit 30,000; operating expenses 25,200; net profit 4,800.</w:t>
      </w:r>
    </w:p>
    <w:p w14:paraId="41CE17B4" w14:textId="77777777" w:rsid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The gross margin is 31.25% (2,500 ÷ 8,000). The break-even sales level is therefore about 6,720 per month (expenses 2,100 ÷ 0.3125). This places the current sales assumption above break-even with a modest cushion, matching the brand strategy from Tasks 1–2: accessible pricing with careful cost control.</w:t>
      </w:r>
    </w:p>
    <w:p w14:paraId="288F0C70" w14:textId="0CA06911" w:rsidR="001A27A0" w:rsidRDefault="00E93BA9" w:rsidP="00A517F5">
      <w:pPr>
        <w:pStyle w:val="Heading2"/>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What-if</w:t>
      </w:r>
      <w:r w:rsidR="00A517F5">
        <w:rPr>
          <w:rFonts w:ascii="Times New Roman" w:eastAsia="Times New Roman" w:hAnsi="Times New Roman" w:cs="Times New Roman"/>
          <w:sz w:val="24"/>
          <w:szCs w:val="24"/>
        </w:rPr>
        <w:t xml:space="preserve"> analysis</w:t>
      </w:r>
      <w:r>
        <w:rPr>
          <w:rFonts w:ascii="Times New Roman" w:eastAsia="Times New Roman" w:hAnsi="Times New Roman" w:cs="Times New Roman"/>
          <w:sz w:val="24"/>
          <w:szCs w:val="24"/>
        </w:rPr>
        <w:t xml:space="preserve"> and forecasting</w:t>
      </w:r>
    </w:p>
    <w:p w14:paraId="5BEFC19B" w14:textId="15360989"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Excel’s value for small firms is the speed with which assumptions can be changed and the impact observed. Two simple scenarios show sensitivity:</w:t>
      </w:r>
    </w:p>
    <w:p w14:paraId="04D26E99" w14:textId="5518821E"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+10% sales (8,800) with COGS proportional increases net profit to roughly 650 per month (7,800 per year).</w:t>
      </w:r>
    </w:p>
    <w:p w14:paraId="766EF677" w14:textId="28449F54"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−5% COGS (5,225) at current sales lifts profit to about 675 per month (8,100 per year).</w:t>
      </w:r>
    </w:p>
    <w:p w14:paraId="7944D6BE" w14:textId="32BAD389" w:rsidR="00A517F5" w:rsidRPr="00A517F5" w:rsidRDefault="00A517F5" w:rsidP="00A517F5">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 xml:space="preserve">For seasonality and limited-drop releases, the Forecast Sheet (FORECAST.ETS) can extend time-series once actuals accrue, automatically generating a forecast table and chart on a new worksheet (Microsoft, 2024b). Such quick “what-ifs” and smoothing-based forecasts are precisely the spreadsheet skills covered in mainstream analytics texts (Winston, 2019; Powell and Baker, 2017). </w:t>
      </w:r>
    </w:p>
    <w:p w14:paraId="360C9371" w14:textId="56F5FAF8" w:rsidR="00A517F5" w:rsidRDefault="00A517F5" w:rsidP="00A517F5">
      <w:pPr>
        <w:pStyle w:val="Heading2"/>
        <w:spacing w:after="240" w:line="360" w:lineRule="auto"/>
        <w:rPr>
          <w:rFonts w:ascii="Times New Roman" w:eastAsia="Times New Roman" w:hAnsi="Times New Roman" w:cs="Times New Roman"/>
          <w:color w:val="auto"/>
          <w:sz w:val="24"/>
          <w:szCs w:val="24"/>
        </w:rPr>
      </w:pPr>
    </w:p>
    <w:p w14:paraId="1D4CC9C1" w14:textId="77777777" w:rsidR="00A517F5" w:rsidRPr="00A517F5" w:rsidRDefault="00A517F5" w:rsidP="00A517F5"/>
    <w:p w14:paraId="40A20F4C" w14:textId="4D1B9414" w:rsidR="001A27A0" w:rsidRDefault="00E93BA9" w:rsidP="00A517F5">
      <w:pPr>
        <w:pStyle w:val="Heading2"/>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Visualisation</w:t>
      </w:r>
      <w:proofErr w:type="spellEnd"/>
      <w:r>
        <w:rPr>
          <w:rFonts w:ascii="Times New Roman" w:eastAsia="Times New Roman" w:hAnsi="Times New Roman" w:cs="Times New Roman"/>
          <w:sz w:val="24"/>
          <w:szCs w:val="24"/>
        </w:rPr>
        <w:t xml:space="preserve"> and communication</w:t>
      </w:r>
    </w:p>
    <w:p w14:paraId="6EBD8BBD" w14:textId="77777777" w:rsidR="00A517F5" w:rsidRDefault="00A517F5" w:rsidP="00E93BA9">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 xml:space="preserve">Your bar chart </w:t>
      </w:r>
      <w:proofErr w:type="spellStart"/>
      <w:r w:rsidRPr="00A517F5">
        <w:rPr>
          <w:rFonts w:ascii="Times New Roman" w:eastAsia="Times New Roman" w:hAnsi="Times New Roman" w:cs="Times New Roman"/>
          <w:color w:val="auto"/>
          <w:sz w:val="24"/>
          <w:szCs w:val="24"/>
        </w:rPr>
        <w:t>summarises</w:t>
      </w:r>
      <w:proofErr w:type="spellEnd"/>
      <w:r w:rsidRPr="00A517F5">
        <w:rPr>
          <w:rFonts w:ascii="Times New Roman" w:eastAsia="Times New Roman" w:hAnsi="Times New Roman" w:cs="Times New Roman"/>
          <w:color w:val="auto"/>
          <w:sz w:val="24"/>
          <w:szCs w:val="24"/>
        </w:rPr>
        <w:t xml:space="preserve"> the story in one view: strong sales, sizeable COGS, and a thin but positive profit. Microsoft recommends selecting the data range, inserting Recommended Charts, and adding data labels to support clear interpretation by non-specialists (Microsoft, 2024a). Keeping a single currency unit, titling the chart, and placing totals in an annual column are simple but effective reporting habits. </w:t>
      </w:r>
    </w:p>
    <w:p w14:paraId="02784173" w14:textId="1E1A3705" w:rsidR="00E93BA9" w:rsidRDefault="00E93BA9" w:rsidP="00E93BA9">
      <w:pPr>
        <w:pStyle w:val="Heading2"/>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Good practice and risk control</w:t>
      </w:r>
    </w:p>
    <w:p w14:paraId="094F6BF4" w14:textId="77777777" w:rsidR="00A517F5" w:rsidRDefault="00A517F5" w:rsidP="00E93BA9">
      <w:pPr>
        <w:pStyle w:val="Heading2"/>
        <w:spacing w:after="240" w:line="360" w:lineRule="auto"/>
        <w:rPr>
          <w:rFonts w:ascii="Times New Roman" w:eastAsia="Times New Roman" w:hAnsi="Times New Roman" w:cs="Times New Roman"/>
          <w:color w:val="auto"/>
          <w:sz w:val="24"/>
          <w:szCs w:val="24"/>
        </w:rPr>
      </w:pPr>
      <w:r w:rsidRPr="00A517F5">
        <w:rPr>
          <w:rFonts w:ascii="Times New Roman" w:eastAsia="Times New Roman" w:hAnsi="Times New Roman" w:cs="Times New Roman"/>
          <w:color w:val="auto"/>
          <w:sz w:val="24"/>
          <w:szCs w:val="24"/>
        </w:rPr>
        <w:t xml:space="preserve">Spreadsheets are powerful and ubiquitous, but the research record shows that human error in formulas and references is common and non-trivial. Systematic reviews report that only rigorous inspection (cell-by-cell checking) has consistently demonstrated large error-reduction effects (Panko, 2008). Good hygiene for entrepreneurs includes using named ranges for key drivers, keeping a separate “Assumptions” block, and running spot checks before sharing the file. </w:t>
      </w:r>
    </w:p>
    <w:p w14:paraId="5A738369" w14:textId="53C6B660" w:rsidR="00E93BA9" w:rsidRDefault="00E93BA9" w:rsidP="00E93BA9">
      <w:pPr>
        <w:pStyle w:val="Heading2"/>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Why Excel remains important in the digital era</w:t>
      </w:r>
    </w:p>
    <w:p w14:paraId="2D25AEBB" w14:textId="350673CF" w:rsidR="00E93BA9" w:rsidRPr="00E93BA9" w:rsidRDefault="00A517F5" w:rsidP="00E93BA9">
      <w:r>
        <w:t>Although many cloud tools exist, spreadsheets remain central to day-to-day decision-making. Business analytics curricula continue to use Excel models to teach framing, scenario analysis, and data-driven decisions before moving to heavier platforms (Camm et al., 2021; Powell and Baker, 2017). More broadly, firms that adopt data-driven management practices outperform those relying on intuition, which underlines the value of accessible tools that embed analysis in routine work (McAfee and Brynjolfsson, 2012). Excel’s combination of modelling, charting, and quick iteration makes it a practical “first mile” for that culture in small teams.</w:t>
      </w:r>
    </w:p>
    <w:p w14:paraId="1C853A8D" w14:textId="5A768834" w:rsidR="00E93BA9" w:rsidRDefault="00E93BA9" w:rsidP="00E93BA9">
      <w:pPr>
        <w:pStyle w:val="Heading2"/>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p>
    <w:p w14:paraId="14D5CE10" w14:textId="260665A6" w:rsidR="00E93BA9" w:rsidRDefault="00A517F5">
      <w:pPr>
        <w:spacing w:after="240" w:line="360" w:lineRule="auto"/>
      </w:pPr>
      <w:r w:rsidRPr="00A517F5">
        <w:t xml:space="preserve">The </w:t>
      </w:r>
      <w:proofErr w:type="spellStart"/>
      <w:r w:rsidRPr="00A517F5">
        <w:t>Fabrisse</w:t>
      </w:r>
      <w:proofErr w:type="spellEnd"/>
      <w:r w:rsidRPr="00A517F5">
        <w:t xml:space="preserve"> workbook demonstrates a cautious but viable plan: £4,800 annual profit on £96,000 sales, above </w:t>
      </w:r>
      <w:proofErr w:type="gramStart"/>
      <w:r w:rsidRPr="00A517F5">
        <w:t>break-even</w:t>
      </w:r>
      <w:proofErr w:type="gramEnd"/>
      <w:r w:rsidRPr="00A517F5">
        <w:t xml:space="preserve"> with scope to improve through modest volume growth or better buying terms. Excel makes these levers visible, supports scenario tests in seconds, and can project seasonal patterns once real data arrives. For a start-up fashion label that must balance exclusivity </w:t>
      </w:r>
      <w:r w:rsidRPr="00A517F5">
        <w:lastRenderedPageBreak/>
        <w:t>with affordability, this clarity enables evidence-based decisions about prices, assortment, and marketing spend (Winston, 2019; Microsoft, 2024b).</w:t>
      </w:r>
    </w:p>
    <w:p w14:paraId="15DF88CE" w14:textId="77777777" w:rsidR="00E93BA9" w:rsidRDefault="00E93BA9">
      <w:pPr>
        <w:spacing w:after="240" w:line="360" w:lineRule="auto"/>
      </w:pPr>
    </w:p>
    <w:p w14:paraId="74AE7F5D" w14:textId="77777777" w:rsidR="001A27A0" w:rsidRDefault="00000000">
      <w:pPr>
        <w:pStyle w:val="Heading1"/>
        <w:spacing w:before="360" w:line="360" w:lineRule="auto"/>
      </w:pPr>
      <w:bookmarkStart w:id="4" w:name="_3g14xdw2ufdx" w:colFirst="0" w:colLast="0"/>
      <w:bookmarkEnd w:id="4"/>
      <w:r>
        <w:t>Task 4: Storytelling Video and Reflection</w:t>
      </w:r>
    </w:p>
    <w:p w14:paraId="216EB15F" w14:textId="1D45C243" w:rsidR="001A27A0" w:rsidRDefault="00E07811">
      <w:pPr>
        <w:spacing w:after="240" w:line="360" w:lineRule="auto"/>
      </w:pPr>
      <w:r w:rsidRPr="00E07811">
        <w:t xml:space="preserve">The </w:t>
      </w:r>
      <w:proofErr w:type="spellStart"/>
      <w:r w:rsidRPr="00E07811">
        <w:t>Fabrisse</w:t>
      </w:r>
      <w:proofErr w:type="spellEnd"/>
      <w:r w:rsidRPr="00E07811">
        <w:t xml:space="preserve"> presentation video uses a slide-based structure with narration to introduce and position the brand. It opens with a title slide carrying the FABRISSE name and consistent warm </w:t>
      </w:r>
      <w:proofErr w:type="spellStart"/>
      <w:r w:rsidRPr="00E07811">
        <w:t>colour</w:t>
      </w:r>
      <w:proofErr w:type="spellEnd"/>
      <w:r w:rsidRPr="00E07811">
        <w:t xml:space="preserve"> palette. This establishes brand identity from the outset and aligns the visual system with the website and marketing poster, creating recognition across channels (Keller, 1993). The following slides use a problem–solution narrative: consumers often view designer fashion as expensive and inaccessible, and </w:t>
      </w:r>
      <w:proofErr w:type="spellStart"/>
      <w:r w:rsidRPr="00E07811">
        <w:t>Fabrisse</w:t>
      </w:r>
      <w:proofErr w:type="spellEnd"/>
      <w:r w:rsidRPr="00E07811">
        <w:t xml:space="preserve"> offers an alternative that combines style, comfort and limited-edition exclusivity. This storytelling arc follows classic branding advice to anchor communication in a clear challenge and resolution (Fog, Budtz and </w:t>
      </w:r>
      <w:proofErr w:type="spellStart"/>
      <w:r w:rsidRPr="00E07811">
        <w:t>Yakaboylu</w:t>
      </w:r>
      <w:proofErr w:type="spellEnd"/>
      <w:r w:rsidRPr="00E07811">
        <w:t>, 2005).</w:t>
      </w:r>
    </w:p>
    <w:p w14:paraId="2E974F59" w14:textId="77777777" w:rsidR="001A27A0" w:rsidRDefault="001A27A0">
      <w:pPr>
        <w:spacing w:after="240" w:line="360" w:lineRule="auto"/>
        <w:rPr>
          <w:b/>
        </w:rPr>
      </w:pPr>
    </w:p>
    <w:p w14:paraId="7DCBC7E5" w14:textId="77777777" w:rsidR="001A27A0" w:rsidRDefault="00000000">
      <w:pPr>
        <w:spacing w:after="240" w:line="360" w:lineRule="auto"/>
      </w:pPr>
      <w:r>
        <w:br w:type="page"/>
      </w:r>
    </w:p>
    <w:p w14:paraId="0DC08FBC" w14:textId="77777777" w:rsidR="001A27A0" w:rsidRDefault="00000000">
      <w:pPr>
        <w:pStyle w:val="Heading1"/>
        <w:spacing w:line="360" w:lineRule="auto"/>
      </w:pPr>
      <w:r>
        <w:lastRenderedPageBreak/>
        <w:t>References</w:t>
      </w:r>
    </w:p>
    <w:p w14:paraId="46B06CAF" w14:textId="77777777" w:rsidR="0058676E" w:rsidRDefault="0058676E" w:rsidP="0058676E"/>
    <w:p w14:paraId="1AE85598" w14:textId="0E8A44A6" w:rsidR="0058676E" w:rsidRDefault="0058676E" w:rsidP="0058676E">
      <w:r>
        <w:t>Task 1</w:t>
      </w:r>
    </w:p>
    <w:p w14:paraId="73BC13A6" w14:textId="6C60B9A8" w:rsidR="0058676E" w:rsidRDefault="0058676E" w:rsidP="0058676E">
      <w:pPr>
        <w:pStyle w:val="NormalWeb"/>
      </w:pPr>
      <w:r>
        <w:t xml:space="preserve">Aaker, D.A. (1991) </w:t>
      </w:r>
      <w:r>
        <w:rPr>
          <w:rStyle w:val="Emphasis"/>
        </w:rPr>
        <w:t>Managing Brand Equity: Capitalizing on the Value of a Brand Name</w:t>
      </w:r>
      <w:r>
        <w:t xml:space="preserve">. New York: The Free Press. Available at: </w:t>
      </w:r>
      <w:hyperlink r:id="rId12" w:tgtFrame="_new" w:history="1">
        <w:r>
          <w:rPr>
            <w:rStyle w:val="Hyperlink"/>
          </w:rPr>
          <w:t>https://www.amazon.com/Managing-Brand-Equity-David-Aaker/dp/0029001013</w:t>
        </w:r>
      </w:hyperlink>
      <w:r>
        <w:t xml:space="preserve"> (Accessed: 2</w:t>
      </w:r>
      <w:r>
        <w:t>1</w:t>
      </w:r>
      <w:r>
        <w:t xml:space="preserve"> August 2025).</w:t>
      </w:r>
    </w:p>
    <w:p w14:paraId="114AAD49" w14:textId="278D878D" w:rsidR="0058676E" w:rsidRDefault="0058676E" w:rsidP="0058676E">
      <w:pPr>
        <w:pStyle w:val="NormalWeb"/>
      </w:pPr>
      <w:proofErr w:type="spellStart"/>
      <w:r>
        <w:t>Cabigiosu</w:t>
      </w:r>
      <w:proofErr w:type="spellEnd"/>
      <w:r>
        <w:t xml:space="preserve">, A. (2020) ‘An overview of the luxury fashion industry’, </w:t>
      </w:r>
      <w:r>
        <w:rPr>
          <w:rStyle w:val="Emphasis"/>
        </w:rPr>
        <w:t>Journal of Global Fashion Marketing</w:t>
      </w:r>
      <w:r>
        <w:t>, 11(3), pp. 237–249. Available at: https://pmc.ncbi.nlm.nih.gov/articles/PMC7355146/ (Accessed: 2</w:t>
      </w:r>
      <w:r>
        <w:t>1</w:t>
      </w:r>
      <w:r>
        <w:t xml:space="preserve"> August 2025).</w:t>
      </w:r>
    </w:p>
    <w:p w14:paraId="6C27EA6A" w14:textId="77777777" w:rsidR="0058676E" w:rsidRDefault="0058676E" w:rsidP="0058676E">
      <w:pPr>
        <w:pStyle w:val="NormalWeb"/>
      </w:pPr>
      <w:proofErr w:type="spellStart"/>
      <w:r>
        <w:t>Efendioglu</w:t>
      </w:r>
      <w:proofErr w:type="spellEnd"/>
      <w:r>
        <w:t xml:space="preserve">, I.H. and Durmaz, Y. (2022) ‘The impact of perceptions of social media advertisements on advertising value, brand awareness and brand associations: Research on Generation Y Instagram users’, </w:t>
      </w:r>
      <w:proofErr w:type="spellStart"/>
      <w:r>
        <w:rPr>
          <w:rStyle w:val="Emphasis"/>
        </w:rPr>
        <w:t>arXiv</w:t>
      </w:r>
      <w:proofErr w:type="spellEnd"/>
      <w:r>
        <w:rPr>
          <w:rStyle w:val="Emphasis"/>
        </w:rPr>
        <w:t xml:space="preserve"> preprint</w:t>
      </w:r>
      <w:r>
        <w:t>. Available at: https://arxiv.org/abs/2209.13596 (Accessed: 21 August 2025).</w:t>
      </w:r>
    </w:p>
    <w:p w14:paraId="3E924615" w14:textId="71127538" w:rsidR="0058676E" w:rsidRDefault="0058676E" w:rsidP="0058676E">
      <w:pPr>
        <w:pStyle w:val="NormalWeb"/>
      </w:pPr>
      <w:r>
        <w:t xml:space="preserve">Keller, K.L. (1993) ‘Conceptualizing, measuring, and managing customer-based brand equity’, </w:t>
      </w:r>
      <w:r>
        <w:rPr>
          <w:rStyle w:val="Emphasis"/>
        </w:rPr>
        <w:t>Journal of Marketing</w:t>
      </w:r>
      <w:r>
        <w:t>, 57(1), pp. 1–22. Available at: https://doi.org/10.1177/002224299305700101 (Accessed: 2</w:t>
      </w:r>
      <w:r>
        <w:t>1</w:t>
      </w:r>
      <w:r>
        <w:t xml:space="preserve"> August 2025).</w:t>
      </w:r>
    </w:p>
    <w:p w14:paraId="0C977411" w14:textId="77777777" w:rsidR="0058676E" w:rsidRDefault="0058676E" w:rsidP="0058676E">
      <w:pPr>
        <w:pStyle w:val="NormalWeb"/>
      </w:pPr>
      <w:r>
        <w:t xml:space="preserve">Kotler, P. and Armstrong, G. (2021) </w:t>
      </w:r>
      <w:r>
        <w:rPr>
          <w:rStyle w:val="Emphasis"/>
        </w:rPr>
        <w:t>Principles of Marketing</w:t>
      </w:r>
      <w:r>
        <w:t>. 18th edn. London: Pearson.</w:t>
      </w:r>
    </w:p>
    <w:p w14:paraId="294C5AE3" w14:textId="24201A87" w:rsidR="0058676E" w:rsidRDefault="0058676E" w:rsidP="0058676E">
      <w:pPr>
        <w:pStyle w:val="NormalWeb"/>
      </w:pPr>
      <w:r>
        <w:t xml:space="preserve">Nash, J. (2019) ‘Exploring how social media platforms influence fashion consumer decisions in the UK retail sector’, </w:t>
      </w:r>
      <w:r>
        <w:rPr>
          <w:rStyle w:val="Emphasis"/>
        </w:rPr>
        <w:t>Journal of Fashion Marketing and Management</w:t>
      </w:r>
      <w:r>
        <w:t>, 23(1), pp. 22–38. Available at: https://eprints.bournemouth.ac.uk/30793/ (Accessed: 2</w:t>
      </w:r>
      <w:r>
        <w:t>1</w:t>
      </w:r>
      <w:r>
        <w:t xml:space="preserve"> August 2025).</w:t>
      </w:r>
    </w:p>
    <w:p w14:paraId="71477E78" w14:textId="520AC662" w:rsidR="0058676E" w:rsidRDefault="0058676E" w:rsidP="0058676E">
      <w:pPr>
        <w:pStyle w:val="NormalWeb"/>
      </w:pPr>
      <w:r>
        <w:t xml:space="preserve">Tynan, C., McKechnie, S. and Chhuon, C. (2010) ‘Co-creating value for luxury brands’, </w:t>
      </w:r>
      <w:r>
        <w:rPr>
          <w:rStyle w:val="Emphasis"/>
        </w:rPr>
        <w:t>Journal of Business Research</w:t>
      </w:r>
      <w:r>
        <w:t>, 63(11), pp. 1156–1163. Available at: https://doi.org/10.1016/j.jbusres.2009.10.012 (Accessed: 2</w:t>
      </w:r>
      <w:r>
        <w:t>1</w:t>
      </w:r>
      <w:r>
        <w:t xml:space="preserve"> August 2025).</w:t>
      </w:r>
    </w:p>
    <w:p w14:paraId="5ECBB0C9" w14:textId="77777777" w:rsidR="0058676E" w:rsidRDefault="0058676E" w:rsidP="0058676E">
      <w:pPr>
        <w:pStyle w:val="NormalWeb"/>
      </w:pPr>
      <w:r>
        <w:t xml:space="preserve">Wang, X. (2024) ‘Investigating how perceived sustainability and rarity influence willingness to pay more for luxury’, </w:t>
      </w:r>
      <w:r>
        <w:rPr>
          <w:rStyle w:val="Emphasis"/>
        </w:rPr>
        <w:t>Journal of Consumer Research</w:t>
      </w:r>
      <w:r>
        <w:t>, 51(2), pp. 345–362.</w:t>
      </w:r>
    </w:p>
    <w:p w14:paraId="446CAC17" w14:textId="77777777" w:rsidR="0058676E" w:rsidRDefault="0058676E" w:rsidP="0058676E"/>
    <w:p w14:paraId="7E729EC0" w14:textId="77777777" w:rsidR="00527B84" w:rsidRDefault="00527B84" w:rsidP="0058676E"/>
    <w:p w14:paraId="7268C207" w14:textId="77777777" w:rsidR="00527B84" w:rsidRDefault="00527B84" w:rsidP="0058676E"/>
    <w:p w14:paraId="5573DFC7" w14:textId="09DB28B8" w:rsidR="00527B84" w:rsidRDefault="00527B84" w:rsidP="0058676E">
      <w:r>
        <w:lastRenderedPageBreak/>
        <w:t xml:space="preserve">Task 2 </w:t>
      </w:r>
    </w:p>
    <w:p w14:paraId="575B3513" w14:textId="77777777" w:rsidR="00CB3AA6" w:rsidRDefault="00CB3AA6" w:rsidP="00CB3AA6">
      <w:pPr>
        <w:pStyle w:val="NormalWeb"/>
      </w:pPr>
      <w:r>
        <w:t xml:space="preserve">Aaker, D.A. (1991) </w:t>
      </w:r>
      <w:r>
        <w:rPr>
          <w:rStyle w:val="Emphasis"/>
        </w:rPr>
        <w:t>Managing Brand Equity: Capitalizing on the Value of a Brand Name</w:t>
      </w:r>
      <w:r>
        <w:t>. New York: The Free Press.</w:t>
      </w:r>
    </w:p>
    <w:p w14:paraId="6110002E" w14:textId="77777777" w:rsidR="00CB3AA6" w:rsidRDefault="00CB3AA6" w:rsidP="00CB3AA6">
      <w:pPr>
        <w:pStyle w:val="NormalWeb"/>
      </w:pPr>
      <w:r>
        <w:t xml:space="preserve">Chaffey, D. and Ellis-Chadwick, F. (2022) </w:t>
      </w:r>
      <w:r>
        <w:rPr>
          <w:rStyle w:val="Emphasis"/>
        </w:rPr>
        <w:t>Digital Marketing</w:t>
      </w:r>
      <w:r>
        <w:t>. 8th edn. Harlow: Pearson. Available at: https://www.pearson.com/en-us/subject-catalog/p/digital-marketing/P20000003912/9781292401003 (Accessed: 26 August 2025).</w:t>
      </w:r>
    </w:p>
    <w:p w14:paraId="3DE3BC3A" w14:textId="77777777" w:rsidR="00CB3AA6" w:rsidRDefault="00CB3AA6" w:rsidP="00CB3AA6">
      <w:pPr>
        <w:pStyle w:val="NormalWeb"/>
      </w:pPr>
      <w:r>
        <w:t>Cyr, D. (2008) ‘</w:t>
      </w:r>
      <w:proofErr w:type="spellStart"/>
      <w:r>
        <w:t>Modeling</w:t>
      </w:r>
      <w:proofErr w:type="spellEnd"/>
      <w:r>
        <w:t xml:space="preserve"> web site design across cultures: relationships to trust, satisfaction, and e-loyalty’, </w:t>
      </w:r>
      <w:r>
        <w:rPr>
          <w:rStyle w:val="Emphasis"/>
        </w:rPr>
        <w:t>Journal of Management Information Systems</w:t>
      </w:r>
      <w:r>
        <w:t>, 24(4), pp. 47–72. doi:10.2753/MIS0742-1222240402.</w:t>
      </w:r>
    </w:p>
    <w:p w14:paraId="64B8DCE7" w14:textId="468BA329" w:rsidR="00CB3AA6" w:rsidRDefault="00CB3AA6" w:rsidP="00CB3AA6">
      <w:pPr>
        <w:pStyle w:val="NormalWeb"/>
      </w:pPr>
      <w:r>
        <w:t xml:space="preserve">Google (2024) ‘Search Engine Optimization (SEO) starter guide’. Available at: </w:t>
      </w:r>
      <w:hyperlink r:id="rId13" w:tgtFrame="_new" w:history="1">
        <w:r>
          <w:rPr>
            <w:rStyle w:val="Hyperlink"/>
          </w:rPr>
          <w:t>https://developers.google.com/search/docs/fundamentals/seo-starter-guide</w:t>
        </w:r>
      </w:hyperlink>
      <w:r>
        <w:t xml:space="preserve"> (Accessed: 2</w:t>
      </w:r>
      <w:r w:rsidR="00566FD2">
        <w:t>3</w:t>
      </w:r>
      <w:r>
        <w:t xml:space="preserve"> August 2025).</w:t>
      </w:r>
    </w:p>
    <w:p w14:paraId="22FF6FF9" w14:textId="77777777" w:rsidR="00CB3AA6" w:rsidRDefault="00CB3AA6" w:rsidP="00CB3AA6">
      <w:pPr>
        <w:pStyle w:val="NormalWeb"/>
      </w:pPr>
      <w:r>
        <w:t xml:space="preserve">Kapferer, J-N. and Bastien, V. (2012) </w:t>
      </w:r>
      <w:r>
        <w:rPr>
          <w:rStyle w:val="Emphasis"/>
        </w:rPr>
        <w:t>The Luxury Strategy: Break the Rules of Marketing to Build Luxury Brands</w:t>
      </w:r>
      <w:r>
        <w:t>. 2nd edn. London: Kogan Page.</w:t>
      </w:r>
    </w:p>
    <w:p w14:paraId="3C776612" w14:textId="77777777" w:rsidR="00CB3AA6" w:rsidRDefault="00CB3AA6" w:rsidP="00CB3AA6">
      <w:pPr>
        <w:pStyle w:val="NormalWeb"/>
      </w:pPr>
      <w:r>
        <w:t xml:space="preserve">Keller, K.L. (1993) ‘Conceptualizing, measuring, and managing customer-based brand equity’, </w:t>
      </w:r>
      <w:r>
        <w:rPr>
          <w:rStyle w:val="Emphasis"/>
        </w:rPr>
        <w:t>Journal of Marketing</w:t>
      </w:r>
      <w:r>
        <w:t>, 57(1), pp. 1–22. doi:10.1177/002224299305700101.</w:t>
      </w:r>
    </w:p>
    <w:p w14:paraId="4B93865F" w14:textId="77777777" w:rsidR="00CB3AA6" w:rsidRDefault="00CB3AA6" w:rsidP="00CB3AA6">
      <w:pPr>
        <w:pStyle w:val="NormalWeb"/>
      </w:pPr>
      <w:r>
        <w:t xml:space="preserve">Kotler, P. and Armstrong, G. (2021) </w:t>
      </w:r>
      <w:r>
        <w:rPr>
          <w:rStyle w:val="Emphasis"/>
        </w:rPr>
        <w:t>Principles of Marketing</w:t>
      </w:r>
      <w:r>
        <w:t>. 18th edn. London: Pearson.</w:t>
      </w:r>
    </w:p>
    <w:p w14:paraId="7596CF70" w14:textId="77777777" w:rsidR="00CB3AA6" w:rsidRDefault="00CB3AA6" w:rsidP="00CB3AA6">
      <w:pPr>
        <w:pStyle w:val="NormalWeb"/>
      </w:pPr>
      <w:r>
        <w:t xml:space="preserve">Tynan, C., McKechnie, S. and Chhuon, C. (2010) ‘Co-creating value for luxury brands’, </w:t>
      </w:r>
      <w:r>
        <w:rPr>
          <w:rStyle w:val="Emphasis"/>
        </w:rPr>
        <w:t>Journal of Business Research</w:t>
      </w:r>
      <w:r>
        <w:t xml:space="preserve">, 63(11), pp. 1156–1163. </w:t>
      </w:r>
      <w:proofErr w:type="gramStart"/>
      <w:r>
        <w:t>doi:10.1016/j.jbusres</w:t>
      </w:r>
      <w:proofErr w:type="gramEnd"/>
      <w:r>
        <w:t>.2009.10.012.</w:t>
      </w:r>
    </w:p>
    <w:p w14:paraId="34F3A0C1" w14:textId="77777777" w:rsidR="00527B84" w:rsidRDefault="00527B84" w:rsidP="0058676E"/>
    <w:p w14:paraId="5D1BC3AE" w14:textId="69C66395" w:rsidR="00566FD2" w:rsidRDefault="00566FD2" w:rsidP="0058676E">
      <w:r>
        <w:t>Task 3</w:t>
      </w:r>
    </w:p>
    <w:p w14:paraId="0D4E8A4D" w14:textId="765641DA" w:rsidR="00A517F5" w:rsidRDefault="00A517F5" w:rsidP="00A517F5">
      <w:pPr>
        <w:pStyle w:val="NormalWeb"/>
      </w:pPr>
      <w:r>
        <w:t xml:space="preserve">Camm, J.D., Cochran, J.J., Fry, M.J. and Ohlmann, J.W. (2021) </w:t>
      </w:r>
      <w:r>
        <w:rPr>
          <w:rStyle w:val="Emphasis"/>
        </w:rPr>
        <w:t>Business Analytics</w:t>
      </w:r>
      <w:r>
        <w:t xml:space="preserve">. 4th edn. Boston, MA: Cengage. Available at: </w:t>
      </w:r>
      <w:hyperlink r:id="rId14" w:tgtFrame="_new" w:history="1">
        <w:r>
          <w:rPr>
            <w:rStyle w:val="Hyperlink"/>
          </w:rPr>
          <w:t>https://www.cengage.com/c/business-analytics-4e-camm-cochran-fry-ohlmann/9780357131787/</w:t>
        </w:r>
      </w:hyperlink>
      <w:r>
        <w:t xml:space="preserve"> (Accessed: 2</w:t>
      </w:r>
      <w:r w:rsidR="006C2FB2">
        <w:t>4</w:t>
      </w:r>
      <w:r>
        <w:t xml:space="preserve"> August 2025). </w:t>
      </w:r>
      <w:hyperlink r:id="rId15" w:tgtFrame="_blank" w:history="1">
        <w:r>
          <w:rPr>
            <w:rStyle w:val="max-w-full"/>
            <w:color w:val="0000FF"/>
            <w:u w:val="single"/>
          </w:rPr>
          <w:t>cengage.com</w:t>
        </w:r>
      </w:hyperlink>
    </w:p>
    <w:p w14:paraId="191C6C6A" w14:textId="13A3C594" w:rsidR="00A517F5" w:rsidRDefault="00A517F5" w:rsidP="00A517F5">
      <w:pPr>
        <w:pStyle w:val="NormalWeb"/>
      </w:pPr>
      <w:r>
        <w:t xml:space="preserve">McAfee, A. and Brynjolfsson, E. (2012) ‘Big data: the management revolution’, </w:t>
      </w:r>
      <w:r>
        <w:rPr>
          <w:rStyle w:val="Emphasis"/>
        </w:rPr>
        <w:t>Harvard Business Review</w:t>
      </w:r>
      <w:r>
        <w:t xml:space="preserve">, 90(10), pp. 60–68. Available at: </w:t>
      </w:r>
      <w:hyperlink r:id="rId16" w:tgtFrame="_new" w:history="1">
        <w:r>
          <w:rPr>
            <w:rStyle w:val="Hyperlink"/>
          </w:rPr>
          <w:t>https://hbr.org/2012/10/big-data-the-management-revolution</w:t>
        </w:r>
      </w:hyperlink>
      <w:r>
        <w:t xml:space="preserve"> (Accessed: 2</w:t>
      </w:r>
      <w:r w:rsidR="006C2FB2">
        <w:t>4</w:t>
      </w:r>
      <w:r>
        <w:t xml:space="preserve"> August 2025). </w:t>
      </w:r>
      <w:hyperlink r:id="rId17" w:tgtFrame="_blank" w:history="1">
        <w:r>
          <w:rPr>
            <w:rStyle w:val="max-w-full"/>
            <w:color w:val="0000FF"/>
            <w:u w:val="single"/>
          </w:rPr>
          <w:t>Harvard Business Review</w:t>
        </w:r>
      </w:hyperlink>
    </w:p>
    <w:p w14:paraId="7277DA13" w14:textId="2FF1BDFA" w:rsidR="00A517F5" w:rsidRDefault="00A517F5" w:rsidP="00A517F5">
      <w:pPr>
        <w:pStyle w:val="NormalWeb"/>
      </w:pPr>
      <w:r>
        <w:t xml:space="preserve">Microsoft (2024a) ‘Create a chart from start to finish’. Available at: </w:t>
      </w:r>
      <w:hyperlink r:id="rId18" w:tgtFrame="_new" w:history="1">
        <w:r>
          <w:rPr>
            <w:rStyle w:val="Hyperlink"/>
          </w:rPr>
          <w:t>https://support.microsoft.com/en-us/office/create-a-chart-from-start-to-finish-0baf399e-dd61-4e18-8a73-b3fd5d5680c2</w:t>
        </w:r>
      </w:hyperlink>
      <w:r>
        <w:t xml:space="preserve"> (Accessed: 2</w:t>
      </w:r>
      <w:r w:rsidR="006C2FB2">
        <w:t>4</w:t>
      </w:r>
      <w:r>
        <w:t xml:space="preserve"> August 2025). </w:t>
      </w:r>
      <w:hyperlink r:id="rId19" w:tgtFrame="_blank" w:history="1">
        <w:r>
          <w:rPr>
            <w:rStyle w:val="max-w-full"/>
            <w:color w:val="0000FF"/>
            <w:u w:val="single"/>
          </w:rPr>
          <w:t>Microsoft Support</w:t>
        </w:r>
      </w:hyperlink>
    </w:p>
    <w:p w14:paraId="7AF5F440" w14:textId="7D5EA5C5" w:rsidR="00A517F5" w:rsidRDefault="00A517F5" w:rsidP="00A517F5">
      <w:pPr>
        <w:pStyle w:val="NormalWeb"/>
      </w:pPr>
      <w:r>
        <w:lastRenderedPageBreak/>
        <w:t xml:space="preserve">Microsoft (2024b) ‘Create a forecast in Excel for Windows’. Available at: </w:t>
      </w:r>
      <w:hyperlink r:id="rId20" w:tgtFrame="_new" w:history="1">
        <w:r>
          <w:rPr>
            <w:rStyle w:val="Hyperlink"/>
          </w:rPr>
          <w:t>https://support.microsoft.com/en-us/office/create-a-forecast-in-excel-for-windows-22c500da-6da7-45e5-bfdc-60a7062329fd</w:t>
        </w:r>
      </w:hyperlink>
      <w:r>
        <w:t xml:space="preserve"> (Accessed: 2</w:t>
      </w:r>
      <w:r w:rsidR="006C2FB2">
        <w:t>4</w:t>
      </w:r>
      <w:r>
        <w:t xml:space="preserve"> August 2025). </w:t>
      </w:r>
      <w:hyperlink r:id="rId21" w:tgtFrame="_blank" w:history="1">
        <w:r>
          <w:rPr>
            <w:rStyle w:val="max-w-full"/>
            <w:color w:val="0000FF"/>
            <w:u w:val="single"/>
          </w:rPr>
          <w:t>Microsoft Support</w:t>
        </w:r>
      </w:hyperlink>
    </w:p>
    <w:p w14:paraId="48A823ED" w14:textId="125D62D1" w:rsidR="00A517F5" w:rsidRDefault="00A517F5" w:rsidP="00A517F5">
      <w:pPr>
        <w:pStyle w:val="NormalWeb"/>
      </w:pPr>
      <w:r>
        <w:t xml:space="preserve">Panko, R.R. (2008) ‘Spreadsheet errors: what we know. What we think we can do’, </w:t>
      </w:r>
      <w:proofErr w:type="spellStart"/>
      <w:r>
        <w:rPr>
          <w:rStyle w:val="Emphasis"/>
        </w:rPr>
        <w:t>arXiv</w:t>
      </w:r>
      <w:proofErr w:type="spellEnd"/>
      <w:r>
        <w:rPr>
          <w:rStyle w:val="Emphasis"/>
        </w:rPr>
        <w:t xml:space="preserve"> preprint arXiv:0802.3457</w:t>
      </w:r>
      <w:r>
        <w:t xml:space="preserve">. Available at: </w:t>
      </w:r>
      <w:hyperlink r:id="rId22" w:tgtFrame="_new" w:history="1">
        <w:r>
          <w:rPr>
            <w:rStyle w:val="Hyperlink"/>
          </w:rPr>
          <w:t>https://arxiv.org/abs/0802.3457</w:t>
        </w:r>
      </w:hyperlink>
      <w:r>
        <w:t xml:space="preserve"> (Accessed: 2</w:t>
      </w:r>
      <w:r w:rsidR="006C2FB2">
        <w:t>4</w:t>
      </w:r>
      <w:r>
        <w:t xml:space="preserve"> August 2025). </w:t>
      </w:r>
      <w:hyperlink r:id="rId23" w:tgtFrame="_blank" w:history="1">
        <w:proofErr w:type="spellStart"/>
        <w:r>
          <w:rPr>
            <w:rStyle w:val="max-w-full"/>
            <w:color w:val="0000FF"/>
            <w:u w:val="single"/>
          </w:rPr>
          <w:t>arXiv</w:t>
        </w:r>
        <w:proofErr w:type="spellEnd"/>
      </w:hyperlink>
    </w:p>
    <w:p w14:paraId="75770B7E" w14:textId="63450A79" w:rsidR="00A517F5" w:rsidRDefault="00A517F5" w:rsidP="00A517F5">
      <w:pPr>
        <w:pStyle w:val="NormalWeb"/>
      </w:pPr>
      <w:r>
        <w:t xml:space="preserve">Powell, S.G. and Baker, K.R. (2017) </w:t>
      </w:r>
      <w:r>
        <w:rPr>
          <w:rStyle w:val="Emphasis"/>
        </w:rPr>
        <w:t xml:space="preserve">Business Analytics: The Art of </w:t>
      </w:r>
      <w:proofErr w:type="spellStart"/>
      <w:r>
        <w:rPr>
          <w:rStyle w:val="Emphasis"/>
        </w:rPr>
        <w:t>Modeling</w:t>
      </w:r>
      <w:proofErr w:type="spellEnd"/>
      <w:r>
        <w:rPr>
          <w:rStyle w:val="Emphasis"/>
        </w:rPr>
        <w:t xml:space="preserve"> with Spreadsheets</w:t>
      </w:r>
      <w:r>
        <w:t xml:space="preserve">. 5th edn. Hoboken, NJ: Wiley. Available at: </w:t>
      </w:r>
      <w:hyperlink r:id="rId24" w:tgtFrame="_new" w:history="1">
        <w:r>
          <w:rPr>
            <w:rStyle w:val="Hyperlink"/>
          </w:rPr>
          <w:t>https://www.wiley.com/en-us/Business%2BAnalytics%3A%2BThe%2BArt%2Bof%2BModeling%2BWith%2BSpreadsheets%2C%2B5th%2BEdition-p-9781119298427</w:t>
        </w:r>
      </w:hyperlink>
      <w:r>
        <w:t xml:space="preserve"> (Accessed: 2</w:t>
      </w:r>
      <w:r w:rsidR="006C2FB2">
        <w:t>4</w:t>
      </w:r>
      <w:r>
        <w:t xml:space="preserve"> August 2025). </w:t>
      </w:r>
      <w:hyperlink r:id="rId25" w:tgtFrame="_blank" w:history="1">
        <w:r>
          <w:rPr>
            <w:rStyle w:val="max-w-full"/>
            <w:color w:val="0000FF"/>
            <w:u w:val="single"/>
          </w:rPr>
          <w:t>Wiley</w:t>
        </w:r>
      </w:hyperlink>
    </w:p>
    <w:p w14:paraId="7300DD27" w14:textId="7054E516" w:rsidR="00A517F5" w:rsidRDefault="00A517F5" w:rsidP="00A517F5">
      <w:pPr>
        <w:pStyle w:val="NormalWeb"/>
      </w:pPr>
      <w:r>
        <w:t xml:space="preserve">Winston, W.L. (2019) </w:t>
      </w:r>
      <w:r>
        <w:rPr>
          <w:rStyle w:val="Emphasis"/>
        </w:rPr>
        <w:t xml:space="preserve">Microsoft Excel 2019 Data Analysis and Business </w:t>
      </w:r>
      <w:proofErr w:type="spellStart"/>
      <w:r>
        <w:rPr>
          <w:rStyle w:val="Emphasis"/>
        </w:rPr>
        <w:t>Modeling</w:t>
      </w:r>
      <w:proofErr w:type="spellEnd"/>
      <w:r>
        <w:t xml:space="preserve">. 6th edn. Redmond, WA: Microsoft Press. Available at: </w:t>
      </w:r>
      <w:hyperlink r:id="rId26" w:tgtFrame="_new" w:history="1">
        <w:r>
          <w:rPr>
            <w:rStyle w:val="Hyperlink"/>
          </w:rPr>
          <w:t>https://www.microsoftpressstore.com/store/microsoft-excel-2019-data-analysis-and-business-modeling-9781509305889</w:t>
        </w:r>
      </w:hyperlink>
      <w:r>
        <w:t xml:space="preserve"> (Accessed: 2</w:t>
      </w:r>
      <w:r w:rsidR="006C2FB2">
        <w:t>4</w:t>
      </w:r>
      <w:r>
        <w:t xml:space="preserve"> August 2025).</w:t>
      </w:r>
    </w:p>
    <w:p w14:paraId="7CFF254B" w14:textId="2C9C8FCD" w:rsidR="00A517F5" w:rsidRDefault="00A517F5" w:rsidP="0058676E"/>
    <w:p w14:paraId="3F713BBA" w14:textId="654077AD" w:rsidR="00A517F5" w:rsidRDefault="00A517F5" w:rsidP="0058676E">
      <w:r>
        <w:t>Task 4</w:t>
      </w:r>
    </w:p>
    <w:p w14:paraId="0DE92E2D" w14:textId="6C3709C8" w:rsidR="00E07811" w:rsidRDefault="00E07811" w:rsidP="0058676E">
      <w:r>
        <w:t xml:space="preserve">Fog, K., Budtz, C. and </w:t>
      </w:r>
      <w:proofErr w:type="spellStart"/>
      <w:r>
        <w:t>Yakaboylu</w:t>
      </w:r>
      <w:proofErr w:type="spellEnd"/>
      <w:r>
        <w:t xml:space="preserve">, B. (2005) </w:t>
      </w:r>
      <w:r>
        <w:rPr>
          <w:rStyle w:val="Emphasis"/>
        </w:rPr>
        <w:t>Storytelling: Branding in Practice</w:t>
      </w:r>
      <w:r>
        <w:t>. Berlin: Springer.</w:t>
      </w:r>
      <w:r>
        <w:br/>
        <w:t xml:space="preserve">Keller, K.L. (1993) ‘Conceptualizing, measuring, and managing customer-based brand equity’, </w:t>
      </w:r>
      <w:r>
        <w:rPr>
          <w:rStyle w:val="Emphasis"/>
        </w:rPr>
        <w:t>Journal of Marketing</w:t>
      </w:r>
      <w:r>
        <w:t>, 57(1), pp. 1–22.</w:t>
      </w:r>
      <w:r>
        <w:br/>
        <w:t xml:space="preserve">Kotler, P. and Armstrong, G. (2021) </w:t>
      </w:r>
      <w:r>
        <w:rPr>
          <w:rStyle w:val="Emphasis"/>
        </w:rPr>
        <w:t>Principles of Marketing</w:t>
      </w:r>
      <w:r>
        <w:t xml:space="preserve">. 18th </w:t>
      </w:r>
      <w:proofErr w:type="spellStart"/>
      <w:r>
        <w:t>edn</w:t>
      </w:r>
      <w:proofErr w:type="spellEnd"/>
      <w:r>
        <w:t>. London: Pearson.</w:t>
      </w:r>
    </w:p>
    <w:p w14:paraId="6F67FE88" w14:textId="77777777" w:rsidR="001A27A0" w:rsidRDefault="001A27A0" w:rsidP="00E07811">
      <w:pPr>
        <w:spacing w:line="360" w:lineRule="auto"/>
      </w:pPr>
    </w:p>
    <w:p w14:paraId="039C8FEF" w14:textId="77777777" w:rsidR="001A27A0" w:rsidRDefault="00000000">
      <w:pPr>
        <w:spacing w:line="360" w:lineRule="auto"/>
        <w:ind w:left="720" w:hanging="720"/>
      </w:pPr>
      <w:r>
        <w:br w:type="page"/>
      </w:r>
    </w:p>
    <w:p w14:paraId="284A864A" w14:textId="77777777" w:rsidR="001A27A0" w:rsidRDefault="00000000">
      <w:pPr>
        <w:pStyle w:val="Heading1"/>
        <w:spacing w:line="360" w:lineRule="auto"/>
        <w:ind w:left="720"/>
      </w:pPr>
      <w:bookmarkStart w:id="5" w:name="_mjcwdb2e0pgh" w:colFirst="0" w:colLast="0"/>
      <w:bookmarkEnd w:id="5"/>
      <w:r>
        <w:lastRenderedPageBreak/>
        <w:t>Appendix</w:t>
      </w:r>
    </w:p>
    <w:p w14:paraId="4E0E7CC7" w14:textId="77777777" w:rsidR="001A27A0" w:rsidRDefault="00000000">
      <w:pPr>
        <w:pStyle w:val="Heading2"/>
      </w:pPr>
      <w:bookmarkStart w:id="6" w:name="_npxgbx7z1h73" w:colFirst="0" w:colLast="0"/>
      <w:bookmarkEnd w:id="6"/>
      <w:r>
        <w:t>Questionnaire</w:t>
      </w:r>
    </w:p>
    <w:p w14:paraId="1CD5CB77" w14:textId="77777777" w:rsidR="001A27A0" w:rsidRDefault="00000000">
      <w:pPr>
        <w:spacing w:after="240"/>
      </w:pPr>
      <w:r>
        <w:rPr>
          <w:b/>
        </w:rPr>
        <w:t>Q1.</w:t>
      </w:r>
      <w:r>
        <w:t xml:space="preserve"> How often do you purchase women’s designer clothing?</w:t>
      </w:r>
    </w:p>
    <w:p w14:paraId="50EB60A8" w14:textId="77777777" w:rsidR="001A27A0" w:rsidRDefault="00000000">
      <w:pPr>
        <w:numPr>
          <w:ilvl w:val="0"/>
          <w:numId w:val="10"/>
        </w:numPr>
        <w:spacing w:after="0"/>
      </w:pPr>
      <w:r>
        <w:t>Weekly</w:t>
      </w:r>
    </w:p>
    <w:p w14:paraId="70E7F15C" w14:textId="77777777" w:rsidR="001A27A0" w:rsidRDefault="00000000">
      <w:pPr>
        <w:numPr>
          <w:ilvl w:val="0"/>
          <w:numId w:val="10"/>
        </w:numPr>
        <w:spacing w:before="0" w:after="0"/>
      </w:pPr>
      <w:r>
        <w:t>Monthly</w:t>
      </w:r>
    </w:p>
    <w:p w14:paraId="0D233895" w14:textId="77777777" w:rsidR="001A27A0" w:rsidRDefault="00000000">
      <w:pPr>
        <w:numPr>
          <w:ilvl w:val="0"/>
          <w:numId w:val="10"/>
        </w:numPr>
        <w:spacing w:before="0" w:after="0"/>
      </w:pPr>
      <w:r>
        <w:t>Every 2–3 months</w:t>
      </w:r>
    </w:p>
    <w:p w14:paraId="1B3E5DA9" w14:textId="77777777" w:rsidR="001A27A0" w:rsidRDefault="00000000">
      <w:pPr>
        <w:numPr>
          <w:ilvl w:val="0"/>
          <w:numId w:val="10"/>
        </w:numPr>
        <w:spacing w:before="0" w:after="240"/>
      </w:pPr>
      <w:r>
        <w:t>Rarely</w:t>
      </w:r>
    </w:p>
    <w:p w14:paraId="429BD258" w14:textId="77777777" w:rsidR="001A27A0" w:rsidRDefault="00000000">
      <w:pPr>
        <w:spacing w:after="240"/>
      </w:pPr>
      <w:r>
        <w:rPr>
          <w:b/>
        </w:rPr>
        <w:t>Q2.</w:t>
      </w:r>
      <w:r>
        <w:t xml:space="preserve"> What is the most important factor when choosing a fashion brand?</w:t>
      </w:r>
    </w:p>
    <w:p w14:paraId="6EE14B6A" w14:textId="77777777" w:rsidR="001A27A0" w:rsidRDefault="00000000">
      <w:pPr>
        <w:numPr>
          <w:ilvl w:val="0"/>
          <w:numId w:val="3"/>
        </w:numPr>
        <w:spacing w:after="0"/>
      </w:pPr>
      <w:r>
        <w:t>Quality of fabric and design</w:t>
      </w:r>
    </w:p>
    <w:p w14:paraId="54170C5B" w14:textId="77777777" w:rsidR="001A27A0" w:rsidRDefault="00000000">
      <w:pPr>
        <w:numPr>
          <w:ilvl w:val="0"/>
          <w:numId w:val="3"/>
        </w:numPr>
        <w:spacing w:before="0" w:after="0"/>
      </w:pPr>
      <w:r>
        <w:t>Price and affordability</w:t>
      </w:r>
    </w:p>
    <w:p w14:paraId="1341D9A6" w14:textId="77777777" w:rsidR="001A27A0" w:rsidRDefault="00000000">
      <w:pPr>
        <w:numPr>
          <w:ilvl w:val="0"/>
          <w:numId w:val="3"/>
        </w:numPr>
        <w:spacing w:before="0" w:after="0"/>
      </w:pPr>
      <w:r>
        <w:t>Exclusivity / uniqueness of styles</w:t>
      </w:r>
    </w:p>
    <w:p w14:paraId="60477FEE" w14:textId="77777777" w:rsidR="001A27A0" w:rsidRDefault="00000000">
      <w:pPr>
        <w:numPr>
          <w:ilvl w:val="0"/>
          <w:numId w:val="3"/>
        </w:numPr>
        <w:spacing w:before="0" w:after="0"/>
      </w:pPr>
      <w:r>
        <w:t>Sustainability (eco-friendly practices)</w:t>
      </w:r>
    </w:p>
    <w:p w14:paraId="3203CA5E" w14:textId="77777777" w:rsidR="001A27A0" w:rsidRDefault="00000000">
      <w:pPr>
        <w:numPr>
          <w:ilvl w:val="0"/>
          <w:numId w:val="3"/>
        </w:numPr>
        <w:spacing w:before="0" w:after="240"/>
      </w:pPr>
      <w:r>
        <w:t>Brand reputation</w:t>
      </w:r>
    </w:p>
    <w:p w14:paraId="56774A1E" w14:textId="77777777" w:rsidR="001A27A0" w:rsidRDefault="00000000">
      <w:pPr>
        <w:spacing w:after="240"/>
      </w:pPr>
      <w:r>
        <w:rPr>
          <w:b/>
        </w:rPr>
        <w:t>Q3.</w:t>
      </w:r>
      <w:r>
        <w:t xml:space="preserve"> Would you buy a brand primarily because of its </w:t>
      </w:r>
      <w:r>
        <w:rPr>
          <w:i/>
        </w:rPr>
        <w:t>designer appeal</w:t>
      </w:r>
      <w:r>
        <w:t xml:space="preserve"> (exclusive identity)?</w:t>
      </w:r>
    </w:p>
    <w:p w14:paraId="39635629" w14:textId="77777777" w:rsidR="001A27A0" w:rsidRDefault="00000000">
      <w:pPr>
        <w:numPr>
          <w:ilvl w:val="0"/>
          <w:numId w:val="9"/>
        </w:numPr>
        <w:spacing w:after="0"/>
      </w:pPr>
      <w:r>
        <w:t>Yes</w:t>
      </w:r>
    </w:p>
    <w:p w14:paraId="32ED4700" w14:textId="77777777" w:rsidR="001A27A0" w:rsidRDefault="00000000">
      <w:pPr>
        <w:numPr>
          <w:ilvl w:val="0"/>
          <w:numId w:val="9"/>
        </w:numPr>
        <w:spacing w:before="0" w:after="0"/>
      </w:pPr>
      <w:r>
        <w:t>No</w:t>
      </w:r>
    </w:p>
    <w:p w14:paraId="53C99840" w14:textId="77777777" w:rsidR="001A27A0" w:rsidRDefault="00000000">
      <w:pPr>
        <w:numPr>
          <w:ilvl w:val="0"/>
          <w:numId w:val="9"/>
        </w:numPr>
        <w:spacing w:before="0" w:after="240"/>
      </w:pPr>
      <w:r>
        <w:t>Not sure</w:t>
      </w:r>
    </w:p>
    <w:p w14:paraId="77E2B380" w14:textId="77777777" w:rsidR="001A27A0" w:rsidRDefault="00000000">
      <w:pPr>
        <w:spacing w:after="240"/>
      </w:pPr>
      <w:r>
        <w:rPr>
          <w:b/>
        </w:rPr>
        <w:t>Q4.</w:t>
      </w:r>
      <w:r>
        <w:t xml:space="preserve"> What price premium (extra cost compared to regular fashion) would you be willing to pay for designer clothing?</w:t>
      </w:r>
    </w:p>
    <w:p w14:paraId="4F0D370D" w14:textId="77777777" w:rsidR="001A27A0" w:rsidRDefault="00000000">
      <w:pPr>
        <w:numPr>
          <w:ilvl w:val="0"/>
          <w:numId w:val="1"/>
        </w:numPr>
        <w:spacing w:after="0"/>
      </w:pPr>
      <w:r>
        <w:t>1–3%</w:t>
      </w:r>
    </w:p>
    <w:p w14:paraId="4905C9CF" w14:textId="77777777" w:rsidR="001A27A0" w:rsidRDefault="00000000">
      <w:pPr>
        <w:numPr>
          <w:ilvl w:val="0"/>
          <w:numId w:val="1"/>
        </w:numPr>
        <w:spacing w:before="0" w:after="0"/>
      </w:pPr>
      <w:r>
        <w:lastRenderedPageBreak/>
        <w:t>4–6%</w:t>
      </w:r>
    </w:p>
    <w:p w14:paraId="7E1BED1A" w14:textId="77777777" w:rsidR="001A27A0" w:rsidRDefault="00000000">
      <w:pPr>
        <w:numPr>
          <w:ilvl w:val="0"/>
          <w:numId w:val="1"/>
        </w:numPr>
        <w:spacing w:before="0" w:after="0"/>
      </w:pPr>
      <w:r>
        <w:t>7–10%</w:t>
      </w:r>
    </w:p>
    <w:p w14:paraId="1063F5A9" w14:textId="77777777" w:rsidR="001A27A0" w:rsidRDefault="00000000">
      <w:pPr>
        <w:numPr>
          <w:ilvl w:val="0"/>
          <w:numId w:val="1"/>
        </w:numPr>
        <w:spacing w:before="0" w:after="0"/>
      </w:pPr>
      <w:r>
        <w:t>More than 10%</w:t>
      </w:r>
    </w:p>
    <w:p w14:paraId="65D40792" w14:textId="77777777" w:rsidR="001A27A0" w:rsidRDefault="00000000">
      <w:pPr>
        <w:numPr>
          <w:ilvl w:val="0"/>
          <w:numId w:val="1"/>
        </w:numPr>
        <w:spacing w:before="0" w:after="240"/>
      </w:pPr>
      <w:r>
        <w:t>I would not pay extra</w:t>
      </w:r>
    </w:p>
    <w:p w14:paraId="12334834" w14:textId="77777777" w:rsidR="001A27A0" w:rsidRDefault="00000000">
      <w:pPr>
        <w:spacing w:after="240"/>
      </w:pPr>
      <w:r>
        <w:rPr>
          <w:b/>
        </w:rPr>
        <w:t>Q5.</w:t>
      </w:r>
      <w:r>
        <w:t xml:space="preserve"> If </w:t>
      </w:r>
      <w:proofErr w:type="spellStart"/>
      <w:r>
        <w:t>Fabrisse</w:t>
      </w:r>
      <w:proofErr w:type="spellEnd"/>
      <w:r>
        <w:t xml:space="preserve"> offered both </w:t>
      </w:r>
      <w:r>
        <w:rPr>
          <w:i/>
        </w:rPr>
        <w:t>affordable everyday wear</w:t>
      </w:r>
      <w:r>
        <w:t xml:space="preserve"> and </w:t>
      </w:r>
      <w:r>
        <w:rPr>
          <w:i/>
        </w:rPr>
        <w:t>exclusive premium pieces</w:t>
      </w:r>
      <w:r>
        <w:t>, which would you prefer?</w:t>
      </w:r>
    </w:p>
    <w:p w14:paraId="5465B666" w14:textId="77777777" w:rsidR="001A27A0" w:rsidRDefault="00000000">
      <w:pPr>
        <w:numPr>
          <w:ilvl w:val="0"/>
          <w:numId w:val="2"/>
        </w:numPr>
        <w:spacing w:after="0"/>
      </w:pPr>
      <w:r>
        <w:t>Mostly affordable everyday wear</w:t>
      </w:r>
    </w:p>
    <w:p w14:paraId="5D135A25" w14:textId="77777777" w:rsidR="001A27A0" w:rsidRDefault="00000000">
      <w:pPr>
        <w:numPr>
          <w:ilvl w:val="0"/>
          <w:numId w:val="2"/>
        </w:numPr>
        <w:spacing w:before="0" w:after="0"/>
      </w:pPr>
      <w:r>
        <w:t>Mostly exclusive premium pieces</w:t>
      </w:r>
    </w:p>
    <w:p w14:paraId="4A761748" w14:textId="77777777" w:rsidR="001A27A0" w:rsidRDefault="00000000">
      <w:pPr>
        <w:numPr>
          <w:ilvl w:val="0"/>
          <w:numId w:val="2"/>
        </w:numPr>
        <w:spacing w:before="0" w:after="240"/>
      </w:pPr>
      <w:r>
        <w:t>A mix of both</w:t>
      </w:r>
    </w:p>
    <w:p w14:paraId="2F67F6D4" w14:textId="77777777" w:rsidR="001A27A0" w:rsidRDefault="00000000">
      <w:pPr>
        <w:spacing w:after="240"/>
      </w:pPr>
      <w:r>
        <w:rPr>
          <w:b/>
        </w:rPr>
        <w:t>Q6.</w:t>
      </w:r>
      <w:r>
        <w:t xml:space="preserve"> When shopping online, what feature matters most on a clothing website?</w:t>
      </w:r>
    </w:p>
    <w:p w14:paraId="4274FC68" w14:textId="77777777" w:rsidR="001A27A0" w:rsidRDefault="00000000">
      <w:pPr>
        <w:numPr>
          <w:ilvl w:val="0"/>
          <w:numId w:val="6"/>
        </w:numPr>
        <w:spacing w:after="0"/>
      </w:pPr>
      <w:r>
        <w:t>Easy navigation and clear categories</w:t>
      </w:r>
    </w:p>
    <w:p w14:paraId="1D03F002" w14:textId="77777777" w:rsidR="001A27A0" w:rsidRDefault="00000000">
      <w:pPr>
        <w:numPr>
          <w:ilvl w:val="0"/>
          <w:numId w:val="6"/>
        </w:numPr>
        <w:spacing w:before="0" w:after="0"/>
      </w:pPr>
      <w:r>
        <w:t>High-quality product images</w:t>
      </w:r>
    </w:p>
    <w:p w14:paraId="3B1B487B" w14:textId="77777777" w:rsidR="001A27A0" w:rsidRDefault="00000000">
      <w:pPr>
        <w:numPr>
          <w:ilvl w:val="0"/>
          <w:numId w:val="6"/>
        </w:numPr>
        <w:spacing w:before="0" w:after="0"/>
      </w:pPr>
      <w:r>
        <w:t>Detailed product descriptions (size, fabric, care)</w:t>
      </w:r>
    </w:p>
    <w:p w14:paraId="20B862AA" w14:textId="77777777" w:rsidR="001A27A0" w:rsidRDefault="00000000">
      <w:pPr>
        <w:numPr>
          <w:ilvl w:val="0"/>
          <w:numId w:val="6"/>
        </w:numPr>
        <w:spacing w:before="0" w:after="0"/>
      </w:pPr>
      <w:r>
        <w:t>Customer reviews and ratings</w:t>
      </w:r>
    </w:p>
    <w:p w14:paraId="5CADCE46" w14:textId="77777777" w:rsidR="001A27A0" w:rsidRDefault="00000000">
      <w:pPr>
        <w:numPr>
          <w:ilvl w:val="0"/>
          <w:numId w:val="6"/>
        </w:numPr>
        <w:spacing w:before="0" w:after="240"/>
      </w:pPr>
      <w:r>
        <w:t>Discounts and promotions</w:t>
      </w:r>
    </w:p>
    <w:p w14:paraId="12CF4E51" w14:textId="77777777" w:rsidR="001A27A0" w:rsidRDefault="00000000">
      <w:pPr>
        <w:spacing w:after="240"/>
      </w:pPr>
      <w:r>
        <w:rPr>
          <w:b/>
        </w:rPr>
        <w:t>Q7.</w:t>
      </w:r>
      <w:r>
        <w:t xml:space="preserve"> How important is it for you that a brand website is </w:t>
      </w:r>
      <w:r>
        <w:rPr>
          <w:b/>
        </w:rPr>
        <w:t>SEO-optimised</w:t>
      </w:r>
      <w:r>
        <w:t xml:space="preserve"> (easy to find on Google)?</w:t>
      </w:r>
    </w:p>
    <w:p w14:paraId="35FC28B5" w14:textId="77777777" w:rsidR="001A27A0" w:rsidRDefault="00000000">
      <w:pPr>
        <w:numPr>
          <w:ilvl w:val="0"/>
          <w:numId w:val="4"/>
        </w:numPr>
        <w:spacing w:after="0"/>
      </w:pPr>
      <w:r>
        <w:t>Very important – I rely on Google searches</w:t>
      </w:r>
    </w:p>
    <w:p w14:paraId="25B272D6" w14:textId="77777777" w:rsidR="001A27A0" w:rsidRDefault="00000000">
      <w:pPr>
        <w:numPr>
          <w:ilvl w:val="0"/>
          <w:numId w:val="4"/>
        </w:numPr>
        <w:spacing w:before="0" w:after="0"/>
      </w:pPr>
      <w:r>
        <w:t>Somewhat important – I also follow brands directly</w:t>
      </w:r>
    </w:p>
    <w:p w14:paraId="49EC2F5E" w14:textId="77777777" w:rsidR="001A27A0" w:rsidRDefault="00000000">
      <w:pPr>
        <w:numPr>
          <w:ilvl w:val="0"/>
          <w:numId w:val="4"/>
        </w:numPr>
        <w:spacing w:before="0" w:after="240"/>
      </w:pPr>
      <w:r>
        <w:t>Not important – I usually shop through social media links</w:t>
      </w:r>
    </w:p>
    <w:p w14:paraId="04E208C3" w14:textId="77777777" w:rsidR="001A27A0" w:rsidRDefault="00000000">
      <w:pPr>
        <w:spacing w:after="240"/>
      </w:pPr>
      <w:r>
        <w:rPr>
          <w:b/>
        </w:rPr>
        <w:lastRenderedPageBreak/>
        <w:t>Q8.</w:t>
      </w:r>
      <w:r>
        <w:t xml:space="preserve"> Would sustainability (eco-friendly fabrics, ethical sourcing) influence your decision to purchase from </w:t>
      </w:r>
      <w:proofErr w:type="spellStart"/>
      <w:r>
        <w:t>Fabrisse</w:t>
      </w:r>
      <w:proofErr w:type="spellEnd"/>
      <w:r>
        <w:t>?</w:t>
      </w:r>
    </w:p>
    <w:p w14:paraId="6E76CB9F" w14:textId="77777777" w:rsidR="001A27A0" w:rsidRDefault="00000000">
      <w:pPr>
        <w:numPr>
          <w:ilvl w:val="0"/>
          <w:numId w:val="5"/>
        </w:numPr>
        <w:spacing w:after="0"/>
      </w:pPr>
      <w:r>
        <w:t>Yes, strongly</w:t>
      </w:r>
    </w:p>
    <w:p w14:paraId="5E6E8819" w14:textId="77777777" w:rsidR="001A27A0" w:rsidRDefault="00000000">
      <w:pPr>
        <w:numPr>
          <w:ilvl w:val="0"/>
          <w:numId w:val="5"/>
        </w:numPr>
        <w:spacing w:before="0" w:after="0"/>
      </w:pPr>
      <w:r>
        <w:t>Somewhat</w:t>
      </w:r>
    </w:p>
    <w:p w14:paraId="51681227" w14:textId="77777777" w:rsidR="001A27A0" w:rsidRDefault="00000000">
      <w:pPr>
        <w:numPr>
          <w:ilvl w:val="0"/>
          <w:numId w:val="5"/>
        </w:numPr>
        <w:spacing w:before="0" w:after="240"/>
      </w:pPr>
      <w:r>
        <w:t>No, not really</w:t>
      </w:r>
    </w:p>
    <w:p w14:paraId="208D51AA" w14:textId="77777777" w:rsidR="001A27A0" w:rsidRDefault="00000000">
      <w:pPr>
        <w:spacing w:after="240"/>
      </w:pPr>
      <w:r>
        <w:rPr>
          <w:b/>
        </w:rPr>
        <w:t>Q9.</w:t>
      </w:r>
      <w:r>
        <w:t xml:space="preserve"> Which type of marketing material would most influence your decision to shop at </w:t>
      </w:r>
      <w:proofErr w:type="spellStart"/>
      <w:r>
        <w:t>Fabrisse</w:t>
      </w:r>
      <w:proofErr w:type="spellEnd"/>
      <w:r>
        <w:t>?</w:t>
      </w:r>
    </w:p>
    <w:p w14:paraId="6882A505" w14:textId="77777777" w:rsidR="001A27A0" w:rsidRDefault="00000000">
      <w:pPr>
        <w:numPr>
          <w:ilvl w:val="0"/>
          <w:numId w:val="8"/>
        </w:numPr>
        <w:spacing w:after="0"/>
      </w:pPr>
      <w:r>
        <w:t>Posters/Flyers (print or online)</w:t>
      </w:r>
    </w:p>
    <w:p w14:paraId="7701AED8" w14:textId="77777777" w:rsidR="001A27A0" w:rsidRDefault="00000000">
      <w:pPr>
        <w:numPr>
          <w:ilvl w:val="0"/>
          <w:numId w:val="8"/>
        </w:numPr>
        <w:spacing w:before="0" w:after="0"/>
      </w:pPr>
      <w:r>
        <w:t>Social media posts (Instagram, Facebook)</w:t>
      </w:r>
    </w:p>
    <w:p w14:paraId="169D823E" w14:textId="77777777" w:rsidR="001A27A0" w:rsidRDefault="00000000">
      <w:pPr>
        <w:numPr>
          <w:ilvl w:val="0"/>
          <w:numId w:val="8"/>
        </w:numPr>
        <w:spacing w:before="0" w:after="0"/>
      </w:pPr>
      <w:r>
        <w:t>Email newsletters</w:t>
      </w:r>
    </w:p>
    <w:p w14:paraId="339A3C0C" w14:textId="77777777" w:rsidR="001A27A0" w:rsidRDefault="00000000">
      <w:pPr>
        <w:numPr>
          <w:ilvl w:val="0"/>
          <w:numId w:val="8"/>
        </w:numPr>
        <w:spacing w:before="0" w:after="240"/>
      </w:pPr>
      <w:r>
        <w:t>Storytelling videos</w:t>
      </w:r>
    </w:p>
    <w:p w14:paraId="3EFE62B0" w14:textId="77777777" w:rsidR="001A27A0" w:rsidRDefault="00000000">
      <w:pPr>
        <w:spacing w:after="240"/>
      </w:pPr>
      <w:r>
        <w:rPr>
          <w:b/>
        </w:rPr>
        <w:t>Q10.</w:t>
      </w:r>
      <w:r>
        <w:t xml:space="preserve"> Would you be interested in joining the </w:t>
      </w:r>
      <w:proofErr w:type="spellStart"/>
      <w:r>
        <w:t>Fabrisse</w:t>
      </w:r>
      <w:proofErr w:type="spellEnd"/>
      <w:r>
        <w:t xml:space="preserve"> community (sign-ups for seasonal collections, early access, newsletters)?</w:t>
      </w:r>
    </w:p>
    <w:p w14:paraId="401CDAF8" w14:textId="77777777" w:rsidR="001A27A0" w:rsidRDefault="00000000">
      <w:pPr>
        <w:numPr>
          <w:ilvl w:val="0"/>
          <w:numId w:val="7"/>
        </w:numPr>
        <w:spacing w:after="0"/>
      </w:pPr>
      <w:r>
        <w:t>Yes, definitely</w:t>
      </w:r>
    </w:p>
    <w:p w14:paraId="2E093E8D" w14:textId="77777777" w:rsidR="001A27A0" w:rsidRDefault="00000000">
      <w:pPr>
        <w:numPr>
          <w:ilvl w:val="0"/>
          <w:numId w:val="7"/>
        </w:numPr>
        <w:spacing w:before="0" w:after="0"/>
      </w:pPr>
      <w:r>
        <w:t>Maybe</w:t>
      </w:r>
    </w:p>
    <w:p w14:paraId="33B174A0" w14:textId="77777777" w:rsidR="001A27A0" w:rsidRDefault="00000000">
      <w:pPr>
        <w:numPr>
          <w:ilvl w:val="0"/>
          <w:numId w:val="7"/>
        </w:numPr>
        <w:spacing w:before="0" w:after="240"/>
      </w:pPr>
      <w:r>
        <w:t>No</w:t>
      </w:r>
    </w:p>
    <w:p w14:paraId="39D3E9F4" w14:textId="77777777" w:rsidR="001A27A0" w:rsidRDefault="001A27A0"/>
    <w:p w14:paraId="11C30897" w14:textId="77777777" w:rsidR="001A27A0" w:rsidRDefault="001A27A0"/>
    <w:p w14:paraId="022D3F42" w14:textId="77777777" w:rsidR="001A27A0" w:rsidRDefault="00000000">
      <w:pPr>
        <w:pStyle w:val="Heading2"/>
        <w:spacing w:line="360" w:lineRule="auto"/>
        <w:ind w:left="720"/>
      </w:pPr>
      <w:bookmarkStart w:id="7" w:name="_ictc29qrmd5v" w:colFirst="0" w:colLast="0"/>
      <w:bookmarkEnd w:id="7"/>
      <w:r>
        <w:lastRenderedPageBreak/>
        <w:t>Website</w:t>
      </w:r>
    </w:p>
    <w:p w14:paraId="1CE07582" w14:textId="77777777" w:rsidR="001A27A0" w:rsidRDefault="00000000">
      <w:pPr>
        <w:spacing w:line="360" w:lineRule="auto"/>
        <w:ind w:left="720" w:hanging="720"/>
      </w:pPr>
      <w:r>
        <w:rPr>
          <w:noProof/>
        </w:rPr>
        <w:drawing>
          <wp:inline distT="114300" distB="114300" distL="114300" distR="114300" wp14:anchorId="304AC8D7" wp14:editId="4007A351">
            <wp:extent cx="5943600" cy="23749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5943600" cy="2374900"/>
                    </a:xfrm>
                    <a:prstGeom prst="rect">
                      <a:avLst/>
                    </a:prstGeom>
                    <a:ln/>
                  </pic:spPr>
                </pic:pic>
              </a:graphicData>
            </a:graphic>
          </wp:inline>
        </w:drawing>
      </w:r>
    </w:p>
    <w:p w14:paraId="6A08CE59" w14:textId="77777777" w:rsidR="001A27A0" w:rsidRDefault="00000000">
      <w:pPr>
        <w:spacing w:line="360" w:lineRule="auto"/>
        <w:ind w:left="720" w:hanging="720"/>
      </w:pPr>
      <w:r>
        <w:rPr>
          <w:noProof/>
        </w:rPr>
        <w:drawing>
          <wp:inline distT="114300" distB="114300" distL="114300" distR="114300" wp14:anchorId="001131A6" wp14:editId="2EAA4AE7">
            <wp:extent cx="5943600" cy="23749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8"/>
                    <a:srcRect/>
                    <a:stretch>
                      <a:fillRect/>
                    </a:stretch>
                  </pic:blipFill>
                  <pic:spPr>
                    <a:xfrm>
                      <a:off x="0" y="0"/>
                      <a:ext cx="5943600" cy="2374900"/>
                    </a:xfrm>
                    <a:prstGeom prst="rect">
                      <a:avLst/>
                    </a:prstGeom>
                    <a:ln/>
                  </pic:spPr>
                </pic:pic>
              </a:graphicData>
            </a:graphic>
          </wp:inline>
        </w:drawing>
      </w:r>
    </w:p>
    <w:p w14:paraId="6EE1202B" w14:textId="77777777" w:rsidR="001A27A0" w:rsidRDefault="00000000">
      <w:pPr>
        <w:spacing w:line="360" w:lineRule="auto"/>
        <w:ind w:left="720" w:hanging="720"/>
      </w:pPr>
      <w:r>
        <w:rPr>
          <w:noProof/>
        </w:rPr>
        <w:drawing>
          <wp:inline distT="114300" distB="114300" distL="114300" distR="114300" wp14:anchorId="56085017" wp14:editId="17F57779">
            <wp:extent cx="5943600" cy="24130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9"/>
                    <a:srcRect/>
                    <a:stretch>
                      <a:fillRect/>
                    </a:stretch>
                  </pic:blipFill>
                  <pic:spPr>
                    <a:xfrm>
                      <a:off x="0" y="0"/>
                      <a:ext cx="5943600" cy="2413000"/>
                    </a:xfrm>
                    <a:prstGeom prst="rect">
                      <a:avLst/>
                    </a:prstGeom>
                    <a:ln/>
                  </pic:spPr>
                </pic:pic>
              </a:graphicData>
            </a:graphic>
          </wp:inline>
        </w:drawing>
      </w:r>
    </w:p>
    <w:p w14:paraId="4D9C0AC8" w14:textId="77777777" w:rsidR="001A27A0" w:rsidRDefault="00000000">
      <w:pPr>
        <w:pStyle w:val="Heading2"/>
        <w:spacing w:line="360" w:lineRule="auto"/>
        <w:ind w:left="720"/>
      </w:pPr>
      <w:bookmarkStart w:id="8" w:name="_ipn775ckln2z" w:colFirst="0" w:colLast="0"/>
      <w:bookmarkEnd w:id="8"/>
      <w:r>
        <w:lastRenderedPageBreak/>
        <w:t>Marketing Materials</w:t>
      </w:r>
    </w:p>
    <w:p w14:paraId="7656698E" w14:textId="77777777" w:rsidR="001A27A0" w:rsidRDefault="00000000">
      <w:pPr>
        <w:spacing w:line="360" w:lineRule="auto"/>
        <w:ind w:left="720" w:hanging="720"/>
        <w:sectPr w:rsidR="001A27A0">
          <w:headerReference w:type="default" r:id="rId30"/>
          <w:pgSz w:w="12240" w:h="15840"/>
          <w:pgMar w:top="1440" w:right="1440" w:bottom="1440" w:left="1440" w:header="720" w:footer="720" w:gutter="0"/>
          <w:pgNumType w:start="1"/>
          <w:cols w:space="720"/>
        </w:sectPr>
      </w:pPr>
      <w:r>
        <w:rPr>
          <w:noProof/>
        </w:rPr>
        <w:drawing>
          <wp:inline distT="114300" distB="114300" distL="114300" distR="114300" wp14:anchorId="3EF50CC3" wp14:editId="59F76A55">
            <wp:extent cx="5023051" cy="7539038"/>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1"/>
                    <a:srcRect/>
                    <a:stretch>
                      <a:fillRect/>
                    </a:stretch>
                  </pic:blipFill>
                  <pic:spPr>
                    <a:xfrm>
                      <a:off x="0" y="0"/>
                      <a:ext cx="5023051" cy="7539038"/>
                    </a:xfrm>
                    <a:prstGeom prst="rect">
                      <a:avLst/>
                    </a:prstGeom>
                    <a:ln/>
                  </pic:spPr>
                </pic:pic>
              </a:graphicData>
            </a:graphic>
          </wp:inline>
        </w:drawing>
      </w:r>
    </w:p>
    <w:p w14:paraId="6C1C50B0" w14:textId="77777777" w:rsidR="001A27A0" w:rsidRDefault="00000000">
      <w:pPr>
        <w:pStyle w:val="Heading2"/>
        <w:spacing w:line="360" w:lineRule="auto"/>
        <w:ind w:left="720"/>
      </w:pPr>
      <w:bookmarkStart w:id="9" w:name="_mzx3j5s3liax" w:colFirst="0" w:colLast="0"/>
      <w:bookmarkEnd w:id="9"/>
      <w:r>
        <w:lastRenderedPageBreak/>
        <w:t>Financial Projections</w:t>
      </w:r>
    </w:p>
    <w:tbl>
      <w:tblPr>
        <w:tblStyle w:val="a"/>
        <w:tblW w:w="14460" w:type="dxa"/>
        <w:jc w:val="center"/>
        <w:tblInd w:w="0" w:type="dxa"/>
        <w:tblLayout w:type="fixed"/>
        <w:tblLook w:val="0400" w:firstRow="0" w:lastRow="0" w:firstColumn="0" w:lastColumn="0" w:noHBand="0" w:noVBand="1"/>
      </w:tblPr>
      <w:tblGrid>
        <w:gridCol w:w="2920"/>
        <w:gridCol w:w="880"/>
        <w:gridCol w:w="880"/>
        <w:gridCol w:w="880"/>
        <w:gridCol w:w="880"/>
        <w:gridCol w:w="880"/>
        <w:gridCol w:w="880"/>
        <w:gridCol w:w="880"/>
        <w:gridCol w:w="880"/>
        <w:gridCol w:w="880"/>
        <w:gridCol w:w="880"/>
        <w:gridCol w:w="880"/>
        <w:gridCol w:w="880"/>
        <w:gridCol w:w="980"/>
      </w:tblGrid>
      <w:tr w:rsidR="001A27A0" w14:paraId="7513EBDC" w14:textId="77777777">
        <w:trPr>
          <w:trHeight w:val="615"/>
          <w:jc w:val="center"/>
        </w:trPr>
        <w:tc>
          <w:tcPr>
            <w:tcW w:w="2920" w:type="dxa"/>
            <w:tcBorders>
              <w:top w:val="single" w:sz="4" w:space="0" w:color="000000"/>
              <w:left w:val="single" w:sz="4" w:space="0" w:color="000000"/>
              <w:bottom w:val="single" w:sz="4" w:space="0" w:color="000000"/>
              <w:right w:val="single" w:sz="4" w:space="0" w:color="000000"/>
            </w:tcBorders>
            <w:shd w:val="clear" w:color="auto" w:fill="FFFFFF"/>
            <w:vAlign w:val="bottom"/>
          </w:tcPr>
          <w:p w14:paraId="1550638E" w14:textId="77777777" w:rsidR="001A27A0" w:rsidRDefault="00000000">
            <w:pPr>
              <w:spacing w:before="0" w:after="0" w:line="240" w:lineRule="auto"/>
              <w:rPr>
                <w:sz w:val="20"/>
                <w:szCs w:val="20"/>
              </w:rPr>
            </w:pPr>
            <w:r>
              <w:rPr>
                <w:sz w:val="20"/>
                <w:szCs w:val="20"/>
              </w:rPr>
              <w:t> </w:t>
            </w:r>
          </w:p>
        </w:tc>
        <w:tc>
          <w:tcPr>
            <w:tcW w:w="880" w:type="dxa"/>
            <w:tcBorders>
              <w:top w:val="single" w:sz="4" w:space="0" w:color="000000"/>
              <w:left w:val="nil"/>
              <w:bottom w:val="single" w:sz="4" w:space="0" w:color="000000"/>
              <w:right w:val="single" w:sz="4" w:space="0" w:color="000000"/>
            </w:tcBorders>
            <w:shd w:val="clear" w:color="auto" w:fill="B6D7A8"/>
          </w:tcPr>
          <w:p w14:paraId="4807FC8D" w14:textId="77777777" w:rsidR="001A27A0" w:rsidRDefault="00000000">
            <w:pPr>
              <w:spacing w:before="0" w:after="0" w:line="240" w:lineRule="auto"/>
              <w:jc w:val="center"/>
              <w:rPr>
                <w:b/>
                <w:sz w:val="20"/>
                <w:szCs w:val="20"/>
              </w:rPr>
            </w:pPr>
            <w:r>
              <w:rPr>
                <w:b/>
                <w:sz w:val="20"/>
                <w:szCs w:val="20"/>
              </w:rPr>
              <w:t>Jan</w:t>
            </w:r>
          </w:p>
        </w:tc>
        <w:tc>
          <w:tcPr>
            <w:tcW w:w="880" w:type="dxa"/>
            <w:tcBorders>
              <w:top w:val="single" w:sz="4" w:space="0" w:color="000000"/>
              <w:left w:val="nil"/>
              <w:bottom w:val="single" w:sz="4" w:space="0" w:color="000000"/>
              <w:right w:val="single" w:sz="4" w:space="0" w:color="000000"/>
            </w:tcBorders>
            <w:shd w:val="clear" w:color="auto" w:fill="B6D7A8"/>
          </w:tcPr>
          <w:p w14:paraId="75708F60" w14:textId="77777777" w:rsidR="001A27A0" w:rsidRDefault="00000000">
            <w:pPr>
              <w:spacing w:before="0" w:after="0" w:line="240" w:lineRule="auto"/>
              <w:jc w:val="center"/>
              <w:rPr>
                <w:b/>
                <w:sz w:val="20"/>
                <w:szCs w:val="20"/>
              </w:rPr>
            </w:pPr>
            <w:r>
              <w:rPr>
                <w:b/>
                <w:sz w:val="20"/>
                <w:szCs w:val="20"/>
              </w:rPr>
              <w:t>Feb</w:t>
            </w:r>
          </w:p>
        </w:tc>
        <w:tc>
          <w:tcPr>
            <w:tcW w:w="880" w:type="dxa"/>
            <w:tcBorders>
              <w:top w:val="single" w:sz="4" w:space="0" w:color="000000"/>
              <w:left w:val="nil"/>
              <w:bottom w:val="single" w:sz="4" w:space="0" w:color="000000"/>
              <w:right w:val="single" w:sz="4" w:space="0" w:color="000000"/>
            </w:tcBorders>
            <w:shd w:val="clear" w:color="auto" w:fill="B6D7A8"/>
          </w:tcPr>
          <w:p w14:paraId="7A395420" w14:textId="77777777" w:rsidR="001A27A0" w:rsidRDefault="00000000">
            <w:pPr>
              <w:spacing w:before="0" w:after="0" w:line="240" w:lineRule="auto"/>
              <w:jc w:val="center"/>
              <w:rPr>
                <w:b/>
                <w:sz w:val="20"/>
                <w:szCs w:val="20"/>
              </w:rPr>
            </w:pPr>
            <w:r>
              <w:rPr>
                <w:b/>
                <w:sz w:val="20"/>
                <w:szCs w:val="20"/>
              </w:rPr>
              <w:t>Mar</w:t>
            </w:r>
          </w:p>
        </w:tc>
        <w:tc>
          <w:tcPr>
            <w:tcW w:w="880" w:type="dxa"/>
            <w:tcBorders>
              <w:top w:val="single" w:sz="4" w:space="0" w:color="000000"/>
              <w:left w:val="nil"/>
              <w:bottom w:val="single" w:sz="4" w:space="0" w:color="000000"/>
              <w:right w:val="single" w:sz="4" w:space="0" w:color="000000"/>
            </w:tcBorders>
            <w:shd w:val="clear" w:color="auto" w:fill="B6D7A8"/>
          </w:tcPr>
          <w:p w14:paraId="045D5261" w14:textId="77777777" w:rsidR="001A27A0" w:rsidRDefault="00000000">
            <w:pPr>
              <w:spacing w:before="0" w:after="0" w:line="240" w:lineRule="auto"/>
              <w:jc w:val="center"/>
              <w:rPr>
                <w:b/>
                <w:sz w:val="20"/>
                <w:szCs w:val="20"/>
              </w:rPr>
            </w:pPr>
            <w:r>
              <w:rPr>
                <w:b/>
                <w:sz w:val="20"/>
                <w:szCs w:val="20"/>
              </w:rPr>
              <w:t>Apr</w:t>
            </w:r>
          </w:p>
        </w:tc>
        <w:tc>
          <w:tcPr>
            <w:tcW w:w="880" w:type="dxa"/>
            <w:tcBorders>
              <w:top w:val="single" w:sz="4" w:space="0" w:color="000000"/>
              <w:left w:val="nil"/>
              <w:bottom w:val="single" w:sz="4" w:space="0" w:color="000000"/>
              <w:right w:val="single" w:sz="4" w:space="0" w:color="000000"/>
            </w:tcBorders>
            <w:shd w:val="clear" w:color="auto" w:fill="B6D7A8"/>
          </w:tcPr>
          <w:p w14:paraId="0B2E055E" w14:textId="77777777" w:rsidR="001A27A0" w:rsidRDefault="00000000">
            <w:pPr>
              <w:spacing w:before="0" w:after="0" w:line="240" w:lineRule="auto"/>
              <w:jc w:val="center"/>
              <w:rPr>
                <w:b/>
                <w:sz w:val="20"/>
                <w:szCs w:val="20"/>
              </w:rPr>
            </w:pPr>
            <w:r>
              <w:rPr>
                <w:b/>
                <w:sz w:val="20"/>
                <w:szCs w:val="20"/>
              </w:rPr>
              <w:t>May</w:t>
            </w:r>
          </w:p>
        </w:tc>
        <w:tc>
          <w:tcPr>
            <w:tcW w:w="880" w:type="dxa"/>
            <w:tcBorders>
              <w:top w:val="single" w:sz="4" w:space="0" w:color="000000"/>
              <w:left w:val="nil"/>
              <w:bottom w:val="single" w:sz="4" w:space="0" w:color="000000"/>
              <w:right w:val="single" w:sz="4" w:space="0" w:color="000000"/>
            </w:tcBorders>
            <w:shd w:val="clear" w:color="auto" w:fill="B6D7A8"/>
          </w:tcPr>
          <w:p w14:paraId="7F90AE7A" w14:textId="77777777" w:rsidR="001A27A0" w:rsidRDefault="00000000">
            <w:pPr>
              <w:spacing w:before="0" w:after="0" w:line="240" w:lineRule="auto"/>
              <w:jc w:val="center"/>
              <w:rPr>
                <w:b/>
                <w:sz w:val="20"/>
                <w:szCs w:val="20"/>
              </w:rPr>
            </w:pPr>
            <w:r>
              <w:rPr>
                <w:b/>
                <w:sz w:val="20"/>
                <w:szCs w:val="20"/>
              </w:rPr>
              <w:t>June</w:t>
            </w:r>
          </w:p>
        </w:tc>
        <w:tc>
          <w:tcPr>
            <w:tcW w:w="880" w:type="dxa"/>
            <w:tcBorders>
              <w:top w:val="single" w:sz="4" w:space="0" w:color="000000"/>
              <w:left w:val="nil"/>
              <w:bottom w:val="single" w:sz="4" w:space="0" w:color="000000"/>
              <w:right w:val="single" w:sz="4" w:space="0" w:color="000000"/>
            </w:tcBorders>
            <w:shd w:val="clear" w:color="auto" w:fill="B6D7A8"/>
          </w:tcPr>
          <w:p w14:paraId="6C827B86" w14:textId="77777777" w:rsidR="001A27A0" w:rsidRDefault="00000000">
            <w:pPr>
              <w:spacing w:before="0" w:after="0" w:line="240" w:lineRule="auto"/>
              <w:jc w:val="center"/>
              <w:rPr>
                <w:b/>
                <w:sz w:val="20"/>
                <w:szCs w:val="20"/>
              </w:rPr>
            </w:pPr>
            <w:r>
              <w:rPr>
                <w:b/>
                <w:sz w:val="20"/>
                <w:szCs w:val="20"/>
              </w:rPr>
              <w:t>July</w:t>
            </w:r>
          </w:p>
        </w:tc>
        <w:tc>
          <w:tcPr>
            <w:tcW w:w="880" w:type="dxa"/>
            <w:tcBorders>
              <w:top w:val="single" w:sz="4" w:space="0" w:color="000000"/>
              <w:left w:val="nil"/>
              <w:bottom w:val="single" w:sz="4" w:space="0" w:color="000000"/>
              <w:right w:val="single" w:sz="4" w:space="0" w:color="000000"/>
            </w:tcBorders>
            <w:shd w:val="clear" w:color="auto" w:fill="B6D7A8"/>
          </w:tcPr>
          <w:p w14:paraId="64C9B199" w14:textId="77777777" w:rsidR="001A27A0" w:rsidRDefault="00000000">
            <w:pPr>
              <w:spacing w:before="0" w:after="0" w:line="240" w:lineRule="auto"/>
              <w:jc w:val="center"/>
              <w:rPr>
                <w:b/>
                <w:sz w:val="20"/>
                <w:szCs w:val="20"/>
              </w:rPr>
            </w:pPr>
            <w:r>
              <w:rPr>
                <w:b/>
                <w:sz w:val="20"/>
                <w:szCs w:val="20"/>
              </w:rPr>
              <w:t>Aug</w:t>
            </w:r>
          </w:p>
        </w:tc>
        <w:tc>
          <w:tcPr>
            <w:tcW w:w="880" w:type="dxa"/>
            <w:tcBorders>
              <w:top w:val="single" w:sz="4" w:space="0" w:color="000000"/>
              <w:left w:val="nil"/>
              <w:bottom w:val="single" w:sz="4" w:space="0" w:color="000000"/>
              <w:right w:val="single" w:sz="4" w:space="0" w:color="000000"/>
            </w:tcBorders>
            <w:shd w:val="clear" w:color="auto" w:fill="B6D7A8"/>
          </w:tcPr>
          <w:p w14:paraId="28AF2668" w14:textId="77777777" w:rsidR="001A27A0" w:rsidRDefault="00000000">
            <w:pPr>
              <w:spacing w:before="0" w:after="0" w:line="240" w:lineRule="auto"/>
              <w:jc w:val="center"/>
              <w:rPr>
                <w:b/>
                <w:sz w:val="20"/>
                <w:szCs w:val="20"/>
              </w:rPr>
            </w:pPr>
            <w:r>
              <w:rPr>
                <w:b/>
                <w:sz w:val="20"/>
                <w:szCs w:val="20"/>
              </w:rPr>
              <w:t>Sept</w:t>
            </w:r>
          </w:p>
        </w:tc>
        <w:tc>
          <w:tcPr>
            <w:tcW w:w="880" w:type="dxa"/>
            <w:tcBorders>
              <w:top w:val="single" w:sz="4" w:space="0" w:color="000000"/>
              <w:left w:val="nil"/>
              <w:bottom w:val="single" w:sz="4" w:space="0" w:color="000000"/>
              <w:right w:val="single" w:sz="4" w:space="0" w:color="000000"/>
            </w:tcBorders>
            <w:shd w:val="clear" w:color="auto" w:fill="B6D7A8"/>
          </w:tcPr>
          <w:p w14:paraId="626125DE" w14:textId="77777777" w:rsidR="001A27A0" w:rsidRDefault="00000000">
            <w:pPr>
              <w:spacing w:before="0" w:after="0" w:line="240" w:lineRule="auto"/>
              <w:jc w:val="center"/>
              <w:rPr>
                <w:b/>
                <w:sz w:val="20"/>
                <w:szCs w:val="20"/>
              </w:rPr>
            </w:pPr>
            <w:r>
              <w:rPr>
                <w:b/>
                <w:sz w:val="20"/>
                <w:szCs w:val="20"/>
              </w:rPr>
              <w:t>Oct</w:t>
            </w:r>
          </w:p>
        </w:tc>
        <w:tc>
          <w:tcPr>
            <w:tcW w:w="880" w:type="dxa"/>
            <w:tcBorders>
              <w:top w:val="single" w:sz="4" w:space="0" w:color="000000"/>
              <w:left w:val="nil"/>
              <w:bottom w:val="single" w:sz="4" w:space="0" w:color="000000"/>
              <w:right w:val="single" w:sz="4" w:space="0" w:color="000000"/>
            </w:tcBorders>
            <w:shd w:val="clear" w:color="auto" w:fill="B6D7A8"/>
          </w:tcPr>
          <w:p w14:paraId="43F6976E" w14:textId="77777777" w:rsidR="001A27A0" w:rsidRDefault="00000000">
            <w:pPr>
              <w:spacing w:before="0" w:after="0" w:line="240" w:lineRule="auto"/>
              <w:jc w:val="center"/>
              <w:rPr>
                <w:b/>
                <w:sz w:val="20"/>
                <w:szCs w:val="20"/>
              </w:rPr>
            </w:pPr>
            <w:r>
              <w:rPr>
                <w:b/>
                <w:sz w:val="20"/>
                <w:szCs w:val="20"/>
              </w:rPr>
              <w:t>Nov</w:t>
            </w:r>
          </w:p>
        </w:tc>
        <w:tc>
          <w:tcPr>
            <w:tcW w:w="880" w:type="dxa"/>
            <w:tcBorders>
              <w:top w:val="single" w:sz="4" w:space="0" w:color="000000"/>
              <w:left w:val="nil"/>
              <w:bottom w:val="single" w:sz="4" w:space="0" w:color="000000"/>
              <w:right w:val="single" w:sz="4" w:space="0" w:color="000000"/>
            </w:tcBorders>
            <w:shd w:val="clear" w:color="auto" w:fill="B6D7A8"/>
          </w:tcPr>
          <w:p w14:paraId="661C325F" w14:textId="77777777" w:rsidR="001A27A0" w:rsidRDefault="00000000">
            <w:pPr>
              <w:spacing w:before="0" w:after="0" w:line="240" w:lineRule="auto"/>
              <w:jc w:val="center"/>
              <w:rPr>
                <w:b/>
                <w:sz w:val="20"/>
                <w:szCs w:val="20"/>
              </w:rPr>
            </w:pPr>
            <w:r>
              <w:rPr>
                <w:b/>
                <w:sz w:val="20"/>
                <w:szCs w:val="20"/>
              </w:rPr>
              <w:t>Dec</w:t>
            </w:r>
          </w:p>
        </w:tc>
        <w:tc>
          <w:tcPr>
            <w:tcW w:w="980" w:type="dxa"/>
            <w:tcBorders>
              <w:top w:val="single" w:sz="4" w:space="0" w:color="000000"/>
              <w:left w:val="nil"/>
              <w:bottom w:val="single" w:sz="4" w:space="0" w:color="000000"/>
              <w:right w:val="single" w:sz="4" w:space="0" w:color="000000"/>
            </w:tcBorders>
            <w:shd w:val="clear" w:color="auto" w:fill="B6D7A8"/>
          </w:tcPr>
          <w:p w14:paraId="62C5576D" w14:textId="77777777" w:rsidR="001A27A0" w:rsidRDefault="00000000">
            <w:pPr>
              <w:spacing w:before="0" w:after="0" w:line="240" w:lineRule="auto"/>
              <w:jc w:val="center"/>
              <w:rPr>
                <w:b/>
                <w:sz w:val="20"/>
                <w:szCs w:val="20"/>
              </w:rPr>
            </w:pPr>
            <w:r>
              <w:rPr>
                <w:b/>
                <w:sz w:val="20"/>
                <w:szCs w:val="20"/>
              </w:rPr>
              <w:t xml:space="preserve">Annual </w:t>
            </w:r>
          </w:p>
          <w:p w14:paraId="47B7E689" w14:textId="77777777" w:rsidR="001A27A0" w:rsidRDefault="00000000">
            <w:pPr>
              <w:spacing w:before="0" w:after="0" w:line="240" w:lineRule="auto"/>
              <w:jc w:val="center"/>
              <w:rPr>
                <w:b/>
                <w:sz w:val="20"/>
                <w:szCs w:val="20"/>
              </w:rPr>
            </w:pPr>
            <w:r>
              <w:rPr>
                <w:b/>
                <w:sz w:val="20"/>
                <w:szCs w:val="20"/>
              </w:rPr>
              <w:t>Total</w:t>
            </w:r>
          </w:p>
        </w:tc>
      </w:tr>
      <w:tr w:rsidR="001A27A0" w14:paraId="683ADE8C" w14:textId="77777777">
        <w:trPr>
          <w:trHeight w:val="300"/>
          <w:jc w:val="center"/>
        </w:trPr>
        <w:tc>
          <w:tcPr>
            <w:tcW w:w="2920" w:type="dxa"/>
            <w:tcBorders>
              <w:top w:val="nil"/>
              <w:left w:val="single" w:sz="4" w:space="0" w:color="000000"/>
              <w:bottom w:val="single" w:sz="4" w:space="0" w:color="000000"/>
              <w:right w:val="single" w:sz="4" w:space="0" w:color="000000"/>
            </w:tcBorders>
            <w:shd w:val="clear" w:color="auto" w:fill="B6D7A8"/>
          </w:tcPr>
          <w:p w14:paraId="184C4BD0" w14:textId="77777777" w:rsidR="001A27A0" w:rsidRDefault="00000000">
            <w:pPr>
              <w:spacing w:before="0" w:after="0" w:line="240" w:lineRule="auto"/>
              <w:rPr>
                <w:sz w:val="20"/>
                <w:szCs w:val="20"/>
              </w:rPr>
            </w:pPr>
            <w:r>
              <w:rPr>
                <w:sz w:val="20"/>
                <w:szCs w:val="20"/>
              </w:rPr>
              <w:t>Sales Revenue</w:t>
            </w:r>
          </w:p>
        </w:tc>
        <w:tc>
          <w:tcPr>
            <w:tcW w:w="880" w:type="dxa"/>
            <w:tcBorders>
              <w:top w:val="nil"/>
              <w:left w:val="nil"/>
              <w:bottom w:val="single" w:sz="4" w:space="0" w:color="000000"/>
              <w:right w:val="single" w:sz="4" w:space="0" w:color="000000"/>
            </w:tcBorders>
            <w:shd w:val="clear" w:color="auto" w:fill="FFFFFF"/>
            <w:vAlign w:val="bottom"/>
          </w:tcPr>
          <w:p w14:paraId="42052BD3"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5B6F1F82"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5118A09B"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38D6471B"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0F72A6C3"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3C74330C"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50D733A4"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6AE50413"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6EDA4383"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465CE71C"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751AF403" w14:textId="77777777" w:rsidR="001A27A0" w:rsidRDefault="00000000">
            <w:pPr>
              <w:spacing w:before="0" w:after="0" w:line="240" w:lineRule="auto"/>
              <w:rPr>
                <w:sz w:val="20"/>
                <w:szCs w:val="20"/>
              </w:rPr>
            </w:pPr>
            <w:r>
              <w:rPr>
                <w:sz w:val="20"/>
                <w:szCs w:val="20"/>
              </w:rPr>
              <w:t xml:space="preserve"> 8000</w:t>
            </w:r>
          </w:p>
        </w:tc>
        <w:tc>
          <w:tcPr>
            <w:tcW w:w="880" w:type="dxa"/>
            <w:tcBorders>
              <w:top w:val="nil"/>
              <w:left w:val="nil"/>
              <w:bottom w:val="single" w:sz="4" w:space="0" w:color="000000"/>
              <w:right w:val="single" w:sz="4" w:space="0" w:color="000000"/>
            </w:tcBorders>
            <w:shd w:val="clear" w:color="auto" w:fill="FFFFFF"/>
            <w:vAlign w:val="bottom"/>
          </w:tcPr>
          <w:p w14:paraId="261004F0" w14:textId="77777777" w:rsidR="001A27A0" w:rsidRDefault="00000000">
            <w:pPr>
              <w:spacing w:before="0" w:after="0" w:line="240" w:lineRule="auto"/>
              <w:rPr>
                <w:sz w:val="20"/>
                <w:szCs w:val="20"/>
              </w:rPr>
            </w:pPr>
            <w:r>
              <w:rPr>
                <w:sz w:val="20"/>
                <w:szCs w:val="20"/>
              </w:rPr>
              <w:t xml:space="preserve"> 8000</w:t>
            </w:r>
          </w:p>
        </w:tc>
        <w:tc>
          <w:tcPr>
            <w:tcW w:w="980" w:type="dxa"/>
            <w:tcBorders>
              <w:top w:val="nil"/>
              <w:left w:val="nil"/>
              <w:bottom w:val="single" w:sz="4" w:space="0" w:color="000000"/>
              <w:right w:val="single" w:sz="4" w:space="0" w:color="000000"/>
            </w:tcBorders>
            <w:shd w:val="clear" w:color="auto" w:fill="FFFFFF"/>
            <w:vAlign w:val="bottom"/>
          </w:tcPr>
          <w:p w14:paraId="4F9A299A" w14:textId="77777777" w:rsidR="001A27A0" w:rsidRDefault="00000000">
            <w:pPr>
              <w:spacing w:before="0" w:after="0" w:line="240" w:lineRule="auto"/>
              <w:rPr>
                <w:sz w:val="20"/>
                <w:szCs w:val="20"/>
              </w:rPr>
            </w:pPr>
            <w:r>
              <w:rPr>
                <w:sz w:val="20"/>
                <w:szCs w:val="20"/>
              </w:rPr>
              <w:t xml:space="preserve"> 96,000 </w:t>
            </w:r>
          </w:p>
        </w:tc>
      </w:tr>
      <w:tr w:rsidR="001A27A0" w14:paraId="4BF27A14" w14:textId="77777777">
        <w:trPr>
          <w:trHeight w:val="300"/>
          <w:jc w:val="center"/>
        </w:trPr>
        <w:tc>
          <w:tcPr>
            <w:tcW w:w="2920" w:type="dxa"/>
            <w:tcBorders>
              <w:top w:val="nil"/>
              <w:left w:val="single" w:sz="4" w:space="0" w:color="000000"/>
              <w:bottom w:val="single" w:sz="4" w:space="0" w:color="000000"/>
              <w:right w:val="single" w:sz="4" w:space="0" w:color="000000"/>
            </w:tcBorders>
            <w:shd w:val="clear" w:color="auto" w:fill="B6D7A8"/>
          </w:tcPr>
          <w:p w14:paraId="35788663" w14:textId="77777777" w:rsidR="001A27A0" w:rsidRDefault="00000000">
            <w:pPr>
              <w:spacing w:before="0" w:after="0" w:line="240" w:lineRule="auto"/>
              <w:rPr>
                <w:sz w:val="20"/>
                <w:szCs w:val="20"/>
              </w:rPr>
            </w:pPr>
            <w:r>
              <w:rPr>
                <w:sz w:val="20"/>
                <w:szCs w:val="20"/>
              </w:rPr>
              <w:t>Cost of Goods Sold</w:t>
            </w:r>
          </w:p>
        </w:tc>
        <w:tc>
          <w:tcPr>
            <w:tcW w:w="880" w:type="dxa"/>
            <w:tcBorders>
              <w:top w:val="nil"/>
              <w:left w:val="nil"/>
              <w:bottom w:val="single" w:sz="4" w:space="0" w:color="000000"/>
              <w:right w:val="single" w:sz="4" w:space="0" w:color="000000"/>
            </w:tcBorders>
            <w:shd w:val="clear" w:color="auto" w:fill="FFFFFF"/>
            <w:vAlign w:val="bottom"/>
          </w:tcPr>
          <w:p w14:paraId="6BC86286"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0178915D"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096D58CE"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42F49D45"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3D423B84"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30F21836"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5297A09D"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1DF98E70"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09DA2BA4"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11C8FAF6"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665074AD" w14:textId="77777777" w:rsidR="001A27A0" w:rsidRDefault="00000000">
            <w:pPr>
              <w:spacing w:before="0" w:after="0" w:line="240" w:lineRule="auto"/>
              <w:rPr>
                <w:sz w:val="20"/>
                <w:szCs w:val="20"/>
              </w:rPr>
            </w:pPr>
            <w:r>
              <w:rPr>
                <w:sz w:val="20"/>
                <w:szCs w:val="20"/>
              </w:rPr>
              <w:t xml:space="preserve"> 5500 </w:t>
            </w:r>
          </w:p>
        </w:tc>
        <w:tc>
          <w:tcPr>
            <w:tcW w:w="880" w:type="dxa"/>
            <w:tcBorders>
              <w:top w:val="nil"/>
              <w:left w:val="nil"/>
              <w:bottom w:val="single" w:sz="4" w:space="0" w:color="000000"/>
              <w:right w:val="single" w:sz="4" w:space="0" w:color="000000"/>
            </w:tcBorders>
            <w:shd w:val="clear" w:color="auto" w:fill="FFFFFF"/>
            <w:vAlign w:val="bottom"/>
          </w:tcPr>
          <w:p w14:paraId="3798EB5D" w14:textId="77777777" w:rsidR="001A27A0" w:rsidRDefault="00000000">
            <w:pPr>
              <w:spacing w:before="0" w:after="0" w:line="240" w:lineRule="auto"/>
              <w:rPr>
                <w:sz w:val="20"/>
                <w:szCs w:val="20"/>
              </w:rPr>
            </w:pPr>
            <w:r>
              <w:rPr>
                <w:sz w:val="20"/>
                <w:szCs w:val="20"/>
              </w:rPr>
              <w:t xml:space="preserve"> 5500 </w:t>
            </w:r>
          </w:p>
        </w:tc>
        <w:tc>
          <w:tcPr>
            <w:tcW w:w="980" w:type="dxa"/>
            <w:tcBorders>
              <w:top w:val="nil"/>
              <w:left w:val="nil"/>
              <w:bottom w:val="single" w:sz="4" w:space="0" w:color="000000"/>
              <w:right w:val="single" w:sz="4" w:space="0" w:color="000000"/>
            </w:tcBorders>
            <w:shd w:val="clear" w:color="auto" w:fill="FFFFFF"/>
            <w:vAlign w:val="bottom"/>
          </w:tcPr>
          <w:p w14:paraId="008A1273" w14:textId="77777777" w:rsidR="001A27A0" w:rsidRDefault="00000000">
            <w:pPr>
              <w:spacing w:before="0" w:after="0" w:line="240" w:lineRule="auto"/>
              <w:rPr>
                <w:sz w:val="20"/>
                <w:szCs w:val="20"/>
              </w:rPr>
            </w:pPr>
            <w:r>
              <w:rPr>
                <w:sz w:val="20"/>
                <w:szCs w:val="20"/>
              </w:rPr>
              <w:t xml:space="preserve">66,000 </w:t>
            </w:r>
          </w:p>
        </w:tc>
      </w:tr>
      <w:tr w:rsidR="001A27A0" w14:paraId="15BC765A" w14:textId="77777777">
        <w:trPr>
          <w:trHeight w:val="300"/>
          <w:jc w:val="center"/>
        </w:trPr>
        <w:tc>
          <w:tcPr>
            <w:tcW w:w="2920" w:type="dxa"/>
            <w:tcBorders>
              <w:top w:val="single" w:sz="4" w:space="0" w:color="000000"/>
              <w:left w:val="single" w:sz="4" w:space="0" w:color="000000"/>
              <w:bottom w:val="single" w:sz="8" w:space="0" w:color="000000"/>
              <w:right w:val="single" w:sz="4" w:space="0" w:color="000000"/>
            </w:tcBorders>
            <w:shd w:val="clear" w:color="auto" w:fill="B6D7A8"/>
          </w:tcPr>
          <w:p w14:paraId="304222DD" w14:textId="77777777" w:rsidR="001A27A0" w:rsidRDefault="00000000">
            <w:pPr>
              <w:spacing w:before="0" w:after="0" w:line="240" w:lineRule="auto"/>
              <w:rPr>
                <w:b/>
                <w:sz w:val="20"/>
                <w:szCs w:val="20"/>
              </w:rPr>
            </w:pPr>
            <w:r>
              <w:rPr>
                <w:b/>
                <w:sz w:val="20"/>
                <w:szCs w:val="20"/>
              </w:rPr>
              <w:t>Total Revenue</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7440562B"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6336A050"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1B0FE18"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3E10C12D"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23CFA8C0"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70899993"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69D595B6"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1DD43F4"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6084C380"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604CF9DD"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041A7080" w14:textId="77777777" w:rsidR="001A27A0" w:rsidRDefault="00000000">
            <w:pPr>
              <w:spacing w:before="0" w:after="0" w:line="240" w:lineRule="auto"/>
              <w:rPr>
                <w:sz w:val="20"/>
                <w:szCs w:val="20"/>
              </w:rPr>
            </w:pPr>
            <w:r>
              <w:rPr>
                <w:sz w:val="20"/>
                <w:szCs w:val="20"/>
              </w:rPr>
              <w:t xml:space="preserve">2500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055A907B" w14:textId="77777777" w:rsidR="001A27A0" w:rsidRDefault="00000000">
            <w:pPr>
              <w:spacing w:before="0" w:after="0" w:line="240" w:lineRule="auto"/>
              <w:rPr>
                <w:sz w:val="20"/>
                <w:szCs w:val="20"/>
              </w:rPr>
            </w:pPr>
            <w:r>
              <w:rPr>
                <w:sz w:val="20"/>
                <w:szCs w:val="20"/>
              </w:rPr>
              <w:t xml:space="preserve">2500 </w:t>
            </w:r>
          </w:p>
        </w:tc>
        <w:tc>
          <w:tcPr>
            <w:tcW w:w="980" w:type="dxa"/>
            <w:tcBorders>
              <w:top w:val="single" w:sz="4" w:space="0" w:color="000000"/>
              <w:left w:val="nil"/>
              <w:bottom w:val="single" w:sz="8" w:space="0" w:color="000000"/>
              <w:right w:val="single" w:sz="4" w:space="0" w:color="000000"/>
            </w:tcBorders>
            <w:shd w:val="clear" w:color="auto" w:fill="FFFFFF"/>
            <w:vAlign w:val="bottom"/>
          </w:tcPr>
          <w:p w14:paraId="7E657813" w14:textId="77777777" w:rsidR="001A27A0" w:rsidRDefault="00000000">
            <w:pPr>
              <w:spacing w:before="0" w:after="0" w:line="240" w:lineRule="auto"/>
              <w:rPr>
                <w:b/>
                <w:sz w:val="20"/>
                <w:szCs w:val="20"/>
              </w:rPr>
            </w:pPr>
            <w:r>
              <w:rPr>
                <w:b/>
                <w:sz w:val="20"/>
                <w:szCs w:val="20"/>
              </w:rPr>
              <w:t xml:space="preserve">30,000 </w:t>
            </w:r>
          </w:p>
        </w:tc>
      </w:tr>
      <w:tr w:rsidR="001A27A0" w14:paraId="7E20BBAD" w14:textId="77777777">
        <w:trPr>
          <w:trHeight w:val="315"/>
          <w:jc w:val="center"/>
        </w:trPr>
        <w:tc>
          <w:tcPr>
            <w:tcW w:w="2920" w:type="dxa"/>
            <w:tcBorders>
              <w:top w:val="single" w:sz="4" w:space="0" w:color="000000"/>
              <w:left w:val="single" w:sz="4" w:space="0" w:color="000000"/>
              <w:bottom w:val="single" w:sz="8" w:space="0" w:color="000000"/>
              <w:right w:val="single" w:sz="4" w:space="0" w:color="000000"/>
            </w:tcBorders>
            <w:shd w:val="clear" w:color="auto" w:fill="B6D7A8"/>
          </w:tcPr>
          <w:p w14:paraId="7A152180" w14:textId="77777777" w:rsidR="001A27A0" w:rsidRDefault="00000000">
            <w:pPr>
              <w:spacing w:before="0" w:after="0" w:line="240" w:lineRule="auto"/>
              <w:rPr>
                <w:b/>
                <w:sz w:val="20"/>
                <w:szCs w:val="20"/>
              </w:rPr>
            </w:pPr>
            <w:r>
              <w:rPr>
                <w:b/>
                <w:sz w:val="20"/>
                <w:szCs w:val="20"/>
              </w:rPr>
              <w:t>Expenses</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17B31E4B"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D9DE136"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3CD5B6C6"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6DD1A1D1"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1E39D19A"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2B2AD265"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24D6312E"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82965F0"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773872D0"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B999278"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5D94D7A4" w14:textId="77777777" w:rsidR="001A27A0" w:rsidRDefault="001A27A0">
            <w:pPr>
              <w:spacing w:before="0" w:after="0" w:line="240" w:lineRule="auto"/>
              <w:rPr>
                <w:sz w:val="20"/>
                <w:szCs w:val="20"/>
              </w:rPr>
            </w:pP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32218472" w14:textId="77777777" w:rsidR="001A27A0" w:rsidRDefault="001A27A0">
            <w:pPr>
              <w:spacing w:before="0" w:after="0" w:line="240" w:lineRule="auto"/>
              <w:rPr>
                <w:sz w:val="20"/>
                <w:szCs w:val="20"/>
              </w:rPr>
            </w:pPr>
          </w:p>
        </w:tc>
        <w:tc>
          <w:tcPr>
            <w:tcW w:w="980" w:type="dxa"/>
            <w:tcBorders>
              <w:top w:val="single" w:sz="4" w:space="0" w:color="000000"/>
              <w:left w:val="nil"/>
              <w:bottom w:val="single" w:sz="8" w:space="0" w:color="000000"/>
              <w:right w:val="single" w:sz="4" w:space="0" w:color="000000"/>
            </w:tcBorders>
            <w:shd w:val="clear" w:color="auto" w:fill="FFFFFF"/>
            <w:vAlign w:val="bottom"/>
          </w:tcPr>
          <w:p w14:paraId="4AE2E966" w14:textId="77777777" w:rsidR="001A27A0" w:rsidRDefault="001A27A0">
            <w:pPr>
              <w:spacing w:before="0" w:after="0" w:line="240" w:lineRule="auto"/>
              <w:rPr>
                <w:b/>
                <w:sz w:val="20"/>
                <w:szCs w:val="20"/>
              </w:rPr>
            </w:pPr>
          </w:p>
        </w:tc>
      </w:tr>
      <w:tr w:rsidR="001A27A0" w14:paraId="7C26F389" w14:textId="77777777">
        <w:trPr>
          <w:trHeight w:val="300"/>
          <w:jc w:val="center"/>
        </w:trPr>
        <w:tc>
          <w:tcPr>
            <w:tcW w:w="2920" w:type="dxa"/>
            <w:tcBorders>
              <w:top w:val="nil"/>
              <w:left w:val="single" w:sz="4" w:space="0" w:color="000000"/>
              <w:bottom w:val="single" w:sz="4" w:space="0" w:color="000000"/>
              <w:right w:val="single" w:sz="4" w:space="0" w:color="000000"/>
            </w:tcBorders>
            <w:shd w:val="clear" w:color="auto" w:fill="B6D7A8"/>
          </w:tcPr>
          <w:p w14:paraId="48CCE2F1" w14:textId="77777777" w:rsidR="001A27A0" w:rsidRDefault="00000000">
            <w:pPr>
              <w:spacing w:before="0" w:after="0" w:line="240" w:lineRule="auto"/>
              <w:ind w:firstLine="200"/>
              <w:rPr>
                <w:sz w:val="20"/>
                <w:szCs w:val="20"/>
              </w:rPr>
            </w:pPr>
            <w:r>
              <w:rPr>
                <w:sz w:val="20"/>
                <w:szCs w:val="20"/>
              </w:rPr>
              <w:t xml:space="preserve">Administrative </w:t>
            </w:r>
          </w:p>
        </w:tc>
        <w:tc>
          <w:tcPr>
            <w:tcW w:w="880" w:type="dxa"/>
            <w:tcBorders>
              <w:top w:val="nil"/>
              <w:left w:val="nil"/>
              <w:bottom w:val="single" w:sz="4" w:space="0" w:color="000000"/>
              <w:right w:val="single" w:sz="4" w:space="0" w:color="000000"/>
            </w:tcBorders>
            <w:shd w:val="clear" w:color="auto" w:fill="FFFFFF"/>
            <w:vAlign w:val="bottom"/>
          </w:tcPr>
          <w:p w14:paraId="772B2492"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4D26D9E4"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6681EC66"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2156E677"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1DD41BCE"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6D3B66A1"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1ADD228E"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30836300"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3B79C06E"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48D81619"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24D4AAA1" w14:textId="77777777" w:rsidR="001A27A0" w:rsidRDefault="00000000">
            <w:pPr>
              <w:spacing w:before="0" w:after="0" w:line="240" w:lineRule="auto"/>
              <w:rPr>
                <w:sz w:val="20"/>
                <w:szCs w:val="20"/>
              </w:rPr>
            </w:pPr>
            <w:r>
              <w:rPr>
                <w:sz w:val="20"/>
                <w:szCs w:val="20"/>
              </w:rPr>
              <w:t xml:space="preserve">800 </w:t>
            </w:r>
          </w:p>
        </w:tc>
        <w:tc>
          <w:tcPr>
            <w:tcW w:w="880" w:type="dxa"/>
            <w:tcBorders>
              <w:top w:val="nil"/>
              <w:left w:val="nil"/>
              <w:bottom w:val="single" w:sz="4" w:space="0" w:color="000000"/>
              <w:right w:val="single" w:sz="4" w:space="0" w:color="000000"/>
            </w:tcBorders>
            <w:shd w:val="clear" w:color="auto" w:fill="FFFFFF"/>
            <w:vAlign w:val="bottom"/>
          </w:tcPr>
          <w:p w14:paraId="0DA2AB66" w14:textId="77777777" w:rsidR="001A27A0" w:rsidRDefault="00000000">
            <w:pPr>
              <w:spacing w:before="0" w:after="0" w:line="240" w:lineRule="auto"/>
              <w:rPr>
                <w:sz w:val="20"/>
                <w:szCs w:val="20"/>
              </w:rPr>
            </w:pPr>
            <w:r>
              <w:rPr>
                <w:sz w:val="20"/>
                <w:szCs w:val="20"/>
              </w:rPr>
              <w:t xml:space="preserve">800 </w:t>
            </w:r>
          </w:p>
        </w:tc>
        <w:tc>
          <w:tcPr>
            <w:tcW w:w="980" w:type="dxa"/>
            <w:tcBorders>
              <w:top w:val="nil"/>
              <w:left w:val="nil"/>
              <w:bottom w:val="single" w:sz="4" w:space="0" w:color="000000"/>
              <w:right w:val="single" w:sz="4" w:space="0" w:color="000000"/>
            </w:tcBorders>
            <w:shd w:val="clear" w:color="auto" w:fill="FFFFFF"/>
            <w:vAlign w:val="bottom"/>
          </w:tcPr>
          <w:p w14:paraId="3496116B" w14:textId="77777777" w:rsidR="001A27A0" w:rsidRDefault="00000000">
            <w:pPr>
              <w:spacing w:before="0" w:after="0" w:line="240" w:lineRule="auto"/>
              <w:rPr>
                <w:sz w:val="20"/>
                <w:szCs w:val="20"/>
              </w:rPr>
            </w:pPr>
            <w:r>
              <w:rPr>
                <w:sz w:val="20"/>
                <w:szCs w:val="20"/>
              </w:rPr>
              <w:t xml:space="preserve">9600 </w:t>
            </w:r>
          </w:p>
        </w:tc>
      </w:tr>
      <w:tr w:rsidR="001A27A0" w14:paraId="4DDAF360" w14:textId="77777777">
        <w:trPr>
          <w:trHeight w:val="300"/>
          <w:jc w:val="center"/>
        </w:trPr>
        <w:tc>
          <w:tcPr>
            <w:tcW w:w="2920" w:type="dxa"/>
            <w:tcBorders>
              <w:top w:val="nil"/>
              <w:left w:val="single" w:sz="4" w:space="0" w:color="000000"/>
              <w:bottom w:val="single" w:sz="4" w:space="0" w:color="000000"/>
              <w:right w:val="single" w:sz="4" w:space="0" w:color="000000"/>
            </w:tcBorders>
            <w:shd w:val="clear" w:color="auto" w:fill="B6D7A8"/>
          </w:tcPr>
          <w:p w14:paraId="7D59BB6A" w14:textId="77777777" w:rsidR="001A27A0" w:rsidRDefault="00000000">
            <w:pPr>
              <w:spacing w:before="0" w:after="0" w:line="240" w:lineRule="auto"/>
              <w:ind w:firstLine="200"/>
              <w:rPr>
                <w:sz w:val="20"/>
                <w:szCs w:val="20"/>
              </w:rPr>
            </w:pPr>
            <w:r>
              <w:rPr>
                <w:sz w:val="20"/>
                <w:szCs w:val="20"/>
              </w:rPr>
              <w:t>Salaries</w:t>
            </w:r>
          </w:p>
        </w:tc>
        <w:tc>
          <w:tcPr>
            <w:tcW w:w="880" w:type="dxa"/>
            <w:tcBorders>
              <w:top w:val="nil"/>
              <w:left w:val="nil"/>
              <w:bottom w:val="single" w:sz="4" w:space="0" w:color="000000"/>
              <w:right w:val="single" w:sz="4" w:space="0" w:color="000000"/>
            </w:tcBorders>
            <w:shd w:val="clear" w:color="auto" w:fill="FFFFFF"/>
            <w:vAlign w:val="bottom"/>
          </w:tcPr>
          <w:p w14:paraId="7677B9E1"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6A22EDFD"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5910E97C"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78DA2D6F"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650DF109"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62E4CDE5"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7EBBAC0B"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00C42ABF"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00A88189"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5B7E1553"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0F04EB1B" w14:textId="77777777" w:rsidR="001A27A0" w:rsidRDefault="00000000">
            <w:pPr>
              <w:spacing w:before="0" w:after="0" w:line="240" w:lineRule="auto"/>
              <w:rPr>
                <w:sz w:val="20"/>
                <w:szCs w:val="20"/>
              </w:rPr>
            </w:pPr>
            <w:r>
              <w:rPr>
                <w:sz w:val="20"/>
                <w:szCs w:val="20"/>
              </w:rPr>
              <w:t xml:space="preserve">1000 </w:t>
            </w:r>
          </w:p>
        </w:tc>
        <w:tc>
          <w:tcPr>
            <w:tcW w:w="880" w:type="dxa"/>
            <w:tcBorders>
              <w:top w:val="nil"/>
              <w:left w:val="nil"/>
              <w:bottom w:val="single" w:sz="4" w:space="0" w:color="000000"/>
              <w:right w:val="single" w:sz="4" w:space="0" w:color="000000"/>
            </w:tcBorders>
            <w:shd w:val="clear" w:color="auto" w:fill="FFFFFF"/>
            <w:vAlign w:val="bottom"/>
          </w:tcPr>
          <w:p w14:paraId="4ABC1CC9" w14:textId="77777777" w:rsidR="001A27A0" w:rsidRDefault="00000000">
            <w:pPr>
              <w:spacing w:before="0" w:after="0" w:line="240" w:lineRule="auto"/>
              <w:rPr>
                <w:sz w:val="20"/>
                <w:szCs w:val="20"/>
              </w:rPr>
            </w:pPr>
            <w:r>
              <w:rPr>
                <w:sz w:val="20"/>
                <w:szCs w:val="20"/>
              </w:rPr>
              <w:t xml:space="preserve">1000 </w:t>
            </w:r>
          </w:p>
        </w:tc>
        <w:tc>
          <w:tcPr>
            <w:tcW w:w="980" w:type="dxa"/>
            <w:tcBorders>
              <w:top w:val="nil"/>
              <w:left w:val="nil"/>
              <w:bottom w:val="single" w:sz="4" w:space="0" w:color="000000"/>
              <w:right w:val="single" w:sz="4" w:space="0" w:color="000000"/>
            </w:tcBorders>
            <w:shd w:val="clear" w:color="auto" w:fill="FFFFFF"/>
            <w:vAlign w:val="bottom"/>
          </w:tcPr>
          <w:p w14:paraId="2DA92AC8" w14:textId="77777777" w:rsidR="001A27A0" w:rsidRDefault="00000000">
            <w:pPr>
              <w:spacing w:before="0" w:after="0" w:line="240" w:lineRule="auto"/>
              <w:rPr>
                <w:sz w:val="20"/>
                <w:szCs w:val="20"/>
              </w:rPr>
            </w:pPr>
            <w:r>
              <w:rPr>
                <w:sz w:val="20"/>
                <w:szCs w:val="20"/>
              </w:rPr>
              <w:t xml:space="preserve">12,000 </w:t>
            </w:r>
          </w:p>
        </w:tc>
      </w:tr>
      <w:tr w:rsidR="001A27A0" w14:paraId="60912D79" w14:textId="77777777">
        <w:trPr>
          <w:trHeight w:val="300"/>
          <w:jc w:val="center"/>
        </w:trPr>
        <w:tc>
          <w:tcPr>
            <w:tcW w:w="2920" w:type="dxa"/>
            <w:tcBorders>
              <w:top w:val="nil"/>
              <w:left w:val="single" w:sz="4" w:space="0" w:color="000000"/>
              <w:bottom w:val="single" w:sz="4" w:space="0" w:color="000000"/>
              <w:right w:val="single" w:sz="4" w:space="0" w:color="000000"/>
            </w:tcBorders>
            <w:shd w:val="clear" w:color="auto" w:fill="B6D7A8"/>
          </w:tcPr>
          <w:p w14:paraId="63B796F8" w14:textId="77777777" w:rsidR="001A27A0" w:rsidRDefault="00000000">
            <w:pPr>
              <w:spacing w:before="0" w:after="0" w:line="240" w:lineRule="auto"/>
              <w:ind w:firstLine="200"/>
              <w:rPr>
                <w:sz w:val="20"/>
                <w:szCs w:val="20"/>
              </w:rPr>
            </w:pPr>
            <w:r>
              <w:rPr>
                <w:sz w:val="20"/>
                <w:szCs w:val="20"/>
              </w:rPr>
              <w:t>Digital software</w:t>
            </w:r>
          </w:p>
        </w:tc>
        <w:tc>
          <w:tcPr>
            <w:tcW w:w="880" w:type="dxa"/>
            <w:tcBorders>
              <w:top w:val="nil"/>
              <w:left w:val="nil"/>
              <w:bottom w:val="single" w:sz="4" w:space="0" w:color="000000"/>
              <w:right w:val="single" w:sz="4" w:space="0" w:color="000000"/>
            </w:tcBorders>
            <w:shd w:val="clear" w:color="auto" w:fill="FFFFFF"/>
            <w:vAlign w:val="bottom"/>
          </w:tcPr>
          <w:p w14:paraId="152793EB"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2A626076"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1B1B4A4A"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00FDADF0"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1F067461"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55AB7CD0"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2EE01928"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6631F0BD"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24ED815E"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4688AC8B"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04502F96" w14:textId="77777777" w:rsidR="001A27A0" w:rsidRDefault="00000000">
            <w:pPr>
              <w:spacing w:before="0" w:after="0" w:line="240" w:lineRule="auto"/>
              <w:rPr>
                <w:sz w:val="20"/>
                <w:szCs w:val="20"/>
              </w:rPr>
            </w:pPr>
            <w:r>
              <w:rPr>
                <w:sz w:val="20"/>
                <w:szCs w:val="20"/>
              </w:rPr>
              <w:t xml:space="preserve">100 </w:t>
            </w:r>
          </w:p>
        </w:tc>
        <w:tc>
          <w:tcPr>
            <w:tcW w:w="880" w:type="dxa"/>
            <w:tcBorders>
              <w:top w:val="nil"/>
              <w:left w:val="nil"/>
              <w:bottom w:val="single" w:sz="4" w:space="0" w:color="000000"/>
              <w:right w:val="single" w:sz="4" w:space="0" w:color="000000"/>
            </w:tcBorders>
            <w:shd w:val="clear" w:color="auto" w:fill="FFFFFF"/>
            <w:vAlign w:val="bottom"/>
          </w:tcPr>
          <w:p w14:paraId="133E2DDD" w14:textId="77777777" w:rsidR="001A27A0" w:rsidRDefault="00000000">
            <w:pPr>
              <w:spacing w:before="0" w:after="0" w:line="240" w:lineRule="auto"/>
              <w:rPr>
                <w:sz w:val="20"/>
                <w:szCs w:val="20"/>
              </w:rPr>
            </w:pPr>
            <w:r>
              <w:rPr>
                <w:sz w:val="20"/>
                <w:szCs w:val="20"/>
              </w:rPr>
              <w:t xml:space="preserve">100 </w:t>
            </w:r>
          </w:p>
        </w:tc>
        <w:tc>
          <w:tcPr>
            <w:tcW w:w="980" w:type="dxa"/>
            <w:tcBorders>
              <w:top w:val="nil"/>
              <w:left w:val="nil"/>
              <w:bottom w:val="single" w:sz="4" w:space="0" w:color="000000"/>
              <w:right w:val="single" w:sz="4" w:space="0" w:color="000000"/>
            </w:tcBorders>
            <w:shd w:val="clear" w:color="auto" w:fill="FFFFFF"/>
            <w:vAlign w:val="bottom"/>
          </w:tcPr>
          <w:p w14:paraId="53723CBE" w14:textId="77777777" w:rsidR="001A27A0" w:rsidRDefault="00000000">
            <w:pPr>
              <w:spacing w:before="0" w:after="0" w:line="240" w:lineRule="auto"/>
              <w:rPr>
                <w:sz w:val="20"/>
                <w:szCs w:val="20"/>
              </w:rPr>
            </w:pPr>
            <w:r>
              <w:rPr>
                <w:sz w:val="20"/>
                <w:szCs w:val="20"/>
              </w:rPr>
              <w:t xml:space="preserve">1200 </w:t>
            </w:r>
          </w:p>
        </w:tc>
      </w:tr>
      <w:tr w:rsidR="001A27A0" w14:paraId="70A6129A" w14:textId="77777777">
        <w:trPr>
          <w:trHeight w:val="300"/>
          <w:jc w:val="center"/>
        </w:trPr>
        <w:tc>
          <w:tcPr>
            <w:tcW w:w="2920" w:type="dxa"/>
            <w:tcBorders>
              <w:top w:val="nil"/>
              <w:left w:val="single" w:sz="4" w:space="0" w:color="000000"/>
              <w:bottom w:val="single" w:sz="4" w:space="0" w:color="000000"/>
              <w:right w:val="single" w:sz="4" w:space="0" w:color="000000"/>
            </w:tcBorders>
            <w:shd w:val="clear" w:color="auto" w:fill="B6D7A8"/>
          </w:tcPr>
          <w:p w14:paraId="3C8A5CBD" w14:textId="77777777" w:rsidR="001A27A0" w:rsidRDefault="00000000">
            <w:pPr>
              <w:spacing w:before="0" w:after="0" w:line="240" w:lineRule="auto"/>
              <w:ind w:firstLine="200"/>
              <w:rPr>
                <w:sz w:val="20"/>
                <w:szCs w:val="20"/>
              </w:rPr>
            </w:pPr>
            <w:r>
              <w:rPr>
                <w:sz w:val="20"/>
                <w:szCs w:val="20"/>
              </w:rPr>
              <w:t>Miscellaneous</w:t>
            </w:r>
          </w:p>
        </w:tc>
        <w:tc>
          <w:tcPr>
            <w:tcW w:w="880" w:type="dxa"/>
            <w:tcBorders>
              <w:top w:val="nil"/>
              <w:left w:val="nil"/>
              <w:bottom w:val="single" w:sz="4" w:space="0" w:color="000000"/>
              <w:right w:val="single" w:sz="4" w:space="0" w:color="000000"/>
            </w:tcBorders>
            <w:shd w:val="clear" w:color="auto" w:fill="FFFFFF"/>
            <w:vAlign w:val="bottom"/>
          </w:tcPr>
          <w:p w14:paraId="23149A13"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68679574"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68DD7913"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137ACA5C"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68B1F9F2"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0ECEA08B"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27F1AFFE"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7DF95F4A"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62C986AD"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68409128"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100DA478" w14:textId="77777777" w:rsidR="001A27A0" w:rsidRDefault="00000000">
            <w:pPr>
              <w:spacing w:before="0" w:after="0" w:line="240" w:lineRule="auto"/>
              <w:rPr>
                <w:sz w:val="20"/>
                <w:szCs w:val="20"/>
              </w:rPr>
            </w:pPr>
            <w:r>
              <w:rPr>
                <w:sz w:val="20"/>
                <w:szCs w:val="20"/>
              </w:rPr>
              <w:t xml:space="preserve">300 </w:t>
            </w:r>
          </w:p>
        </w:tc>
        <w:tc>
          <w:tcPr>
            <w:tcW w:w="880" w:type="dxa"/>
            <w:tcBorders>
              <w:top w:val="nil"/>
              <w:left w:val="nil"/>
              <w:bottom w:val="single" w:sz="4" w:space="0" w:color="000000"/>
              <w:right w:val="single" w:sz="4" w:space="0" w:color="000000"/>
            </w:tcBorders>
            <w:shd w:val="clear" w:color="auto" w:fill="FFFFFF"/>
            <w:vAlign w:val="bottom"/>
          </w:tcPr>
          <w:p w14:paraId="766B4983" w14:textId="77777777" w:rsidR="001A27A0" w:rsidRDefault="00000000">
            <w:pPr>
              <w:spacing w:before="0" w:after="0" w:line="240" w:lineRule="auto"/>
              <w:rPr>
                <w:sz w:val="20"/>
                <w:szCs w:val="20"/>
              </w:rPr>
            </w:pPr>
            <w:r>
              <w:rPr>
                <w:sz w:val="20"/>
                <w:szCs w:val="20"/>
              </w:rPr>
              <w:t xml:space="preserve">300 </w:t>
            </w:r>
          </w:p>
        </w:tc>
        <w:tc>
          <w:tcPr>
            <w:tcW w:w="980" w:type="dxa"/>
            <w:tcBorders>
              <w:top w:val="nil"/>
              <w:left w:val="nil"/>
              <w:bottom w:val="single" w:sz="4" w:space="0" w:color="000000"/>
              <w:right w:val="single" w:sz="4" w:space="0" w:color="000000"/>
            </w:tcBorders>
            <w:shd w:val="clear" w:color="auto" w:fill="FFFFFF"/>
            <w:vAlign w:val="bottom"/>
          </w:tcPr>
          <w:p w14:paraId="0CF01018" w14:textId="77777777" w:rsidR="001A27A0" w:rsidRDefault="00000000">
            <w:pPr>
              <w:spacing w:before="0" w:after="0" w:line="240" w:lineRule="auto"/>
              <w:rPr>
                <w:sz w:val="20"/>
                <w:szCs w:val="20"/>
              </w:rPr>
            </w:pPr>
            <w:r>
              <w:rPr>
                <w:sz w:val="20"/>
                <w:szCs w:val="20"/>
              </w:rPr>
              <w:t xml:space="preserve">3600 </w:t>
            </w:r>
          </w:p>
        </w:tc>
      </w:tr>
      <w:tr w:rsidR="001A27A0" w14:paraId="4AAC98F2" w14:textId="77777777">
        <w:trPr>
          <w:trHeight w:val="300"/>
          <w:jc w:val="center"/>
        </w:trPr>
        <w:tc>
          <w:tcPr>
            <w:tcW w:w="2920" w:type="dxa"/>
            <w:tcBorders>
              <w:top w:val="single" w:sz="4" w:space="0" w:color="000000"/>
              <w:left w:val="single" w:sz="4" w:space="0" w:color="000000"/>
              <w:bottom w:val="single" w:sz="8" w:space="0" w:color="000000"/>
              <w:right w:val="single" w:sz="4" w:space="0" w:color="000000"/>
            </w:tcBorders>
            <w:shd w:val="clear" w:color="auto" w:fill="B6D7A8"/>
          </w:tcPr>
          <w:p w14:paraId="2E248C64" w14:textId="77777777" w:rsidR="001A27A0" w:rsidRDefault="00000000">
            <w:pPr>
              <w:spacing w:before="0" w:after="0" w:line="240" w:lineRule="auto"/>
              <w:rPr>
                <w:b/>
                <w:sz w:val="20"/>
                <w:szCs w:val="20"/>
              </w:rPr>
            </w:pPr>
            <w:r>
              <w:rPr>
                <w:b/>
                <w:sz w:val="20"/>
                <w:szCs w:val="20"/>
              </w:rPr>
              <w:t>Total Expenses</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B2AA820"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3E80BE9F"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6C1DC249"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CB35345"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168E555C"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6D6D7559"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1B3BC9C0"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5FB78C50"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1F8EB06E"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0133DDC"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3D38E8DB" w14:textId="77777777" w:rsidR="001A27A0" w:rsidRDefault="00000000">
            <w:pPr>
              <w:spacing w:before="0" w:after="0" w:line="240" w:lineRule="auto"/>
              <w:rPr>
                <w:b/>
                <w:sz w:val="20"/>
                <w:szCs w:val="20"/>
              </w:rPr>
            </w:pPr>
            <w:r>
              <w:rPr>
                <w:b/>
                <w:sz w:val="20"/>
                <w:szCs w:val="20"/>
              </w:rPr>
              <w:t xml:space="preserve">2100 </w:t>
            </w:r>
          </w:p>
        </w:tc>
        <w:tc>
          <w:tcPr>
            <w:tcW w:w="880" w:type="dxa"/>
            <w:tcBorders>
              <w:top w:val="single" w:sz="4" w:space="0" w:color="000000"/>
              <w:left w:val="nil"/>
              <w:bottom w:val="single" w:sz="8" w:space="0" w:color="000000"/>
              <w:right w:val="single" w:sz="4" w:space="0" w:color="000000"/>
            </w:tcBorders>
            <w:shd w:val="clear" w:color="auto" w:fill="FFFFFF"/>
            <w:vAlign w:val="bottom"/>
          </w:tcPr>
          <w:p w14:paraId="4B49DB6C" w14:textId="77777777" w:rsidR="001A27A0" w:rsidRDefault="00000000">
            <w:pPr>
              <w:spacing w:before="0" w:after="0" w:line="240" w:lineRule="auto"/>
              <w:rPr>
                <w:b/>
                <w:sz w:val="20"/>
                <w:szCs w:val="20"/>
              </w:rPr>
            </w:pPr>
            <w:r>
              <w:rPr>
                <w:b/>
                <w:sz w:val="20"/>
                <w:szCs w:val="20"/>
              </w:rPr>
              <w:t xml:space="preserve">2100 </w:t>
            </w:r>
          </w:p>
        </w:tc>
        <w:tc>
          <w:tcPr>
            <w:tcW w:w="980" w:type="dxa"/>
            <w:tcBorders>
              <w:top w:val="single" w:sz="4" w:space="0" w:color="000000"/>
              <w:left w:val="nil"/>
              <w:bottom w:val="single" w:sz="8" w:space="0" w:color="000000"/>
              <w:right w:val="single" w:sz="4" w:space="0" w:color="000000"/>
            </w:tcBorders>
            <w:shd w:val="clear" w:color="auto" w:fill="FFFFFF"/>
            <w:vAlign w:val="bottom"/>
          </w:tcPr>
          <w:p w14:paraId="6B738B1C" w14:textId="77777777" w:rsidR="001A27A0" w:rsidRDefault="00000000">
            <w:pPr>
              <w:spacing w:before="0" w:after="0" w:line="240" w:lineRule="auto"/>
              <w:rPr>
                <w:b/>
                <w:sz w:val="20"/>
                <w:szCs w:val="20"/>
              </w:rPr>
            </w:pPr>
            <w:r>
              <w:rPr>
                <w:b/>
                <w:sz w:val="20"/>
                <w:szCs w:val="20"/>
              </w:rPr>
              <w:t xml:space="preserve">25,200 </w:t>
            </w:r>
          </w:p>
        </w:tc>
      </w:tr>
      <w:tr w:rsidR="001A27A0" w14:paraId="6DF61F23" w14:textId="77777777">
        <w:trPr>
          <w:trHeight w:val="315"/>
          <w:jc w:val="center"/>
        </w:trPr>
        <w:tc>
          <w:tcPr>
            <w:tcW w:w="2920" w:type="dxa"/>
            <w:tcBorders>
              <w:top w:val="nil"/>
              <w:left w:val="single" w:sz="4" w:space="0" w:color="000000"/>
              <w:bottom w:val="single" w:sz="8" w:space="0" w:color="000000"/>
              <w:right w:val="single" w:sz="4" w:space="0" w:color="000000"/>
            </w:tcBorders>
            <w:shd w:val="clear" w:color="auto" w:fill="B6D7A8"/>
          </w:tcPr>
          <w:p w14:paraId="5A746BC8" w14:textId="77777777" w:rsidR="001A27A0" w:rsidRDefault="00000000">
            <w:pPr>
              <w:spacing w:before="0" w:after="0" w:line="240" w:lineRule="auto"/>
              <w:rPr>
                <w:b/>
                <w:sz w:val="20"/>
                <w:szCs w:val="20"/>
              </w:rPr>
            </w:pPr>
            <w:r>
              <w:rPr>
                <w:b/>
                <w:sz w:val="20"/>
                <w:szCs w:val="20"/>
              </w:rPr>
              <w:t>Profit</w:t>
            </w:r>
          </w:p>
        </w:tc>
        <w:tc>
          <w:tcPr>
            <w:tcW w:w="880" w:type="dxa"/>
            <w:tcBorders>
              <w:top w:val="single" w:sz="4" w:space="0" w:color="4F81BD"/>
              <w:left w:val="nil"/>
              <w:bottom w:val="single" w:sz="6" w:space="0" w:color="4F81BD"/>
              <w:right w:val="nil"/>
            </w:tcBorders>
            <w:shd w:val="clear" w:color="auto" w:fill="FFFFFF"/>
            <w:vAlign w:val="bottom"/>
          </w:tcPr>
          <w:p w14:paraId="3F57B8C4"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2357FA44"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0128CBFD"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15264EC0"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79A7EB2C"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39F5F101"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2B2B98BE"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428F81A5"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166D81DE"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021BDCD9"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01F410FB" w14:textId="77777777" w:rsidR="001A27A0" w:rsidRDefault="00000000">
            <w:pPr>
              <w:spacing w:before="0" w:after="0" w:line="240" w:lineRule="auto"/>
              <w:rPr>
                <w:b/>
                <w:sz w:val="20"/>
                <w:szCs w:val="20"/>
              </w:rPr>
            </w:pPr>
            <w:r>
              <w:rPr>
                <w:b/>
                <w:sz w:val="20"/>
                <w:szCs w:val="20"/>
              </w:rPr>
              <w:t xml:space="preserve">400 </w:t>
            </w:r>
          </w:p>
        </w:tc>
        <w:tc>
          <w:tcPr>
            <w:tcW w:w="880" w:type="dxa"/>
            <w:tcBorders>
              <w:top w:val="single" w:sz="4" w:space="0" w:color="4F81BD"/>
              <w:left w:val="nil"/>
              <w:bottom w:val="single" w:sz="6" w:space="0" w:color="4F81BD"/>
              <w:right w:val="nil"/>
            </w:tcBorders>
            <w:shd w:val="clear" w:color="auto" w:fill="FFFFFF"/>
            <w:vAlign w:val="bottom"/>
          </w:tcPr>
          <w:p w14:paraId="0B3C1DBE" w14:textId="77777777" w:rsidR="001A27A0" w:rsidRDefault="00000000">
            <w:pPr>
              <w:spacing w:before="0" w:after="0" w:line="240" w:lineRule="auto"/>
              <w:rPr>
                <w:b/>
                <w:sz w:val="20"/>
                <w:szCs w:val="20"/>
              </w:rPr>
            </w:pPr>
            <w:r>
              <w:rPr>
                <w:b/>
                <w:sz w:val="20"/>
                <w:szCs w:val="20"/>
              </w:rPr>
              <w:t xml:space="preserve">400 </w:t>
            </w:r>
          </w:p>
        </w:tc>
        <w:tc>
          <w:tcPr>
            <w:tcW w:w="980" w:type="dxa"/>
            <w:tcBorders>
              <w:top w:val="single" w:sz="4" w:space="0" w:color="4F81BD"/>
              <w:left w:val="nil"/>
              <w:bottom w:val="single" w:sz="6" w:space="0" w:color="4F81BD"/>
              <w:right w:val="nil"/>
            </w:tcBorders>
            <w:shd w:val="clear" w:color="auto" w:fill="FFFFFF"/>
            <w:vAlign w:val="bottom"/>
          </w:tcPr>
          <w:p w14:paraId="1C4DC11C" w14:textId="77777777" w:rsidR="001A27A0" w:rsidRDefault="00000000">
            <w:pPr>
              <w:spacing w:before="0" w:after="0" w:line="240" w:lineRule="auto"/>
              <w:rPr>
                <w:b/>
                <w:sz w:val="20"/>
                <w:szCs w:val="20"/>
              </w:rPr>
            </w:pPr>
            <w:r>
              <w:rPr>
                <w:b/>
                <w:sz w:val="20"/>
                <w:szCs w:val="20"/>
              </w:rPr>
              <w:t xml:space="preserve">4,800 </w:t>
            </w:r>
          </w:p>
        </w:tc>
      </w:tr>
      <w:tr w:rsidR="001A27A0" w14:paraId="295E5499" w14:textId="77777777">
        <w:trPr>
          <w:trHeight w:val="315"/>
          <w:jc w:val="center"/>
        </w:trPr>
        <w:tc>
          <w:tcPr>
            <w:tcW w:w="2920" w:type="dxa"/>
            <w:tcBorders>
              <w:top w:val="nil"/>
              <w:left w:val="single" w:sz="4" w:space="0" w:color="000000"/>
              <w:bottom w:val="single" w:sz="8" w:space="0" w:color="000000"/>
              <w:right w:val="single" w:sz="4" w:space="0" w:color="000000"/>
            </w:tcBorders>
            <w:shd w:val="clear" w:color="auto" w:fill="FFFFFF"/>
          </w:tcPr>
          <w:p w14:paraId="161572D2"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4FE2B024"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468C245A"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095B7148"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14158FCE"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1A3A919A"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53F08A86"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4DFF1EC1"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4F4BB76A"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26C84D87"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6D52FCB9"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23B62664" w14:textId="77777777" w:rsidR="001A27A0" w:rsidRDefault="001A27A0">
            <w:pPr>
              <w:spacing w:before="0" w:after="0" w:line="240" w:lineRule="auto"/>
              <w:rPr>
                <w:b/>
                <w:sz w:val="20"/>
                <w:szCs w:val="20"/>
              </w:rPr>
            </w:pPr>
          </w:p>
        </w:tc>
        <w:tc>
          <w:tcPr>
            <w:tcW w:w="880" w:type="dxa"/>
            <w:tcBorders>
              <w:top w:val="single" w:sz="4" w:space="0" w:color="4F81BD"/>
              <w:left w:val="nil"/>
              <w:bottom w:val="single" w:sz="6" w:space="0" w:color="4F81BD"/>
              <w:right w:val="nil"/>
            </w:tcBorders>
            <w:shd w:val="clear" w:color="auto" w:fill="FFFFFF"/>
            <w:vAlign w:val="bottom"/>
          </w:tcPr>
          <w:p w14:paraId="1DEB946F" w14:textId="77777777" w:rsidR="001A27A0" w:rsidRDefault="001A27A0">
            <w:pPr>
              <w:spacing w:before="0" w:after="0" w:line="240" w:lineRule="auto"/>
              <w:rPr>
                <w:b/>
                <w:sz w:val="20"/>
                <w:szCs w:val="20"/>
              </w:rPr>
            </w:pPr>
          </w:p>
        </w:tc>
        <w:tc>
          <w:tcPr>
            <w:tcW w:w="980" w:type="dxa"/>
            <w:tcBorders>
              <w:top w:val="single" w:sz="4" w:space="0" w:color="4F81BD"/>
              <w:left w:val="nil"/>
              <w:bottom w:val="single" w:sz="6" w:space="0" w:color="4F81BD"/>
              <w:right w:val="nil"/>
            </w:tcBorders>
            <w:shd w:val="clear" w:color="auto" w:fill="FFFFFF"/>
            <w:vAlign w:val="bottom"/>
          </w:tcPr>
          <w:p w14:paraId="71AA3273" w14:textId="77777777" w:rsidR="001A27A0" w:rsidRDefault="001A27A0">
            <w:pPr>
              <w:spacing w:before="0" w:after="0" w:line="240" w:lineRule="auto"/>
              <w:rPr>
                <w:b/>
                <w:sz w:val="20"/>
                <w:szCs w:val="20"/>
              </w:rPr>
            </w:pPr>
          </w:p>
        </w:tc>
      </w:tr>
    </w:tbl>
    <w:p w14:paraId="22E03DF0" w14:textId="77777777" w:rsidR="001A27A0" w:rsidRDefault="001A27A0">
      <w:pPr>
        <w:spacing w:before="0" w:line="259" w:lineRule="auto"/>
        <w:rPr>
          <w:rFonts w:ascii="Calibri" w:eastAsia="Calibri" w:hAnsi="Calibri" w:cs="Calibri"/>
          <w:sz w:val="22"/>
          <w:szCs w:val="22"/>
        </w:rPr>
      </w:pPr>
    </w:p>
    <w:p w14:paraId="0FB4D730" w14:textId="77777777" w:rsidR="001A27A0" w:rsidRDefault="00000000">
      <w:pPr>
        <w:pStyle w:val="Heading2"/>
        <w:spacing w:line="360" w:lineRule="auto"/>
        <w:ind w:left="720"/>
      </w:pPr>
      <w:bookmarkStart w:id="10" w:name="_4yrd71v5vrx5" w:colFirst="0" w:colLast="0"/>
      <w:bookmarkEnd w:id="10"/>
      <w:r>
        <w:lastRenderedPageBreak/>
        <w:t>Bar Chart</w:t>
      </w:r>
    </w:p>
    <w:p w14:paraId="27B00C5A" w14:textId="3DBA8807" w:rsidR="001A27A0" w:rsidRDefault="00210270">
      <w:pPr>
        <w:pStyle w:val="Heading2"/>
        <w:spacing w:line="360" w:lineRule="auto"/>
        <w:ind w:left="720"/>
      </w:pPr>
      <w:bookmarkStart w:id="11" w:name="_968h2kgxcmbl" w:colFirst="0" w:colLast="0"/>
      <w:bookmarkEnd w:id="11"/>
      <w:r>
        <w:rPr>
          <w:noProof/>
        </w:rPr>
        <mc:AlternateContent>
          <mc:Choice Requires="wps">
            <w:drawing>
              <wp:anchor distT="0" distB="0" distL="114300" distR="114300" simplePos="0" relativeHeight="251659264" behindDoc="0" locked="0" layoutInCell="1" allowOverlap="1" wp14:anchorId="38014A43" wp14:editId="2C2DC542">
                <wp:simplePos x="0" y="0"/>
                <wp:positionH relativeFrom="column">
                  <wp:posOffset>314036</wp:posOffset>
                </wp:positionH>
                <wp:positionV relativeFrom="paragraph">
                  <wp:posOffset>1636799</wp:posOffset>
                </wp:positionV>
                <wp:extent cx="415637" cy="489527"/>
                <wp:effectExtent l="0" t="0" r="3810" b="6350"/>
                <wp:wrapNone/>
                <wp:docPr id="1947162412" name="Rectangle 1"/>
                <wp:cNvGraphicFramePr/>
                <a:graphic xmlns:a="http://schemas.openxmlformats.org/drawingml/2006/main">
                  <a:graphicData uri="http://schemas.microsoft.com/office/word/2010/wordprocessingShape">
                    <wps:wsp>
                      <wps:cNvSpPr/>
                      <wps:spPr>
                        <a:xfrm>
                          <a:off x="0" y="0"/>
                          <a:ext cx="415637" cy="489527"/>
                        </a:xfrm>
                        <a:prstGeom prst="rect">
                          <a:avLst/>
                        </a:prstGeom>
                        <a:solidFill>
                          <a:schemeClr val="bg1"/>
                        </a:solidFill>
                        <a:ln>
                          <a:no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E2EC00" id="Rectangle 1" o:spid="_x0000_s1026" style="position:absolute;margin-left:24.75pt;margin-top:128.9pt;width:32.75pt;height:38.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" fillcolor="white [3212]" stroked="f"/>
            </w:pict>
          </mc:Fallback>
        </mc:AlternateContent>
      </w:r>
      <w:r w:rsidR="00000000">
        <w:rPr>
          <w:noProof/>
        </w:rPr>
        <w:drawing>
          <wp:inline distT="114300" distB="114300" distL="114300" distR="114300" wp14:anchorId="03B72263" wp14:editId="23AEEBD6">
            <wp:extent cx="5866059" cy="4243388"/>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5866059" cy="4243388"/>
                    </a:xfrm>
                    <a:prstGeom prst="rect">
                      <a:avLst/>
                    </a:prstGeom>
                    <a:ln/>
                  </pic:spPr>
                </pic:pic>
              </a:graphicData>
            </a:graphic>
          </wp:inline>
        </w:drawing>
      </w:r>
    </w:p>
    <w:p w14:paraId="01D9D934" w14:textId="2B619BC2" w:rsidR="00853882" w:rsidRDefault="00853882" w:rsidP="00853882"/>
    <w:p w14:paraId="72937074" w14:textId="77777777" w:rsidR="00853882" w:rsidRDefault="00853882" w:rsidP="00853882"/>
    <w:p w14:paraId="0D39B616" w14:textId="227EC903" w:rsidR="00853882" w:rsidRDefault="00853882" w:rsidP="00853882">
      <w:r>
        <w:lastRenderedPageBreak/>
        <w:t>Link to video:</w:t>
      </w:r>
    </w:p>
    <w:p w14:paraId="0D38806A" w14:textId="574A9BE8" w:rsidR="00853882" w:rsidRDefault="00853882" w:rsidP="00853882">
      <w:hyperlink r:id="rId33" w:history="1">
        <w:r w:rsidRPr="00AA38FF">
          <w:rPr>
            <w:rStyle w:val="Hyperlink"/>
          </w:rPr>
          <w:t>https://www.youtube.com/watch?v=TKUAhHQMRQc</w:t>
        </w:r>
      </w:hyperlink>
    </w:p>
    <w:p w14:paraId="281D4CB0" w14:textId="77777777" w:rsidR="00853882" w:rsidRPr="00853882" w:rsidRDefault="00853882" w:rsidP="00853882"/>
    <w:sectPr w:rsidR="00853882" w:rsidRPr="00853882">
      <w:pgSz w:w="15840" w:h="12240"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7DBA0" w14:textId="77777777" w:rsidR="00DD16B0" w:rsidRDefault="00DD16B0">
      <w:pPr>
        <w:spacing w:before="0" w:after="0" w:line="240" w:lineRule="auto"/>
      </w:pPr>
      <w:r>
        <w:separator/>
      </w:r>
    </w:p>
  </w:endnote>
  <w:endnote w:type="continuationSeparator" w:id="0">
    <w:p w14:paraId="1CDAC68A" w14:textId="77777777" w:rsidR="00DD16B0" w:rsidRDefault="00DD16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9B550" w14:textId="77777777" w:rsidR="00DD16B0" w:rsidRDefault="00DD16B0">
      <w:pPr>
        <w:spacing w:before="0" w:after="0" w:line="240" w:lineRule="auto"/>
      </w:pPr>
      <w:r>
        <w:separator/>
      </w:r>
    </w:p>
  </w:footnote>
  <w:footnote w:type="continuationSeparator" w:id="0">
    <w:p w14:paraId="5B127D49" w14:textId="77777777" w:rsidR="00DD16B0" w:rsidRDefault="00DD16B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D1C7DE" w14:textId="77777777" w:rsidR="001A27A0" w:rsidRDefault="0000000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F96945">
      <w:rPr>
        <w:noProof/>
        <w:color w:val="000000"/>
      </w:rPr>
      <w:t>1</w:t>
    </w:r>
    <w:r>
      <w:rPr>
        <w:color w:val="000000"/>
      </w:rPr>
      <w:fldChar w:fldCharType="end"/>
    </w:r>
  </w:p>
  <w:p w14:paraId="7FED9937" w14:textId="77777777" w:rsidR="001A27A0" w:rsidRDefault="001A27A0">
    <w:pPr>
      <w:pBdr>
        <w:top w:val="nil"/>
        <w:left w:val="nil"/>
        <w:bottom w:val="nil"/>
        <w:right w:val="nil"/>
        <w:between w:val="nil"/>
      </w:pBdr>
      <w:tabs>
        <w:tab w:val="center" w:pos="4680"/>
        <w:tab w:val="right" w:pos="9360"/>
      </w:tabs>
      <w:spacing w:before="0"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C10EB"/>
    <w:multiLevelType w:val="multilevel"/>
    <w:tmpl w:val="608C2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8337F"/>
    <w:multiLevelType w:val="multilevel"/>
    <w:tmpl w:val="87986F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0D0895"/>
    <w:multiLevelType w:val="multilevel"/>
    <w:tmpl w:val="DDCED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8F3D82"/>
    <w:multiLevelType w:val="multilevel"/>
    <w:tmpl w:val="C6CC3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8E7615"/>
    <w:multiLevelType w:val="multilevel"/>
    <w:tmpl w:val="B23415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C15690A"/>
    <w:multiLevelType w:val="multilevel"/>
    <w:tmpl w:val="F000F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CFA32E6"/>
    <w:multiLevelType w:val="multilevel"/>
    <w:tmpl w:val="D8327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D34E63"/>
    <w:multiLevelType w:val="multilevel"/>
    <w:tmpl w:val="CDCCB8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C36FA9"/>
    <w:multiLevelType w:val="multilevel"/>
    <w:tmpl w:val="C8E45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C64449"/>
    <w:multiLevelType w:val="multilevel"/>
    <w:tmpl w:val="C40EF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BD232FC"/>
    <w:multiLevelType w:val="multilevel"/>
    <w:tmpl w:val="6958C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C4E079E"/>
    <w:multiLevelType w:val="multilevel"/>
    <w:tmpl w:val="E7C036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09608533">
    <w:abstractNumId w:val="3"/>
  </w:num>
  <w:num w:numId="2" w16cid:durableId="1918320456">
    <w:abstractNumId w:val="2"/>
  </w:num>
  <w:num w:numId="3" w16cid:durableId="1810588751">
    <w:abstractNumId w:val="5"/>
  </w:num>
  <w:num w:numId="4" w16cid:durableId="2022390682">
    <w:abstractNumId w:val="6"/>
  </w:num>
  <w:num w:numId="5" w16cid:durableId="1018503456">
    <w:abstractNumId w:val="1"/>
  </w:num>
  <w:num w:numId="6" w16cid:durableId="1090202205">
    <w:abstractNumId w:val="11"/>
  </w:num>
  <w:num w:numId="7" w16cid:durableId="256377326">
    <w:abstractNumId w:val="9"/>
  </w:num>
  <w:num w:numId="8" w16cid:durableId="1291519056">
    <w:abstractNumId w:val="7"/>
  </w:num>
  <w:num w:numId="9" w16cid:durableId="1177303714">
    <w:abstractNumId w:val="10"/>
  </w:num>
  <w:num w:numId="10" w16cid:durableId="534002085">
    <w:abstractNumId w:val="4"/>
  </w:num>
  <w:num w:numId="11" w16cid:durableId="674697340">
    <w:abstractNumId w:val="0"/>
  </w:num>
  <w:num w:numId="12" w16cid:durableId="3653293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7A0"/>
    <w:rsid w:val="001A27A0"/>
    <w:rsid w:val="00210270"/>
    <w:rsid w:val="00211D86"/>
    <w:rsid w:val="00283645"/>
    <w:rsid w:val="00325021"/>
    <w:rsid w:val="004178E9"/>
    <w:rsid w:val="00504B27"/>
    <w:rsid w:val="00527B84"/>
    <w:rsid w:val="00566FD2"/>
    <w:rsid w:val="0058676E"/>
    <w:rsid w:val="0063615C"/>
    <w:rsid w:val="006C2FB2"/>
    <w:rsid w:val="007B719F"/>
    <w:rsid w:val="00831FF1"/>
    <w:rsid w:val="00853882"/>
    <w:rsid w:val="008B7015"/>
    <w:rsid w:val="00A517F5"/>
    <w:rsid w:val="00A53490"/>
    <w:rsid w:val="00CB3AA6"/>
    <w:rsid w:val="00CE465C"/>
    <w:rsid w:val="00DD16B0"/>
    <w:rsid w:val="00E07811"/>
    <w:rsid w:val="00E93BA9"/>
    <w:rsid w:val="00F96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708B1"/>
  <w15:docId w15:val="{38BE1AF3-89A0-1C46-AFEA-EA0BC7F13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before="240"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jc w:val="center"/>
      <w:outlineLvl w:val="0"/>
    </w:pPr>
    <w:rPr>
      <w:b/>
    </w:rPr>
  </w:style>
  <w:style w:type="paragraph" w:styleId="Heading2">
    <w:name w:val="heading 2"/>
    <w:basedOn w:val="Normal"/>
    <w:next w:val="Normal"/>
    <w:uiPriority w:val="9"/>
    <w:unhideWhenUsed/>
    <w:qFormat/>
    <w:pPr>
      <w:keepNext/>
      <w:keepLines/>
      <w:spacing w:before="160" w:after="80"/>
      <w:outlineLvl w:val="1"/>
    </w:pPr>
    <w:rPr>
      <w:rFonts w:ascii="Calibri" w:eastAsia="Calibri" w:hAnsi="Calibri" w:cs="Calibri"/>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NormalWeb">
    <w:name w:val="Normal (Web)"/>
    <w:basedOn w:val="Normal"/>
    <w:uiPriority w:val="99"/>
    <w:semiHidden/>
    <w:unhideWhenUsed/>
    <w:rsid w:val="00CE465C"/>
    <w:pPr>
      <w:spacing w:before="100" w:beforeAutospacing="1" w:after="100" w:afterAutospacing="1" w:line="240" w:lineRule="auto"/>
    </w:pPr>
    <w:rPr>
      <w:lang w:val="en-GB"/>
    </w:rPr>
  </w:style>
  <w:style w:type="character" w:styleId="Hyperlink">
    <w:name w:val="Hyperlink"/>
    <w:basedOn w:val="DefaultParagraphFont"/>
    <w:uiPriority w:val="99"/>
    <w:unhideWhenUsed/>
    <w:rsid w:val="00283645"/>
    <w:rPr>
      <w:color w:val="0000FF" w:themeColor="hyperlink"/>
      <w:u w:val="single"/>
    </w:rPr>
  </w:style>
  <w:style w:type="character" w:styleId="UnresolvedMention">
    <w:name w:val="Unresolved Mention"/>
    <w:basedOn w:val="DefaultParagraphFont"/>
    <w:uiPriority w:val="99"/>
    <w:semiHidden/>
    <w:unhideWhenUsed/>
    <w:rsid w:val="00283645"/>
    <w:rPr>
      <w:color w:val="605E5C"/>
      <w:shd w:val="clear" w:color="auto" w:fill="E1DFDD"/>
    </w:rPr>
  </w:style>
  <w:style w:type="character" w:customStyle="1" w:styleId="relative">
    <w:name w:val="relative"/>
    <w:basedOn w:val="DefaultParagraphFont"/>
    <w:rsid w:val="00283645"/>
  </w:style>
  <w:style w:type="character" w:customStyle="1" w:styleId="ms-1">
    <w:name w:val="ms-1"/>
    <w:basedOn w:val="DefaultParagraphFont"/>
    <w:rsid w:val="00283645"/>
  </w:style>
  <w:style w:type="character" w:customStyle="1" w:styleId="max-w-full">
    <w:name w:val="max-w-full"/>
    <w:basedOn w:val="DefaultParagraphFont"/>
    <w:rsid w:val="00283645"/>
  </w:style>
  <w:style w:type="character" w:styleId="Emphasis">
    <w:name w:val="Emphasis"/>
    <w:basedOn w:val="DefaultParagraphFont"/>
    <w:uiPriority w:val="20"/>
    <w:qFormat/>
    <w:rsid w:val="0058676E"/>
    <w:rPr>
      <w:i/>
      <w:iCs/>
    </w:rPr>
  </w:style>
  <w:style w:type="character" w:styleId="Strong">
    <w:name w:val="Strong"/>
    <w:basedOn w:val="DefaultParagraphFont"/>
    <w:uiPriority w:val="22"/>
    <w:qFormat/>
    <w:rsid w:val="00504B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evelopers.google.com/search/docs/fundamentals/seo-starter-guide" TargetMode="External"/><Relationship Id="rId18" Type="http://schemas.openxmlformats.org/officeDocument/2006/relationships/hyperlink" Target="https://support.microsoft.com/en-us/office/create-a-chart-from-start-to-finish-0baf399e-dd61-4e18-8a73-b3fd5d5680c2" TargetMode="External"/><Relationship Id="rId26" Type="http://schemas.openxmlformats.org/officeDocument/2006/relationships/hyperlink" Target="https://www.microsoftpressstore.com/store/microsoft-excel-2019-data-analysis-and-business-modeling-9781509305889" TargetMode="External"/><Relationship Id="rId3" Type="http://schemas.openxmlformats.org/officeDocument/2006/relationships/settings" Target="settings.xml"/><Relationship Id="rId21" Type="http://schemas.openxmlformats.org/officeDocument/2006/relationships/hyperlink" Target="https://support.microsoft.com/en-us/office/create-a-forecast-in-excel-for-windows-22c500da-6da7-45e5-bfdc-60a7062329fd?utm_source=chatgpt.com"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mazon.com/Managing-Brand-Equity-David-Aaker/dp/0029001013" TargetMode="External"/><Relationship Id="rId17" Type="http://schemas.openxmlformats.org/officeDocument/2006/relationships/hyperlink" Target="https://hbr.org/2012/10/big-data-the-management-revolution?utm_source=chatgpt.com" TargetMode="External"/><Relationship Id="rId25" Type="http://schemas.openxmlformats.org/officeDocument/2006/relationships/hyperlink" Target="https://www.wiley.com/en-us/Business%2BAnalytics%3A%2BThe%2BArt%2Bof%2BModeling%2BWith%2BSpreadsheets%2C%2B5th%2BEdition-p-9781119298427?utm_source=chatgpt.com" TargetMode="External"/><Relationship Id="rId33" Type="http://schemas.openxmlformats.org/officeDocument/2006/relationships/hyperlink" Target="https://www.youtube.com/watch?v=TKUAhHQMRQc" TargetMode="External"/><Relationship Id="rId2" Type="http://schemas.openxmlformats.org/officeDocument/2006/relationships/styles" Target="styles.xml"/><Relationship Id="rId16" Type="http://schemas.openxmlformats.org/officeDocument/2006/relationships/hyperlink" Target="https://hbr.org/2012/10/big-data-the-management-revolution" TargetMode="External"/><Relationship Id="rId20" Type="http://schemas.openxmlformats.org/officeDocument/2006/relationships/hyperlink" Target="https://support.microsoft.com/en-us/office/create-a-forecast-in-excel-for-windows-22c500da-6da7-45e5-bfdc-60a7062329fd"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wiley.com/en-us/Business%2BAnalytics%3A%2BThe%2BArt%2Bof%2BModeling%2BWith%2BSpreadsheets%2C%2B5th%2BEdition-p-9781119298427" TargetMode="External"/><Relationship Id="rId32"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hyperlink" Target="https://www.cengage.com/c/business-analytics-4e-camm-cochran-fry-ohlmann/9780357131787/?utm_source=chatgpt.com" TargetMode="External"/><Relationship Id="rId23" Type="http://schemas.openxmlformats.org/officeDocument/2006/relationships/hyperlink" Target="https://arxiv.org/abs/0802.3457?utm_source=chatgpt.com" TargetMode="External"/><Relationship Id="rId28"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hyperlink" Target="https://support.microsoft.com/en-us/office/create-a-chart-from-start-to-finish-0baf399e-dd61-4e18-8a73-b3fd5d5680c2?utm_source=chatgpt.com"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engage.com/c/business-analytics-4e-camm-cochran-fry-ohlmann/9780357131787/" TargetMode="External"/><Relationship Id="rId22" Type="http://schemas.openxmlformats.org/officeDocument/2006/relationships/hyperlink" Target="https://arxiv.org/abs/0802.3457" TargetMode="External"/><Relationship Id="rId27" Type="http://schemas.openxmlformats.org/officeDocument/2006/relationships/image" Target="media/image6.png"/><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87</TotalTime>
  <Pages>25</Pages>
  <Words>4172</Words>
  <Characters>23782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tasneem ali</cp:lastModifiedBy>
  <cp:revision>13</cp:revision>
  <dcterms:created xsi:type="dcterms:W3CDTF">2025-08-26T19:40:00Z</dcterms:created>
  <dcterms:modified xsi:type="dcterms:W3CDTF">2025-08-26T22:03:00Z</dcterms:modified>
</cp:coreProperties>
</file>