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FD945" w14:textId="78A7B940" w:rsidR="00E83C79" w:rsidRPr="00C330B6" w:rsidRDefault="00C330B6" w:rsidP="00C330B6">
      <w:pPr>
        <w:jc w:val="center"/>
        <w:rPr>
          <w:rFonts w:ascii="Arial" w:hAnsi="Arial" w:cs="Arial"/>
          <w:b/>
          <w:bCs/>
        </w:rPr>
      </w:pPr>
      <w:r w:rsidRPr="00C330B6">
        <w:rPr>
          <w:rFonts w:ascii="Arial" w:hAnsi="Arial" w:cs="Arial"/>
          <w:b/>
          <w:bCs/>
        </w:rPr>
        <w:t xml:space="preserve">Module: </w:t>
      </w:r>
      <w:r w:rsidRPr="00C330B6">
        <w:rPr>
          <w:rFonts w:ascii="Arial" w:hAnsi="Arial" w:cs="Arial"/>
          <w:b/>
          <w:bCs/>
        </w:rPr>
        <w:t>Exploring the Adolescent Experience</w:t>
      </w:r>
    </w:p>
    <w:p w14:paraId="36BE76BD" w14:textId="6893225B" w:rsidR="00C330B6" w:rsidRPr="00C330B6" w:rsidRDefault="00C330B6" w:rsidP="00C330B6">
      <w:pPr>
        <w:jc w:val="center"/>
        <w:rPr>
          <w:rFonts w:ascii="Arial" w:hAnsi="Arial" w:cs="Arial"/>
          <w:b/>
          <w:bCs/>
        </w:rPr>
      </w:pPr>
      <w:r w:rsidRPr="00C330B6">
        <w:rPr>
          <w:rFonts w:ascii="Arial" w:hAnsi="Arial" w:cs="Arial"/>
          <w:b/>
          <w:bCs/>
        </w:rPr>
        <w:t>Name: Tanya Roberts</w:t>
      </w:r>
    </w:p>
    <w:p w14:paraId="68E3A126" w14:textId="59140F19" w:rsidR="00C330B6" w:rsidRPr="00C330B6" w:rsidRDefault="00C330B6" w:rsidP="00C330B6">
      <w:pPr>
        <w:jc w:val="center"/>
        <w:rPr>
          <w:rFonts w:ascii="Arial" w:hAnsi="Arial" w:cs="Arial"/>
          <w:b/>
          <w:bCs/>
        </w:rPr>
      </w:pPr>
      <w:r w:rsidRPr="00C330B6">
        <w:rPr>
          <w:rFonts w:ascii="Arial" w:hAnsi="Arial" w:cs="Arial"/>
          <w:b/>
          <w:bCs/>
        </w:rPr>
        <w:t>Student Number:2520867</w:t>
      </w:r>
    </w:p>
    <w:p w14:paraId="68DD0A97" w14:textId="078734EE" w:rsidR="00C330B6" w:rsidRDefault="00C330B6" w:rsidP="00C330B6">
      <w:pPr>
        <w:jc w:val="center"/>
        <w:rPr>
          <w:rFonts w:ascii="Arial" w:hAnsi="Arial" w:cs="Arial"/>
          <w:b/>
          <w:bCs/>
        </w:rPr>
      </w:pPr>
      <w:r w:rsidRPr="00C330B6">
        <w:rPr>
          <w:rFonts w:ascii="Arial" w:hAnsi="Arial" w:cs="Arial"/>
          <w:b/>
          <w:bCs/>
        </w:rPr>
        <w:t>Observational Report</w:t>
      </w:r>
      <w:r w:rsidRPr="00C330B6">
        <w:rPr>
          <w:rFonts w:ascii="Arial" w:hAnsi="Arial" w:cs="Arial"/>
          <w:b/>
          <w:bCs/>
        </w:rPr>
        <w:t xml:space="preserve"> of the film Kidulthood</w:t>
      </w:r>
      <w:r w:rsidR="009C2C5E">
        <w:rPr>
          <w:rFonts w:ascii="Arial" w:hAnsi="Arial" w:cs="Arial"/>
          <w:b/>
          <w:bCs/>
        </w:rPr>
        <w:t xml:space="preserve"> (2006)</w:t>
      </w:r>
    </w:p>
    <w:p w14:paraId="23F8AFA1" w14:textId="77777777" w:rsidR="00D25AA7" w:rsidRPr="00D25AA7" w:rsidRDefault="00D25AA7" w:rsidP="00D25AA7">
      <w:pPr>
        <w:rPr>
          <w:rFonts w:ascii="Arial" w:hAnsi="Arial" w:cs="Arial"/>
        </w:rPr>
      </w:pPr>
      <w:r w:rsidRPr="00D25AA7">
        <w:rPr>
          <w:rFonts w:ascii="Arial" w:hAnsi="Arial" w:cs="Arial"/>
        </w:rPr>
        <w:t xml:space="preserve">This observational report critically analyses </w:t>
      </w:r>
      <w:r w:rsidRPr="00D25AA7">
        <w:rPr>
          <w:rFonts w:ascii="Arial" w:hAnsi="Arial" w:cs="Arial"/>
          <w:i/>
          <w:iCs/>
        </w:rPr>
        <w:t>Kidulthood</w:t>
      </w:r>
      <w:r w:rsidRPr="00D25AA7">
        <w:rPr>
          <w:rFonts w:ascii="Arial" w:hAnsi="Arial" w:cs="Arial"/>
        </w:rPr>
        <w:t xml:space="preserve"> (2006), directed by Menhaj Huda, a film widely regarded as socially provocative and ahead of its time. Upon its release, it generated significant controversy due to its unfiltered portrayal of the challenging realities faced by young people in urban environments. The film highlights issues that are often underrepresented in mainstream British cinema, exposing the complex pressures associated with adolescence and prompting discussion around youth culture, social responsibility, and safeguarding.</w:t>
      </w:r>
    </w:p>
    <w:p w14:paraId="167679C6" w14:textId="77777777" w:rsidR="00D25AA7" w:rsidRPr="00D25AA7" w:rsidRDefault="00D25AA7" w:rsidP="00D25AA7">
      <w:pPr>
        <w:rPr>
          <w:rFonts w:ascii="Arial" w:hAnsi="Arial" w:cs="Arial"/>
        </w:rPr>
      </w:pPr>
      <w:r w:rsidRPr="00D25AA7">
        <w:rPr>
          <w:rFonts w:ascii="Arial" w:hAnsi="Arial" w:cs="Arial"/>
        </w:rPr>
        <w:t>The narrative follows a group of teenagers in West London, illustrating how peer dynamics and environmental factors contribute to high-risk behaviours. These behaviours include violence, substance misuse, underage sexual activity, and criminal exploitation. Importantly, these behaviours are not presented as isolated incidents but as interconnected experiences shaped by socio-economic disadvantage, limited supervision, and a lack of consistent support systems. A notable line from the film, “This is real life, bruv. Not everyone makes it out” (</w:t>
      </w:r>
      <w:r w:rsidRPr="00D25AA7">
        <w:rPr>
          <w:rFonts w:ascii="Arial" w:hAnsi="Arial" w:cs="Arial"/>
          <w:i/>
          <w:iCs/>
        </w:rPr>
        <w:t>Kidulthood</w:t>
      </w:r>
      <w:r w:rsidRPr="00D25AA7">
        <w:rPr>
          <w:rFonts w:ascii="Arial" w:hAnsi="Arial" w:cs="Arial"/>
        </w:rPr>
        <w:t>, 2006), emphasises the sense of limited opportunity and fatalism experienced by the characters.</w:t>
      </w:r>
    </w:p>
    <w:p w14:paraId="5A2A62F1" w14:textId="77777777" w:rsidR="00D25AA7" w:rsidRPr="00D25AA7" w:rsidRDefault="00D25AA7" w:rsidP="00D25AA7">
      <w:pPr>
        <w:rPr>
          <w:rFonts w:ascii="Arial" w:hAnsi="Arial" w:cs="Arial"/>
        </w:rPr>
      </w:pPr>
      <w:r w:rsidRPr="00D25AA7">
        <w:rPr>
          <w:rFonts w:ascii="Arial" w:hAnsi="Arial" w:cs="Arial"/>
        </w:rPr>
        <w:t>The opening school setting introduces key social dynamics, where a pupil invites others to a house party taking place without parental supervision. This reflects the significance of peer-led environments in adolescent life, which can provide spaces for both social bonding and risk-taking. Psychological research suggests that adolescents are more likely to engage in risky behaviour in group settings due to an increased sensitivity to peer approval (Steinberg, 2008). Similarly, Bandura’s (1977) Social Learning Theory highlights that behaviours are learned through observation and imitation, meaning that group norms can reinforce harmful behaviours.</w:t>
      </w:r>
    </w:p>
    <w:p w14:paraId="2722925E" w14:textId="77777777" w:rsidR="00D25AA7" w:rsidRPr="00D25AA7" w:rsidRDefault="00D25AA7" w:rsidP="00D25AA7">
      <w:pPr>
        <w:rPr>
          <w:rFonts w:ascii="Arial" w:hAnsi="Arial" w:cs="Arial"/>
        </w:rPr>
      </w:pPr>
      <w:r w:rsidRPr="00D25AA7">
        <w:rPr>
          <w:rFonts w:ascii="Arial" w:hAnsi="Arial" w:cs="Arial"/>
        </w:rPr>
        <w:t xml:space="preserve">From a policy perspective, the </w:t>
      </w:r>
      <w:r w:rsidRPr="00D25AA7">
        <w:rPr>
          <w:rFonts w:ascii="Arial" w:hAnsi="Arial" w:cs="Arial"/>
          <w:i/>
          <w:iCs/>
        </w:rPr>
        <w:t>Youth Work Strategy for Wales</w:t>
      </w:r>
      <w:r w:rsidRPr="00D25AA7">
        <w:rPr>
          <w:rFonts w:ascii="Arial" w:hAnsi="Arial" w:cs="Arial"/>
        </w:rPr>
        <w:t xml:space="preserve"> (Welsh Government, 2019) emphasises the importance of early intervention and supportive relationships in helping young people make positive choices. This highlights the role of youth services in preventing risk-taking behaviour by offering guidance and safe spaces for development.</w:t>
      </w:r>
    </w:p>
    <w:p w14:paraId="7455D951" w14:textId="77777777" w:rsidR="00D25AA7" w:rsidRPr="00D25AA7" w:rsidRDefault="00D25AA7" w:rsidP="00D25AA7">
      <w:pPr>
        <w:rPr>
          <w:rFonts w:ascii="Arial" w:hAnsi="Arial" w:cs="Arial"/>
        </w:rPr>
      </w:pPr>
      <w:r w:rsidRPr="00D25AA7">
        <w:rPr>
          <w:rFonts w:ascii="Arial" w:hAnsi="Arial" w:cs="Arial"/>
        </w:rPr>
        <w:t>The film introduces the character of Katie, who becomes the victim of sustained bullying. In a distressing scene, she is physically assaulted in a classroom while other pupils watch passively, demonstrating the bystander effect and the normalisation of violence within peer groups. Katie is coerced into publicly declaring private information, reflecting gender-based humiliation and peer pressure. According to Bandura (1977), such aggression can be learned and reinforced within group contexts, particularly where there is a lack of challenge from authority figures or peers.</w:t>
      </w:r>
    </w:p>
    <w:p w14:paraId="1C7EE8F8" w14:textId="77777777" w:rsidR="00D25AA7" w:rsidRPr="00D25AA7" w:rsidRDefault="00D25AA7" w:rsidP="00D25AA7">
      <w:pPr>
        <w:rPr>
          <w:rFonts w:ascii="Arial" w:hAnsi="Arial" w:cs="Arial"/>
        </w:rPr>
      </w:pPr>
      <w:r w:rsidRPr="00D25AA7">
        <w:rPr>
          <w:rFonts w:ascii="Arial" w:hAnsi="Arial" w:cs="Arial"/>
        </w:rPr>
        <w:t xml:space="preserve">Katie’s vulnerability continues as she returns home, where visible signs of harm are dismissed by her parents. Despite noticing her injuries, her father fails to explore their cause, and her mother’s concerns about bullying are overlooked. This represents significant missed safeguarding opportunities. The </w:t>
      </w:r>
      <w:r w:rsidRPr="00D25AA7">
        <w:rPr>
          <w:rFonts w:ascii="Arial" w:hAnsi="Arial" w:cs="Arial"/>
          <w:i/>
          <w:iCs/>
        </w:rPr>
        <w:t>Children Act 2004</w:t>
      </w:r>
      <w:r w:rsidRPr="00D25AA7">
        <w:rPr>
          <w:rFonts w:ascii="Arial" w:hAnsi="Arial" w:cs="Arial"/>
        </w:rPr>
        <w:t xml:space="preserve"> outlines the responsibility of parents and professionals to safeguard and promote the welfare of children (HM Government, 2004). Similarly, the </w:t>
      </w:r>
      <w:r w:rsidRPr="00D25AA7">
        <w:rPr>
          <w:rFonts w:ascii="Arial" w:hAnsi="Arial" w:cs="Arial"/>
          <w:i/>
          <w:iCs/>
        </w:rPr>
        <w:t>Youth Work Strategy for Wales</w:t>
      </w:r>
      <w:r w:rsidRPr="00D25AA7">
        <w:rPr>
          <w:rFonts w:ascii="Arial" w:hAnsi="Arial" w:cs="Arial"/>
        </w:rPr>
        <w:t xml:space="preserve"> stresses the importance of early identification of harm and supportive intervention (Welsh Government, 2019).</w:t>
      </w:r>
    </w:p>
    <w:p w14:paraId="4BBC4557" w14:textId="77777777" w:rsidR="00D25AA7" w:rsidRPr="00D25AA7" w:rsidRDefault="00D25AA7" w:rsidP="00D25AA7">
      <w:pPr>
        <w:rPr>
          <w:rFonts w:ascii="Arial" w:hAnsi="Arial" w:cs="Arial"/>
        </w:rPr>
      </w:pPr>
      <w:r w:rsidRPr="00D25AA7">
        <w:rPr>
          <w:rFonts w:ascii="Arial" w:hAnsi="Arial" w:cs="Arial"/>
        </w:rPr>
        <w:lastRenderedPageBreak/>
        <w:t>Tragically, the lack of intervention culminates in Katie’s suicide, demonstrating the severe psychological impact of bullying. Adolescents are particularly vulnerable to emotional distress due to ongoing cognitive and emotional development, which can affect resilience and coping mechanisms (Steinberg, 2008). This scene highlights the devastating consequences of unaddressed peer victimisation and reinforces the need for effective safeguarding systems.</w:t>
      </w:r>
    </w:p>
    <w:p w14:paraId="10BCECE1" w14:textId="77777777" w:rsidR="00D25AA7" w:rsidRPr="00D25AA7" w:rsidRDefault="00D25AA7" w:rsidP="00D25AA7">
      <w:pPr>
        <w:rPr>
          <w:rFonts w:ascii="Arial" w:hAnsi="Arial" w:cs="Arial"/>
        </w:rPr>
      </w:pPr>
      <w:r w:rsidRPr="00D25AA7">
        <w:rPr>
          <w:rFonts w:ascii="Arial" w:hAnsi="Arial" w:cs="Arial"/>
        </w:rPr>
        <w:t xml:space="preserve">Following Katie’s death, the school is closed as a mark of respect. While this may appear appropriate, it results in young people being left without structured support during a critical time. Many characters express guilt and remorse, yet they are left to process their emotions independently. Schools often function as protective environments where emotional support can be accessed, and their absence highlights a gap in safeguarding practice. The </w:t>
      </w:r>
      <w:r w:rsidRPr="00D25AA7">
        <w:rPr>
          <w:rFonts w:ascii="Arial" w:hAnsi="Arial" w:cs="Arial"/>
          <w:i/>
          <w:iCs/>
        </w:rPr>
        <w:t>Children Act 2004</w:t>
      </w:r>
      <w:r w:rsidRPr="00D25AA7">
        <w:rPr>
          <w:rFonts w:ascii="Arial" w:hAnsi="Arial" w:cs="Arial"/>
        </w:rPr>
        <w:t xml:space="preserve"> emphasises the duty of institutions to support young people’s wellbeing (HM Government, 2004), while the </w:t>
      </w:r>
      <w:r w:rsidRPr="00D25AA7">
        <w:rPr>
          <w:rFonts w:ascii="Arial" w:hAnsi="Arial" w:cs="Arial"/>
          <w:i/>
          <w:iCs/>
        </w:rPr>
        <w:t>Youth Work Strategy for Wales</w:t>
      </w:r>
      <w:r w:rsidRPr="00D25AA7">
        <w:rPr>
          <w:rFonts w:ascii="Arial" w:hAnsi="Arial" w:cs="Arial"/>
        </w:rPr>
        <w:t xml:space="preserve"> highlights the importance of providing safe spaces and emotional guidance during times of crisis (Welsh Government, 2019).</w:t>
      </w:r>
    </w:p>
    <w:p w14:paraId="3AD83826" w14:textId="77777777" w:rsidR="00D25AA7" w:rsidRPr="00D25AA7" w:rsidRDefault="00D25AA7" w:rsidP="00D25AA7">
      <w:pPr>
        <w:rPr>
          <w:rFonts w:ascii="Arial" w:hAnsi="Arial" w:cs="Arial"/>
        </w:rPr>
      </w:pPr>
      <w:r w:rsidRPr="00D25AA7">
        <w:rPr>
          <w:rFonts w:ascii="Arial" w:hAnsi="Arial" w:cs="Arial"/>
        </w:rPr>
        <w:t>As the narrative progresses, Trevor’s storyline introduces themes of criminal exploitation. He is shown hiding a weapon, later revealed to be a gun, and interacting with his uncle, who is portrayed as being involved in criminal activity, including drug distribution. This reflects the concept of ‘county lines’ exploitation, where young people are groomed into criminal networks through coercion and manipulation. Trevor is drawn in with promises of wealth and status, illustrating how vulnerability can be exploited.</w:t>
      </w:r>
    </w:p>
    <w:p w14:paraId="13EEDD6D" w14:textId="77777777" w:rsidR="00D25AA7" w:rsidRPr="00D25AA7" w:rsidRDefault="00D25AA7" w:rsidP="00D25AA7">
      <w:pPr>
        <w:rPr>
          <w:rFonts w:ascii="Arial" w:hAnsi="Arial" w:cs="Arial"/>
        </w:rPr>
      </w:pPr>
      <w:r w:rsidRPr="00D25AA7">
        <w:rPr>
          <w:rFonts w:ascii="Arial" w:hAnsi="Arial" w:cs="Arial"/>
        </w:rPr>
        <w:t xml:space="preserve">Trevor’s internal conflict becomes evident when he is pressured to commit a violent act. Although initially motivated by a desire for approval, he demonstrates hesitation and eventually withdraws. This reflects adolescent brain development, where young people are influenced by reward-seeking behaviour but still developing moral reasoning and impulse control (Steinberg, 2008). The </w:t>
      </w:r>
      <w:r w:rsidRPr="00D25AA7">
        <w:rPr>
          <w:rFonts w:ascii="Arial" w:hAnsi="Arial" w:cs="Arial"/>
          <w:i/>
          <w:iCs/>
        </w:rPr>
        <w:t>Youth Work Strategy for Wales</w:t>
      </w:r>
      <w:r w:rsidRPr="00D25AA7">
        <w:rPr>
          <w:rFonts w:ascii="Arial" w:hAnsi="Arial" w:cs="Arial"/>
        </w:rPr>
        <w:t xml:space="preserve"> highlights the importance of early intervention to prevent exploitation, reinforcing the need for guidance and support systems (Welsh Government, 2019).</w:t>
      </w:r>
    </w:p>
    <w:p w14:paraId="4DB16D59" w14:textId="77777777" w:rsidR="00D25AA7" w:rsidRPr="00D25AA7" w:rsidRDefault="00D25AA7" w:rsidP="00D25AA7">
      <w:pPr>
        <w:rPr>
          <w:rFonts w:ascii="Arial" w:hAnsi="Arial" w:cs="Arial"/>
        </w:rPr>
      </w:pPr>
      <w:r w:rsidRPr="00D25AA7">
        <w:rPr>
          <w:rFonts w:ascii="Arial" w:hAnsi="Arial" w:cs="Arial"/>
        </w:rPr>
        <w:t>The film also highlights grooming through the experiences of Rebecca and Elisa, who are exploited by older men offering drugs, alcohol, and money in exchange for sexual favours. This demonstrates how power imbalances and emotional manipulation can be used to control vulnerable individuals. Adolescents are particularly susceptible due to their developmental stage, which includes a heightened sensitivity to rewards and social approval (Steinberg, 2008).</w:t>
      </w:r>
    </w:p>
    <w:p w14:paraId="2ABCC580" w14:textId="77777777" w:rsidR="00D25AA7" w:rsidRPr="00D25AA7" w:rsidRDefault="00D25AA7" w:rsidP="00D25AA7">
      <w:pPr>
        <w:rPr>
          <w:rFonts w:ascii="Arial" w:hAnsi="Arial" w:cs="Arial"/>
        </w:rPr>
      </w:pPr>
      <w:r w:rsidRPr="00D25AA7">
        <w:rPr>
          <w:rFonts w:ascii="Arial" w:hAnsi="Arial" w:cs="Arial"/>
        </w:rPr>
        <w:t xml:space="preserve">Elisa’s situation becomes more complex when she discovers she is pregnant and is rejected by the baby’s father. This further illustrates the lack of support available to young people facing significant life challenges. The </w:t>
      </w:r>
      <w:r w:rsidRPr="00D25AA7">
        <w:rPr>
          <w:rFonts w:ascii="Arial" w:hAnsi="Arial" w:cs="Arial"/>
          <w:i/>
          <w:iCs/>
        </w:rPr>
        <w:t>Children Act 2004</w:t>
      </w:r>
      <w:r w:rsidRPr="00D25AA7">
        <w:rPr>
          <w:rFonts w:ascii="Arial" w:hAnsi="Arial" w:cs="Arial"/>
        </w:rPr>
        <w:t xml:space="preserve"> reinforces the responsibility to protect young people from harm (HM Government, 2004), while Welsh policy highlights the importance of education and supportive environments in reducing vulnerability (Welsh Government, 2019).</w:t>
      </w:r>
    </w:p>
    <w:p w14:paraId="26F194FF" w14:textId="77777777" w:rsidR="00D25AA7" w:rsidRPr="00D25AA7" w:rsidRDefault="00D25AA7" w:rsidP="00D25AA7">
      <w:pPr>
        <w:rPr>
          <w:rFonts w:ascii="Arial" w:hAnsi="Arial" w:cs="Arial"/>
        </w:rPr>
      </w:pPr>
      <w:r w:rsidRPr="00D25AA7">
        <w:rPr>
          <w:rFonts w:ascii="Arial" w:hAnsi="Arial" w:cs="Arial"/>
        </w:rPr>
        <w:t>Racism is also subtly depicted in the film through the experiences of young people attempting to hail taxis, which repeatedly fail to stop. This reflects discriminatory attitudes and contributes to feelings of exclusion and marginalisation. When a taxi does eventually stop, the young people react aggressively, demonstrating how experiences of inequality can lead to frustration and retaliatory behaviour. Erikson’s (1968) theory of identity development suggests that adolescents are particularly sensitive to social rejection, which can influence their behaviour.</w:t>
      </w:r>
    </w:p>
    <w:p w14:paraId="1CEDB7C8" w14:textId="77777777" w:rsidR="00D25AA7" w:rsidRPr="00D25AA7" w:rsidRDefault="00D25AA7" w:rsidP="00D25AA7">
      <w:pPr>
        <w:rPr>
          <w:rFonts w:ascii="Arial" w:hAnsi="Arial" w:cs="Arial"/>
        </w:rPr>
      </w:pPr>
      <w:r w:rsidRPr="00D25AA7">
        <w:rPr>
          <w:rFonts w:ascii="Arial" w:hAnsi="Arial" w:cs="Arial"/>
        </w:rPr>
        <w:lastRenderedPageBreak/>
        <w:t>The film concludes with a house party that escalates into a chaotic environment where drugs, alcohol, and violence are present. Tensions between characters culminate in a fatal assault, illustrating how unresolved conflict can escalate rapidly. Additionally, Katie’s brother attempts to use violence as retaliation, driven by grief and anger. However, a final moment of reflection prevents further tragedy. This reinforces the idea that while adolescents experience heightened emotional responses, their ability to regulate behaviour is still developing (Steinberg, 2008).</w:t>
      </w:r>
    </w:p>
    <w:p w14:paraId="66B02F86" w14:textId="77777777" w:rsidR="00D25AA7" w:rsidRPr="00D25AA7" w:rsidRDefault="00D25AA7" w:rsidP="00D25AA7">
      <w:pPr>
        <w:rPr>
          <w:rFonts w:ascii="Arial" w:hAnsi="Arial" w:cs="Arial"/>
        </w:rPr>
      </w:pPr>
      <w:r w:rsidRPr="00D25AA7">
        <w:rPr>
          <w:rFonts w:ascii="Arial" w:hAnsi="Arial" w:cs="Arial"/>
        </w:rPr>
        <w:t xml:space="preserve">In conclusion, </w:t>
      </w:r>
      <w:r w:rsidRPr="00D25AA7">
        <w:rPr>
          <w:rFonts w:ascii="Arial" w:hAnsi="Arial" w:cs="Arial"/>
          <w:i/>
          <w:iCs/>
        </w:rPr>
        <w:t>Kidulthood</w:t>
      </w:r>
      <w:r w:rsidRPr="00D25AA7">
        <w:rPr>
          <w:rFonts w:ascii="Arial" w:hAnsi="Arial" w:cs="Arial"/>
        </w:rPr>
        <w:t xml:space="preserve"> provides a powerful and thought-provoking representation of the realities faced by young people. The film highlights how peer pressure, socio-economic disadvantage, and lack of support can contribute to risky and harmful behaviours. Through its characters, it demonstrates the serious consequences of bullying, exploitation, and violence.</w:t>
      </w:r>
    </w:p>
    <w:p w14:paraId="101C068B" w14:textId="77777777" w:rsidR="00D25AA7" w:rsidRPr="00D25AA7" w:rsidRDefault="00D25AA7" w:rsidP="00D25AA7">
      <w:pPr>
        <w:rPr>
          <w:rFonts w:ascii="Arial" w:hAnsi="Arial" w:cs="Arial"/>
        </w:rPr>
      </w:pPr>
      <w:r w:rsidRPr="00D25AA7">
        <w:rPr>
          <w:rFonts w:ascii="Arial" w:hAnsi="Arial" w:cs="Arial"/>
        </w:rPr>
        <w:t>From a psychological perspective, adolescent behaviour can be understood through developmental theories that emphasise the ongoing maturation of the brain and increased susceptibility to peer influence (Steinberg, 2008). Bandura’s (1977) Social Learning Theory further explains how behaviours are shaped through observation and imitation within peer groups.</w:t>
      </w:r>
    </w:p>
    <w:p w14:paraId="1E33B453" w14:textId="77777777" w:rsidR="00D25AA7" w:rsidRDefault="00D25AA7" w:rsidP="00D25AA7">
      <w:pPr>
        <w:rPr>
          <w:rFonts w:ascii="Arial" w:hAnsi="Arial" w:cs="Arial"/>
        </w:rPr>
      </w:pPr>
      <w:r w:rsidRPr="00D25AA7">
        <w:rPr>
          <w:rFonts w:ascii="Arial" w:hAnsi="Arial" w:cs="Arial"/>
        </w:rPr>
        <w:t xml:space="preserve">From a policy perspective, frameworks such as the </w:t>
      </w:r>
      <w:r w:rsidRPr="00D25AA7">
        <w:rPr>
          <w:rFonts w:ascii="Arial" w:hAnsi="Arial" w:cs="Arial"/>
          <w:i/>
          <w:iCs/>
        </w:rPr>
        <w:t>Children Act 2004</w:t>
      </w:r>
      <w:r w:rsidRPr="00D25AA7">
        <w:rPr>
          <w:rFonts w:ascii="Arial" w:hAnsi="Arial" w:cs="Arial"/>
        </w:rPr>
        <w:t xml:space="preserve"> and the </w:t>
      </w:r>
      <w:r w:rsidRPr="00D25AA7">
        <w:rPr>
          <w:rFonts w:ascii="Arial" w:hAnsi="Arial" w:cs="Arial"/>
          <w:i/>
          <w:iCs/>
        </w:rPr>
        <w:t>Youth Work Strategy for Wales</w:t>
      </w:r>
      <w:r w:rsidRPr="00D25AA7">
        <w:rPr>
          <w:rFonts w:ascii="Arial" w:hAnsi="Arial" w:cs="Arial"/>
        </w:rPr>
        <w:t xml:space="preserve"> emphasise the importance of safeguarding, early intervention, and supportive relationships (HM Government, 2004; Welsh Government, 2019). Ultimately, the film acts as a cautionary narrative, reinforcing the critical role of youth work and support systems in helping young people navigate challenges and make safer, informed decisions.</w:t>
      </w:r>
    </w:p>
    <w:p w14:paraId="65F5CC96" w14:textId="77777777" w:rsidR="00D25AA7" w:rsidRPr="00D25AA7" w:rsidRDefault="00D25AA7" w:rsidP="00D25AA7">
      <w:pPr>
        <w:rPr>
          <w:rFonts w:ascii="Arial" w:hAnsi="Arial" w:cs="Arial"/>
        </w:rPr>
      </w:pPr>
      <w:r w:rsidRPr="00D25AA7">
        <w:rPr>
          <w:rFonts w:ascii="Arial" w:hAnsi="Arial" w:cs="Arial"/>
        </w:rPr>
        <w:t xml:space="preserve">Furthermore, the film emphasises the importance of multi-agency support in addressing the complex needs of young people. The issues presented—bullying, exploitation, substance misuse, and violence—demonstrate that no single service can effectively respond in isolation. Youth workers, schools, social services, and families all play a crucial role in safeguarding and supporting adolescents. The </w:t>
      </w:r>
      <w:r w:rsidRPr="00D25AA7">
        <w:rPr>
          <w:rFonts w:ascii="Arial" w:hAnsi="Arial" w:cs="Arial"/>
          <w:i/>
          <w:iCs/>
        </w:rPr>
        <w:t>Youth Work Strategy for Wales</w:t>
      </w:r>
      <w:r w:rsidRPr="00D25AA7">
        <w:rPr>
          <w:rFonts w:ascii="Arial" w:hAnsi="Arial" w:cs="Arial"/>
        </w:rPr>
        <w:t xml:space="preserve"> (Welsh Government, 2019) highlights the value of partnership working and early intervention in promoting positive outcomes. By providing trusted relationships and consistent guidance, youth work can help young people build resilience, develop coping strategies, and reduce engagement in risky behaviours, ultimately improving their long-term life chances.</w:t>
      </w:r>
    </w:p>
    <w:p w14:paraId="506C1E60" w14:textId="77777777" w:rsidR="00D25AA7" w:rsidRPr="00D25AA7" w:rsidRDefault="00D25AA7" w:rsidP="00D25AA7">
      <w:pPr>
        <w:rPr>
          <w:rFonts w:ascii="Arial" w:hAnsi="Arial" w:cs="Arial"/>
        </w:rPr>
      </w:pPr>
    </w:p>
    <w:p w14:paraId="4099A5F9" w14:textId="77777777" w:rsidR="00D25AA7" w:rsidRPr="00D25AA7" w:rsidRDefault="00D25AA7" w:rsidP="00D25AA7">
      <w:pPr>
        <w:rPr>
          <w:rFonts w:ascii="Arial" w:hAnsi="Arial" w:cs="Arial"/>
        </w:rPr>
      </w:pPr>
      <w:r w:rsidRPr="00D25AA7">
        <w:rPr>
          <w:rFonts w:ascii="Arial" w:hAnsi="Arial" w:cs="Arial"/>
        </w:rPr>
        <w:pict w14:anchorId="24E5EE6E">
          <v:rect id="_x0000_i1031" style="width:0;height:1.5pt" o:hralign="center" o:hrstd="t" o:hr="t" fillcolor="#a0a0a0" stroked="f"/>
        </w:pict>
      </w:r>
    </w:p>
    <w:p w14:paraId="618128C8" w14:textId="77777777" w:rsidR="00D25AA7" w:rsidRPr="00D25AA7" w:rsidRDefault="00D25AA7" w:rsidP="00D25AA7">
      <w:pPr>
        <w:rPr>
          <w:rFonts w:ascii="Arial" w:hAnsi="Arial" w:cs="Arial"/>
          <w:b/>
          <w:bCs/>
        </w:rPr>
      </w:pPr>
      <w:r w:rsidRPr="00D25AA7">
        <w:rPr>
          <w:rFonts w:ascii="Arial" w:hAnsi="Arial" w:cs="Arial"/>
          <w:b/>
          <w:bCs/>
        </w:rPr>
        <w:t>Reference List (Harvard Style)</w:t>
      </w:r>
    </w:p>
    <w:p w14:paraId="33066D01" w14:textId="77777777" w:rsidR="00D25AA7" w:rsidRPr="00D25AA7" w:rsidRDefault="00D25AA7" w:rsidP="00D25AA7">
      <w:pPr>
        <w:rPr>
          <w:rFonts w:ascii="Arial" w:hAnsi="Arial" w:cs="Arial"/>
        </w:rPr>
      </w:pPr>
      <w:r w:rsidRPr="00D25AA7">
        <w:rPr>
          <w:rFonts w:ascii="Arial" w:hAnsi="Arial" w:cs="Arial"/>
        </w:rPr>
        <w:t xml:space="preserve">Bandura, A. (1977) </w:t>
      </w:r>
      <w:r w:rsidRPr="00D25AA7">
        <w:rPr>
          <w:rFonts w:ascii="Arial" w:hAnsi="Arial" w:cs="Arial"/>
          <w:i/>
          <w:iCs/>
        </w:rPr>
        <w:t>Social Learning Theory</w:t>
      </w:r>
      <w:r w:rsidRPr="00D25AA7">
        <w:rPr>
          <w:rFonts w:ascii="Arial" w:hAnsi="Arial" w:cs="Arial"/>
        </w:rPr>
        <w:t>. Englewood Cliffs, NJ: Prentice Hall.</w:t>
      </w:r>
    </w:p>
    <w:p w14:paraId="18908BDE" w14:textId="77777777" w:rsidR="00D25AA7" w:rsidRPr="00D25AA7" w:rsidRDefault="00D25AA7" w:rsidP="00D25AA7">
      <w:pPr>
        <w:rPr>
          <w:rFonts w:ascii="Arial" w:hAnsi="Arial" w:cs="Arial"/>
        </w:rPr>
      </w:pPr>
      <w:r w:rsidRPr="00D25AA7">
        <w:rPr>
          <w:rFonts w:ascii="Arial" w:hAnsi="Arial" w:cs="Arial"/>
        </w:rPr>
        <w:t xml:space="preserve">Erikson, E.H. (1968) </w:t>
      </w:r>
      <w:r w:rsidRPr="00D25AA7">
        <w:rPr>
          <w:rFonts w:ascii="Arial" w:hAnsi="Arial" w:cs="Arial"/>
          <w:i/>
          <w:iCs/>
        </w:rPr>
        <w:t>Identity: Youth and Crisis</w:t>
      </w:r>
      <w:r w:rsidRPr="00D25AA7">
        <w:rPr>
          <w:rFonts w:ascii="Arial" w:hAnsi="Arial" w:cs="Arial"/>
        </w:rPr>
        <w:t>. New York: Norton.</w:t>
      </w:r>
    </w:p>
    <w:p w14:paraId="7C528894" w14:textId="77777777" w:rsidR="00D25AA7" w:rsidRPr="00D25AA7" w:rsidRDefault="00D25AA7" w:rsidP="00D25AA7">
      <w:pPr>
        <w:rPr>
          <w:rFonts w:ascii="Arial" w:hAnsi="Arial" w:cs="Arial"/>
        </w:rPr>
      </w:pPr>
      <w:r w:rsidRPr="00D25AA7">
        <w:rPr>
          <w:rFonts w:ascii="Arial" w:hAnsi="Arial" w:cs="Arial"/>
        </w:rPr>
        <w:t xml:space="preserve">HM Government (2004) </w:t>
      </w:r>
      <w:r w:rsidRPr="00D25AA7">
        <w:rPr>
          <w:rFonts w:ascii="Arial" w:hAnsi="Arial" w:cs="Arial"/>
          <w:i/>
          <w:iCs/>
        </w:rPr>
        <w:t>Children Act 2004</w:t>
      </w:r>
      <w:r w:rsidRPr="00D25AA7">
        <w:rPr>
          <w:rFonts w:ascii="Arial" w:hAnsi="Arial" w:cs="Arial"/>
        </w:rPr>
        <w:t>. London: The Stationery Office.</w:t>
      </w:r>
    </w:p>
    <w:p w14:paraId="054E9A2B" w14:textId="77777777" w:rsidR="00D25AA7" w:rsidRPr="00D25AA7" w:rsidRDefault="00D25AA7" w:rsidP="00D25AA7">
      <w:pPr>
        <w:rPr>
          <w:rFonts w:ascii="Arial" w:hAnsi="Arial" w:cs="Arial"/>
        </w:rPr>
      </w:pPr>
      <w:r w:rsidRPr="00D25AA7">
        <w:rPr>
          <w:rFonts w:ascii="Arial" w:hAnsi="Arial" w:cs="Arial"/>
        </w:rPr>
        <w:t xml:space="preserve">Huda, M. (2006) </w:t>
      </w:r>
      <w:r w:rsidRPr="00D25AA7">
        <w:rPr>
          <w:rFonts w:ascii="Arial" w:hAnsi="Arial" w:cs="Arial"/>
          <w:i/>
          <w:iCs/>
        </w:rPr>
        <w:t>Kidulthood</w:t>
      </w:r>
      <w:r w:rsidRPr="00D25AA7">
        <w:rPr>
          <w:rFonts w:ascii="Arial" w:hAnsi="Arial" w:cs="Arial"/>
        </w:rPr>
        <w:t>. London: Cipher Films.</w:t>
      </w:r>
    </w:p>
    <w:p w14:paraId="337D1599" w14:textId="77777777" w:rsidR="00D25AA7" w:rsidRPr="00D25AA7" w:rsidRDefault="00D25AA7" w:rsidP="00D25AA7">
      <w:pPr>
        <w:rPr>
          <w:rFonts w:ascii="Arial" w:hAnsi="Arial" w:cs="Arial"/>
        </w:rPr>
      </w:pPr>
      <w:r w:rsidRPr="00D25AA7">
        <w:rPr>
          <w:rFonts w:ascii="Arial" w:hAnsi="Arial" w:cs="Arial"/>
        </w:rPr>
        <w:t xml:space="preserve">Steinberg, L. (2008) ‘A social neuroscience perspective on adolescent risk-taking’, </w:t>
      </w:r>
      <w:r w:rsidRPr="00D25AA7">
        <w:rPr>
          <w:rFonts w:ascii="Arial" w:hAnsi="Arial" w:cs="Arial"/>
          <w:i/>
          <w:iCs/>
        </w:rPr>
        <w:t>Developmental Review</w:t>
      </w:r>
      <w:r w:rsidRPr="00D25AA7">
        <w:rPr>
          <w:rFonts w:ascii="Arial" w:hAnsi="Arial" w:cs="Arial"/>
        </w:rPr>
        <w:t>, 28(1), pp. 78–106.</w:t>
      </w:r>
    </w:p>
    <w:p w14:paraId="60B26E57" w14:textId="77777777" w:rsidR="00D25AA7" w:rsidRPr="00D25AA7" w:rsidRDefault="00D25AA7" w:rsidP="00D25AA7">
      <w:pPr>
        <w:rPr>
          <w:rFonts w:ascii="Arial" w:hAnsi="Arial" w:cs="Arial"/>
        </w:rPr>
      </w:pPr>
      <w:r w:rsidRPr="00D25AA7">
        <w:rPr>
          <w:rFonts w:ascii="Arial" w:hAnsi="Arial" w:cs="Arial"/>
        </w:rPr>
        <w:t xml:space="preserve">Welsh Government (2019) </w:t>
      </w:r>
      <w:r w:rsidRPr="00D25AA7">
        <w:rPr>
          <w:rFonts w:ascii="Arial" w:hAnsi="Arial" w:cs="Arial"/>
          <w:i/>
          <w:iCs/>
        </w:rPr>
        <w:t>Youth Work Strategy for Wales 2019–2024</w:t>
      </w:r>
      <w:r w:rsidRPr="00D25AA7">
        <w:rPr>
          <w:rFonts w:ascii="Arial" w:hAnsi="Arial" w:cs="Arial"/>
        </w:rPr>
        <w:t>. Cardiff: Welsh Government.</w:t>
      </w:r>
    </w:p>
    <w:p w14:paraId="6CF1518F" w14:textId="77777777" w:rsidR="00D25AA7" w:rsidRPr="006A4607" w:rsidRDefault="00D25AA7" w:rsidP="006A4607">
      <w:pPr>
        <w:rPr>
          <w:rFonts w:ascii="Arial" w:hAnsi="Arial" w:cs="Arial"/>
        </w:rPr>
      </w:pPr>
    </w:p>
    <w:sectPr w:rsidR="00D25AA7" w:rsidRPr="006A46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0B6"/>
    <w:rsid w:val="00097726"/>
    <w:rsid w:val="00134162"/>
    <w:rsid w:val="005A136D"/>
    <w:rsid w:val="00633B4C"/>
    <w:rsid w:val="006A4607"/>
    <w:rsid w:val="009C2C5E"/>
    <w:rsid w:val="00BD3FD0"/>
    <w:rsid w:val="00C330B6"/>
    <w:rsid w:val="00D25AA7"/>
    <w:rsid w:val="00E83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A950F"/>
  <w15:chartTrackingRefBased/>
  <w15:docId w15:val="{824FF00D-A650-48DE-9017-786953E1C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0B6"/>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C330B6"/>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330B6"/>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330B6"/>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330B6"/>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330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30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30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30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0B6"/>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C330B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C330B6"/>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330B6"/>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330B6"/>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330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30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30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30B6"/>
    <w:rPr>
      <w:rFonts w:eastAsiaTheme="majorEastAsia" w:cstheme="majorBidi"/>
      <w:color w:val="272727" w:themeColor="text1" w:themeTint="D8"/>
    </w:rPr>
  </w:style>
  <w:style w:type="paragraph" w:styleId="Title">
    <w:name w:val="Title"/>
    <w:basedOn w:val="Normal"/>
    <w:next w:val="Normal"/>
    <w:link w:val="TitleChar"/>
    <w:uiPriority w:val="10"/>
    <w:qFormat/>
    <w:rsid w:val="00C330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30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30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30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30B6"/>
    <w:pPr>
      <w:spacing w:before="160"/>
      <w:jc w:val="center"/>
    </w:pPr>
    <w:rPr>
      <w:i/>
      <w:iCs/>
      <w:color w:val="404040" w:themeColor="text1" w:themeTint="BF"/>
    </w:rPr>
  </w:style>
  <w:style w:type="character" w:customStyle="1" w:styleId="QuoteChar">
    <w:name w:val="Quote Char"/>
    <w:basedOn w:val="DefaultParagraphFont"/>
    <w:link w:val="Quote"/>
    <w:uiPriority w:val="29"/>
    <w:rsid w:val="00C330B6"/>
    <w:rPr>
      <w:i/>
      <w:iCs/>
      <w:color w:val="404040" w:themeColor="text1" w:themeTint="BF"/>
    </w:rPr>
  </w:style>
  <w:style w:type="paragraph" w:styleId="ListParagraph">
    <w:name w:val="List Paragraph"/>
    <w:basedOn w:val="Normal"/>
    <w:uiPriority w:val="34"/>
    <w:qFormat/>
    <w:rsid w:val="00C330B6"/>
    <w:pPr>
      <w:ind w:left="720"/>
      <w:contextualSpacing/>
    </w:pPr>
  </w:style>
  <w:style w:type="character" w:styleId="IntenseEmphasis">
    <w:name w:val="Intense Emphasis"/>
    <w:basedOn w:val="DefaultParagraphFont"/>
    <w:uiPriority w:val="21"/>
    <w:qFormat/>
    <w:rsid w:val="00C330B6"/>
    <w:rPr>
      <w:i/>
      <w:iCs/>
      <w:color w:val="2E74B5" w:themeColor="accent1" w:themeShade="BF"/>
    </w:rPr>
  </w:style>
  <w:style w:type="paragraph" w:styleId="IntenseQuote">
    <w:name w:val="Intense Quote"/>
    <w:basedOn w:val="Normal"/>
    <w:next w:val="Normal"/>
    <w:link w:val="IntenseQuoteChar"/>
    <w:uiPriority w:val="30"/>
    <w:qFormat/>
    <w:rsid w:val="00C330B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330B6"/>
    <w:rPr>
      <w:i/>
      <w:iCs/>
      <w:color w:val="2E74B5" w:themeColor="accent1" w:themeShade="BF"/>
    </w:rPr>
  </w:style>
  <w:style w:type="character" w:styleId="IntenseReference">
    <w:name w:val="Intense Reference"/>
    <w:basedOn w:val="DefaultParagraphFont"/>
    <w:uiPriority w:val="32"/>
    <w:qFormat/>
    <w:rsid w:val="00C330B6"/>
    <w:rPr>
      <w:b/>
      <w:bCs/>
      <w:smallCaps/>
      <w:color w:val="2E74B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4</Pages>
  <Words>1562</Words>
  <Characters>8764</Characters>
  <Application>Microsoft Office Word</Application>
  <DocSecurity>0</DocSecurity>
  <Lines>127</Lines>
  <Paragraphs>25</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10301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Roberts</dc:creator>
  <cp:keywords/>
  <dc:description/>
  <cp:lastModifiedBy>Tanya Roberts</cp:lastModifiedBy>
  <cp:revision>1</cp:revision>
  <dcterms:created xsi:type="dcterms:W3CDTF">2026-05-24T14:17:00Z</dcterms:created>
  <dcterms:modified xsi:type="dcterms:W3CDTF">2026-05-24T15:21:00Z</dcterms:modified>
</cp:coreProperties>
</file>