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509D" w:rsidRDefault="0003509D" w:rsidP="0003509D">
      <w:pPr>
        <w:pStyle w:val="NormalWeb"/>
        <w:spacing w:before="0" w:beforeAutospacing="0" w:after="0" w:afterAutospacing="0"/>
        <w:ind w:left="-180" w:right="-334"/>
      </w:pPr>
    </w:p>
    <w:p w:rsidR="0003509D" w:rsidRDefault="0003509D" w:rsidP="0003509D">
      <w:pPr>
        <w:pStyle w:val="NormalWeb"/>
        <w:spacing w:before="0" w:beforeAutospacing="0" w:after="0" w:afterAutospacing="0"/>
        <w:ind w:left="-180" w:right="-334"/>
      </w:pPr>
      <w:r w:rsidRPr="004401AE">
        <w:rPr>
          <w:noProof/>
          <w:lang w:eastAsia="en-GB"/>
        </w:rPr>
        <w:drawing>
          <wp:inline distT="0" distB="0" distL="0" distR="0" wp14:anchorId="7DFA2A08" wp14:editId="012B699C">
            <wp:extent cx="2377440" cy="94234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7440" cy="942340"/>
                    </a:xfrm>
                    <a:prstGeom prst="rect">
                      <a:avLst/>
                    </a:prstGeom>
                    <a:noFill/>
                    <a:ln>
                      <a:noFill/>
                    </a:ln>
                  </pic:spPr>
                </pic:pic>
              </a:graphicData>
            </a:graphic>
          </wp:inline>
        </w:drawing>
      </w:r>
    </w:p>
    <w:p w:rsidR="0003509D" w:rsidRDefault="0003509D" w:rsidP="0003509D">
      <w:pPr>
        <w:pStyle w:val="NormalWeb"/>
        <w:spacing w:before="0" w:beforeAutospacing="0" w:after="0" w:afterAutospacing="0"/>
        <w:ind w:left="-180" w:right="-334"/>
      </w:pPr>
    </w:p>
    <w:p w:rsidR="0003509D" w:rsidRPr="00E95BF7" w:rsidRDefault="0003509D" w:rsidP="0003509D">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rsidR="0003509D" w:rsidRPr="00E95BF7" w:rsidRDefault="0003509D" w:rsidP="0003509D">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rsidR="0003509D" w:rsidRPr="00E95BF7" w:rsidRDefault="0003509D" w:rsidP="0003509D">
      <w:pPr>
        <w:rPr>
          <w:sz w:val="28"/>
          <w:szCs w:val="28"/>
          <w:lang w:val="cy-GB"/>
        </w:rPr>
      </w:pPr>
    </w:p>
    <w:p w:rsidR="0003509D" w:rsidRPr="00E95BF7" w:rsidRDefault="0003509D" w:rsidP="0003509D">
      <w:pPr>
        <w:jc w:val="center"/>
        <w:rPr>
          <w:sz w:val="20"/>
          <w:szCs w:val="20"/>
          <w:lang w:val="cy-GB"/>
        </w:rPr>
      </w:pPr>
      <w:r w:rsidRPr="00E95BF7">
        <w:rPr>
          <w:sz w:val="20"/>
          <w:szCs w:val="20"/>
          <w:lang w:val="cy-GB"/>
        </w:rPr>
        <w:t>[Please insert this coversheet as the first page of the assignment you are submitting]</w:t>
      </w:r>
    </w:p>
    <w:p w:rsidR="0003509D" w:rsidRPr="00E95BF7" w:rsidRDefault="0003509D" w:rsidP="0003509D">
      <w:pPr>
        <w:pStyle w:val="Heading3"/>
        <w:jc w:val="cente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03509D" w:rsidRPr="00E95BF7" w:rsidTr="00B55327">
        <w:trPr>
          <w:trHeight w:val="724"/>
        </w:trPr>
        <w:tc>
          <w:tcPr>
            <w:tcW w:w="8856" w:type="dxa"/>
            <w:gridSpan w:val="4"/>
          </w:tcPr>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McKinley Terry</w:t>
            </w:r>
          </w:p>
        </w:tc>
      </w:tr>
      <w:tr w:rsidR="0003509D" w:rsidRPr="00E95BF7" w:rsidTr="00B55327">
        <w:trPr>
          <w:trHeight w:val="693"/>
        </w:trPr>
        <w:tc>
          <w:tcPr>
            <w:tcW w:w="4788" w:type="dxa"/>
          </w:tcPr>
          <w:p w:rsidR="0003509D" w:rsidRPr="00E95BF7" w:rsidRDefault="0003509D" w:rsidP="00B55327">
            <w:pPr>
              <w:pStyle w:val="NormalWeb"/>
              <w:spacing w:before="0" w:beforeAutospacing="0" w:after="0" w:afterAutospacing="0"/>
              <w:ind w:right="34"/>
              <w:rPr>
                <w:rFonts w:ascii="Arial" w:hAnsi="Arial" w:cs="Arial"/>
                <w:sz w:val="22"/>
                <w:szCs w:val="22"/>
              </w:rPr>
            </w:pPr>
          </w:p>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 xml:space="preserve"> CYCS70</w:t>
            </w:r>
            <w:r>
              <w:rPr>
                <w:rFonts w:ascii="Arial" w:hAnsi="Arial" w:cs="Arial"/>
                <w:sz w:val="22"/>
                <w:szCs w:val="22"/>
              </w:rPr>
              <w:t>21</w:t>
            </w:r>
          </w:p>
          <w:p w:rsidR="0003509D" w:rsidRPr="00E95BF7" w:rsidRDefault="0003509D" w:rsidP="00B55327">
            <w:pPr>
              <w:pStyle w:val="NormalWeb"/>
              <w:spacing w:before="0" w:beforeAutospacing="0" w:after="0" w:afterAutospacing="0"/>
              <w:ind w:right="34"/>
              <w:rPr>
                <w:rFonts w:ascii="Arial" w:hAnsi="Arial" w:cs="Arial"/>
                <w:sz w:val="22"/>
                <w:szCs w:val="22"/>
              </w:rPr>
            </w:pPr>
          </w:p>
        </w:tc>
        <w:tc>
          <w:tcPr>
            <w:tcW w:w="2266" w:type="dxa"/>
            <w:gridSpan w:val="2"/>
            <w:vMerge w:val="restart"/>
          </w:tcPr>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1803416</w:t>
            </w:r>
          </w:p>
        </w:tc>
        <w:tc>
          <w:tcPr>
            <w:tcW w:w="1802" w:type="dxa"/>
            <w:vMerge w:val="restart"/>
          </w:tcPr>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r w:rsidRPr="00850EB1">
              <w:rPr>
                <w:rFonts w:ascii="Arial" w:hAnsi="Arial" w:cs="Arial"/>
                <w:sz w:val="22"/>
                <w:szCs w:val="22"/>
                <w:highlight w:val="yellow"/>
              </w:rPr>
              <w:t>No</w:t>
            </w:r>
          </w:p>
        </w:tc>
      </w:tr>
      <w:tr w:rsidR="0003509D" w:rsidRPr="00E95BF7" w:rsidTr="00B55327">
        <w:trPr>
          <w:trHeight w:val="630"/>
        </w:trPr>
        <w:tc>
          <w:tcPr>
            <w:tcW w:w="4788" w:type="dxa"/>
          </w:tcPr>
          <w:p w:rsidR="0003509D" w:rsidRPr="00E95BF7" w:rsidRDefault="0003509D" w:rsidP="00B55327">
            <w:pPr>
              <w:pStyle w:val="NormalWeb"/>
              <w:spacing w:before="0" w:beforeAutospacing="0" w:after="0" w:afterAutospacing="0"/>
              <w:ind w:right="34"/>
              <w:rPr>
                <w:rFonts w:ascii="Arial" w:hAnsi="Arial" w:cs="Arial"/>
                <w:sz w:val="22"/>
                <w:szCs w:val="22"/>
              </w:rPr>
            </w:pPr>
          </w:p>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w:t>
            </w:r>
            <w:r>
              <w:rPr>
                <w:rFonts w:ascii="Arial" w:hAnsi="Arial" w:cs="Arial"/>
                <w:sz w:val="22"/>
                <w:szCs w:val="22"/>
              </w:rPr>
              <w:t>The Celtic Arthur and the Matter of Britain</w:t>
            </w:r>
          </w:p>
          <w:p w:rsidR="0003509D" w:rsidRPr="00E95BF7" w:rsidRDefault="0003509D" w:rsidP="00B55327">
            <w:pPr>
              <w:pStyle w:val="NormalWeb"/>
              <w:spacing w:before="0" w:beforeAutospacing="0" w:after="0" w:afterAutospacing="0"/>
              <w:ind w:right="34"/>
              <w:rPr>
                <w:rFonts w:ascii="Arial" w:hAnsi="Arial" w:cs="Arial"/>
                <w:sz w:val="22"/>
                <w:szCs w:val="22"/>
              </w:rPr>
            </w:pPr>
          </w:p>
        </w:tc>
        <w:tc>
          <w:tcPr>
            <w:tcW w:w="2266" w:type="dxa"/>
            <w:gridSpan w:val="2"/>
            <w:vMerge/>
          </w:tcPr>
          <w:p w:rsidR="0003509D" w:rsidRPr="00E95BF7" w:rsidRDefault="0003509D" w:rsidP="00B55327">
            <w:pPr>
              <w:pStyle w:val="NormalWeb"/>
              <w:spacing w:before="0" w:beforeAutospacing="0" w:after="0" w:afterAutospacing="0"/>
              <w:ind w:right="34"/>
              <w:rPr>
                <w:rFonts w:ascii="Arial" w:hAnsi="Arial" w:cs="Arial"/>
                <w:sz w:val="22"/>
                <w:szCs w:val="22"/>
              </w:rPr>
            </w:pPr>
          </w:p>
        </w:tc>
        <w:tc>
          <w:tcPr>
            <w:tcW w:w="1802" w:type="dxa"/>
            <w:vMerge/>
          </w:tcPr>
          <w:p w:rsidR="0003509D" w:rsidRPr="00E95BF7" w:rsidRDefault="0003509D" w:rsidP="00B55327">
            <w:pPr>
              <w:pStyle w:val="NormalWeb"/>
              <w:spacing w:before="0" w:beforeAutospacing="0" w:after="0" w:afterAutospacing="0"/>
              <w:ind w:right="34"/>
              <w:rPr>
                <w:rFonts w:ascii="Arial" w:hAnsi="Arial" w:cs="Arial"/>
                <w:sz w:val="22"/>
                <w:szCs w:val="22"/>
              </w:rPr>
            </w:pPr>
          </w:p>
        </w:tc>
      </w:tr>
      <w:tr w:rsidR="0003509D" w:rsidRPr="00E95BF7" w:rsidTr="00B55327">
        <w:trPr>
          <w:trHeight w:val="630"/>
        </w:trPr>
        <w:tc>
          <w:tcPr>
            <w:tcW w:w="8856" w:type="dxa"/>
            <w:gridSpan w:val="4"/>
          </w:tcPr>
          <w:p w:rsidR="0003509D" w:rsidRPr="00E95BF7" w:rsidRDefault="0003509D" w:rsidP="00B55327">
            <w:pPr>
              <w:pStyle w:val="NormalWeb"/>
              <w:spacing w:before="0" w:beforeAutospacing="0" w:after="0" w:afterAutospacing="0"/>
              <w:ind w:right="34"/>
              <w:rPr>
                <w:rFonts w:ascii="Arial" w:hAnsi="Arial" w:cs="Arial"/>
                <w:sz w:val="22"/>
                <w:szCs w:val="22"/>
              </w:rPr>
            </w:pPr>
          </w:p>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proofErr w:type="spellStart"/>
            <w:r>
              <w:rPr>
                <w:rFonts w:ascii="Arial" w:hAnsi="Arial" w:cs="Arial"/>
                <w:sz w:val="22"/>
                <w:szCs w:val="22"/>
              </w:rPr>
              <w:t>Prof.</w:t>
            </w:r>
            <w:proofErr w:type="spellEnd"/>
            <w:r>
              <w:rPr>
                <w:rFonts w:ascii="Arial" w:hAnsi="Arial" w:cs="Arial"/>
                <w:sz w:val="22"/>
                <w:szCs w:val="22"/>
              </w:rPr>
              <w:t xml:space="preserve"> Jane Cartwright</w:t>
            </w:r>
          </w:p>
        </w:tc>
      </w:tr>
      <w:tr w:rsidR="0003509D" w:rsidRPr="00E95BF7" w:rsidTr="00B55327">
        <w:trPr>
          <w:trHeight w:val="630"/>
        </w:trPr>
        <w:tc>
          <w:tcPr>
            <w:tcW w:w="8856" w:type="dxa"/>
            <w:gridSpan w:val="4"/>
          </w:tcPr>
          <w:p w:rsidR="0003509D" w:rsidRDefault="0003509D" w:rsidP="00B55327">
            <w:pPr>
              <w:pStyle w:val="NormalWeb"/>
              <w:spacing w:before="0" w:beforeAutospacing="0" w:after="0" w:afterAutospacing="0"/>
              <w:ind w:right="34"/>
              <w:rPr>
                <w:rFonts w:ascii="Arial" w:hAnsi="Arial" w:cs="Arial"/>
                <w:sz w:val="22"/>
                <w:szCs w:val="22"/>
              </w:rPr>
            </w:pPr>
          </w:p>
          <w:p w:rsidR="0003509D" w:rsidRPr="00E95BF7" w:rsidRDefault="0003509D" w:rsidP="00B55327">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w:t>
            </w:r>
            <w:r>
              <w:rPr>
                <w:rFonts w:ascii="Arial" w:hAnsi="Arial" w:cs="Arial"/>
                <w:sz w:val="22"/>
                <w:szCs w:val="22"/>
              </w:rPr>
              <w:t>Arthur Essay</w:t>
            </w:r>
          </w:p>
        </w:tc>
      </w:tr>
      <w:tr w:rsidR="0003509D" w:rsidRPr="00E95BF7" w:rsidTr="00B55327">
        <w:trPr>
          <w:trHeight w:val="630"/>
        </w:trPr>
        <w:tc>
          <w:tcPr>
            <w:tcW w:w="8856" w:type="dxa"/>
            <w:gridSpan w:val="4"/>
          </w:tcPr>
          <w:p w:rsidR="0003509D" w:rsidRPr="00E95BF7" w:rsidRDefault="0003509D" w:rsidP="00B55327">
            <w:pPr>
              <w:pStyle w:val="NormalWeb"/>
              <w:spacing w:before="0" w:beforeAutospacing="0" w:after="0" w:afterAutospacing="0"/>
              <w:ind w:right="34"/>
              <w:rPr>
                <w:rFonts w:ascii="Arial" w:hAnsi="Arial" w:cs="Arial"/>
                <w:sz w:val="22"/>
                <w:szCs w:val="22"/>
              </w:rPr>
            </w:pPr>
          </w:p>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January 14, 2019</w:t>
            </w:r>
            <w:bookmarkStart w:id="0" w:name="_GoBack"/>
            <w:bookmarkEnd w:id="0"/>
          </w:p>
        </w:tc>
      </w:tr>
      <w:tr w:rsidR="0003509D" w:rsidRPr="00E95BF7" w:rsidTr="00B55327">
        <w:trPr>
          <w:trHeight w:val="978"/>
        </w:trPr>
        <w:tc>
          <w:tcPr>
            <w:tcW w:w="8856" w:type="dxa"/>
            <w:gridSpan w:val="4"/>
            <w:shd w:val="clear" w:color="auto" w:fill="D9D9D9"/>
          </w:tcPr>
          <w:p w:rsidR="0003509D" w:rsidRPr="00E95BF7" w:rsidRDefault="0003509D" w:rsidP="00B55327">
            <w:pPr>
              <w:pStyle w:val="NormalWeb"/>
              <w:spacing w:before="0" w:beforeAutospacing="0" w:after="0" w:afterAutospacing="0"/>
              <w:ind w:right="34"/>
              <w:rPr>
                <w:rFonts w:ascii="Arial" w:hAnsi="Arial" w:cs="Arial"/>
                <w:sz w:val="22"/>
                <w:szCs w:val="22"/>
              </w:rPr>
            </w:pPr>
          </w:p>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rsidR="0003509D" w:rsidRPr="00E95BF7" w:rsidRDefault="0003509D" w:rsidP="00B55327">
            <w:pPr>
              <w:pStyle w:val="NormalWeb"/>
              <w:spacing w:before="0" w:beforeAutospacing="0" w:after="0" w:afterAutospacing="0"/>
              <w:ind w:right="34"/>
              <w:rPr>
                <w:rFonts w:ascii="Arial" w:hAnsi="Arial" w:cs="Arial"/>
                <w:sz w:val="22"/>
                <w:szCs w:val="22"/>
              </w:rPr>
            </w:pPr>
          </w:p>
          <w:p w:rsidR="0003509D" w:rsidRPr="00E95BF7" w:rsidRDefault="0003509D" w:rsidP="00B55327">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 xml:space="preserve">Name </w:t>
            </w:r>
            <w:r>
              <w:rPr>
                <w:rFonts w:ascii="Arial" w:hAnsi="Arial" w:cs="Arial"/>
                <w:sz w:val="22"/>
                <w:szCs w:val="22"/>
              </w:rPr>
              <w:t>McKinley Terry</w:t>
            </w:r>
          </w:p>
          <w:p w:rsidR="0003509D" w:rsidRPr="00E95BF7" w:rsidRDefault="0003509D" w:rsidP="00B55327">
            <w:pPr>
              <w:pStyle w:val="NormalWeb"/>
              <w:spacing w:before="0" w:beforeAutospacing="0" w:after="0" w:afterAutospacing="0"/>
              <w:ind w:right="34"/>
              <w:rPr>
                <w:rFonts w:ascii="Arial" w:hAnsi="Arial" w:cs="Arial"/>
                <w:sz w:val="22"/>
                <w:szCs w:val="22"/>
              </w:rPr>
            </w:pPr>
          </w:p>
        </w:tc>
      </w:tr>
      <w:tr w:rsidR="0003509D" w:rsidRPr="00E95BF7" w:rsidTr="00B55327">
        <w:trPr>
          <w:trHeight w:val="3972"/>
        </w:trPr>
        <w:tc>
          <w:tcPr>
            <w:tcW w:w="8856" w:type="dxa"/>
            <w:gridSpan w:val="4"/>
          </w:tcPr>
          <w:p w:rsidR="0003509D" w:rsidRPr="00E95BF7" w:rsidRDefault="0003509D" w:rsidP="00B55327">
            <w:pPr>
              <w:rPr>
                <w:b/>
              </w:rPr>
            </w:pPr>
          </w:p>
          <w:p w:rsidR="0003509D" w:rsidRPr="00E95BF7" w:rsidRDefault="0003509D" w:rsidP="00B55327">
            <w:r w:rsidRPr="00E95BF7">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3509D" w:rsidRPr="00E95BF7" w:rsidTr="00B55327">
              <w:tc>
                <w:tcPr>
                  <w:tcW w:w="6970" w:type="dxa"/>
                </w:tcPr>
                <w:p w:rsidR="0003509D" w:rsidRPr="00E95BF7" w:rsidRDefault="0003509D" w:rsidP="00B55327"/>
                <w:p w:rsidR="0003509D" w:rsidRPr="00E95BF7" w:rsidRDefault="0003509D" w:rsidP="00B55327">
                  <w:r w:rsidRPr="00E95BF7">
                    <w:t>1</w:t>
                  </w:r>
                  <w:r w:rsidRPr="00E95BF7">
                    <w:rPr>
                      <w:vertAlign w:val="superscript"/>
                    </w:rPr>
                    <w:t>st</w:t>
                  </w:r>
                  <w:r w:rsidRPr="00E95BF7">
                    <w:t xml:space="preserve"> Marker’s Provisional mark</w:t>
                  </w:r>
                </w:p>
              </w:tc>
              <w:tc>
                <w:tcPr>
                  <w:tcW w:w="1660" w:type="dxa"/>
                </w:tcPr>
                <w:p w:rsidR="0003509D" w:rsidRPr="00E95BF7" w:rsidRDefault="0003509D" w:rsidP="00B55327">
                  <w:pPr>
                    <w:rPr>
                      <w:sz w:val="20"/>
                      <w:szCs w:val="20"/>
                    </w:rPr>
                  </w:pPr>
                </w:p>
              </w:tc>
            </w:tr>
            <w:tr w:rsidR="0003509D" w:rsidRPr="00E95BF7" w:rsidTr="00B55327">
              <w:tc>
                <w:tcPr>
                  <w:tcW w:w="6970" w:type="dxa"/>
                </w:tcPr>
                <w:p w:rsidR="0003509D" w:rsidRPr="00E95BF7" w:rsidRDefault="0003509D" w:rsidP="00B55327"/>
                <w:p w:rsidR="0003509D" w:rsidRPr="00E95BF7" w:rsidRDefault="0003509D" w:rsidP="00B55327">
                  <w:r w:rsidRPr="00E95BF7">
                    <w:t>2</w:t>
                  </w:r>
                  <w:r w:rsidRPr="00E95BF7">
                    <w:rPr>
                      <w:vertAlign w:val="superscript"/>
                    </w:rPr>
                    <w:t>nd</w:t>
                  </w:r>
                  <w:r w:rsidRPr="00E95BF7">
                    <w:t xml:space="preserve"> Marker’s/Moderator’s provisional mark</w:t>
                  </w:r>
                </w:p>
              </w:tc>
              <w:tc>
                <w:tcPr>
                  <w:tcW w:w="1660" w:type="dxa"/>
                </w:tcPr>
                <w:p w:rsidR="0003509D" w:rsidRPr="00E95BF7" w:rsidRDefault="0003509D" w:rsidP="00B55327">
                  <w:pPr>
                    <w:rPr>
                      <w:sz w:val="20"/>
                      <w:szCs w:val="20"/>
                    </w:rPr>
                  </w:pPr>
                </w:p>
              </w:tc>
            </w:tr>
            <w:tr w:rsidR="0003509D" w:rsidRPr="00E95BF7" w:rsidTr="00B55327">
              <w:tc>
                <w:tcPr>
                  <w:tcW w:w="6970" w:type="dxa"/>
                </w:tcPr>
                <w:p w:rsidR="0003509D" w:rsidRDefault="0003509D" w:rsidP="00B55327"/>
                <w:p w:rsidR="0003509D" w:rsidRPr="00E95BF7" w:rsidRDefault="0003509D" w:rsidP="00B55327">
                  <w:r>
                    <w:t>Agreed Internal Mark</w:t>
                  </w:r>
                </w:p>
              </w:tc>
              <w:tc>
                <w:tcPr>
                  <w:tcW w:w="1660" w:type="dxa"/>
                </w:tcPr>
                <w:p w:rsidR="0003509D" w:rsidRPr="00E95BF7" w:rsidRDefault="0003509D" w:rsidP="00B55327">
                  <w:pPr>
                    <w:rPr>
                      <w:sz w:val="20"/>
                      <w:szCs w:val="20"/>
                    </w:rPr>
                  </w:pPr>
                </w:p>
              </w:tc>
            </w:tr>
            <w:tr w:rsidR="0003509D" w:rsidRPr="00E95BF7" w:rsidTr="00B55327">
              <w:tc>
                <w:tcPr>
                  <w:tcW w:w="6970" w:type="dxa"/>
                </w:tcPr>
                <w:p w:rsidR="0003509D" w:rsidRPr="00E95BF7" w:rsidRDefault="0003509D" w:rsidP="00B55327"/>
                <w:p w:rsidR="0003509D" w:rsidRPr="00E95BF7" w:rsidRDefault="0003509D" w:rsidP="00B55327">
                  <w:r w:rsidRPr="00E95BF7">
                    <w:t>External Examiner mark (if relevant)</w:t>
                  </w:r>
                </w:p>
              </w:tc>
              <w:tc>
                <w:tcPr>
                  <w:tcW w:w="1660" w:type="dxa"/>
                </w:tcPr>
                <w:p w:rsidR="0003509D" w:rsidRPr="00E95BF7" w:rsidRDefault="0003509D" w:rsidP="00B55327">
                  <w:pPr>
                    <w:rPr>
                      <w:sz w:val="20"/>
                      <w:szCs w:val="20"/>
                    </w:rPr>
                  </w:pPr>
                </w:p>
              </w:tc>
            </w:tr>
            <w:tr w:rsidR="0003509D" w:rsidRPr="00E95BF7" w:rsidTr="00B55327">
              <w:tc>
                <w:tcPr>
                  <w:tcW w:w="6970" w:type="dxa"/>
                </w:tcPr>
                <w:p w:rsidR="0003509D" w:rsidRPr="00E95BF7" w:rsidRDefault="0003509D" w:rsidP="00B55327"/>
                <w:p w:rsidR="0003509D" w:rsidRPr="00E95BF7" w:rsidRDefault="0003509D" w:rsidP="00B55327">
                  <w:pPr>
                    <w:rPr>
                      <w:b/>
                    </w:rPr>
                  </w:pPr>
                  <w:r w:rsidRPr="00E95BF7">
                    <w:rPr>
                      <w:b/>
                    </w:rPr>
                    <w:t>Final Mark</w:t>
                  </w:r>
                </w:p>
                <w:p w:rsidR="0003509D" w:rsidRPr="00E95BF7" w:rsidRDefault="0003509D" w:rsidP="00B55327"/>
              </w:tc>
              <w:tc>
                <w:tcPr>
                  <w:tcW w:w="1660" w:type="dxa"/>
                </w:tcPr>
                <w:p w:rsidR="0003509D" w:rsidRPr="00E95BF7" w:rsidRDefault="0003509D" w:rsidP="00B55327">
                  <w:pPr>
                    <w:rPr>
                      <w:b/>
                      <w:sz w:val="20"/>
                      <w:szCs w:val="20"/>
                    </w:rPr>
                  </w:pPr>
                </w:p>
              </w:tc>
            </w:tr>
          </w:tbl>
          <w:p w:rsidR="0003509D" w:rsidRPr="00E95BF7" w:rsidRDefault="0003509D" w:rsidP="00B55327">
            <w:pPr>
              <w:pStyle w:val="NormalWeb"/>
              <w:spacing w:before="0" w:beforeAutospacing="0" w:after="0" w:afterAutospacing="0"/>
              <w:ind w:left="142" w:right="34"/>
              <w:rPr>
                <w:rFonts w:ascii="Arial" w:hAnsi="Arial" w:cs="Arial"/>
                <w:b/>
                <w:sz w:val="22"/>
                <w:szCs w:val="22"/>
              </w:rPr>
            </w:pPr>
          </w:p>
          <w:p w:rsidR="0003509D" w:rsidRPr="00E95BF7" w:rsidRDefault="0003509D" w:rsidP="00B55327">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p>
          <w:p w:rsidR="0003509D" w:rsidRPr="00E95BF7" w:rsidRDefault="0003509D" w:rsidP="00B55327">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rsidR="0003509D" w:rsidRPr="00E95BF7" w:rsidRDefault="0003509D" w:rsidP="00B55327">
            <w:pPr>
              <w:pStyle w:val="NormalWeb"/>
              <w:rPr>
                <w:rFonts w:ascii="Arial" w:hAnsi="Arial" w:cs="Arial"/>
                <w:sz w:val="22"/>
                <w:szCs w:val="22"/>
              </w:rPr>
            </w:pPr>
            <w:r w:rsidRPr="00E95BF7">
              <w:rPr>
                <w:rFonts w:ascii="Arial" w:hAnsi="Arial" w:cs="Arial"/>
                <w:sz w:val="22"/>
                <w:szCs w:val="22"/>
              </w:rPr>
              <w:t>Comments:</w:t>
            </w:r>
          </w:p>
        </w:tc>
      </w:tr>
      <w:tr w:rsidR="0003509D" w:rsidRPr="00E95BF7" w:rsidTr="00B55327">
        <w:trPr>
          <w:trHeight w:val="408"/>
        </w:trPr>
        <w:tc>
          <w:tcPr>
            <w:tcW w:w="6768" w:type="dxa"/>
            <w:gridSpan w:val="2"/>
          </w:tcPr>
          <w:p w:rsidR="0003509D" w:rsidRPr="00E95BF7" w:rsidRDefault="0003509D" w:rsidP="00B55327">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rsidR="0003509D" w:rsidRPr="00E95BF7" w:rsidRDefault="0003509D" w:rsidP="00B55327">
            <w:pPr>
              <w:pStyle w:val="NormalWeb"/>
              <w:spacing w:after="0"/>
              <w:ind w:left="142" w:right="34"/>
              <w:rPr>
                <w:rFonts w:ascii="Arial" w:hAnsi="Arial" w:cs="Arial"/>
                <w:sz w:val="22"/>
                <w:szCs w:val="22"/>
              </w:rPr>
            </w:pPr>
            <w:r w:rsidRPr="00E95BF7">
              <w:rPr>
                <w:rFonts w:ascii="Arial" w:hAnsi="Arial" w:cs="Arial"/>
                <w:sz w:val="22"/>
                <w:szCs w:val="22"/>
              </w:rPr>
              <w:t>Date:</w:t>
            </w:r>
          </w:p>
        </w:tc>
      </w:tr>
      <w:tr w:rsidR="0003509D" w:rsidRPr="00E95BF7" w:rsidTr="00B55327">
        <w:tc>
          <w:tcPr>
            <w:tcW w:w="8856" w:type="dxa"/>
            <w:gridSpan w:val="4"/>
          </w:tcPr>
          <w:p w:rsidR="0003509D" w:rsidRPr="00E95BF7" w:rsidRDefault="0003509D" w:rsidP="00B55327">
            <w:pPr>
              <w:pStyle w:val="NormalWeb"/>
              <w:spacing w:before="0" w:beforeAutospacing="0" w:after="0" w:afterAutospacing="0"/>
              <w:ind w:right="-334"/>
              <w:rPr>
                <w:rFonts w:ascii="Arial" w:hAnsi="Arial" w:cs="Arial"/>
                <w:bCs/>
                <w:i/>
                <w:sz w:val="22"/>
                <w:szCs w:val="22"/>
              </w:rPr>
            </w:pPr>
          </w:p>
          <w:p w:rsidR="0003509D" w:rsidRPr="00E95BF7" w:rsidRDefault="0003509D" w:rsidP="00B55327">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rsidR="0003509D" w:rsidRPr="00E95BF7" w:rsidRDefault="0003509D" w:rsidP="00B55327">
            <w:pPr>
              <w:pStyle w:val="NormalWeb"/>
              <w:spacing w:before="0" w:beforeAutospacing="0" w:after="0" w:afterAutospacing="0"/>
              <w:ind w:right="-334"/>
              <w:rPr>
                <w:rFonts w:ascii="Arial" w:hAnsi="Arial" w:cs="Arial"/>
                <w:b/>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tc>
      </w:tr>
      <w:tr w:rsidR="0003509D" w:rsidRPr="00E95BF7" w:rsidTr="00B55327">
        <w:trPr>
          <w:trHeight w:val="398"/>
        </w:trPr>
        <w:tc>
          <w:tcPr>
            <w:tcW w:w="6768" w:type="dxa"/>
            <w:gridSpan w:val="2"/>
          </w:tcPr>
          <w:p w:rsidR="0003509D" w:rsidRPr="00E95BF7" w:rsidRDefault="0003509D" w:rsidP="00B5532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rsidR="0003509D" w:rsidRPr="00E95BF7" w:rsidRDefault="0003509D" w:rsidP="00B55327">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03509D" w:rsidRPr="00E95BF7" w:rsidTr="00B55327">
        <w:trPr>
          <w:trHeight w:val="720"/>
        </w:trPr>
        <w:tc>
          <w:tcPr>
            <w:tcW w:w="8856" w:type="dxa"/>
            <w:gridSpan w:val="4"/>
          </w:tcPr>
          <w:p w:rsidR="0003509D" w:rsidRPr="00E95BF7" w:rsidRDefault="0003509D" w:rsidP="00B55327">
            <w:pPr>
              <w:rPr>
                <w:b/>
              </w:rPr>
            </w:pPr>
          </w:p>
          <w:p w:rsidR="0003509D" w:rsidRPr="00E95BF7" w:rsidRDefault="0003509D" w:rsidP="00B55327">
            <w:pPr>
              <w:rPr>
                <w:b/>
              </w:rPr>
            </w:pPr>
            <w:r w:rsidRPr="00E95BF7">
              <w:rPr>
                <w:b/>
              </w:rPr>
              <w:t>External Examiner’s comments (if relevant):</w:t>
            </w: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p w:rsidR="0003509D" w:rsidRPr="00E95BF7" w:rsidRDefault="0003509D" w:rsidP="00B55327">
            <w:pPr>
              <w:pStyle w:val="NormalWeb"/>
              <w:spacing w:before="0" w:beforeAutospacing="0" w:after="0" w:afterAutospacing="0"/>
              <w:ind w:right="-334"/>
              <w:rPr>
                <w:rFonts w:ascii="Arial" w:hAnsi="Arial" w:cs="Arial"/>
                <w:bCs/>
                <w:sz w:val="22"/>
                <w:szCs w:val="22"/>
              </w:rPr>
            </w:pPr>
          </w:p>
        </w:tc>
      </w:tr>
      <w:tr w:rsidR="0003509D" w:rsidRPr="00E95BF7" w:rsidTr="00B55327">
        <w:trPr>
          <w:trHeight w:val="479"/>
        </w:trPr>
        <w:tc>
          <w:tcPr>
            <w:tcW w:w="6768" w:type="dxa"/>
            <w:gridSpan w:val="2"/>
          </w:tcPr>
          <w:p w:rsidR="0003509D" w:rsidRPr="00E95BF7" w:rsidRDefault="0003509D" w:rsidP="00B55327">
            <w:r w:rsidRPr="00E95BF7">
              <w:t>External Examiner signature:</w:t>
            </w:r>
          </w:p>
        </w:tc>
        <w:tc>
          <w:tcPr>
            <w:tcW w:w="2088" w:type="dxa"/>
            <w:gridSpan w:val="2"/>
          </w:tcPr>
          <w:p w:rsidR="0003509D" w:rsidRPr="00E95BF7" w:rsidRDefault="0003509D" w:rsidP="00B55327">
            <w:r w:rsidRPr="00E95BF7">
              <w:t>Date:</w:t>
            </w:r>
          </w:p>
        </w:tc>
      </w:tr>
    </w:tbl>
    <w:p w:rsidR="0003509D" w:rsidRDefault="0003509D">
      <w:pPr>
        <w:rPr>
          <w:rFonts w:ascii="Times New Roman" w:eastAsia="Times New Roman" w:hAnsi="Times New Roman" w:cs="Times New Roman"/>
          <w:color w:val="373A3C"/>
          <w:sz w:val="24"/>
          <w:szCs w:val="24"/>
          <w:highlight w:val="white"/>
        </w:rPr>
      </w:pPr>
    </w:p>
    <w:p w:rsidR="0003509D" w:rsidRDefault="0003509D">
      <w:pPr>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br w:type="page"/>
      </w:r>
    </w:p>
    <w:p w:rsidR="001D5EF0" w:rsidRDefault="003709DF">
      <w:pPr>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lastRenderedPageBreak/>
        <w:t>1. Outline the critical debate which has surrounded the historicity of Arthur. Do you agree that it is the lack of key biographical details relating to Arthur that has made him so amenable to a wide variety of literary contexts?</w:t>
      </w:r>
    </w:p>
    <w:p w:rsidR="001D5EF0" w:rsidRDefault="001D5EF0">
      <w:pPr>
        <w:rPr>
          <w:rFonts w:ascii="Roboto" w:eastAsia="Roboto" w:hAnsi="Roboto" w:cs="Roboto"/>
          <w:color w:val="373A3C"/>
          <w:sz w:val="23"/>
          <w:szCs w:val="23"/>
          <w:highlight w:val="white"/>
        </w:rPr>
      </w:pP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In their examinations of t</w:t>
      </w:r>
      <w:r>
        <w:rPr>
          <w:rFonts w:ascii="Times New Roman" w:eastAsia="Times New Roman" w:hAnsi="Times New Roman" w:cs="Times New Roman"/>
          <w:color w:val="373A3C"/>
          <w:sz w:val="24"/>
          <w:szCs w:val="24"/>
          <w:highlight w:val="white"/>
        </w:rPr>
        <w:t xml:space="preserve">he historical Arthur, both preeminent Arthurian scholars Kenneth Jackson and OJ </w:t>
      </w:r>
      <w:proofErr w:type="spellStart"/>
      <w:r>
        <w:rPr>
          <w:rFonts w:ascii="Times New Roman" w:eastAsia="Times New Roman" w:hAnsi="Times New Roman" w:cs="Times New Roman"/>
          <w:color w:val="373A3C"/>
          <w:sz w:val="24"/>
          <w:szCs w:val="24"/>
          <w:highlight w:val="white"/>
        </w:rPr>
        <w:t>Padel</w:t>
      </w:r>
      <w:proofErr w:type="spellEnd"/>
      <w:r>
        <w:rPr>
          <w:rFonts w:ascii="Times New Roman" w:eastAsia="Times New Roman" w:hAnsi="Times New Roman" w:cs="Times New Roman"/>
          <w:color w:val="373A3C"/>
          <w:sz w:val="24"/>
          <w:szCs w:val="24"/>
          <w:highlight w:val="white"/>
        </w:rPr>
        <w:t xml:space="preserve"> began their works with some variation of a simple question followed by a measured answer: Did King Arthur truly exist at some point of the 6th century? It is possible he </w:t>
      </w:r>
      <w:r>
        <w:rPr>
          <w:rFonts w:ascii="Times New Roman" w:eastAsia="Times New Roman" w:hAnsi="Times New Roman" w:cs="Times New Roman"/>
          <w:color w:val="373A3C"/>
          <w:sz w:val="24"/>
          <w:szCs w:val="24"/>
          <w:highlight w:val="white"/>
        </w:rPr>
        <w:t>did, though historians cannot know for sure.</w:t>
      </w:r>
      <w:r>
        <w:rPr>
          <w:rFonts w:ascii="Times New Roman" w:eastAsia="Times New Roman" w:hAnsi="Times New Roman" w:cs="Times New Roman"/>
          <w:color w:val="373A3C"/>
          <w:sz w:val="24"/>
          <w:szCs w:val="24"/>
          <w:highlight w:val="white"/>
          <w:vertAlign w:val="superscript"/>
        </w:rPr>
        <w:footnoteReference w:id="1"/>
      </w:r>
      <w:r>
        <w:rPr>
          <w:rFonts w:ascii="Times New Roman" w:eastAsia="Times New Roman" w:hAnsi="Times New Roman" w:cs="Times New Roman"/>
          <w:color w:val="373A3C"/>
          <w:sz w:val="24"/>
          <w:szCs w:val="24"/>
          <w:highlight w:val="white"/>
        </w:rPr>
        <w:t xml:space="preserve"> Though such is the general conclusion of the majority of Arthurian scholars since the mid-20th century, this consensus had proven otherwise elusive in the past (and for some fierce believers and Arthur-skeptics</w:t>
      </w:r>
      <w:r>
        <w:rPr>
          <w:rFonts w:ascii="Times New Roman" w:eastAsia="Times New Roman" w:hAnsi="Times New Roman" w:cs="Times New Roman"/>
          <w:color w:val="373A3C"/>
          <w:sz w:val="24"/>
          <w:szCs w:val="24"/>
          <w:highlight w:val="white"/>
        </w:rPr>
        <w:t xml:space="preserve">, continues to prove elusive). Scholars such as Norma Goodrich believed fiercely in a historical Arthur who truly lived in the dark ages, sometimes in northern England or even Scotland, other times in Wales or Cornwall. Others such as David </w:t>
      </w:r>
      <w:proofErr w:type="spellStart"/>
      <w:r>
        <w:rPr>
          <w:rFonts w:ascii="Times New Roman" w:eastAsia="Times New Roman" w:hAnsi="Times New Roman" w:cs="Times New Roman"/>
          <w:color w:val="373A3C"/>
          <w:sz w:val="24"/>
          <w:szCs w:val="24"/>
          <w:highlight w:val="white"/>
        </w:rPr>
        <w:t>Dumville</w:t>
      </w:r>
      <w:proofErr w:type="spellEnd"/>
      <w:r>
        <w:rPr>
          <w:rFonts w:ascii="Times New Roman" w:eastAsia="Times New Roman" w:hAnsi="Times New Roman" w:cs="Times New Roman"/>
          <w:color w:val="373A3C"/>
          <w:sz w:val="24"/>
          <w:szCs w:val="24"/>
          <w:highlight w:val="white"/>
        </w:rPr>
        <w:t xml:space="preserve"> reject</w:t>
      </w:r>
      <w:r>
        <w:rPr>
          <w:rFonts w:ascii="Times New Roman" w:eastAsia="Times New Roman" w:hAnsi="Times New Roman" w:cs="Times New Roman"/>
          <w:color w:val="373A3C"/>
          <w:sz w:val="24"/>
          <w:szCs w:val="24"/>
          <w:highlight w:val="white"/>
        </w:rPr>
        <w:t xml:space="preserve"> his historicity entirely, preferring to view him as a literary figure spawning legends and stories through various regions of European lore. With the lack of useful archaeological evidence, the scholarly search for a historical King Arthur has relied upon</w:t>
      </w:r>
      <w:r>
        <w:rPr>
          <w:rFonts w:ascii="Times New Roman" w:eastAsia="Times New Roman" w:hAnsi="Times New Roman" w:cs="Times New Roman"/>
          <w:color w:val="373A3C"/>
          <w:sz w:val="24"/>
          <w:szCs w:val="24"/>
          <w:highlight w:val="white"/>
        </w:rPr>
        <w:t xml:space="preserve"> medieval texts, much as it did even during the later medieval period. Ultimately, however, the variety of origins and lives of King Arthur has created a character whose persona is so well known and yet open to various interpretations. In many ways, he is </w:t>
      </w:r>
      <w:r>
        <w:rPr>
          <w:rFonts w:ascii="Times New Roman" w:eastAsia="Times New Roman" w:hAnsi="Times New Roman" w:cs="Times New Roman"/>
          <w:color w:val="373A3C"/>
          <w:sz w:val="24"/>
          <w:szCs w:val="24"/>
          <w:highlight w:val="white"/>
        </w:rPr>
        <w:t xml:space="preserve">a blank slate upon which all manner of ideals and themes may be cast, a popular figure to transmute various philosophies or ethics. This popularity has only increased throughout the centuries, leaving King Arthur as a figure whose stories are increasingly </w:t>
      </w:r>
      <w:r>
        <w:rPr>
          <w:rFonts w:ascii="Times New Roman" w:eastAsia="Times New Roman" w:hAnsi="Times New Roman" w:cs="Times New Roman"/>
          <w:color w:val="373A3C"/>
          <w:sz w:val="24"/>
          <w:szCs w:val="24"/>
          <w:highlight w:val="white"/>
        </w:rPr>
        <w:t xml:space="preserve">retold and refashioned. Though his popularity has waxed and waned from time to time, there are few </w:t>
      </w:r>
      <w:r>
        <w:rPr>
          <w:rFonts w:ascii="Times New Roman" w:eastAsia="Times New Roman" w:hAnsi="Times New Roman" w:cs="Times New Roman"/>
          <w:color w:val="373A3C"/>
          <w:sz w:val="24"/>
          <w:szCs w:val="24"/>
          <w:highlight w:val="white"/>
        </w:rPr>
        <w:lastRenderedPageBreak/>
        <w:t>figures as elusively captivating as King Arthur, whose preeminence among stories seems unlikely to fade even now.</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Before exploring the sources for both a his</w:t>
      </w:r>
      <w:r>
        <w:rPr>
          <w:rFonts w:ascii="Times New Roman" w:eastAsia="Times New Roman" w:hAnsi="Times New Roman" w:cs="Times New Roman"/>
          <w:color w:val="373A3C"/>
          <w:sz w:val="24"/>
          <w:szCs w:val="24"/>
          <w:highlight w:val="white"/>
        </w:rPr>
        <w:t xml:space="preserve">torical and legendary Arthur, it is worth acknowledging Charles-Edwards’ warning against allowing bias to infiltrate one’s examination of those sources. As he states, “Anyone is entitled to have his hunch...it needs to be shaped by an understanding of the </w:t>
      </w:r>
      <w:r>
        <w:rPr>
          <w:rFonts w:ascii="Times New Roman" w:eastAsia="Times New Roman" w:hAnsi="Times New Roman" w:cs="Times New Roman"/>
          <w:color w:val="373A3C"/>
          <w:sz w:val="24"/>
          <w:szCs w:val="24"/>
          <w:highlight w:val="white"/>
        </w:rPr>
        <w:t>evidence. Moreover, that understanding will be marred unless ulterior motives are kept firmly in check.”</w:t>
      </w:r>
      <w:r>
        <w:rPr>
          <w:rFonts w:ascii="Times New Roman" w:eastAsia="Times New Roman" w:hAnsi="Times New Roman" w:cs="Times New Roman"/>
          <w:color w:val="373A3C"/>
          <w:sz w:val="24"/>
          <w:szCs w:val="24"/>
          <w:highlight w:val="white"/>
          <w:vertAlign w:val="superscript"/>
        </w:rPr>
        <w:footnoteReference w:id="2"/>
      </w:r>
      <w:r>
        <w:rPr>
          <w:rFonts w:ascii="Times New Roman" w:eastAsia="Times New Roman" w:hAnsi="Times New Roman" w:cs="Times New Roman"/>
          <w:color w:val="373A3C"/>
          <w:sz w:val="24"/>
          <w:szCs w:val="24"/>
          <w:highlight w:val="white"/>
        </w:rPr>
        <w:t xml:space="preserve"> Too often, scholars approach the debate of the historicity of Arthur already aligned to one side, though perhaps not as passionately as the fiercest a</w:t>
      </w:r>
      <w:r>
        <w:rPr>
          <w:rFonts w:ascii="Times New Roman" w:eastAsia="Times New Roman" w:hAnsi="Times New Roman" w:cs="Times New Roman"/>
          <w:color w:val="373A3C"/>
          <w:sz w:val="24"/>
          <w:szCs w:val="24"/>
          <w:highlight w:val="white"/>
        </w:rPr>
        <w:t>dvocates of those sides. Charles-Edward’s warning against allowing pre-existing biases to obfuscate one’s scholarly duty to examine the evidence objectively, in addition to serving as a fair warning to academic scholarship in general, applies most accurate</w:t>
      </w:r>
      <w:r>
        <w:rPr>
          <w:rFonts w:ascii="Times New Roman" w:eastAsia="Times New Roman" w:hAnsi="Times New Roman" w:cs="Times New Roman"/>
          <w:color w:val="373A3C"/>
          <w:sz w:val="24"/>
          <w:szCs w:val="24"/>
          <w:highlight w:val="white"/>
        </w:rPr>
        <w:t>ly to studying such a mercurial figure such as Arthur.</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The most tangible source of information regarding the historicity of a figure is archaeology, and it is certainly true that the Arthurian legend possesses scores of locations throughout Britain named a</w:t>
      </w:r>
      <w:r>
        <w:rPr>
          <w:rFonts w:ascii="Times New Roman" w:eastAsia="Times New Roman" w:hAnsi="Times New Roman" w:cs="Times New Roman"/>
          <w:color w:val="373A3C"/>
          <w:sz w:val="24"/>
          <w:szCs w:val="24"/>
          <w:highlight w:val="white"/>
        </w:rPr>
        <w:t xml:space="preserve">fter its events and characters. Whether Tintagel in Cornwall, </w:t>
      </w:r>
      <w:proofErr w:type="spellStart"/>
      <w:r>
        <w:rPr>
          <w:rFonts w:ascii="Times New Roman" w:eastAsia="Times New Roman" w:hAnsi="Times New Roman" w:cs="Times New Roman"/>
          <w:color w:val="373A3C"/>
          <w:sz w:val="24"/>
          <w:szCs w:val="24"/>
          <w:highlight w:val="white"/>
        </w:rPr>
        <w:t>Dinas</w:t>
      </w:r>
      <w:proofErr w:type="spellEnd"/>
      <w:r>
        <w:rPr>
          <w:rFonts w:ascii="Times New Roman" w:eastAsia="Times New Roman" w:hAnsi="Times New Roman" w:cs="Times New Roman"/>
          <w:color w:val="373A3C"/>
          <w:sz w:val="24"/>
          <w:szCs w:val="24"/>
          <w:highlight w:val="white"/>
        </w:rPr>
        <w:t xml:space="preserve"> Emrys in Gwynedd, or Arthur’s Cave in Monmouth, Wales and southwest England especially are riddled with locations associated with King Arthur and his men. Green acknowledges that “when loo</w:t>
      </w:r>
      <w:r>
        <w:rPr>
          <w:rFonts w:ascii="Times New Roman" w:eastAsia="Times New Roman" w:hAnsi="Times New Roman" w:cs="Times New Roman"/>
          <w:color w:val="373A3C"/>
          <w:sz w:val="24"/>
          <w:szCs w:val="24"/>
          <w:highlight w:val="white"/>
        </w:rPr>
        <w:t>king at Arthur’s possible historicity however, archaeology cannot really help as it deals with sites not people - it can show that a site was occupied in the right period but only very rarely (that is, when we have an inscription) can it tell us who the oc</w:t>
      </w:r>
      <w:r>
        <w:rPr>
          <w:rFonts w:ascii="Times New Roman" w:eastAsia="Times New Roman" w:hAnsi="Times New Roman" w:cs="Times New Roman"/>
          <w:color w:val="373A3C"/>
          <w:sz w:val="24"/>
          <w:szCs w:val="24"/>
          <w:highlight w:val="white"/>
        </w:rPr>
        <w:t>cupier was.”</w:t>
      </w:r>
      <w:r>
        <w:rPr>
          <w:rFonts w:ascii="Times New Roman" w:eastAsia="Times New Roman" w:hAnsi="Times New Roman" w:cs="Times New Roman"/>
          <w:color w:val="373A3C"/>
          <w:sz w:val="24"/>
          <w:szCs w:val="24"/>
          <w:highlight w:val="white"/>
          <w:vertAlign w:val="superscript"/>
        </w:rPr>
        <w:footnoteReference w:id="3"/>
      </w:r>
      <w:r>
        <w:rPr>
          <w:rFonts w:ascii="Times New Roman" w:eastAsia="Times New Roman" w:hAnsi="Times New Roman" w:cs="Times New Roman"/>
          <w:color w:val="373A3C"/>
          <w:sz w:val="24"/>
          <w:szCs w:val="24"/>
          <w:highlight w:val="white"/>
        </w:rPr>
        <w:t xml:space="preserve"> Given that archaeology has to this point failed to definitely prove the existence of Arthur, proponents of his </w:t>
      </w:r>
      <w:r>
        <w:rPr>
          <w:rFonts w:ascii="Times New Roman" w:eastAsia="Times New Roman" w:hAnsi="Times New Roman" w:cs="Times New Roman"/>
          <w:color w:val="373A3C"/>
          <w:sz w:val="24"/>
          <w:szCs w:val="24"/>
          <w:highlight w:val="white"/>
        </w:rPr>
        <w:lastRenderedPageBreak/>
        <w:t>historicity then often point to the prevalence of his name in the 6th century in Scotland.</w:t>
      </w:r>
      <w:r>
        <w:rPr>
          <w:rFonts w:ascii="Times New Roman" w:eastAsia="Times New Roman" w:hAnsi="Times New Roman" w:cs="Times New Roman"/>
          <w:color w:val="373A3C"/>
          <w:sz w:val="24"/>
          <w:szCs w:val="24"/>
          <w:highlight w:val="white"/>
          <w:vertAlign w:val="superscript"/>
        </w:rPr>
        <w:footnoteReference w:id="4"/>
      </w:r>
      <w:r>
        <w:rPr>
          <w:rFonts w:ascii="Times New Roman" w:eastAsia="Times New Roman" w:hAnsi="Times New Roman" w:cs="Times New Roman"/>
          <w:color w:val="373A3C"/>
          <w:sz w:val="24"/>
          <w:szCs w:val="24"/>
          <w:highlight w:val="white"/>
        </w:rPr>
        <w:t xml:space="preserve"> However, Green warns scholars that “suc</w:t>
      </w:r>
      <w:r>
        <w:rPr>
          <w:rFonts w:ascii="Times New Roman" w:eastAsia="Times New Roman" w:hAnsi="Times New Roman" w:cs="Times New Roman"/>
          <w:color w:val="373A3C"/>
          <w:sz w:val="24"/>
          <w:szCs w:val="24"/>
          <w:highlight w:val="white"/>
        </w:rPr>
        <w:t>h a commemoration by name of an earlier historical hero would be totally unparalleled in the Celtic world and as such cannot be at all supported as an explanation of these names.”</w:t>
      </w:r>
      <w:r>
        <w:rPr>
          <w:rFonts w:ascii="Times New Roman" w:eastAsia="Times New Roman" w:hAnsi="Times New Roman" w:cs="Times New Roman"/>
          <w:color w:val="373A3C"/>
          <w:sz w:val="24"/>
          <w:szCs w:val="24"/>
          <w:highlight w:val="white"/>
          <w:vertAlign w:val="superscript"/>
        </w:rPr>
        <w:footnoteReference w:id="5"/>
      </w:r>
      <w:r>
        <w:rPr>
          <w:rFonts w:ascii="Times New Roman" w:eastAsia="Times New Roman" w:hAnsi="Times New Roman" w:cs="Times New Roman"/>
          <w:color w:val="373A3C"/>
          <w:sz w:val="24"/>
          <w:szCs w:val="24"/>
          <w:highlight w:val="white"/>
        </w:rPr>
        <w:t xml:space="preserve"> Scholars have thus been left with a primary set of sources from which to dr</w:t>
      </w:r>
      <w:r>
        <w:rPr>
          <w:rFonts w:ascii="Times New Roman" w:eastAsia="Times New Roman" w:hAnsi="Times New Roman" w:cs="Times New Roman"/>
          <w:color w:val="373A3C"/>
          <w:sz w:val="24"/>
          <w:szCs w:val="24"/>
          <w:highlight w:val="white"/>
        </w:rPr>
        <w:t>aw their arguments about the historicity of King Arthur - the literature of the medieval ages in which he appears.</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 xml:space="preserve">Considered to possess the earliest reference to King Arthur with sufficient dating, the </w:t>
      </w:r>
      <w:r>
        <w:rPr>
          <w:rFonts w:ascii="Times New Roman" w:eastAsia="Times New Roman" w:hAnsi="Times New Roman" w:cs="Times New Roman"/>
          <w:i/>
          <w:color w:val="373A3C"/>
          <w:sz w:val="24"/>
          <w:szCs w:val="24"/>
          <w:highlight w:val="white"/>
        </w:rPr>
        <w:t xml:space="preserve">Historia </w:t>
      </w:r>
      <w:proofErr w:type="spellStart"/>
      <w:r>
        <w:rPr>
          <w:rFonts w:ascii="Times New Roman" w:eastAsia="Times New Roman" w:hAnsi="Times New Roman" w:cs="Times New Roman"/>
          <w:i/>
          <w:color w:val="373A3C"/>
          <w:sz w:val="24"/>
          <w:szCs w:val="24"/>
          <w:highlight w:val="white"/>
        </w:rPr>
        <w:t>Brittonum</w:t>
      </w:r>
      <w:proofErr w:type="spellEnd"/>
      <w:r>
        <w:rPr>
          <w:rFonts w:ascii="Times New Roman" w:eastAsia="Times New Roman" w:hAnsi="Times New Roman" w:cs="Times New Roman"/>
          <w:color w:val="373A3C"/>
          <w:sz w:val="24"/>
          <w:szCs w:val="24"/>
          <w:highlight w:val="white"/>
        </w:rPr>
        <w:t xml:space="preserve"> claims that during the invasion of</w:t>
      </w:r>
      <w:r>
        <w:rPr>
          <w:rFonts w:ascii="Times New Roman" w:eastAsia="Times New Roman" w:hAnsi="Times New Roman" w:cs="Times New Roman"/>
          <w:color w:val="373A3C"/>
          <w:sz w:val="24"/>
          <w:szCs w:val="24"/>
          <w:highlight w:val="white"/>
        </w:rPr>
        <w:t xml:space="preserve"> Britain by the Saxons under </w:t>
      </w:r>
      <w:proofErr w:type="spellStart"/>
      <w:r>
        <w:rPr>
          <w:rFonts w:ascii="Times New Roman" w:eastAsia="Times New Roman" w:hAnsi="Times New Roman" w:cs="Times New Roman"/>
          <w:color w:val="373A3C"/>
          <w:sz w:val="24"/>
          <w:szCs w:val="24"/>
          <w:highlight w:val="white"/>
        </w:rPr>
        <w:t>Octha</w:t>
      </w:r>
      <w:proofErr w:type="spellEnd"/>
      <w:r>
        <w:rPr>
          <w:rFonts w:ascii="Times New Roman" w:eastAsia="Times New Roman" w:hAnsi="Times New Roman" w:cs="Times New Roman"/>
          <w:color w:val="373A3C"/>
          <w:sz w:val="24"/>
          <w:szCs w:val="24"/>
          <w:highlight w:val="white"/>
        </w:rPr>
        <w:t xml:space="preserve">, “Arthur fought against them with the kings of the Britons, for he was the leader of battles,” that spanned over eleven battlefields and culminated in the Battle of </w:t>
      </w:r>
      <w:proofErr w:type="spellStart"/>
      <w:r>
        <w:rPr>
          <w:rFonts w:ascii="Times New Roman" w:eastAsia="Times New Roman" w:hAnsi="Times New Roman" w:cs="Times New Roman"/>
          <w:color w:val="373A3C"/>
          <w:sz w:val="24"/>
          <w:szCs w:val="24"/>
          <w:highlight w:val="white"/>
        </w:rPr>
        <w:t>Badon</w:t>
      </w:r>
      <w:proofErr w:type="spellEnd"/>
      <w:r>
        <w:rPr>
          <w:rFonts w:ascii="Times New Roman" w:eastAsia="Times New Roman" w:hAnsi="Times New Roman" w:cs="Times New Roman"/>
          <w:color w:val="373A3C"/>
          <w:sz w:val="24"/>
          <w:szCs w:val="24"/>
          <w:highlight w:val="white"/>
        </w:rPr>
        <w:t xml:space="preserve"> Hill, “in which nine hundred and sixty men fell fr</w:t>
      </w:r>
      <w:r>
        <w:rPr>
          <w:rFonts w:ascii="Times New Roman" w:eastAsia="Times New Roman" w:hAnsi="Times New Roman" w:cs="Times New Roman"/>
          <w:color w:val="373A3C"/>
          <w:sz w:val="24"/>
          <w:szCs w:val="24"/>
          <w:highlight w:val="white"/>
        </w:rPr>
        <w:t>om one rally of Arthur’s; and no-one brought them low except he; and he showed himself victor in all his battles.”</w:t>
      </w:r>
      <w:r>
        <w:rPr>
          <w:rFonts w:ascii="Times New Roman" w:eastAsia="Times New Roman" w:hAnsi="Times New Roman" w:cs="Times New Roman"/>
          <w:color w:val="373A3C"/>
          <w:sz w:val="24"/>
          <w:szCs w:val="24"/>
          <w:highlight w:val="white"/>
          <w:vertAlign w:val="superscript"/>
        </w:rPr>
        <w:footnoteReference w:id="6"/>
      </w:r>
      <w:r>
        <w:rPr>
          <w:rFonts w:ascii="Times New Roman" w:eastAsia="Times New Roman" w:hAnsi="Times New Roman" w:cs="Times New Roman"/>
          <w:color w:val="373A3C"/>
          <w:sz w:val="24"/>
          <w:szCs w:val="24"/>
          <w:highlight w:val="white"/>
        </w:rPr>
        <w:t xml:space="preserve"> Scholars have noted the fact that Arthur is not listed as a king but a military leader serving with kings, perhaps an origination for Geoffr</w:t>
      </w:r>
      <w:r>
        <w:rPr>
          <w:rFonts w:ascii="Times New Roman" w:eastAsia="Times New Roman" w:hAnsi="Times New Roman" w:cs="Times New Roman"/>
          <w:color w:val="373A3C"/>
          <w:sz w:val="24"/>
          <w:szCs w:val="24"/>
          <w:highlight w:val="white"/>
        </w:rPr>
        <w:t xml:space="preserve">ey’s claim that Arthur was indeed an emperor. Given the risk associated with one battle, much less eleven, the general consensus is that Arthur, even if he existed, could not have served in all eleven battles mentioned in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The assertion that A</w:t>
      </w:r>
      <w:r>
        <w:rPr>
          <w:rFonts w:ascii="Times New Roman" w:eastAsia="Times New Roman" w:hAnsi="Times New Roman" w:cs="Times New Roman"/>
          <w:color w:val="373A3C"/>
          <w:sz w:val="24"/>
          <w:szCs w:val="24"/>
          <w:highlight w:val="white"/>
        </w:rPr>
        <w:t xml:space="preserve">rthur himself killed nine hundred and sixty men by himself (even if interpreted as by his men only his command without the aid of other military leaders) also faces understandable incredulity. Nevertheless, the text sets up Arthur as a preeminent military </w:t>
      </w:r>
      <w:r>
        <w:rPr>
          <w:rFonts w:ascii="Times New Roman" w:eastAsia="Times New Roman" w:hAnsi="Times New Roman" w:cs="Times New Roman"/>
          <w:color w:val="373A3C"/>
          <w:sz w:val="24"/>
          <w:szCs w:val="24"/>
          <w:highlight w:val="white"/>
        </w:rPr>
        <w:t xml:space="preserve">leader for the Britons against the invading Saxon forces, a version of Arthur </w:t>
      </w:r>
      <w:r>
        <w:rPr>
          <w:rFonts w:ascii="Times New Roman" w:eastAsia="Times New Roman" w:hAnsi="Times New Roman" w:cs="Times New Roman"/>
          <w:color w:val="373A3C"/>
          <w:sz w:val="24"/>
          <w:szCs w:val="24"/>
          <w:highlight w:val="white"/>
        </w:rPr>
        <w:lastRenderedPageBreak/>
        <w:t>that persists throughout that vast majority of his earliest renderings and has been a staple of his identity ever since.</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Given its importance to the argument for a historical Art</w:t>
      </w:r>
      <w:r>
        <w:rPr>
          <w:rFonts w:ascii="Times New Roman" w:eastAsia="Times New Roman" w:hAnsi="Times New Roman" w:cs="Times New Roman"/>
          <w:color w:val="373A3C"/>
          <w:sz w:val="24"/>
          <w:szCs w:val="24"/>
          <w:highlight w:val="white"/>
        </w:rPr>
        <w:t xml:space="preserve">hur, the </w:t>
      </w:r>
      <w:r>
        <w:rPr>
          <w:rFonts w:ascii="Times New Roman" w:eastAsia="Times New Roman" w:hAnsi="Times New Roman" w:cs="Times New Roman"/>
          <w:i/>
          <w:color w:val="373A3C"/>
          <w:sz w:val="24"/>
          <w:szCs w:val="24"/>
          <w:highlight w:val="white"/>
        </w:rPr>
        <w:t xml:space="preserve">Historia </w:t>
      </w:r>
      <w:r>
        <w:rPr>
          <w:rFonts w:ascii="Times New Roman" w:eastAsia="Times New Roman" w:hAnsi="Times New Roman" w:cs="Times New Roman"/>
          <w:color w:val="373A3C"/>
          <w:sz w:val="24"/>
          <w:szCs w:val="24"/>
          <w:highlight w:val="white"/>
        </w:rPr>
        <w:t xml:space="preserve">has faced extensive scrutiny for its historical value.  </w:t>
      </w:r>
      <w:proofErr w:type="spellStart"/>
      <w:r>
        <w:rPr>
          <w:rFonts w:ascii="Times New Roman" w:eastAsia="Times New Roman" w:hAnsi="Times New Roman" w:cs="Times New Roman"/>
          <w:color w:val="373A3C"/>
          <w:sz w:val="24"/>
          <w:szCs w:val="24"/>
          <w:highlight w:val="white"/>
        </w:rPr>
        <w:t>Dumville</w:t>
      </w:r>
      <w:proofErr w:type="spellEnd"/>
      <w:r>
        <w:rPr>
          <w:rFonts w:ascii="Times New Roman" w:eastAsia="Times New Roman" w:hAnsi="Times New Roman" w:cs="Times New Roman"/>
          <w:color w:val="373A3C"/>
          <w:sz w:val="24"/>
          <w:szCs w:val="24"/>
          <w:highlight w:val="white"/>
        </w:rPr>
        <w:t xml:space="preserve"> rejects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xml:space="preserve"> as having any historical value, comparing it to Irish literature of the same period that, in an attempt to form a coherent history of the island, concoc</w:t>
      </w:r>
      <w:r>
        <w:rPr>
          <w:rFonts w:ascii="Times New Roman" w:eastAsia="Times New Roman" w:hAnsi="Times New Roman" w:cs="Times New Roman"/>
          <w:color w:val="373A3C"/>
          <w:sz w:val="24"/>
          <w:szCs w:val="24"/>
          <w:highlight w:val="white"/>
        </w:rPr>
        <w:t xml:space="preserve">ted a fictional tale that scholars have subsequently rejected. Thus, </w:t>
      </w:r>
      <w:proofErr w:type="spellStart"/>
      <w:r>
        <w:rPr>
          <w:rFonts w:ascii="Times New Roman" w:eastAsia="Times New Roman" w:hAnsi="Times New Roman" w:cs="Times New Roman"/>
          <w:color w:val="373A3C"/>
          <w:sz w:val="24"/>
          <w:szCs w:val="24"/>
          <w:highlight w:val="white"/>
        </w:rPr>
        <w:t>Dumville</w:t>
      </w:r>
      <w:proofErr w:type="spellEnd"/>
      <w:r>
        <w:rPr>
          <w:rFonts w:ascii="Times New Roman" w:eastAsia="Times New Roman" w:hAnsi="Times New Roman" w:cs="Times New Roman"/>
          <w:color w:val="373A3C"/>
          <w:sz w:val="24"/>
          <w:szCs w:val="24"/>
          <w:highlight w:val="white"/>
        </w:rPr>
        <w:t xml:space="preserve"> concludes that, like these Irish texts,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must be rejected “as the source of political history for the period with which it pretends to deal, for it is seen to be who</w:t>
      </w:r>
      <w:r>
        <w:rPr>
          <w:rFonts w:ascii="Times New Roman" w:eastAsia="Times New Roman" w:hAnsi="Times New Roman" w:cs="Times New Roman"/>
          <w:color w:val="373A3C"/>
          <w:sz w:val="24"/>
          <w:szCs w:val="24"/>
          <w:highlight w:val="white"/>
        </w:rPr>
        <w:t>lly fictional.”</w:t>
      </w:r>
      <w:r>
        <w:rPr>
          <w:rFonts w:ascii="Times New Roman" w:eastAsia="Times New Roman" w:hAnsi="Times New Roman" w:cs="Times New Roman"/>
          <w:color w:val="373A3C"/>
          <w:sz w:val="24"/>
          <w:szCs w:val="24"/>
          <w:highlight w:val="white"/>
          <w:vertAlign w:val="superscript"/>
        </w:rPr>
        <w:footnoteReference w:id="7"/>
      </w:r>
      <w:r>
        <w:rPr>
          <w:rFonts w:ascii="Times New Roman" w:eastAsia="Times New Roman" w:hAnsi="Times New Roman" w:cs="Times New Roman"/>
          <w:color w:val="373A3C"/>
          <w:sz w:val="24"/>
          <w:szCs w:val="24"/>
          <w:highlight w:val="white"/>
        </w:rPr>
        <w:t xml:space="preserve"> Jackson, however, views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xml:space="preserve"> more positively, arguing it possess value as a historical source and that from it, scholars can conclude that “</w:t>
      </w:r>
      <w:proofErr w:type="spellStart"/>
      <w:r>
        <w:rPr>
          <w:rFonts w:ascii="Times New Roman" w:eastAsia="Times New Roman" w:hAnsi="Times New Roman" w:cs="Times New Roman"/>
          <w:color w:val="373A3C"/>
          <w:sz w:val="24"/>
          <w:szCs w:val="24"/>
          <w:highlight w:val="white"/>
        </w:rPr>
        <w:t>Badon</w:t>
      </w:r>
      <w:proofErr w:type="spellEnd"/>
      <w:r>
        <w:rPr>
          <w:rFonts w:ascii="Times New Roman" w:eastAsia="Times New Roman" w:hAnsi="Times New Roman" w:cs="Times New Roman"/>
          <w:color w:val="373A3C"/>
          <w:sz w:val="24"/>
          <w:szCs w:val="24"/>
          <w:highlight w:val="white"/>
        </w:rPr>
        <w:t xml:space="preserve"> is most likely to be genuinely [Arthur’s], because it seems to have been a triumph wh</w:t>
      </w:r>
      <w:r>
        <w:rPr>
          <w:rFonts w:ascii="Times New Roman" w:eastAsia="Times New Roman" w:hAnsi="Times New Roman" w:cs="Times New Roman"/>
          <w:color w:val="373A3C"/>
          <w:sz w:val="24"/>
          <w:szCs w:val="24"/>
          <w:highlight w:val="white"/>
        </w:rPr>
        <w:t xml:space="preserve">ich impressed itself deeply upon the minds of the Britons, and that </w:t>
      </w:r>
      <w:proofErr w:type="spellStart"/>
      <w:r>
        <w:rPr>
          <w:rFonts w:ascii="Times New Roman" w:eastAsia="Times New Roman" w:hAnsi="Times New Roman" w:cs="Times New Roman"/>
          <w:color w:val="373A3C"/>
          <w:sz w:val="24"/>
          <w:szCs w:val="24"/>
          <w:highlight w:val="white"/>
        </w:rPr>
        <w:t>Nennius</w:t>
      </w:r>
      <w:proofErr w:type="spellEnd"/>
      <w:r>
        <w:rPr>
          <w:rFonts w:ascii="Times New Roman" w:eastAsia="Times New Roman" w:hAnsi="Times New Roman" w:cs="Times New Roman"/>
          <w:color w:val="373A3C"/>
          <w:sz w:val="24"/>
          <w:szCs w:val="24"/>
          <w:highlight w:val="white"/>
        </w:rPr>
        <w:t xml:space="preserve"> “could have hardly </w:t>
      </w:r>
      <w:r>
        <w:rPr>
          <w:rFonts w:ascii="Times New Roman" w:eastAsia="Times New Roman" w:hAnsi="Times New Roman" w:cs="Times New Roman"/>
          <w:i/>
          <w:color w:val="373A3C"/>
          <w:sz w:val="24"/>
          <w:szCs w:val="24"/>
          <w:highlight w:val="white"/>
        </w:rPr>
        <w:t>invented</w:t>
      </w:r>
      <w:r>
        <w:rPr>
          <w:rFonts w:ascii="Times New Roman" w:eastAsia="Times New Roman" w:hAnsi="Times New Roman" w:cs="Times New Roman"/>
          <w:color w:val="373A3C"/>
          <w:sz w:val="24"/>
          <w:szCs w:val="24"/>
          <w:highlight w:val="white"/>
        </w:rPr>
        <w:t xml:space="preserve"> Arthur himself, for </w:t>
      </w:r>
      <w:proofErr w:type="spellStart"/>
      <w:r>
        <w:rPr>
          <w:rFonts w:ascii="Times New Roman" w:eastAsia="Times New Roman" w:hAnsi="Times New Roman" w:cs="Times New Roman"/>
          <w:color w:val="373A3C"/>
          <w:sz w:val="24"/>
          <w:szCs w:val="24"/>
          <w:highlight w:val="white"/>
        </w:rPr>
        <w:t>Nennius</w:t>
      </w:r>
      <w:proofErr w:type="spellEnd"/>
      <w:r>
        <w:rPr>
          <w:rFonts w:ascii="Times New Roman" w:eastAsia="Times New Roman" w:hAnsi="Times New Roman" w:cs="Times New Roman"/>
          <w:color w:val="373A3C"/>
          <w:sz w:val="24"/>
          <w:szCs w:val="24"/>
          <w:highlight w:val="white"/>
        </w:rPr>
        <w:t xml:space="preserve"> was no Geoffrey; he was not capable of creating a character out of nothing at all.”</w:t>
      </w:r>
      <w:r>
        <w:rPr>
          <w:rFonts w:ascii="Times New Roman" w:eastAsia="Times New Roman" w:hAnsi="Times New Roman" w:cs="Times New Roman"/>
          <w:color w:val="373A3C"/>
          <w:sz w:val="24"/>
          <w:szCs w:val="24"/>
          <w:highlight w:val="white"/>
          <w:vertAlign w:val="superscript"/>
        </w:rPr>
        <w:footnoteReference w:id="8"/>
      </w:r>
      <w:r>
        <w:rPr>
          <w:rFonts w:ascii="Times New Roman" w:eastAsia="Times New Roman" w:hAnsi="Times New Roman" w:cs="Times New Roman"/>
          <w:color w:val="373A3C"/>
          <w:sz w:val="24"/>
          <w:szCs w:val="24"/>
          <w:highlight w:val="white"/>
        </w:rPr>
        <w:t xml:space="preserve"> It is worth noting, however, that Jacks</w:t>
      </w:r>
      <w:r>
        <w:rPr>
          <w:rFonts w:ascii="Times New Roman" w:eastAsia="Times New Roman" w:hAnsi="Times New Roman" w:cs="Times New Roman"/>
          <w:color w:val="373A3C"/>
          <w:sz w:val="24"/>
          <w:szCs w:val="24"/>
          <w:highlight w:val="white"/>
        </w:rPr>
        <w:t xml:space="preserve">on’s claim about </w:t>
      </w:r>
      <w:proofErr w:type="spellStart"/>
      <w:r>
        <w:rPr>
          <w:rFonts w:ascii="Times New Roman" w:eastAsia="Times New Roman" w:hAnsi="Times New Roman" w:cs="Times New Roman"/>
          <w:color w:val="373A3C"/>
          <w:sz w:val="24"/>
          <w:szCs w:val="24"/>
          <w:highlight w:val="white"/>
        </w:rPr>
        <w:t>Nennius</w:t>
      </w:r>
      <w:proofErr w:type="spellEnd"/>
      <w:r>
        <w:rPr>
          <w:rFonts w:ascii="Times New Roman" w:eastAsia="Times New Roman" w:hAnsi="Times New Roman" w:cs="Times New Roman"/>
          <w:color w:val="373A3C"/>
          <w:sz w:val="24"/>
          <w:szCs w:val="24"/>
          <w:highlight w:val="white"/>
        </w:rPr>
        <w:t xml:space="preserve"> is tenuous at best given the tendency of modern scholars to reject </w:t>
      </w:r>
      <w:proofErr w:type="spellStart"/>
      <w:r>
        <w:rPr>
          <w:rFonts w:ascii="Times New Roman" w:eastAsia="Times New Roman" w:hAnsi="Times New Roman" w:cs="Times New Roman"/>
          <w:color w:val="373A3C"/>
          <w:sz w:val="24"/>
          <w:szCs w:val="24"/>
          <w:highlight w:val="white"/>
        </w:rPr>
        <w:t>Nennius</w:t>
      </w:r>
      <w:proofErr w:type="spellEnd"/>
      <w:r>
        <w:rPr>
          <w:rFonts w:ascii="Times New Roman" w:eastAsia="Times New Roman" w:hAnsi="Times New Roman" w:cs="Times New Roman"/>
          <w:color w:val="373A3C"/>
          <w:sz w:val="24"/>
          <w:szCs w:val="24"/>
          <w:highlight w:val="white"/>
        </w:rPr>
        <w:t xml:space="preserve"> as the actual author of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w:t>
      </w:r>
      <w:r>
        <w:rPr>
          <w:rFonts w:ascii="Times New Roman" w:eastAsia="Times New Roman" w:hAnsi="Times New Roman" w:cs="Times New Roman"/>
          <w:color w:val="373A3C"/>
          <w:sz w:val="24"/>
          <w:szCs w:val="24"/>
          <w:highlight w:val="white"/>
          <w:vertAlign w:val="superscript"/>
        </w:rPr>
        <w:footnoteReference w:id="9"/>
      </w:r>
      <w:r>
        <w:rPr>
          <w:rFonts w:ascii="Times New Roman" w:eastAsia="Times New Roman" w:hAnsi="Times New Roman" w:cs="Times New Roman"/>
          <w:color w:val="373A3C"/>
          <w:sz w:val="24"/>
          <w:szCs w:val="24"/>
          <w:highlight w:val="white"/>
        </w:rPr>
        <w:t xml:space="preserve"> Nevertheless, the </w:t>
      </w:r>
      <w:r>
        <w:rPr>
          <w:rFonts w:ascii="Times New Roman" w:eastAsia="Times New Roman" w:hAnsi="Times New Roman" w:cs="Times New Roman"/>
          <w:i/>
          <w:color w:val="373A3C"/>
          <w:sz w:val="24"/>
          <w:szCs w:val="24"/>
          <w:highlight w:val="white"/>
        </w:rPr>
        <w:t xml:space="preserve">Historia </w:t>
      </w:r>
      <w:r>
        <w:rPr>
          <w:rFonts w:ascii="Times New Roman" w:eastAsia="Times New Roman" w:hAnsi="Times New Roman" w:cs="Times New Roman"/>
          <w:color w:val="373A3C"/>
          <w:sz w:val="24"/>
          <w:szCs w:val="24"/>
          <w:highlight w:val="white"/>
        </w:rPr>
        <w:t>continues to sit at the center of the debate about Arthur’s historicity, and it is unlikely th</w:t>
      </w:r>
      <w:r>
        <w:rPr>
          <w:rFonts w:ascii="Times New Roman" w:eastAsia="Times New Roman" w:hAnsi="Times New Roman" w:cs="Times New Roman"/>
          <w:color w:val="373A3C"/>
          <w:sz w:val="24"/>
          <w:szCs w:val="24"/>
          <w:highlight w:val="white"/>
        </w:rPr>
        <w:t>at will change, short of the discovery of a new, older manuscript that would provide fresh area for study and interpretation.</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 xml:space="preserve">Like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xml:space="preserve">, the </w:t>
      </w:r>
      <w:r>
        <w:rPr>
          <w:rFonts w:ascii="Times New Roman" w:eastAsia="Times New Roman" w:hAnsi="Times New Roman" w:cs="Times New Roman"/>
          <w:i/>
          <w:color w:val="373A3C"/>
          <w:sz w:val="24"/>
          <w:szCs w:val="24"/>
          <w:highlight w:val="white"/>
        </w:rPr>
        <w:t xml:space="preserve">Annales </w:t>
      </w:r>
      <w:proofErr w:type="spellStart"/>
      <w:r>
        <w:rPr>
          <w:rFonts w:ascii="Times New Roman" w:eastAsia="Times New Roman" w:hAnsi="Times New Roman" w:cs="Times New Roman"/>
          <w:i/>
          <w:color w:val="373A3C"/>
          <w:sz w:val="24"/>
          <w:szCs w:val="24"/>
          <w:highlight w:val="white"/>
        </w:rPr>
        <w:t>Cambriae</w:t>
      </w:r>
      <w:proofErr w:type="spellEnd"/>
      <w:r>
        <w:rPr>
          <w:rFonts w:ascii="Times New Roman" w:eastAsia="Times New Roman" w:hAnsi="Times New Roman" w:cs="Times New Roman"/>
          <w:color w:val="373A3C"/>
          <w:sz w:val="24"/>
          <w:szCs w:val="24"/>
          <w:highlight w:val="white"/>
        </w:rPr>
        <w:t xml:space="preserve"> is used by both sides of the debate to defend their positions regarding Arthur. Compiled i</w:t>
      </w:r>
      <w:r>
        <w:rPr>
          <w:rFonts w:ascii="Times New Roman" w:eastAsia="Times New Roman" w:hAnsi="Times New Roman" w:cs="Times New Roman"/>
          <w:color w:val="373A3C"/>
          <w:sz w:val="24"/>
          <w:szCs w:val="24"/>
          <w:highlight w:val="white"/>
        </w:rPr>
        <w:t xml:space="preserve">n the mid 10th century, the </w:t>
      </w:r>
      <w:r>
        <w:rPr>
          <w:rFonts w:ascii="Times New Roman" w:eastAsia="Times New Roman" w:hAnsi="Times New Roman" w:cs="Times New Roman"/>
          <w:i/>
          <w:color w:val="373A3C"/>
          <w:sz w:val="24"/>
          <w:szCs w:val="24"/>
          <w:highlight w:val="white"/>
        </w:rPr>
        <w:t>Annales</w:t>
      </w:r>
      <w:r>
        <w:rPr>
          <w:rFonts w:ascii="Times New Roman" w:eastAsia="Times New Roman" w:hAnsi="Times New Roman" w:cs="Times New Roman"/>
          <w:color w:val="373A3C"/>
          <w:sz w:val="24"/>
          <w:szCs w:val="24"/>
          <w:highlight w:val="white"/>
        </w:rPr>
        <w:t xml:space="preserve"> include two </w:t>
      </w:r>
      <w:r>
        <w:rPr>
          <w:rFonts w:ascii="Times New Roman" w:eastAsia="Times New Roman" w:hAnsi="Times New Roman" w:cs="Times New Roman"/>
          <w:color w:val="373A3C"/>
          <w:sz w:val="24"/>
          <w:szCs w:val="24"/>
          <w:highlight w:val="white"/>
        </w:rPr>
        <w:lastRenderedPageBreak/>
        <w:t xml:space="preserve">references to King Arthur, specifically his battle at </w:t>
      </w:r>
      <w:proofErr w:type="spellStart"/>
      <w:r>
        <w:rPr>
          <w:rFonts w:ascii="Times New Roman" w:eastAsia="Times New Roman" w:hAnsi="Times New Roman" w:cs="Times New Roman"/>
          <w:color w:val="373A3C"/>
          <w:sz w:val="24"/>
          <w:szCs w:val="24"/>
          <w:highlight w:val="white"/>
        </w:rPr>
        <w:t>Badon</w:t>
      </w:r>
      <w:proofErr w:type="spellEnd"/>
      <w:r>
        <w:rPr>
          <w:rFonts w:ascii="Times New Roman" w:eastAsia="Times New Roman" w:hAnsi="Times New Roman" w:cs="Times New Roman"/>
          <w:color w:val="373A3C"/>
          <w:sz w:val="24"/>
          <w:szCs w:val="24"/>
          <w:highlight w:val="white"/>
        </w:rPr>
        <w:t xml:space="preserve"> Hill and his battle and death at </w:t>
      </w:r>
      <w:proofErr w:type="spellStart"/>
      <w:r>
        <w:rPr>
          <w:rFonts w:ascii="Times New Roman" w:eastAsia="Times New Roman" w:hAnsi="Times New Roman" w:cs="Times New Roman"/>
          <w:color w:val="373A3C"/>
          <w:sz w:val="24"/>
          <w:szCs w:val="24"/>
          <w:highlight w:val="white"/>
        </w:rPr>
        <w:t>Camlann</w:t>
      </w:r>
      <w:proofErr w:type="spellEnd"/>
      <w:r>
        <w:rPr>
          <w:rFonts w:ascii="Times New Roman" w:eastAsia="Times New Roman" w:hAnsi="Times New Roman" w:cs="Times New Roman"/>
          <w:color w:val="373A3C"/>
          <w:sz w:val="24"/>
          <w:szCs w:val="24"/>
          <w:highlight w:val="white"/>
        </w:rPr>
        <w:t xml:space="preserve"> (responsible for the first mention of what would become Mordred in the Arthurian legend). Given the way in </w:t>
      </w:r>
      <w:r>
        <w:rPr>
          <w:rFonts w:ascii="Times New Roman" w:eastAsia="Times New Roman" w:hAnsi="Times New Roman" w:cs="Times New Roman"/>
          <w:color w:val="373A3C"/>
          <w:sz w:val="24"/>
          <w:szCs w:val="24"/>
          <w:highlight w:val="white"/>
        </w:rPr>
        <w:t xml:space="preserve">which the </w:t>
      </w:r>
      <w:r>
        <w:rPr>
          <w:rFonts w:ascii="Times New Roman" w:eastAsia="Times New Roman" w:hAnsi="Times New Roman" w:cs="Times New Roman"/>
          <w:i/>
          <w:color w:val="373A3C"/>
          <w:sz w:val="24"/>
          <w:szCs w:val="24"/>
          <w:highlight w:val="white"/>
        </w:rPr>
        <w:t>Annales</w:t>
      </w:r>
      <w:r>
        <w:rPr>
          <w:rFonts w:ascii="Times New Roman" w:eastAsia="Times New Roman" w:hAnsi="Times New Roman" w:cs="Times New Roman"/>
          <w:color w:val="373A3C"/>
          <w:sz w:val="24"/>
          <w:szCs w:val="24"/>
          <w:highlight w:val="white"/>
        </w:rPr>
        <w:t xml:space="preserve"> at least purport to detail history in a factual rather than narrative fashion, for many years this text was considered the strongest evidence towards Arthur’s historicity.</w:t>
      </w:r>
      <w:r>
        <w:rPr>
          <w:rFonts w:ascii="Times New Roman" w:eastAsia="Times New Roman" w:hAnsi="Times New Roman" w:cs="Times New Roman"/>
          <w:color w:val="373A3C"/>
          <w:sz w:val="24"/>
          <w:szCs w:val="24"/>
          <w:highlight w:val="white"/>
          <w:vertAlign w:val="superscript"/>
        </w:rPr>
        <w:footnoteReference w:id="10"/>
      </w:r>
      <w:r>
        <w:rPr>
          <w:rFonts w:ascii="Times New Roman" w:eastAsia="Times New Roman" w:hAnsi="Times New Roman" w:cs="Times New Roman"/>
          <w:color w:val="373A3C"/>
          <w:sz w:val="24"/>
          <w:szCs w:val="24"/>
          <w:highlight w:val="white"/>
        </w:rPr>
        <w:t xml:space="preserve"> However, dispersion has subsequently been cast on the value of the text given that the records cannot be proven to be contemporary.</w:t>
      </w:r>
      <w:r>
        <w:rPr>
          <w:rFonts w:ascii="Times New Roman" w:eastAsia="Times New Roman" w:hAnsi="Times New Roman" w:cs="Times New Roman"/>
          <w:color w:val="373A3C"/>
          <w:sz w:val="24"/>
          <w:szCs w:val="24"/>
          <w:highlight w:val="white"/>
          <w:vertAlign w:val="superscript"/>
        </w:rPr>
        <w:footnoteReference w:id="11"/>
      </w:r>
      <w:r>
        <w:rPr>
          <w:rFonts w:ascii="Times New Roman" w:eastAsia="Times New Roman" w:hAnsi="Times New Roman" w:cs="Times New Roman"/>
          <w:color w:val="373A3C"/>
          <w:sz w:val="24"/>
          <w:szCs w:val="24"/>
          <w:highlight w:val="white"/>
        </w:rPr>
        <w:t xml:space="preserve"> Also, the </w:t>
      </w:r>
      <w:r>
        <w:rPr>
          <w:rFonts w:ascii="Times New Roman" w:eastAsia="Times New Roman" w:hAnsi="Times New Roman" w:cs="Times New Roman"/>
          <w:i/>
          <w:color w:val="373A3C"/>
          <w:sz w:val="24"/>
          <w:szCs w:val="24"/>
          <w:highlight w:val="white"/>
        </w:rPr>
        <w:t>Annales</w:t>
      </w:r>
      <w:r>
        <w:rPr>
          <w:rFonts w:ascii="Times New Roman" w:eastAsia="Times New Roman" w:hAnsi="Times New Roman" w:cs="Times New Roman"/>
          <w:color w:val="373A3C"/>
          <w:sz w:val="24"/>
          <w:szCs w:val="24"/>
          <w:highlight w:val="white"/>
        </w:rPr>
        <w:t xml:space="preserve"> are bound tightly with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“both in their phraseology concerned with Arthur and in their manus</w:t>
      </w:r>
      <w:r>
        <w:rPr>
          <w:rFonts w:ascii="Times New Roman" w:eastAsia="Times New Roman" w:hAnsi="Times New Roman" w:cs="Times New Roman"/>
          <w:color w:val="373A3C"/>
          <w:sz w:val="24"/>
          <w:szCs w:val="24"/>
          <w:highlight w:val="white"/>
        </w:rPr>
        <w:t>cript traditions.”</w:t>
      </w:r>
      <w:r>
        <w:rPr>
          <w:rFonts w:ascii="Times New Roman" w:eastAsia="Times New Roman" w:hAnsi="Times New Roman" w:cs="Times New Roman"/>
          <w:color w:val="373A3C"/>
          <w:sz w:val="24"/>
          <w:szCs w:val="24"/>
          <w:highlight w:val="white"/>
          <w:vertAlign w:val="superscript"/>
        </w:rPr>
        <w:footnoteReference w:id="12"/>
      </w:r>
      <w:r>
        <w:rPr>
          <w:rFonts w:ascii="Times New Roman" w:eastAsia="Times New Roman" w:hAnsi="Times New Roman" w:cs="Times New Roman"/>
          <w:color w:val="373A3C"/>
          <w:sz w:val="24"/>
          <w:szCs w:val="24"/>
          <w:highlight w:val="white"/>
        </w:rPr>
        <w:t xml:space="preserve"> The likely case, as Jackson has noted, is that both </w:t>
      </w:r>
      <w:r>
        <w:rPr>
          <w:rFonts w:ascii="Times New Roman" w:eastAsia="Times New Roman" w:hAnsi="Times New Roman" w:cs="Times New Roman"/>
          <w:i/>
          <w:color w:val="373A3C"/>
          <w:sz w:val="24"/>
          <w:szCs w:val="24"/>
          <w:highlight w:val="white"/>
        </w:rPr>
        <w:t xml:space="preserve">Annales </w:t>
      </w:r>
      <w:proofErr w:type="spellStart"/>
      <w:r>
        <w:rPr>
          <w:rFonts w:ascii="Times New Roman" w:eastAsia="Times New Roman" w:hAnsi="Times New Roman" w:cs="Times New Roman"/>
          <w:i/>
          <w:color w:val="373A3C"/>
          <w:sz w:val="24"/>
          <w:szCs w:val="24"/>
          <w:highlight w:val="white"/>
        </w:rPr>
        <w:t>Cambriae</w:t>
      </w:r>
      <w:proofErr w:type="spellEnd"/>
      <w:r>
        <w:rPr>
          <w:rFonts w:ascii="Times New Roman" w:eastAsia="Times New Roman" w:hAnsi="Times New Roman" w:cs="Times New Roman"/>
          <w:color w:val="373A3C"/>
          <w:sz w:val="24"/>
          <w:szCs w:val="24"/>
          <w:highlight w:val="white"/>
        </w:rPr>
        <w:t xml:space="preserve"> and </w:t>
      </w:r>
      <w:r>
        <w:rPr>
          <w:rFonts w:ascii="Times New Roman" w:eastAsia="Times New Roman" w:hAnsi="Times New Roman" w:cs="Times New Roman"/>
          <w:i/>
          <w:color w:val="373A3C"/>
          <w:sz w:val="24"/>
          <w:szCs w:val="24"/>
          <w:highlight w:val="white"/>
        </w:rPr>
        <w:t xml:space="preserve">Historia </w:t>
      </w:r>
      <w:proofErr w:type="spellStart"/>
      <w:r>
        <w:rPr>
          <w:rFonts w:ascii="Times New Roman" w:eastAsia="Times New Roman" w:hAnsi="Times New Roman" w:cs="Times New Roman"/>
          <w:i/>
          <w:color w:val="373A3C"/>
          <w:sz w:val="24"/>
          <w:szCs w:val="24"/>
          <w:highlight w:val="white"/>
        </w:rPr>
        <w:t>Brittonum</w:t>
      </w:r>
      <w:proofErr w:type="spellEnd"/>
      <w:r>
        <w:rPr>
          <w:rFonts w:ascii="Times New Roman" w:eastAsia="Times New Roman" w:hAnsi="Times New Roman" w:cs="Times New Roman"/>
          <w:color w:val="373A3C"/>
          <w:sz w:val="24"/>
          <w:szCs w:val="24"/>
          <w:highlight w:val="white"/>
        </w:rPr>
        <w:t xml:space="preserve"> relied on an older source for their descriptions of the life of Arthur, likely drawn from Welsh poetry. Thus, in the same way that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xml:space="preserve"> </w:t>
      </w:r>
      <w:r>
        <w:rPr>
          <w:rFonts w:ascii="Times New Roman" w:eastAsia="Times New Roman" w:hAnsi="Times New Roman" w:cs="Times New Roman"/>
          <w:color w:val="373A3C"/>
          <w:sz w:val="24"/>
          <w:szCs w:val="24"/>
          <w:highlight w:val="white"/>
        </w:rPr>
        <w:t xml:space="preserve">is utilized by both sides of the historicity battle, so too do the </w:t>
      </w:r>
      <w:r>
        <w:rPr>
          <w:rFonts w:ascii="Times New Roman" w:eastAsia="Times New Roman" w:hAnsi="Times New Roman" w:cs="Times New Roman"/>
          <w:i/>
          <w:color w:val="373A3C"/>
          <w:sz w:val="24"/>
          <w:szCs w:val="24"/>
          <w:highlight w:val="white"/>
        </w:rPr>
        <w:t>Annales</w:t>
      </w:r>
      <w:r>
        <w:rPr>
          <w:rFonts w:ascii="Times New Roman" w:eastAsia="Times New Roman" w:hAnsi="Times New Roman" w:cs="Times New Roman"/>
          <w:color w:val="373A3C"/>
          <w:sz w:val="24"/>
          <w:szCs w:val="24"/>
          <w:highlight w:val="white"/>
        </w:rPr>
        <w:t xml:space="preserve"> find themselves in the argumentation of both camps.</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 xml:space="preserve">Alongside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xml:space="preserve"> and the </w:t>
      </w:r>
      <w:r>
        <w:rPr>
          <w:rFonts w:ascii="Times New Roman" w:eastAsia="Times New Roman" w:hAnsi="Times New Roman" w:cs="Times New Roman"/>
          <w:i/>
          <w:color w:val="373A3C"/>
          <w:sz w:val="24"/>
          <w:szCs w:val="24"/>
          <w:highlight w:val="white"/>
        </w:rPr>
        <w:t>Annales</w:t>
      </w:r>
      <w:r>
        <w:rPr>
          <w:rFonts w:ascii="Times New Roman" w:eastAsia="Times New Roman" w:hAnsi="Times New Roman" w:cs="Times New Roman"/>
          <w:color w:val="373A3C"/>
          <w:sz w:val="24"/>
          <w:szCs w:val="24"/>
          <w:highlight w:val="white"/>
        </w:rPr>
        <w:t>, references to Arthur in early Welsh poetry remains a battleground for the historicity deb</w:t>
      </w:r>
      <w:r>
        <w:rPr>
          <w:rFonts w:ascii="Times New Roman" w:eastAsia="Times New Roman" w:hAnsi="Times New Roman" w:cs="Times New Roman"/>
          <w:color w:val="373A3C"/>
          <w:sz w:val="24"/>
          <w:szCs w:val="24"/>
          <w:highlight w:val="white"/>
        </w:rPr>
        <w:t xml:space="preserve">ate. One poem, </w:t>
      </w:r>
      <w:r>
        <w:rPr>
          <w:rFonts w:ascii="Times New Roman" w:eastAsia="Times New Roman" w:hAnsi="Times New Roman" w:cs="Times New Roman"/>
          <w:i/>
          <w:color w:val="373A3C"/>
          <w:sz w:val="24"/>
          <w:szCs w:val="24"/>
          <w:highlight w:val="white"/>
        </w:rPr>
        <w:t xml:space="preserve">Y </w:t>
      </w:r>
      <w:proofErr w:type="spellStart"/>
      <w:r>
        <w:rPr>
          <w:rFonts w:ascii="Times New Roman" w:eastAsia="Times New Roman" w:hAnsi="Times New Roman" w:cs="Times New Roman"/>
          <w:i/>
          <w:color w:val="373A3C"/>
          <w:sz w:val="24"/>
          <w:szCs w:val="24"/>
          <w:highlight w:val="white"/>
        </w:rPr>
        <w:t>Gododdin</w:t>
      </w:r>
      <w:proofErr w:type="spellEnd"/>
      <w:r>
        <w:rPr>
          <w:rFonts w:ascii="Times New Roman" w:eastAsia="Times New Roman" w:hAnsi="Times New Roman" w:cs="Times New Roman"/>
          <w:color w:val="373A3C"/>
          <w:sz w:val="24"/>
          <w:szCs w:val="24"/>
          <w:highlight w:val="white"/>
        </w:rPr>
        <w:t xml:space="preserve">, purports to originate from the 600s, though the manuscript in which it was found can only be confidently dated to the 10th century. It must also be noted that “the reference in the </w:t>
      </w:r>
      <w:proofErr w:type="spellStart"/>
      <w:r>
        <w:rPr>
          <w:rFonts w:ascii="Times New Roman" w:eastAsia="Times New Roman" w:hAnsi="Times New Roman" w:cs="Times New Roman"/>
          <w:i/>
          <w:color w:val="373A3C"/>
          <w:sz w:val="24"/>
          <w:szCs w:val="24"/>
          <w:highlight w:val="white"/>
        </w:rPr>
        <w:t>Gododdin</w:t>
      </w:r>
      <w:proofErr w:type="spellEnd"/>
      <w:r>
        <w:rPr>
          <w:rFonts w:ascii="Times New Roman" w:eastAsia="Times New Roman" w:hAnsi="Times New Roman" w:cs="Times New Roman"/>
          <w:color w:val="373A3C"/>
          <w:sz w:val="24"/>
          <w:szCs w:val="24"/>
          <w:highlight w:val="white"/>
        </w:rPr>
        <w:t xml:space="preserve"> to the heroism of a certain </w:t>
      </w:r>
      <w:proofErr w:type="spellStart"/>
      <w:r>
        <w:rPr>
          <w:rFonts w:ascii="Times New Roman" w:eastAsia="Times New Roman" w:hAnsi="Times New Roman" w:cs="Times New Roman"/>
          <w:color w:val="373A3C"/>
          <w:sz w:val="24"/>
          <w:szCs w:val="24"/>
          <w:highlight w:val="white"/>
        </w:rPr>
        <w:t>Gwawrddur</w:t>
      </w:r>
      <w:proofErr w:type="spellEnd"/>
      <w:r>
        <w:rPr>
          <w:rFonts w:ascii="Times New Roman" w:eastAsia="Times New Roman" w:hAnsi="Times New Roman" w:cs="Times New Roman"/>
          <w:color w:val="373A3C"/>
          <w:sz w:val="24"/>
          <w:szCs w:val="24"/>
          <w:highlight w:val="white"/>
        </w:rPr>
        <w:t>..</w:t>
      </w:r>
      <w:r>
        <w:rPr>
          <w:rFonts w:ascii="Times New Roman" w:eastAsia="Times New Roman" w:hAnsi="Times New Roman" w:cs="Times New Roman"/>
          <w:color w:val="373A3C"/>
          <w:sz w:val="24"/>
          <w:szCs w:val="24"/>
          <w:highlight w:val="white"/>
        </w:rPr>
        <w:t>.is only in the B Version; its antiquity is therefore uncertain, for it is only when a passage occurs in both the A and the B Versions that there can be any confidence that it goes back before the ninth or tenth century.”</w:t>
      </w:r>
      <w:r>
        <w:rPr>
          <w:rFonts w:ascii="Times New Roman" w:eastAsia="Times New Roman" w:hAnsi="Times New Roman" w:cs="Times New Roman"/>
          <w:color w:val="373A3C"/>
          <w:sz w:val="24"/>
          <w:szCs w:val="24"/>
          <w:highlight w:val="white"/>
          <w:vertAlign w:val="superscript"/>
        </w:rPr>
        <w:footnoteReference w:id="13"/>
      </w:r>
      <w:r>
        <w:rPr>
          <w:rFonts w:ascii="Times New Roman" w:eastAsia="Times New Roman" w:hAnsi="Times New Roman" w:cs="Times New Roman"/>
          <w:color w:val="373A3C"/>
          <w:sz w:val="24"/>
          <w:szCs w:val="24"/>
          <w:highlight w:val="white"/>
        </w:rPr>
        <w:t xml:space="preserve"> Nevertheless, the text is valuabl</w:t>
      </w:r>
      <w:r>
        <w:rPr>
          <w:rFonts w:ascii="Times New Roman" w:eastAsia="Times New Roman" w:hAnsi="Times New Roman" w:cs="Times New Roman"/>
          <w:color w:val="373A3C"/>
          <w:sz w:val="24"/>
          <w:szCs w:val="24"/>
          <w:highlight w:val="white"/>
        </w:rPr>
        <w:t xml:space="preserve">e in the possibility that it demonstrates a tendency of post-Roman British writers to compare their warriors to Arthur. In </w:t>
      </w:r>
      <w:r>
        <w:rPr>
          <w:rFonts w:ascii="Times New Roman" w:eastAsia="Times New Roman" w:hAnsi="Times New Roman" w:cs="Times New Roman"/>
          <w:color w:val="373A3C"/>
          <w:sz w:val="24"/>
          <w:szCs w:val="24"/>
          <w:highlight w:val="white"/>
        </w:rPr>
        <w:lastRenderedPageBreak/>
        <w:t xml:space="preserve">it, the Welsh warrior </w:t>
      </w:r>
      <w:proofErr w:type="spellStart"/>
      <w:r>
        <w:rPr>
          <w:rFonts w:ascii="Times New Roman" w:eastAsia="Times New Roman" w:hAnsi="Times New Roman" w:cs="Times New Roman"/>
          <w:color w:val="373A3C"/>
          <w:sz w:val="24"/>
          <w:szCs w:val="24"/>
          <w:highlight w:val="white"/>
        </w:rPr>
        <w:t>Gwawrddur</w:t>
      </w:r>
      <w:proofErr w:type="spellEnd"/>
      <w:r>
        <w:rPr>
          <w:rFonts w:ascii="Times New Roman" w:eastAsia="Times New Roman" w:hAnsi="Times New Roman" w:cs="Times New Roman"/>
          <w:color w:val="373A3C"/>
          <w:sz w:val="24"/>
          <w:szCs w:val="24"/>
          <w:highlight w:val="white"/>
        </w:rPr>
        <w:t xml:space="preserve"> is described who would “give gifts from a herd of horses in winter,/He would feed black ravens on the</w:t>
      </w:r>
      <w:r>
        <w:rPr>
          <w:rFonts w:ascii="Times New Roman" w:eastAsia="Times New Roman" w:hAnsi="Times New Roman" w:cs="Times New Roman"/>
          <w:color w:val="373A3C"/>
          <w:sz w:val="24"/>
          <w:szCs w:val="24"/>
          <w:highlight w:val="white"/>
        </w:rPr>
        <w:t xml:space="preserve"> wall of a fortress, though he were not Arthur.”</w:t>
      </w:r>
      <w:r>
        <w:rPr>
          <w:rFonts w:ascii="Times New Roman" w:eastAsia="Times New Roman" w:hAnsi="Times New Roman" w:cs="Times New Roman"/>
          <w:color w:val="373A3C"/>
          <w:sz w:val="24"/>
          <w:szCs w:val="24"/>
          <w:highlight w:val="white"/>
          <w:vertAlign w:val="superscript"/>
        </w:rPr>
        <w:footnoteReference w:id="14"/>
      </w:r>
      <w:r>
        <w:rPr>
          <w:rFonts w:ascii="Times New Roman" w:eastAsia="Times New Roman" w:hAnsi="Times New Roman" w:cs="Times New Roman"/>
          <w:color w:val="373A3C"/>
          <w:sz w:val="24"/>
          <w:szCs w:val="24"/>
          <w:highlight w:val="white"/>
        </w:rPr>
        <w:t xml:space="preserve"> This is the only reference to Arthur in the poem, but it is notable given that he is framed as the standard against which all other warriors are compared.</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 xml:space="preserve">Much like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xml:space="preserve">, critical response to </w:t>
      </w:r>
      <w:r>
        <w:rPr>
          <w:rFonts w:ascii="Times New Roman" w:eastAsia="Times New Roman" w:hAnsi="Times New Roman" w:cs="Times New Roman"/>
          <w:i/>
          <w:color w:val="373A3C"/>
          <w:sz w:val="24"/>
          <w:szCs w:val="24"/>
          <w:highlight w:val="white"/>
        </w:rPr>
        <w:t xml:space="preserve">Y </w:t>
      </w:r>
      <w:proofErr w:type="spellStart"/>
      <w:r>
        <w:rPr>
          <w:rFonts w:ascii="Times New Roman" w:eastAsia="Times New Roman" w:hAnsi="Times New Roman" w:cs="Times New Roman"/>
          <w:i/>
          <w:color w:val="373A3C"/>
          <w:sz w:val="24"/>
          <w:szCs w:val="24"/>
          <w:highlight w:val="white"/>
        </w:rPr>
        <w:t>Godo</w:t>
      </w:r>
      <w:r>
        <w:rPr>
          <w:rFonts w:ascii="Times New Roman" w:eastAsia="Times New Roman" w:hAnsi="Times New Roman" w:cs="Times New Roman"/>
          <w:i/>
          <w:color w:val="373A3C"/>
          <w:sz w:val="24"/>
          <w:szCs w:val="24"/>
          <w:highlight w:val="white"/>
        </w:rPr>
        <w:t>ddin</w:t>
      </w:r>
      <w:proofErr w:type="spellEnd"/>
      <w:r>
        <w:rPr>
          <w:rFonts w:ascii="Times New Roman" w:eastAsia="Times New Roman" w:hAnsi="Times New Roman" w:cs="Times New Roman"/>
          <w:color w:val="373A3C"/>
          <w:sz w:val="24"/>
          <w:szCs w:val="24"/>
          <w:highlight w:val="white"/>
        </w:rPr>
        <w:t xml:space="preserve"> has demonstrated the strife within the community of King Arthur scholars. Kenneth Jackson maintains that the poem is “what may well be one of the most convincing pieces of evidence for a historical Arthur.”</w:t>
      </w:r>
      <w:r>
        <w:rPr>
          <w:rFonts w:ascii="Times New Roman" w:eastAsia="Times New Roman" w:hAnsi="Times New Roman" w:cs="Times New Roman"/>
          <w:color w:val="373A3C"/>
          <w:sz w:val="24"/>
          <w:szCs w:val="24"/>
          <w:highlight w:val="white"/>
          <w:vertAlign w:val="superscript"/>
        </w:rPr>
        <w:footnoteReference w:id="15"/>
      </w:r>
      <w:r>
        <w:rPr>
          <w:rFonts w:ascii="Times New Roman" w:eastAsia="Times New Roman" w:hAnsi="Times New Roman" w:cs="Times New Roman"/>
          <w:color w:val="373A3C"/>
          <w:sz w:val="24"/>
          <w:szCs w:val="24"/>
          <w:highlight w:val="white"/>
        </w:rPr>
        <w:t xml:space="preserve"> </w:t>
      </w:r>
      <w:proofErr w:type="spellStart"/>
      <w:r>
        <w:rPr>
          <w:rFonts w:ascii="Times New Roman" w:eastAsia="Times New Roman" w:hAnsi="Times New Roman" w:cs="Times New Roman"/>
          <w:color w:val="373A3C"/>
          <w:sz w:val="24"/>
          <w:szCs w:val="24"/>
          <w:highlight w:val="white"/>
        </w:rPr>
        <w:t>Padel</w:t>
      </w:r>
      <w:proofErr w:type="spellEnd"/>
      <w:r>
        <w:rPr>
          <w:rFonts w:ascii="Times New Roman" w:eastAsia="Times New Roman" w:hAnsi="Times New Roman" w:cs="Times New Roman"/>
          <w:color w:val="373A3C"/>
          <w:sz w:val="24"/>
          <w:szCs w:val="24"/>
          <w:highlight w:val="white"/>
        </w:rPr>
        <w:t>, however, insists that “it is essenti</w:t>
      </w:r>
      <w:r>
        <w:rPr>
          <w:rFonts w:ascii="Times New Roman" w:eastAsia="Times New Roman" w:hAnsi="Times New Roman" w:cs="Times New Roman"/>
          <w:color w:val="373A3C"/>
          <w:sz w:val="24"/>
          <w:szCs w:val="24"/>
          <w:highlight w:val="white"/>
        </w:rPr>
        <w:t xml:space="preserve">ally </w:t>
      </w:r>
      <w:proofErr w:type="spellStart"/>
      <w:r>
        <w:rPr>
          <w:rFonts w:ascii="Times New Roman" w:eastAsia="Times New Roman" w:hAnsi="Times New Roman" w:cs="Times New Roman"/>
          <w:color w:val="373A3C"/>
          <w:sz w:val="24"/>
          <w:szCs w:val="24"/>
          <w:highlight w:val="white"/>
        </w:rPr>
        <w:t>undatable</w:t>
      </w:r>
      <w:proofErr w:type="spellEnd"/>
      <w:r>
        <w:rPr>
          <w:rFonts w:ascii="Times New Roman" w:eastAsia="Times New Roman" w:hAnsi="Times New Roman" w:cs="Times New Roman"/>
          <w:color w:val="373A3C"/>
          <w:sz w:val="24"/>
          <w:szCs w:val="24"/>
          <w:highlight w:val="white"/>
        </w:rPr>
        <w:t xml:space="preserve">, as is much of the </w:t>
      </w:r>
      <w:proofErr w:type="spellStart"/>
      <w:r>
        <w:rPr>
          <w:rFonts w:ascii="Times New Roman" w:eastAsia="Times New Roman" w:hAnsi="Times New Roman" w:cs="Times New Roman"/>
          <w:i/>
          <w:color w:val="373A3C"/>
          <w:sz w:val="24"/>
          <w:szCs w:val="24"/>
          <w:highlight w:val="white"/>
        </w:rPr>
        <w:t>Gododdin</w:t>
      </w:r>
      <w:proofErr w:type="spellEnd"/>
      <w:r>
        <w:rPr>
          <w:rFonts w:ascii="Times New Roman" w:eastAsia="Times New Roman" w:hAnsi="Times New Roman" w:cs="Times New Roman"/>
          <w:color w:val="373A3C"/>
          <w:sz w:val="24"/>
          <w:szCs w:val="24"/>
          <w:highlight w:val="white"/>
        </w:rPr>
        <w:t xml:space="preserve">, different parts of which are very possibly of different dates” and that “Arthur appears only </w:t>
      </w:r>
      <w:r>
        <w:rPr>
          <w:rFonts w:ascii="Times New Roman" w:eastAsia="Times New Roman" w:hAnsi="Times New Roman" w:cs="Times New Roman"/>
          <w:i/>
          <w:color w:val="373A3C"/>
          <w:sz w:val="24"/>
          <w:szCs w:val="24"/>
          <w:highlight w:val="white"/>
        </w:rPr>
        <w:t>not</w:t>
      </w:r>
      <w:r>
        <w:rPr>
          <w:rFonts w:ascii="Times New Roman" w:eastAsia="Times New Roman" w:hAnsi="Times New Roman" w:cs="Times New Roman"/>
          <w:color w:val="373A3C"/>
          <w:sz w:val="24"/>
          <w:szCs w:val="24"/>
          <w:highlight w:val="white"/>
        </w:rPr>
        <w:t xml:space="preserve"> to appear, as it were - he is the impossible comparison, used to remind us that there are heights of </w:t>
      </w:r>
      <w:proofErr w:type="spellStart"/>
      <w:r>
        <w:rPr>
          <w:rFonts w:ascii="Times New Roman" w:eastAsia="Times New Roman" w:hAnsi="Times New Roman" w:cs="Times New Roman"/>
          <w:color w:val="373A3C"/>
          <w:sz w:val="24"/>
          <w:szCs w:val="24"/>
          <w:highlight w:val="white"/>
        </w:rPr>
        <w:t>valour</w:t>
      </w:r>
      <w:proofErr w:type="spellEnd"/>
      <w:r>
        <w:rPr>
          <w:rFonts w:ascii="Times New Roman" w:eastAsia="Times New Roman" w:hAnsi="Times New Roman" w:cs="Times New Roman"/>
          <w:color w:val="373A3C"/>
          <w:sz w:val="24"/>
          <w:szCs w:val="24"/>
          <w:highlight w:val="white"/>
        </w:rPr>
        <w:t xml:space="preserve"> which e</w:t>
      </w:r>
      <w:r>
        <w:rPr>
          <w:rFonts w:ascii="Times New Roman" w:eastAsia="Times New Roman" w:hAnsi="Times New Roman" w:cs="Times New Roman"/>
          <w:color w:val="373A3C"/>
          <w:sz w:val="24"/>
          <w:szCs w:val="24"/>
          <w:highlight w:val="white"/>
        </w:rPr>
        <w:t xml:space="preserve">ven </w:t>
      </w:r>
      <w:proofErr w:type="spellStart"/>
      <w:r>
        <w:rPr>
          <w:rFonts w:ascii="Times New Roman" w:eastAsia="Times New Roman" w:hAnsi="Times New Roman" w:cs="Times New Roman"/>
          <w:color w:val="373A3C"/>
          <w:sz w:val="24"/>
          <w:szCs w:val="24"/>
          <w:highlight w:val="white"/>
        </w:rPr>
        <w:t>Gwawddur</w:t>
      </w:r>
      <w:proofErr w:type="spellEnd"/>
      <w:r>
        <w:rPr>
          <w:rFonts w:ascii="Times New Roman" w:eastAsia="Times New Roman" w:hAnsi="Times New Roman" w:cs="Times New Roman"/>
          <w:color w:val="373A3C"/>
          <w:sz w:val="24"/>
          <w:szCs w:val="24"/>
          <w:highlight w:val="white"/>
        </w:rPr>
        <w:t xml:space="preserve"> could not attain.”</w:t>
      </w:r>
      <w:r>
        <w:rPr>
          <w:rFonts w:ascii="Times New Roman" w:eastAsia="Times New Roman" w:hAnsi="Times New Roman" w:cs="Times New Roman"/>
          <w:color w:val="373A3C"/>
          <w:sz w:val="24"/>
          <w:szCs w:val="24"/>
          <w:highlight w:val="white"/>
          <w:vertAlign w:val="superscript"/>
        </w:rPr>
        <w:footnoteReference w:id="16"/>
      </w:r>
      <w:r>
        <w:rPr>
          <w:rFonts w:ascii="Times New Roman" w:eastAsia="Times New Roman" w:hAnsi="Times New Roman" w:cs="Times New Roman"/>
          <w:color w:val="373A3C"/>
          <w:sz w:val="24"/>
          <w:szCs w:val="24"/>
          <w:highlight w:val="white"/>
        </w:rPr>
        <w:t xml:space="preserve"> Likewise, Green asserts that Arthur’s status as a sort of superhero, “does </w:t>
      </w:r>
      <w:r>
        <w:rPr>
          <w:rFonts w:ascii="Times New Roman" w:eastAsia="Times New Roman" w:hAnsi="Times New Roman" w:cs="Times New Roman"/>
          <w:i/>
          <w:color w:val="373A3C"/>
          <w:sz w:val="24"/>
          <w:szCs w:val="24"/>
          <w:highlight w:val="white"/>
        </w:rPr>
        <w:t>not</w:t>
      </w:r>
      <w:r>
        <w:rPr>
          <w:rFonts w:ascii="Times New Roman" w:eastAsia="Times New Roman" w:hAnsi="Times New Roman" w:cs="Times New Roman"/>
          <w:color w:val="373A3C"/>
          <w:sz w:val="24"/>
          <w:szCs w:val="24"/>
          <w:highlight w:val="white"/>
        </w:rPr>
        <w:t xml:space="preserve"> tell us whether this reflects a mythical ‘superhero’ named Arthur or a historical Arthur </w:t>
      </w:r>
      <w:proofErr w:type="spellStart"/>
      <w:r>
        <w:rPr>
          <w:rFonts w:ascii="Times New Roman" w:eastAsia="Times New Roman" w:hAnsi="Times New Roman" w:cs="Times New Roman"/>
          <w:color w:val="373A3C"/>
          <w:sz w:val="24"/>
          <w:szCs w:val="24"/>
          <w:highlight w:val="white"/>
        </w:rPr>
        <w:t>mythicised</w:t>
      </w:r>
      <w:proofErr w:type="spellEnd"/>
      <w:r>
        <w:rPr>
          <w:rFonts w:ascii="Times New Roman" w:eastAsia="Times New Roman" w:hAnsi="Times New Roman" w:cs="Times New Roman"/>
          <w:color w:val="373A3C"/>
          <w:sz w:val="24"/>
          <w:szCs w:val="24"/>
          <w:highlight w:val="white"/>
        </w:rPr>
        <w:t xml:space="preserve"> and Arthur is, in the text, in no way associ</w:t>
      </w:r>
      <w:r>
        <w:rPr>
          <w:rFonts w:ascii="Times New Roman" w:eastAsia="Times New Roman" w:hAnsi="Times New Roman" w:cs="Times New Roman"/>
          <w:color w:val="373A3C"/>
          <w:sz w:val="24"/>
          <w:szCs w:val="24"/>
          <w:highlight w:val="white"/>
        </w:rPr>
        <w:t xml:space="preserve">ated with the </w:t>
      </w:r>
      <w:proofErr w:type="spellStart"/>
      <w:r>
        <w:rPr>
          <w:rFonts w:ascii="Times New Roman" w:eastAsia="Times New Roman" w:hAnsi="Times New Roman" w:cs="Times New Roman"/>
          <w:color w:val="373A3C"/>
          <w:sz w:val="24"/>
          <w:szCs w:val="24"/>
          <w:highlight w:val="white"/>
        </w:rPr>
        <w:t>defence</w:t>
      </w:r>
      <w:proofErr w:type="spellEnd"/>
      <w:r>
        <w:rPr>
          <w:rFonts w:ascii="Times New Roman" w:eastAsia="Times New Roman" w:hAnsi="Times New Roman" w:cs="Times New Roman"/>
          <w:color w:val="373A3C"/>
          <w:sz w:val="24"/>
          <w:szCs w:val="24"/>
          <w:highlight w:val="white"/>
        </w:rPr>
        <w:t xml:space="preserve"> of post-Roman Britain or any specific period of history.”</w:t>
      </w:r>
      <w:r>
        <w:rPr>
          <w:rFonts w:ascii="Times New Roman" w:eastAsia="Times New Roman" w:hAnsi="Times New Roman" w:cs="Times New Roman"/>
          <w:color w:val="373A3C"/>
          <w:sz w:val="24"/>
          <w:szCs w:val="24"/>
          <w:highlight w:val="white"/>
          <w:vertAlign w:val="superscript"/>
        </w:rPr>
        <w:footnoteReference w:id="17"/>
      </w:r>
      <w:r>
        <w:rPr>
          <w:rFonts w:ascii="Times New Roman" w:eastAsia="Times New Roman" w:hAnsi="Times New Roman" w:cs="Times New Roman"/>
          <w:color w:val="373A3C"/>
          <w:sz w:val="24"/>
          <w:szCs w:val="24"/>
          <w:highlight w:val="white"/>
        </w:rPr>
        <w:t xml:space="preserve"> It is clear that in the case of </w:t>
      </w:r>
      <w:r>
        <w:rPr>
          <w:rFonts w:ascii="Times New Roman" w:eastAsia="Times New Roman" w:hAnsi="Times New Roman" w:cs="Times New Roman"/>
          <w:i/>
          <w:color w:val="373A3C"/>
          <w:sz w:val="24"/>
          <w:szCs w:val="24"/>
          <w:highlight w:val="white"/>
        </w:rPr>
        <w:t xml:space="preserve">Y </w:t>
      </w:r>
      <w:proofErr w:type="spellStart"/>
      <w:r>
        <w:rPr>
          <w:rFonts w:ascii="Times New Roman" w:eastAsia="Times New Roman" w:hAnsi="Times New Roman" w:cs="Times New Roman"/>
          <w:i/>
          <w:color w:val="373A3C"/>
          <w:sz w:val="24"/>
          <w:szCs w:val="24"/>
          <w:highlight w:val="white"/>
        </w:rPr>
        <w:t>Gododdin</w:t>
      </w:r>
      <w:proofErr w:type="spellEnd"/>
      <w:r>
        <w:rPr>
          <w:rFonts w:ascii="Times New Roman" w:eastAsia="Times New Roman" w:hAnsi="Times New Roman" w:cs="Times New Roman"/>
          <w:color w:val="373A3C"/>
          <w:sz w:val="24"/>
          <w:szCs w:val="24"/>
          <w:highlight w:val="white"/>
        </w:rPr>
        <w:t xml:space="preserve">, substantial arguments can be made on either side of the debate as to the historicity of Arthur. Like the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only the discove</w:t>
      </w:r>
      <w:r>
        <w:rPr>
          <w:rFonts w:ascii="Times New Roman" w:eastAsia="Times New Roman" w:hAnsi="Times New Roman" w:cs="Times New Roman"/>
          <w:color w:val="373A3C"/>
          <w:sz w:val="24"/>
          <w:szCs w:val="24"/>
          <w:highlight w:val="white"/>
        </w:rPr>
        <w:t>ry of an older manuscript including the reference would provide a definitive answer as to the veracity of the poem’s claims about Arthur’s almost mythical status.</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 xml:space="preserve">Apart from the mention of Arthur in </w:t>
      </w:r>
      <w:r>
        <w:rPr>
          <w:rFonts w:ascii="Times New Roman" w:eastAsia="Times New Roman" w:hAnsi="Times New Roman" w:cs="Times New Roman"/>
          <w:i/>
          <w:color w:val="373A3C"/>
          <w:sz w:val="24"/>
          <w:szCs w:val="24"/>
          <w:highlight w:val="white"/>
        </w:rPr>
        <w:t xml:space="preserve">Y </w:t>
      </w:r>
      <w:proofErr w:type="spellStart"/>
      <w:r>
        <w:rPr>
          <w:rFonts w:ascii="Times New Roman" w:eastAsia="Times New Roman" w:hAnsi="Times New Roman" w:cs="Times New Roman"/>
          <w:i/>
          <w:color w:val="373A3C"/>
          <w:sz w:val="24"/>
          <w:szCs w:val="24"/>
          <w:highlight w:val="white"/>
        </w:rPr>
        <w:t>Gododdin</w:t>
      </w:r>
      <w:proofErr w:type="spellEnd"/>
      <w:r>
        <w:rPr>
          <w:rFonts w:ascii="Times New Roman" w:eastAsia="Times New Roman" w:hAnsi="Times New Roman" w:cs="Times New Roman"/>
          <w:color w:val="373A3C"/>
          <w:sz w:val="24"/>
          <w:szCs w:val="24"/>
          <w:highlight w:val="white"/>
        </w:rPr>
        <w:t>, other early sources of Welsh poetry also refe</w:t>
      </w:r>
      <w:r>
        <w:rPr>
          <w:rFonts w:ascii="Times New Roman" w:eastAsia="Times New Roman" w:hAnsi="Times New Roman" w:cs="Times New Roman"/>
          <w:color w:val="373A3C"/>
          <w:sz w:val="24"/>
          <w:szCs w:val="24"/>
          <w:highlight w:val="white"/>
        </w:rPr>
        <w:t xml:space="preserve">rence the king, such as </w:t>
      </w:r>
      <w:proofErr w:type="spellStart"/>
      <w:r>
        <w:rPr>
          <w:rFonts w:ascii="Times New Roman" w:eastAsia="Times New Roman" w:hAnsi="Times New Roman" w:cs="Times New Roman"/>
          <w:i/>
          <w:color w:val="373A3C"/>
          <w:sz w:val="24"/>
          <w:szCs w:val="24"/>
          <w:highlight w:val="white"/>
        </w:rPr>
        <w:t>Preideu</w:t>
      </w:r>
      <w:proofErr w:type="spellEnd"/>
      <w:r>
        <w:rPr>
          <w:rFonts w:ascii="Times New Roman" w:eastAsia="Times New Roman" w:hAnsi="Times New Roman" w:cs="Times New Roman"/>
          <w:i/>
          <w:color w:val="373A3C"/>
          <w:sz w:val="24"/>
          <w:szCs w:val="24"/>
          <w:highlight w:val="white"/>
        </w:rPr>
        <w:t xml:space="preserve"> </w:t>
      </w:r>
      <w:proofErr w:type="spellStart"/>
      <w:r>
        <w:rPr>
          <w:rFonts w:ascii="Times New Roman" w:eastAsia="Times New Roman" w:hAnsi="Times New Roman" w:cs="Times New Roman"/>
          <w:i/>
          <w:color w:val="373A3C"/>
          <w:sz w:val="24"/>
          <w:szCs w:val="24"/>
          <w:highlight w:val="white"/>
        </w:rPr>
        <w:t>Annwfyn</w:t>
      </w:r>
      <w:proofErr w:type="spellEnd"/>
      <w:r>
        <w:rPr>
          <w:rFonts w:ascii="Times New Roman" w:eastAsia="Times New Roman" w:hAnsi="Times New Roman" w:cs="Times New Roman"/>
          <w:color w:val="373A3C"/>
          <w:sz w:val="24"/>
          <w:szCs w:val="24"/>
          <w:highlight w:val="white"/>
        </w:rPr>
        <w:t xml:space="preserve"> (“The Spoils and </w:t>
      </w:r>
      <w:proofErr w:type="spellStart"/>
      <w:r>
        <w:rPr>
          <w:rFonts w:ascii="Times New Roman" w:eastAsia="Times New Roman" w:hAnsi="Times New Roman" w:cs="Times New Roman"/>
          <w:color w:val="373A3C"/>
          <w:sz w:val="24"/>
          <w:szCs w:val="24"/>
          <w:highlight w:val="white"/>
        </w:rPr>
        <w:t>Annwn</w:t>
      </w:r>
      <w:proofErr w:type="spellEnd"/>
      <w:r>
        <w:rPr>
          <w:rFonts w:ascii="Times New Roman" w:eastAsia="Times New Roman" w:hAnsi="Times New Roman" w:cs="Times New Roman"/>
          <w:color w:val="373A3C"/>
          <w:sz w:val="24"/>
          <w:szCs w:val="24"/>
          <w:highlight w:val="white"/>
        </w:rPr>
        <w:t xml:space="preserve">”) and </w:t>
      </w:r>
      <w:r>
        <w:rPr>
          <w:rFonts w:ascii="Times New Roman" w:eastAsia="Times New Roman" w:hAnsi="Times New Roman" w:cs="Times New Roman"/>
          <w:i/>
          <w:color w:val="373A3C"/>
          <w:sz w:val="24"/>
          <w:szCs w:val="24"/>
          <w:highlight w:val="white"/>
        </w:rPr>
        <w:t xml:space="preserve">Pa </w:t>
      </w:r>
      <w:proofErr w:type="spellStart"/>
      <w:r>
        <w:rPr>
          <w:rFonts w:ascii="Times New Roman" w:eastAsia="Times New Roman" w:hAnsi="Times New Roman" w:cs="Times New Roman"/>
          <w:i/>
          <w:color w:val="373A3C"/>
          <w:sz w:val="24"/>
          <w:szCs w:val="24"/>
          <w:highlight w:val="white"/>
        </w:rPr>
        <w:t>gur</w:t>
      </w:r>
      <w:proofErr w:type="spellEnd"/>
      <w:r>
        <w:rPr>
          <w:rFonts w:ascii="Times New Roman" w:eastAsia="Times New Roman" w:hAnsi="Times New Roman" w:cs="Times New Roman"/>
          <w:i/>
          <w:color w:val="373A3C"/>
          <w:sz w:val="24"/>
          <w:szCs w:val="24"/>
          <w:highlight w:val="white"/>
        </w:rPr>
        <w:t xml:space="preserve"> </w:t>
      </w:r>
      <w:proofErr w:type="spellStart"/>
      <w:r>
        <w:rPr>
          <w:rFonts w:ascii="Times New Roman" w:eastAsia="Times New Roman" w:hAnsi="Times New Roman" w:cs="Times New Roman"/>
          <w:i/>
          <w:color w:val="373A3C"/>
          <w:sz w:val="24"/>
          <w:szCs w:val="24"/>
          <w:highlight w:val="white"/>
        </w:rPr>
        <w:t>yv</w:t>
      </w:r>
      <w:proofErr w:type="spellEnd"/>
      <w:r>
        <w:rPr>
          <w:rFonts w:ascii="Times New Roman" w:eastAsia="Times New Roman" w:hAnsi="Times New Roman" w:cs="Times New Roman"/>
          <w:i/>
          <w:color w:val="373A3C"/>
          <w:sz w:val="24"/>
          <w:szCs w:val="24"/>
          <w:highlight w:val="white"/>
        </w:rPr>
        <w:t xml:space="preserve"> y </w:t>
      </w:r>
      <w:proofErr w:type="spellStart"/>
      <w:r>
        <w:rPr>
          <w:rFonts w:ascii="Times New Roman" w:eastAsia="Times New Roman" w:hAnsi="Times New Roman" w:cs="Times New Roman"/>
          <w:i/>
          <w:color w:val="373A3C"/>
          <w:sz w:val="24"/>
          <w:szCs w:val="24"/>
          <w:highlight w:val="white"/>
        </w:rPr>
        <w:lastRenderedPageBreak/>
        <w:t>porthaur</w:t>
      </w:r>
      <w:proofErr w:type="spellEnd"/>
      <w:r>
        <w:rPr>
          <w:rFonts w:ascii="Times New Roman" w:eastAsia="Times New Roman" w:hAnsi="Times New Roman" w:cs="Times New Roman"/>
          <w:color w:val="373A3C"/>
          <w:sz w:val="24"/>
          <w:szCs w:val="24"/>
          <w:highlight w:val="white"/>
        </w:rPr>
        <w:t xml:space="preserve"> (“What man is the porter?”). These sources, however, are given little credence on either side because they portray Arthur in a legendary, almost mythical manner. Whil</w:t>
      </w:r>
      <w:r>
        <w:rPr>
          <w:rFonts w:ascii="Times New Roman" w:eastAsia="Times New Roman" w:hAnsi="Times New Roman" w:cs="Times New Roman"/>
          <w:color w:val="373A3C"/>
          <w:sz w:val="24"/>
          <w:szCs w:val="24"/>
          <w:highlight w:val="white"/>
        </w:rPr>
        <w:t xml:space="preserve">e valuable in tracing the literary development of the Arthurian legend, they provide little evidence as to his historicity. Likewise, little needs to be said of Geoffrey of Monmouth’s </w:t>
      </w:r>
      <w:r>
        <w:rPr>
          <w:rFonts w:ascii="Times New Roman" w:eastAsia="Times New Roman" w:hAnsi="Times New Roman" w:cs="Times New Roman"/>
          <w:i/>
          <w:color w:val="373A3C"/>
          <w:sz w:val="24"/>
          <w:szCs w:val="24"/>
          <w:highlight w:val="white"/>
        </w:rPr>
        <w:t xml:space="preserve">Historia </w:t>
      </w:r>
      <w:proofErr w:type="spellStart"/>
      <w:r>
        <w:rPr>
          <w:rFonts w:ascii="Times New Roman" w:eastAsia="Times New Roman" w:hAnsi="Times New Roman" w:cs="Times New Roman"/>
          <w:i/>
          <w:color w:val="373A3C"/>
          <w:sz w:val="24"/>
          <w:szCs w:val="24"/>
          <w:highlight w:val="white"/>
        </w:rPr>
        <w:t>Regum</w:t>
      </w:r>
      <w:proofErr w:type="spellEnd"/>
      <w:r>
        <w:rPr>
          <w:rFonts w:ascii="Times New Roman" w:eastAsia="Times New Roman" w:hAnsi="Times New Roman" w:cs="Times New Roman"/>
          <w:i/>
          <w:color w:val="373A3C"/>
          <w:sz w:val="24"/>
          <w:szCs w:val="24"/>
          <w:highlight w:val="white"/>
        </w:rPr>
        <w:t xml:space="preserve"> Britanniae</w:t>
      </w:r>
      <w:r>
        <w:rPr>
          <w:rFonts w:ascii="Times New Roman" w:eastAsia="Times New Roman" w:hAnsi="Times New Roman" w:cs="Times New Roman"/>
          <w:color w:val="373A3C"/>
          <w:sz w:val="24"/>
          <w:szCs w:val="24"/>
          <w:highlight w:val="white"/>
        </w:rPr>
        <w:t>. As Lloyd-Morgan articulates, “first enchanted</w:t>
      </w:r>
      <w:r>
        <w:rPr>
          <w:rFonts w:ascii="Times New Roman" w:eastAsia="Times New Roman" w:hAnsi="Times New Roman" w:cs="Times New Roman"/>
          <w:color w:val="373A3C"/>
          <w:sz w:val="24"/>
          <w:szCs w:val="24"/>
          <w:highlight w:val="white"/>
        </w:rPr>
        <w:t xml:space="preserve"> Welsh audiences in the twelfth century, presenting as it did an irresistible image of a heroic past, but it does little for the scholarly debate.</w:t>
      </w:r>
      <w:r>
        <w:rPr>
          <w:rFonts w:ascii="Times New Roman" w:eastAsia="Times New Roman" w:hAnsi="Times New Roman" w:cs="Times New Roman"/>
          <w:color w:val="373A3C"/>
          <w:sz w:val="24"/>
          <w:szCs w:val="24"/>
          <w:highlight w:val="white"/>
          <w:vertAlign w:val="superscript"/>
        </w:rPr>
        <w:footnoteReference w:id="18"/>
      </w:r>
      <w:r>
        <w:rPr>
          <w:rFonts w:ascii="Times New Roman" w:eastAsia="Times New Roman" w:hAnsi="Times New Roman" w:cs="Times New Roman"/>
          <w:color w:val="373A3C"/>
          <w:sz w:val="24"/>
          <w:szCs w:val="24"/>
          <w:highlight w:val="white"/>
        </w:rPr>
        <w:t xml:space="preserve"> Though crucial in the popularity of the Arthurian legend, Geoffrey’s text is widely accepted, even by those </w:t>
      </w:r>
      <w:r>
        <w:rPr>
          <w:rFonts w:ascii="Times New Roman" w:eastAsia="Times New Roman" w:hAnsi="Times New Roman" w:cs="Times New Roman"/>
          <w:color w:val="373A3C"/>
          <w:sz w:val="24"/>
          <w:szCs w:val="24"/>
          <w:highlight w:val="white"/>
        </w:rPr>
        <w:t xml:space="preserve">who </w:t>
      </w:r>
      <w:proofErr w:type="spellStart"/>
      <w:r>
        <w:rPr>
          <w:rFonts w:ascii="Times New Roman" w:eastAsia="Times New Roman" w:hAnsi="Times New Roman" w:cs="Times New Roman"/>
          <w:color w:val="373A3C"/>
          <w:sz w:val="24"/>
          <w:szCs w:val="24"/>
          <w:highlight w:val="white"/>
        </w:rPr>
        <w:t>favour</w:t>
      </w:r>
      <w:proofErr w:type="spellEnd"/>
      <w:r>
        <w:rPr>
          <w:rFonts w:ascii="Times New Roman" w:eastAsia="Times New Roman" w:hAnsi="Times New Roman" w:cs="Times New Roman"/>
          <w:color w:val="373A3C"/>
          <w:sz w:val="24"/>
          <w:szCs w:val="24"/>
          <w:highlight w:val="white"/>
        </w:rPr>
        <w:t xml:space="preserve"> a historical Arthur, as mythological and not valuable as evidence towards Arthur’s historicity.</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 xml:space="preserve">Ultimately, it is the pre-Galfridian sources that scholars examine to seek evidence of the historical Arthur. On one side sit the skeptics such as </w:t>
      </w:r>
      <w:proofErr w:type="spellStart"/>
      <w:r>
        <w:rPr>
          <w:rFonts w:ascii="Times New Roman" w:eastAsia="Times New Roman" w:hAnsi="Times New Roman" w:cs="Times New Roman"/>
          <w:color w:val="373A3C"/>
          <w:sz w:val="24"/>
          <w:szCs w:val="24"/>
          <w:highlight w:val="white"/>
        </w:rPr>
        <w:t>Dumville</w:t>
      </w:r>
      <w:proofErr w:type="spellEnd"/>
      <w:r>
        <w:rPr>
          <w:rFonts w:ascii="Times New Roman" w:eastAsia="Times New Roman" w:hAnsi="Times New Roman" w:cs="Times New Roman"/>
          <w:color w:val="373A3C"/>
          <w:sz w:val="24"/>
          <w:szCs w:val="24"/>
          <w:highlight w:val="white"/>
        </w:rPr>
        <w:t xml:space="preserve"> who argue that what evidence does exist actually indicates a legendary or mythical origin for Arthur</w:t>
      </w:r>
      <w:r>
        <w:rPr>
          <w:rFonts w:ascii="Times New Roman" w:eastAsia="Times New Roman" w:hAnsi="Times New Roman" w:cs="Times New Roman"/>
          <w:color w:val="373A3C"/>
          <w:sz w:val="24"/>
          <w:szCs w:val="24"/>
          <w:highlight w:val="white"/>
        </w:rPr>
        <w:t>. On the other side sit those who choose to believe a historical Arthur existed, though few go so far as to argue that definitive proof exists as to his life. The debate continues, of course, but short of the discovery of unearthed manuscripts that pre-dat</w:t>
      </w:r>
      <w:r>
        <w:rPr>
          <w:rFonts w:ascii="Times New Roman" w:eastAsia="Times New Roman" w:hAnsi="Times New Roman" w:cs="Times New Roman"/>
          <w:color w:val="373A3C"/>
          <w:sz w:val="24"/>
          <w:szCs w:val="24"/>
          <w:highlight w:val="white"/>
        </w:rPr>
        <w:t xml:space="preserve">e what scholars have already dissected in their search for Arthur, little more will likely be articulated that has not already found voice in previous scholars. As Jackson concludes, “at this stage of the enquiry, one can only say that there may well have </w:t>
      </w:r>
      <w:r>
        <w:rPr>
          <w:rFonts w:ascii="Times New Roman" w:eastAsia="Times New Roman" w:hAnsi="Times New Roman" w:cs="Times New Roman"/>
          <w:color w:val="373A3C"/>
          <w:sz w:val="24"/>
          <w:szCs w:val="24"/>
          <w:highlight w:val="white"/>
        </w:rPr>
        <w:t>been an historical Arthur; that the historian can as yet say nothing of value about him, but that later conceptions of Arthur are likely to interest historians almost as much as they do students of medieval literature.”</w:t>
      </w:r>
      <w:r>
        <w:rPr>
          <w:rFonts w:ascii="Times New Roman" w:eastAsia="Times New Roman" w:hAnsi="Times New Roman" w:cs="Times New Roman"/>
          <w:color w:val="373A3C"/>
          <w:sz w:val="24"/>
          <w:szCs w:val="24"/>
          <w:highlight w:val="white"/>
          <w:vertAlign w:val="superscript"/>
        </w:rPr>
        <w:footnoteReference w:id="19"/>
      </w:r>
      <w:r>
        <w:rPr>
          <w:rFonts w:ascii="Times New Roman" w:eastAsia="Times New Roman" w:hAnsi="Times New Roman" w:cs="Times New Roman"/>
          <w:color w:val="373A3C"/>
          <w:sz w:val="24"/>
          <w:szCs w:val="24"/>
          <w:highlight w:val="white"/>
        </w:rPr>
        <w:t xml:space="preserve"> As Jackson points out, interest in </w:t>
      </w:r>
      <w:r>
        <w:rPr>
          <w:rFonts w:ascii="Times New Roman" w:eastAsia="Times New Roman" w:hAnsi="Times New Roman" w:cs="Times New Roman"/>
          <w:color w:val="373A3C"/>
          <w:sz w:val="24"/>
          <w:szCs w:val="24"/>
          <w:highlight w:val="white"/>
        </w:rPr>
        <w:t>Arthur has never decreased because of a lack of biographical details, nor will it likely ever cause the legend to decrease in popularity.</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lastRenderedPageBreak/>
        <w:t>In fact, this lack of biographical details has only ever caused the figure of Arthur to grow in popularity. This shoul</w:t>
      </w:r>
      <w:r>
        <w:rPr>
          <w:rFonts w:ascii="Times New Roman" w:eastAsia="Times New Roman" w:hAnsi="Times New Roman" w:cs="Times New Roman"/>
          <w:color w:val="373A3C"/>
          <w:sz w:val="24"/>
          <w:szCs w:val="24"/>
          <w:highlight w:val="white"/>
        </w:rPr>
        <w:t xml:space="preserve">d not be surprising given the power of narrative in transmuting both a people’s history and commenting on their present. In his essay “Legend as Critic,” O </w:t>
      </w:r>
      <w:proofErr w:type="spellStart"/>
      <w:r>
        <w:rPr>
          <w:rFonts w:ascii="Times New Roman" w:eastAsia="Times New Roman" w:hAnsi="Times New Roman" w:cs="Times New Roman"/>
          <w:color w:val="373A3C"/>
          <w:sz w:val="24"/>
          <w:szCs w:val="24"/>
          <w:highlight w:val="white"/>
        </w:rPr>
        <w:t>Corrain</w:t>
      </w:r>
      <w:proofErr w:type="spellEnd"/>
      <w:r>
        <w:rPr>
          <w:rFonts w:ascii="Times New Roman" w:eastAsia="Times New Roman" w:hAnsi="Times New Roman" w:cs="Times New Roman"/>
          <w:color w:val="373A3C"/>
          <w:sz w:val="24"/>
          <w:szCs w:val="24"/>
          <w:highlight w:val="white"/>
        </w:rPr>
        <w:t xml:space="preserve"> details how “communities, it seems, define their present identity and political awareness by</w:t>
      </w:r>
      <w:r>
        <w:rPr>
          <w:rFonts w:ascii="Times New Roman" w:eastAsia="Times New Roman" w:hAnsi="Times New Roman" w:cs="Times New Roman"/>
          <w:color w:val="373A3C"/>
          <w:sz w:val="24"/>
          <w:szCs w:val="24"/>
          <w:highlight w:val="white"/>
        </w:rPr>
        <w:t xml:space="preserve"> choosing their past, for the constituents of the past and the past itself are not ‘found’ or ‘uncovered’, but constructed.”</w:t>
      </w:r>
      <w:r>
        <w:rPr>
          <w:rFonts w:ascii="Times New Roman" w:eastAsia="Times New Roman" w:hAnsi="Times New Roman" w:cs="Times New Roman"/>
          <w:color w:val="373A3C"/>
          <w:sz w:val="24"/>
          <w:szCs w:val="24"/>
          <w:highlight w:val="white"/>
          <w:vertAlign w:val="superscript"/>
        </w:rPr>
        <w:footnoteReference w:id="20"/>
      </w:r>
      <w:r>
        <w:rPr>
          <w:rFonts w:ascii="Times New Roman" w:eastAsia="Times New Roman" w:hAnsi="Times New Roman" w:cs="Times New Roman"/>
          <w:color w:val="373A3C"/>
          <w:sz w:val="24"/>
          <w:szCs w:val="24"/>
          <w:highlight w:val="white"/>
        </w:rPr>
        <w:t xml:space="preserve"> At the macro-level, Anderson argued that even national identities relied on imagined pasts crafted from specific cultural purposes</w:t>
      </w:r>
      <w:r>
        <w:rPr>
          <w:rFonts w:ascii="Times New Roman" w:eastAsia="Times New Roman" w:hAnsi="Times New Roman" w:cs="Times New Roman"/>
          <w:color w:val="373A3C"/>
          <w:sz w:val="24"/>
          <w:szCs w:val="24"/>
          <w:highlight w:val="white"/>
        </w:rPr>
        <w:t>.</w:t>
      </w:r>
      <w:r>
        <w:rPr>
          <w:rFonts w:ascii="Times New Roman" w:eastAsia="Times New Roman" w:hAnsi="Times New Roman" w:cs="Times New Roman"/>
          <w:color w:val="373A3C"/>
          <w:sz w:val="24"/>
          <w:szCs w:val="24"/>
          <w:highlight w:val="white"/>
          <w:vertAlign w:val="superscript"/>
        </w:rPr>
        <w:footnoteReference w:id="21"/>
      </w:r>
      <w:r>
        <w:rPr>
          <w:rFonts w:ascii="Times New Roman" w:eastAsia="Times New Roman" w:hAnsi="Times New Roman" w:cs="Times New Roman"/>
          <w:color w:val="373A3C"/>
          <w:sz w:val="24"/>
          <w:szCs w:val="24"/>
          <w:highlight w:val="white"/>
        </w:rPr>
        <w:t xml:space="preserve"> At the individual level, all people construct their own identities of ways that they interpret their own pasts and experiences. Just as traditions passed down from generations to generations help communities craft their identities, so too do narratives </w:t>
      </w:r>
      <w:r>
        <w:rPr>
          <w:rFonts w:ascii="Times New Roman" w:eastAsia="Times New Roman" w:hAnsi="Times New Roman" w:cs="Times New Roman"/>
          <w:color w:val="373A3C"/>
          <w:sz w:val="24"/>
          <w:szCs w:val="24"/>
          <w:highlight w:val="white"/>
        </w:rPr>
        <w:t xml:space="preserve">convey that same continuity. Stephen </w:t>
      </w:r>
      <w:proofErr w:type="spellStart"/>
      <w:r>
        <w:rPr>
          <w:rFonts w:ascii="Times New Roman" w:eastAsia="Times New Roman" w:hAnsi="Times New Roman" w:cs="Times New Roman"/>
          <w:color w:val="373A3C"/>
          <w:sz w:val="24"/>
          <w:szCs w:val="24"/>
          <w:highlight w:val="white"/>
        </w:rPr>
        <w:t>Lawhead</w:t>
      </w:r>
      <w:proofErr w:type="spellEnd"/>
      <w:r>
        <w:rPr>
          <w:rFonts w:ascii="Times New Roman" w:eastAsia="Times New Roman" w:hAnsi="Times New Roman" w:cs="Times New Roman"/>
          <w:color w:val="373A3C"/>
          <w:sz w:val="24"/>
          <w:szCs w:val="24"/>
          <w:highlight w:val="white"/>
        </w:rPr>
        <w:t>, one of many authors to have reinvented the Arthurian tradition because of the openness of its stories and characters, even touches upon this in his Arthurian series when his Merlin declares that “Perhaps that i</w:t>
      </w:r>
      <w:r>
        <w:rPr>
          <w:rFonts w:ascii="Times New Roman" w:eastAsia="Times New Roman" w:hAnsi="Times New Roman" w:cs="Times New Roman"/>
          <w:color w:val="373A3C"/>
          <w:sz w:val="24"/>
          <w:szCs w:val="24"/>
          <w:highlight w:val="white"/>
        </w:rPr>
        <w:t>s how we are made; perhaps words of truth reach us best through the heart, and stories and songs are the language of the heart.”</w:t>
      </w:r>
      <w:r>
        <w:rPr>
          <w:rFonts w:ascii="Times New Roman" w:eastAsia="Times New Roman" w:hAnsi="Times New Roman" w:cs="Times New Roman"/>
          <w:color w:val="373A3C"/>
          <w:sz w:val="24"/>
          <w:szCs w:val="24"/>
          <w:highlight w:val="white"/>
          <w:vertAlign w:val="superscript"/>
        </w:rPr>
        <w:footnoteReference w:id="22"/>
      </w:r>
      <w:r>
        <w:rPr>
          <w:rFonts w:ascii="Times New Roman" w:eastAsia="Times New Roman" w:hAnsi="Times New Roman" w:cs="Times New Roman"/>
          <w:color w:val="373A3C"/>
          <w:sz w:val="24"/>
          <w:szCs w:val="24"/>
          <w:highlight w:val="white"/>
        </w:rPr>
        <w:t xml:space="preserve"> Consider the commonality of morality tales, clearly invention on the party of talented storytellers, associated with historica</w:t>
      </w:r>
      <w:r>
        <w:rPr>
          <w:rFonts w:ascii="Times New Roman" w:eastAsia="Times New Roman" w:hAnsi="Times New Roman" w:cs="Times New Roman"/>
          <w:color w:val="373A3C"/>
          <w:sz w:val="24"/>
          <w:szCs w:val="24"/>
          <w:highlight w:val="white"/>
        </w:rPr>
        <w:t xml:space="preserve">l figures whose existence is unquestioned. Whether George Washington with his cherry tree, Alfred and his burnt cakes, or </w:t>
      </w:r>
      <w:proofErr w:type="spellStart"/>
      <w:r>
        <w:rPr>
          <w:rFonts w:ascii="Times New Roman" w:eastAsia="Times New Roman" w:hAnsi="Times New Roman" w:cs="Times New Roman"/>
          <w:color w:val="373A3C"/>
          <w:sz w:val="24"/>
          <w:szCs w:val="24"/>
          <w:highlight w:val="white"/>
        </w:rPr>
        <w:t>Llywelyn</w:t>
      </w:r>
      <w:proofErr w:type="spellEnd"/>
      <w:r>
        <w:rPr>
          <w:rFonts w:ascii="Times New Roman" w:eastAsia="Times New Roman" w:hAnsi="Times New Roman" w:cs="Times New Roman"/>
          <w:color w:val="373A3C"/>
          <w:sz w:val="24"/>
          <w:szCs w:val="24"/>
          <w:highlight w:val="white"/>
        </w:rPr>
        <w:t xml:space="preserve"> the Great and his hound </w:t>
      </w:r>
      <w:proofErr w:type="spellStart"/>
      <w:r>
        <w:rPr>
          <w:rFonts w:ascii="Times New Roman" w:eastAsia="Times New Roman" w:hAnsi="Times New Roman" w:cs="Times New Roman"/>
          <w:color w:val="373A3C"/>
          <w:sz w:val="24"/>
          <w:szCs w:val="24"/>
          <w:highlight w:val="white"/>
        </w:rPr>
        <w:t>Gelert</w:t>
      </w:r>
      <w:proofErr w:type="spellEnd"/>
      <w:r>
        <w:rPr>
          <w:rFonts w:ascii="Times New Roman" w:eastAsia="Times New Roman" w:hAnsi="Times New Roman" w:cs="Times New Roman"/>
          <w:color w:val="373A3C"/>
          <w:sz w:val="24"/>
          <w:szCs w:val="24"/>
          <w:highlight w:val="white"/>
        </w:rPr>
        <w:t xml:space="preserve">, even these individuals whose existence scholars unquestionably acknowledge have mythologized </w:t>
      </w:r>
      <w:r>
        <w:rPr>
          <w:rFonts w:ascii="Times New Roman" w:eastAsia="Times New Roman" w:hAnsi="Times New Roman" w:cs="Times New Roman"/>
          <w:color w:val="373A3C"/>
          <w:sz w:val="24"/>
          <w:szCs w:val="24"/>
          <w:highlight w:val="white"/>
        </w:rPr>
        <w:t>stories invented about their lives. That King Arthur’s historicity is disputed and his biography so mercurial almost demands that his story be utilized by various storytellers to craft narratives and make cultural arguments.</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The uncertainty surrounding Art</w:t>
      </w:r>
      <w:r>
        <w:rPr>
          <w:rFonts w:ascii="Times New Roman" w:eastAsia="Times New Roman" w:hAnsi="Times New Roman" w:cs="Times New Roman"/>
          <w:color w:val="373A3C"/>
          <w:sz w:val="24"/>
          <w:szCs w:val="24"/>
          <w:highlight w:val="white"/>
        </w:rPr>
        <w:t xml:space="preserve">hur only increases his appeal. After all, who even is the literary Arthur, much less the historical figure? He sails into </w:t>
      </w:r>
      <w:proofErr w:type="spellStart"/>
      <w:r>
        <w:rPr>
          <w:rFonts w:ascii="Times New Roman" w:eastAsia="Times New Roman" w:hAnsi="Times New Roman" w:cs="Times New Roman"/>
          <w:color w:val="373A3C"/>
          <w:sz w:val="24"/>
          <w:szCs w:val="24"/>
          <w:highlight w:val="white"/>
        </w:rPr>
        <w:t>Otherworlds</w:t>
      </w:r>
      <w:proofErr w:type="spellEnd"/>
      <w:r>
        <w:rPr>
          <w:rFonts w:ascii="Times New Roman" w:eastAsia="Times New Roman" w:hAnsi="Times New Roman" w:cs="Times New Roman"/>
          <w:color w:val="373A3C"/>
          <w:sz w:val="24"/>
          <w:szCs w:val="24"/>
          <w:highlight w:val="white"/>
        </w:rPr>
        <w:t xml:space="preserve"> to retrieve magic </w:t>
      </w:r>
      <w:r>
        <w:rPr>
          <w:rFonts w:ascii="Times New Roman" w:eastAsia="Times New Roman" w:hAnsi="Times New Roman" w:cs="Times New Roman"/>
          <w:color w:val="373A3C"/>
          <w:sz w:val="24"/>
          <w:szCs w:val="24"/>
          <w:highlight w:val="white"/>
        </w:rPr>
        <w:lastRenderedPageBreak/>
        <w:t>cauldrons.</w:t>
      </w:r>
      <w:r>
        <w:rPr>
          <w:rFonts w:ascii="Times New Roman" w:eastAsia="Times New Roman" w:hAnsi="Times New Roman" w:cs="Times New Roman"/>
          <w:color w:val="373A3C"/>
          <w:sz w:val="24"/>
          <w:szCs w:val="24"/>
          <w:highlight w:val="white"/>
          <w:vertAlign w:val="superscript"/>
        </w:rPr>
        <w:footnoteReference w:id="23"/>
      </w:r>
      <w:r>
        <w:rPr>
          <w:rFonts w:ascii="Times New Roman" w:eastAsia="Times New Roman" w:hAnsi="Times New Roman" w:cs="Times New Roman"/>
          <w:color w:val="373A3C"/>
          <w:sz w:val="24"/>
          <w:szCs w:val="24"/>
          <w:highlight w:val="white"/>
        </w:rPr>
        <w:t xml:space="preserve"> He plays games in dreams while men are slaughtered.</w:t>
      </w:r>
      <w:r>
        <w:rPr>
          <w:rFonts w:ascii="Times New Roman" w:eastAsia="Times New Roman" w:hAnsi="Times New Roman" w:cs="Times New Roman"/>
          <w:color w:val="373A3C"/>
          <w:sz w:val="24"/>
          <w:szCs w:val="24"/>
          <w:highlight w:val="white"/>
          <w:vertAlign w:val="superscript"/>
        </w:rPr>
        <w:footnoteReference w:id="24"/>
      </w:r>
      <w:r>
        <w:rPr>
          <w:rFonts w:ascii="Times New Roman" w:eastAsia="Times New Roman" w:hAnsi="Times New Roman" w:cs="Times New Roman"/>
          <w:color w:val="373A3C"/>
          <w:sz w:val="24"/>
          <w:szCs w:val="24"/>
          <w:highlight w:val="white"/>
        </w:rPr>
        <w:t xml:space="preserve"> He defends British </w:t>
      </w:r>
      <w:proofErr w:type="spellStart"/>
      <w:r>
        <w:rPr>
          <w:rFonts w:ascii="Times New Roman" w:eastAsia="Times New Roman" w:hAnsi="Times New Roman" w:cs="Times New Roman"/>
          <w:color w:val="373A3C"/>
          <w:sz w:val="24"/>
          <w:szCs w:val="24"/>
          <w:highlight w:val="white"/>
        </w:rPr>
        <w:t>honour</w:t>
      </w:r>
      <w:proofErr w:type="spellEnd"/>
      <w:r>
        <w:rPr>
          <w:rFonts w:ascii="Times New Roman" w:eastAsia="Times New Roman" w:hAnsi="Times New Roman" w:cs="Times New Roman"/>
          <w:color w:val="373A3C"/>
          <w:sz w:val="24"/>
          <w:szCs w:val="24"/>
          <w:highlight w:val="white"/>
        </w:rPr>
        <w:t xml:space="preserve"> against Saxon</w:t>
      </w:r>
      <w:r>
        <w:rPr>
          <w:rFonts w:ascii="Times New Roman" w:eastAsia="Times New Roman" w:hAnsi="Times New Roman" w:cs="Times New Roman"/>
          <w:color w:val="373A3C"/>
          <w:sz w:val="24"/>
          <w:szCs w:val="24"/>
          <w:highlight w:val="white"/>
        </w:rPr>
        <w:t xml:space="preserve"> invaders at </w:t>
      </w:r>
      <w:proofErr w:type="spellStart"/>
      <w:r>
        <w:rPr>
          <w:rFonts w:ascii="Times New Roman" w:eastAsia="Times New Roman" w:hAnsi="Times New Roman" w:cs="Times New Roman"/>
          <w:color w:val="373A3C"/>
          <w:sz w:val="24"/>
          <w:szCs w:val="24"/>
          <w:highlight w:val="white"/>
        </w:rPr>
        <w:t>Badon</w:t>
      </w:r>
      <w:proofErr w:type="spellEnd"/>
      <w:r>
        <w:rPr>
          <w:rFonts w:ascii="Times New Roman" w:eastAsia="Times New Roman" w:hAnsi="Times New Roman" w:cs="Times New Roman"/>
          <w:color w:val="373A3C"/>
          <w:sz w:val="24"/>
          <w:szCs w:val="24"/>
          <w:highlight w:val="white"/>
        </w:rPr>
        <w:t xml:space="preserve"> Hill.</w:t>
      </w:r>
      <w:r>
        <w:rPr>
          <w:rFonts w:ascii="Times New Roman" w:eastAsia="Times New Roman" w:hAnsi="Times New Roman" w:cs="Times New Roman"/>
          <w:color w:val="373A3C"/>
          <w:sz w:val="24"/>
          <w:szCs w:val="24"/>
          <w:highlight w:val="white"/>
          <w:vertAlign w:val="superscript"/>
        </w:rPr>
        <w:footnoteReference w:id="25"/>
      </w:r>
      <w:r>
        <w:rPr>
          <w:rFonts w:ascii="Times New Roman" w:eastAsia="Times New Roman" w:hAnsi="Times New Roman" w:cs="Times New Roman"/>
          <w:color w:val="373A3C"/>
          <w:sz w:val="24"/>
          <w:szCs w:val="24"/>
          <w:highlight w:val="white"/>
        </w:rPr>
        <w:t xml:space="preserve"> He is a Welsh warlord and a proponent of English chivalry. He is perhaps even a giant marauding around Britain. He is made king by Merlin’s machinations, ancient pagan rites, or the Christian God’s will as a </w:t>
      </w:r>
      <w:proofErr w:type="spellStart"/>
      <w:r>
        <w:rPr>
          <w:rFonts w:ascii="Times New Roman" w:eastAsia="Times New Roman" w:hAnsi="Times New Roman" w:cs="Times New Roman"/>
          <w:color w:val="373A3C"/>
          <w:sz w:val="24"/>
          <w:szCs w:val="24"/>
          <w:highlight w:val="white"/>
        </w:rPr>
        <w:t>saviour</w:t>
      </w:r>
      <w:proofErr w:type="spellEnd"/>
      <w:r>
        <w:rPr>
          <w:rFonts w:ascii="Times New Roman" w:eastAsia="Times New Roman" w:hAnsi="Times New Roman" w:cs="Times New Roman"/>
          <w:color w:val="373A3C"/>
          <w:sz w:val="24"/>
          <w:szCs w:val="24"/>
          <w:highlight w:val="white"/>
        </w:rPr>
        <w:t xml:space="preserve"> of the Island </w:t>
      </w:r>
      <w:r>
        <w:rPr>
          <w:rFonts w:ascii="Times New Roman" w:eastAsia="Times New Roman" w:hAnsi="Times New Roman" w:cs="Times New Roman"/>
          <w:color w:val="373A3C"/>
          <w:sz w:val="24"/>
          <w:szCs w:val="24"/>
          <w:highlight w:val="white"/>
        </w:rPr>
        <w:t>of the Mighty.</w:t>
      </w:r>
      <w:r>
        <w:rPr>
          <w:rFonts w:ascii="Times New Roman" w:eastAsia="Times New Roman" w:hAnsi="Times New Roman" w:cs="Times New Roman"/>
          <w:color w:val="373A3C"/>
          <w:sz w:val="24"/>
          <w:szCs w:val="24"/>
          <w:highlight w:val="white"/>
          <w:vertAlign w:val="superscript"/>
        </w:rPr>
        <w:footnoteReference w:id="26"/>
      </w:r>
      <w:r>
        <w:rPr>
          <w:rFonts w:ascii="Times New Roman" w:eastAsia="Times New Roman" w:hAnsi="Times New Roman" w:cs="Times New Roman"/>
          <w:color w:val="373A3C"/>
          <w:sz w:val="24"/>
          <w:szCs w:val="24"/>
          <w:highlight w:val="white"/>
        </w:rPr>
        <w:t xml:space="preserve"> He is the character of Geoffrey and Malory and Tennyson. He defends equality throughout the land or (in perhaps the most accurate depiction of what life during the time of King Arthur would have actually been like), perpetuates injustice “b</w:t>
      </w:r>
      <w:r>
        <w:rPr>
          <w:rFonts w:ascii="Times New Roman" w:eastAsia="Times New Roman" w:hAnsi="Times New Roman" w:cs="Times New Roman"/>
          <w:color w:val="373A3C"/>
          <w:sz w:val="24"/>
          <w:szCs w:val="24"/>
          <w:highlight w:val="white"/>
        </w:rPr>
        <w:t>y exploiting the workers. By hanging on to outdated imperialist dogma which perpetuates the economic and social differences in our society.”</w:t>
      </w:r>
      <w:r>
        <w:rPr>
          <w:rFonts w:ascii="Times New Roman" w:eastAsia="Times New Roman" w:hAnsi="Times New Roman" w:cs="Times New Roman"/>
          <w:color w:val="373A3C"/>
          <w:sz w:val="24"/>
          <w:szCs w:val="24"/>
          <w:highlight w:val="white"/>
          <w:vertAlign w:val="superscript"/>
        </w:rPr>
        <w:footnoteReference w:id="27"/>
      </w:r>
      <w:r>
        <w:rPr>
          <w:rFonts w:ascii="Times New Roman" w:eastAsia="Times New Roman" w:hAnsi="Times New Roman" w:cs="Times New Roman"/>
          <w:color w:val="373A3C"/>
          <w:sz w:val="24"/>
          <w:szCs w:val="24"/>
          <w:highlight w:val="white"/>
        </w:rPr>
        <w:t xml:space="preserve"> In the same way that Robin Hood can be used as a symbol of libertarian opposition to taxation and of leftist redis</w:t>
      </w:r>
      <w:r>
        <w:rPr>
          <w:rFonts w:ascii="Times New Roman" w:eastAsia="Times New Roman" w:hAnsi="Times New Roman" w:cs="Times New Roman"/>
          <w:color w:val="373A3C"/>
          <w:sz w:val="24"/>
          <w:szCs w:val="24"/>
          <w:highlight w:val="white"/>
        </w:rPr>
        <w:t>tribution from the wealthy to the deserving workers, so too can Arthur become any sort of warrior or king demanded by an author interested in his story. Arthur, with his ever-changing persona and narrative, as well as his evolving host of characters surrou</w:t>
      </w:r>
      <w:r>
        <w:rPr>
          <w:rFonts w:ascii="Times New Roman" w:eastAsia="Times New Roman" w:hAnsi="Times New Roman" w:cs="Times New Roman"/>
          <w:color w:val="373A3C"/>
          <w:sz w:val="24"/>
          <w:szCs w:val="24"/>
          <w:highlight w:val="white"/>
        </w:rPr>
        <w:t>nding him, thus becomes, in a sense, all things to all people.</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 xml:space="preserve">The earliest prose tales of Arthur in the Welsh tradition certainly seem unconcerned with this uncertainty surrounding his historicity, origins, or nature. Take, for example, the story of </w:t>
      </w:r>
      <w:proofErr w:type="spellStart"/>
      <w:r>
        <w:rPr>
          <w:rFonts w:ascii="Times New Roman" w:eastAsia="Times New Roman" w:hAnsi="Times New Roman" w:cs="Times New Roman"/>
          <w:i/>
          <w:color w:val="373A3C"/>
          <w:sz w:val="24"/>
          <w:szCs w:val="24"/>
          <w:highlight w:val="white"/>
        </w:rPr>
        <w:t>Culhw</w:t>
      </w:r>
      <w:r>
        <w:rPr>
          <w:rFonts w:ascii="Times New Roman" w:eastAsia="Times New Roman" w:hAnsi="Times New Roman" w:cs="Times New Roman"/>
          <w:i/>
          <w:color w:val="373A3C"/>
          <w:sz w:val="24"/>
          <w:szCs w:val="24"/>
          <w:highlight w:val="white"/>
        </w:rPr>
        <w:t>ch</w:t>
      </w:r>
      <w:proofErr w:type="spellEnd"/>
      <w:r>
        <w:rPr>
          <w:rFonts w:ascii="Times New Roman" w:eastAsia="Times New Roman" w:hAnsi="Times New Roman" w:cs="Times New Roman"/>
          <w:i/>
          <w:color w:val="373A3C"/>
          <w:sz w:val="24"/>
          <w:szCs w:val="24"/>
          <w:highlight w:val="white"/>
        </w:rPr>
        <w:t xml:space="preserve"> and Olwen</w:t>
      </w:r>
      <w:r>
        <w:rPr>
          <w:rFonts w:ascii="Times New Roman" w:eastAsia="Times New Roman" w:hAnsi="Times New Roman" w:cs="Times New Roman"/>
          <w:color w:val="373A3C"/>
          <w:sz w:val="24"/>
          <w:szCs w:val="24"/>
          <w:highlight w:val="white"/>
        </w:rPr>
        <w:t>, in which Arthur aids his nephew in the acquisition of a wife who happens to be the daughter of a violent giant. In the story, readers are not presented with a historical Arthur in any sense of the word. Instead, the author embraces the Arthur</w:t>
      </w:r>
      <w:r>
        <w:rPr>
          <w:rFonts w:ascii="Times New Roman" w:eastAsia="Times New Roman" w:hAnsi="Times New Roman" w:cs="Times New Roman"/>
          <w:color w:val="373A3C"/>
          <w:sz w:val="24"/>
          <w:szCs w:val="24"/>
          <w:highlight w:val="white"/>
        </w:rPr>
        <w:t xml:space="preserve"> of legend, joining him with a whole host of fantastical characters on a marvelous quest. Nevertheless, even </w:t>
      </w:r>
      <w:proofErr w:type="spellStart"/>
      <w:r>
        <w:rPr>
          <w:rFonts w:ascii="Times New Roman" w:eastAsia="Times New Roman" w:hAnsi="Times New Roman" w:cs="Times New Roman"/>
          <w:i/>
          <w:color w:val="373A3C"/>
          <w:sz w:val="24"/>
          <w:szCs w:val="24"/>
          <w:highlight w:val="white"/>
        </w:rPr>
        <w:t>Culhwch</w:t>
      </w:r>
      <w:proofErr w:type="spellEnd"/>
      <w:r>
        <w:rPr>
          <w:rFonts w:ascii="Times New Roman" w:eastAsia="Times New Roman" w:hAnsi="Times New Roman" w:cs="Times New Roman"/>
          <w:color w:val="373A3C"/>
          <w:sz w:val="24"/>
          <w:szCs w:val="24"/>
          <w:highlight w:val="white"/>
        </w:rPr>
        <w:t xml:space="preserve"> relies on many of the existing traditions of Arthur. Jones points out that “he has his wife </w:t>
      </w:r>
      <w:proofErr w:type="spellStart"/>
      <w:r>
        <w:rPr>
          <w:rFonts w:ascii="Times New Roman" w:eastAsia="Times New Roman" w:hAnsi="Times New Roman" w:cs="Times New Roman"/>
          <w:i/>
          <w:color w:val="373A3C"/>
          <w:sz w:val="24"/>
          <w:szCs w:val="24"/>
          <w:highlight w:val="white"/>
        </w:rPr>
        <w:lastRenderedPageBreak/>
        <w:t>Gwenhwyfar</w:t>
      </w:r>
      <w:proofErr w:type="spellEnd"/>
      <w:r>
        <w:rPr>
          <w:rFonts w:ascii="Times New Roman" w:eastAsia="Times New Roman" w:hAnsi="Times New Roman" w:cs="Times New Roman"/>
          <w:color w:val="373A3C"/>
          <w:sz w:val="24"/>
          <w:szCs w:val="24"/>
          <w:highlight w:val="white"/>
        </w:rPr>
        <w:t>, ‘chief of the Ladies of this Island</w:t>
      </w:r>
      <w:r>
        <w:rPr>
          <w:rFonts w:ascii="Times New Roman" w:eastAsia="Times New Roman" w:hAnsi="Times New Roman" w:cs="Times New Roman"/>
          <w:color w:val="373A3C"/>
          <w:sz w:val="24"/>
          <w:szCs w:val="24"/>
          <w:highlight w:val="white"/>
        </w:rPr>
        <w:t xml:space="preserve">,’ his ship </w:t>
      </w:r>
      <w:proofErr w:type="spellStart"/>
      <w:r>
        <w:rPr>
          <w:rFonts w:ascii="Times New Roman" w:eastAsia="Times New Roman" w:hAnsi="Times New Roman" w:cs="Times New Roman"/>
          <w:i/>
          <w:color w:val="373A3C"/>
          <w:sz w:val="24"/>
          <w:szCs w:val="24"/>
          <w:highlight w:val="white"/>
        </w:rPr>
        <w:t>Prydwen</w:t>
      </w:r>
      <w:proofErr w:type="spellEnd"/>
      <w:r>
        <w:rPr>
          <w:rFonts w:ascii="Times New Roman" w:eastAsia="Times New Roman" w:hAnsi="Times New Roman" w:cs="Times New Roman"/>
          <w:color w:val="373A3C"/>
          <w:sz w:val="24"/>
          <w:szCs w:val="24"/>
          <w:highlight w:val="white"/>
        </w:rPr>
        <w:t xml:space="preserve"> (as in </w:t>
      </w:r>
      <w:proofErr w:type="spellStart"/>
      <w:r>
        <w:rPr>
          <w:rFonts w:ascii="Times New Roman" w:eastAsia="Times New Roman" w:hAnsi="Times New Roman" w:cs="Times New Roman"/>
          <w:i/>
          <w:color w:val="373A3C"/>
          <w:sz w:val="24"/>
          <w:szCs w:val="24"/>
          <w:highlight w:val="white"/>
        </w:rPr>
        <w:t>Preiddeu</w:t>
      </w:r>
      <w:proofErr w:type="spellEnd"/>
      <w:r>
        <w:rPr>
          <w:rFonts w:ascii="Times New Roman" w:eastAsia="Times New Roman" w:hAnsi="Times New Roman" w:cs="Times New Roman"/>
          <w:i/>
          <w:color w:val="373A3C"/>
          <w:sz w:val="24"/>
          <w:szCs w:val="24"/>
          <w:highlight w:val="white"/>
        </w:rPr>
        <w:t xml:space="preserve"> </w:t>
      </w:r>
      <w:proofErr w:type="spellStart"/>
      <w:r>
        <w:rPr>
          <w:rFonts w:ascii="Times New Roman" w:eastAsia="Times New Roman" w:hAnsi="Times New Roman" w:cs="Times New Roman"/>
          <w:i/>
          <w:color w:val="373A3C"/>
          <w:sz w:val="24"/>
          <w:szCs w:val="24"/>
          <w:highlight w:val="white"/>
        </w:rPr>
        <w:t>Annwfn</w:t>
      </w:r>
      <w:proofErr w:type="spellEnd"/>
      <w:r>
        <w:rPr>
          <w:rFonts w:ascii="Times New Roman" w:eastAsia="Times New Roman" w:hAnsi="Times New Roman" w:cs="Times New Roman"/>
          <w:color w:val="373A3C"/>
          <w:sz w:val="24"/>
          <w:szCs w:val="24"/>
          <w:highlight w:val="white"/>
        </w:rPr>
        <w:t xml:space="preserve">, his cloak (called </w:t>
      </w:r>
      <w:r>
        <w:rPr>
          <w:rFonts w:ascii="Times New Roman" w:eastAsia="Times New Roman" w:hAnsi="Times New Roman" w:cs="Times New Roman"/>
          <w:i/>
          <w:color w:val="373A3C"/>
          <w:sz w:val="24"/>
          <w:szCs w:val="24"/>
          <w:highlight w:val="white"/>
        </w:rPr>
        <w:t>Gwen</w:t>
      </w:r>
      <w:r>
        <w:rPr>
          <w:rFonts w:ascii="Times New Roman" w:eastAsia="Times New Roman" w:hAnsi="Times New Roman" w:cs="Times New Roman"/>
          <w:color w:val="373A3C"/>
          <w:sz w:val="24"/>
          <w:szCs w:val="24"/>
          <w:highlight w:val="white"/>
        </w:rPr>
        <w:t xml:space="preserve"> in </w:t>
      </w:r>
      <w:proofErr w:type="spellStart"/>
      <w:r>
        <w:rPr>
          <w:rFonts w:ascii="Times New Roman" w:eastAsia="Times New Roman" w:hAnsi="Times New Roman" w:cs="Times New Roman"/>
          <w:i/>
          <w:color w:val="373A3C"/>
          <w:sz w:val="24"/>
          <w:szCs w:val="24"/>
          <w:highlight w:val="white"/>
        </w:rPr>
        <w:t>Rhonabwy’s</w:t>
      </w:r>
      <w:proofErr w:type="spellEnd"/>
      <w:r>
        <w:rPr>
          <w:rFonts w:ascii="Times New Roman" w:eastAsia="Times New Roman" w:hAnsi="Times New Roman" w:cs="Times New Roman"/>
          <w:i/>
          <w:color w:val="373A3C"/>
          <w:sz w:val="24"/>
          <w:szCs w:val="24"/>
          <w:highlight w:val="white"/>
        </w:rPr>
        <w:t xml:space="preserve"> Dream</w:t>
      </w:r>
      <w:r>
        <w:rPr>
          <w:rFonts w:ascii="Times New Roman" w:eastAsia="Times New Roman" w:hAnsi="Times New Roman" w:cs="Times New Roman"/>
          <w:color w:val="373A3C"/>
          <w:sz w:val="24"/>
          <w:szCs w:val="24"/>
          <w:highlight w:val="white"/>
        </w:rPr>
        <w:t xml:space="preserve">), his spear </w:t>
      </w:r>
      <w:proofErr w:type="spellStart"/>
      <w:r>
        <w:rPr>
          <w:rFonts w:ascii="Times New Roman" w:eastAsia="Times New Roman" w:hAnsi="Times New Roman" w:cs="Times New Roman"/>
          <w:i/>
          <w:color w:val="373A3C"/>
          <w:sz w:val="24"/>
          <w:szCs w:val="24"/>
          <w:highlight w:val="white"/>
        </w:rPr>
        <w:t>Rhongomyniad</w:t>
      </w:r>
      <w:proofErr w:type="spellEnd"/>
      <w:r>
        <w:rPr>
          <w:rFonts w:ascii="Times New Roman" w:eastAsia="Times New Roman" w:hAnsi="Times New Roman" w:cs="Times New Roman"/>
          <w:color w:val="373A3C"/>
          <w:sz w:val="24"/>
          <w:szCs w:val="24"/>
          <w:highlight w:val="white"/>
        </w:rPr>
        <w:t xml:space="preserve"> (as in Geoffrey’s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xml:space="preserve">), his shield </w:t>
      </w:r>
      <w:proofErr w:type="spellStart"/>
      <w:r>
        <w:rPr>
          <w:rFonts w:ascii="Times New Roman" w:eastAsia="Times New Roman" w:hAnsi="Times New Roman" w:cs="Times New Roman"/>
          <w:i/>
          <w:color w:val="373A3C"/>
          <w:sz w:val="24"/>
          <w:szCs w:val="24"/>
          <w:highlight w:val="white"/>
        </w:rPr>
        <w:t>Wyneth</w:t>
      </w:r>
      <w:proofErr w:type="spellEnd"/>
      <w:r>
        <w:rPr>
          <w:rFonts w:ascii="Times New Roman" w:eastAsia="Times New Roman" w:hAnsi="Times New Roman" w:cs="Times New Roman"/>
          <w:i/>
          <w:color w:val="373A3C"/>
          <w:sz w:val="24"/>
          <w:szCs w:val="24"/>
          <w:highlight w:val="white"/>
        </w:rPr>
        <w:t xml:space="preserve"> </w:t>
      </w:r>
      <w:proofErr w:type="spellStart"/>
      <w:r>
        <w:rPr>
          <w:rFonts w:ascii="Times New Roman" w:eastAsia="Times New Roman" w:hAnsi="Times New Roman" w:cs="Times New Roman"/>
          <w:i/>
          <w:color w:val="373A3C"/>
          <w:sz w:val="24"/>
          <w:szCs w:val="24"/>
          <w:highlight w:val="white"/>
        </w:rPr>
        <w:t>Gwrthucher</w:t>
      </w:r>
      <w:proofErr w:type="spellEnd"/>
      <w:r>
        <w:rPr>
          <w:rFonts w:ascii="Times New Roman" w:eastAsia="Times New Roman" w:hAnsi="Times New Roman" w:cs="Times New Roman"/>
          <w:color w:val="373A3C"/>
          <w:sz w:val="24"/>
          <w:szCs w:val="24"/>
          <w:highlight w:val="white"/>
        </w:rPr>
        <w:t xml:space="preserve">, his sword </w:t>
      </w:r>
      <w:proofErr w:type="spellStart"/>
      <w:r>
        <w:rPr>
          <w:rFonts w:ascii="Times New Roman" w:eastAsia="Times New Roman" w:hAnsi="Times New Roman" w:cs="Times New Roman"/>
          <w:i/>
          <w:color w:val="373A3C"/>
          <w:sz w:val="24"/>
          <w:szCs w:val="24"/>
          <w:highlight w:val="white"/>
        </w:rPr>
        <w:t>Caledfwlch</w:t>
      </w:r>
      <w:proofErr w:type="spellEnd"/>
      <w:r>
        <w:rPr>
          <w:rFonts w:ascii="Times New Roman" w:eastAsia="Times New Roman" w:hAnsi="Times New Roman" w:cs="Times New Roman"/>
          <w:color w:val="373A3C"/>
          <w:sz w:val="24"/>
          <w:szCs w:val="24"/>
          <w:highlight w:val="white"/>
        </w:rPr>
        <w:t>” and that “the magnanimous words of Arthur to his porter contain</w:t>
      </w:r>
      <w:r>
        <w:rPr>
          <w:rFonts w:ascii="Times New Roman" w:eastAsia="Times New Roman" w:hAnsi="Times New Roman" w:cs="Times New Roman"/>
          <w:color w:val="373A3C"/>
          <w:sz w:val="24"/>
          <w:szCs w:val="24"/>
          <w:highlight w:val="white"/>
        </w:rPr>
        <w:t xml:space="preserve"> at least the seed of the courtly dignity of the Christian Emperor depicted in Geoffrey’s </w:t>
      </w:r>
      <w:r>
        <w:rPr>
          <w:rFonts w:ascii="Times New Roman" w:eastAsia="Times New Roman" w:hAnsi="Times New Roman" w:cs="Times New Roman"/>
          <w:i/>
          <w:color w:val="373A3C"/>
          <w:sz w:val="24"/>
          <w:szCs w:val="24"/>
          <w:highlight w:val="white"/>
        </w:rPr>
        <w:t>Historia</w:t>
      </w:r>
      <w:r>
        <w:rPr>
          <w:rFonts w:ascii="Times New Roman" w:eastAsia="Times New Roman" w:hAnsi="Times New Roman" w:cs="Times New Roman"/>
          <w:color w:val="373A3C"/>
          <w:sz w:val="24"/>
          <w:szCs w:val="24"/>
          <w:highlight w:val="white"/>
        </w:rPr>
        <w:t xml:space="preserve"> and the chivalrous society of the Round Table.”</w:t>
      </w:r>
      <w:r>
        <w:rPr>
          <w:rFonts w:ascii="Times New Roman" w:eastAsia="Times New Roman" w:hAnsi="Times New Roman" w:cs="Times New Roman"/>
          <w:color w:val="373A3C"/>
          <w:sz w:val="24"/>
          <w:szCs w:val="24"/>
          <w:highlight w:val="white"/>
          <w:vertAlign w:val="superscript"/>
        </w:rPr>
        <w:footnoteReference w:id="28"/>
      </w:r>
      <w:r>
        <w:rPr>
          <w:rFonts w:ascii="Times New Roman" w:eastAsia="Times New Roman" w:hAnsi="Times New Roman" w:cs="Times New Roman"/>
          <w:color w:val="373A3C"/>
          <w:sz w:val="24"/>
          <w:szCs w:val="24"/>
          <w:highlight w:val="white"/>
        </w:rPr>
        <w:t xml:space="preserve"> Within the earliest prose pieces, some consistent threads of Arthur’s story already developed, though at tim</w:t>
      </w:r>
      <w:r>
        <w:rPr>
          <w:rFonts w:ascii="Times New Roman" w:eastAsia="Times New Roman" w:hAnsi="Times New Roman" w:cs="Times New Roman"/>
          <w:color w:val="373A3C"/>
          <w:sz w:val="24"/>
          <w:szCs w:val="24"/>
          <w:highlight w:val="white"/>
        </w:rPr>
        <w:t xml:space="preserve">es the marauding, adventurous king as depicted in </w:t>
      </w:r>
      <w:proofErr w:type="spellStart"/>
      <w:r>
        <w:rPr>
          <w:rFonts w:ascii="Times New Roman" w:eastAsia="Times New Roman" w:hAnsi="Times New Roman" w:cs="Times New Roman"/>
          <w:i/>
          <w:color w:val="373A3C"/>
          <w:sz w:val="24"/>
          <w:szCs w:val="24"/>
          <w:highlight w:val="white"/>
        </w:rPr>
        <w:t>Culhwch</w:t>
      </w:r>
      <w:proofErr w:type="spellEnd"/>
      <w:r>
        <w:rPr>
          <w:rFonts w:ascii="Times New Roman" w:eastAsia="Times New Roman" w:hAnsi="Times New Roman" w:cs="Times New Roman"/>
          <w:color w:val="373A3C"/>
          <w:sz w:val="24"/>
          <w:szCs w:val="24"/>
          <w:highlight w:val="white"/>
        </w:rPr>
        <w:t xml:space="preserve"> does appear to be quite distant from the stoic, almost static monarch of future romances. Nevertheless, the early Welsh tales allowed Arthur to be a Welsh ruler, an icon that future generations coul</w:t>
      </w:r>
      <w:r>
        <w:rPr>
          <w:rFonts w:ascii="Times New Roman" w:eastAsia="Times New Roman" w:hAnsi="Times New Roman" w:cs="Times New Roman"/>
          <w:color w:val="373A3C"/>
          <w:sz w:val="24"/>
          <w:szCs w:val="24"/>
          <w:highlight w:val="white"/>
        </w:rPr>
        <w:t xml:space="preserve">d venerate alongside leaders such as </w:t>
      </w:r>
      <w:proofErr w:type="spellStart"/>
      <w:r>
        <w:rPr>
          <w:rFonts w:ascii="Times New Roman" w:eastAsia="Times New Roman" w:hAnsi="Times New Roman" w:cs="Times New Roman"/>
          <w:color w:val="373A3C"/>
          <w:sz w:val="24"/>
          <w:szCs w:val="24"/>
          <w:highlight w:val="white"/>
        </w:rPr>
        <w:t>Cynan</w:t>
      </w:r>
      <w:proofErr w:type="spellEnd"/>
      <w:r>
        <w:rPr>
          <w:rFonts w:ascii="Times New Roman" w:eastAsia="Times New Roman" w:hAnsi="Times New Roman" w:cs="Times New Roman"/>
          <w:color w:val="373A3C"/>
          <w:sz w:val="24"/>
          <w:szCs w:val="24"/>
          <w:highlight w:val="white"/>
        </w:rPr>
        <w:t xml:space="preserve"> and </w:t>
      </w:r>
      <w:proofErr w:type="spellStart"/>
      <w:r>
        <w:rPr>
          <w:rFonts w:ascii="Times New Roman" w:eastAsia="Times New Roman" w:hAnsi="Times New Roman" w:cs="Times New Roman"/>
          <w:color w:val="373A3C"/>
          <w:sz w:val="24"/>
          <w:szCs w:val="24"/>
          <w:highlight w:val="white"/>
        </w:rPr>
        <w:t>Owain</w:t>
      </w:r>
      <w:proofErr w:type="spellEnd"/>
      <w:r>
        <w:rPr>
          <w:rFonts w:ascii="Times New Roman" w:eastAsia="Times New Roman" w:hAnsi="Times New Roman" w:cs="Times New Roman"/>
          <w:color w:val="373A3C"/>
          <w:sz w:val="24"/>
          <w:szCs w:val="24"/>
          <w:highlight w:val="white"/>
        </w:rPr>
        <w:t xml:space="preserve"> Glyndwr, especially following centuries of English oppression. Jones remarks that this tradition “was potent enough to affect actual, hard, sordid, political, practical affairs.”</w:t>
      </w:r>
      <w:r>
        <w:rPr>
          <w:rFonts w:ascii="Times New Roman" w:eastAsia="Times New Roman" w:hAnsi="Times New Roman" w:cs="Times New Roman"/>
          <w:color w:val="373A3C"/>
          <w:sz w:val="24"/>
          <w:szCs w:val="24"/>
          <w:highlight w:val="white"/>
          <w:vertAlign w:val="superscript"/>
        </w:rPr>
        <w:footnoteReference w:id="29"/>
      </w:r>
      <w:r>
        <w:rPr>
          <w:rFonts w:ascii="Times New Roman" w:eastAsia="Times New Roman" w:hAnsi="Times New Roman" w:cs="Times New Roman"/>
          <w:color w:val="373A3C"/>
          <w:sz w:val="24"/>
          <w:szCs w:val="24"/>
          <w:highlight w:val="white"/>
        </w:rPr>
        <w:t xml:space="preserve"> Arthur, alongside indiv</w:t>
      </w:r>
      <w:r>
        <w:rPr>
          <w:rFonts w:ascii="Times New Roman" w:eastAsia="Times New Roman" w:hAnsi="Times New Roman" w:cs="Times New Roman"/>
          <w:color w:val="373A3C"/>
          <w:sz w:val="24"/>
          <w:szCs w:val="24"/>
          <w:highlight w:val="white"/>
        </w:rPr>
        <w:t xml:space="preserve">iduals such as </w:t>
      </w:r>
      <w:proofErr w:type="spellStart"/>
      <w:r>
        <w:rPr>
          <w:rFonts w:ascii="Times New Roman" w:eastAsia="Times New Roman" w:hAnsi="Times New Roman" w:cs="Times New Roman"/>
          <w:color w:val="373A3C"/>
          <w:sz w:val="24"/>
          <w:szCs w:val="24"/>
          <w:highlight w:val="white"/>
        </w:rPr>
        <w:t>Owain</w:t>
      </w:r>
      <w:proofErr w:type="spellEnd"/>
      <w:r>
        <w:rPr>
          <w:rFonts w:ascii="Times New Roman" w:eastAsia="Times New Roman" w:hAnsi="Times New Roman" w:cs="Times New Roman"/>
          <w:color w:val="373A3C"/>
          <w:sz w:val="24"/>
          <w:szCs w:val="24"/>
          <w:highlight w:val="white"/>
        </w:rPr>
        <w:t xml:space="preserve"> Glyndwr, stands as a reminder of a gloriously </w:t>
      </w:r>
      <w:proofErr w:type="spellStart"/>
      <w:r>
        <w:rPr>
          <w:rFonts w:ascii="Times New Roman" w:eastAsia="Times New Roman" w:hAnsi="Times New Roman" w:cs="Times New Roman"/>
          <w:color w:val="373A3C"/>
          <w:sz w:val="24"/>
          <w:szCs w:val="24"/>
          <w:highlight w:val="white"/>
        </w:rPr>
        <w:t>romanticised</w:t>
      </w:r>
      <w:proofErr w:type="spellEnd"/>
      <w:r>
        <w:rPr>
          <w:rFonts w:ascii="Times New Roman" w:eastAsia="Times New Roman" w:hAnsi="Times New Roman" w:cs="Times New Roman"/>
          <w:color w:val="373A3C"/>
          <w:sz w:val="24"/>
          <w:szCs w:val="24"/>
          <w:highlight w:val="white"/>
        </w:rPr>
        <w:t xml:space="preserve"> past while offering hope of a prosperous, regal future, and his appeal persists for many otherwise disaffected individuals.</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Among the host of Arthurian adaptations, however, Ge</w:t>
      </w:r>
      <w:r>
        <w:rPr>
          <w:rFonts w:ascii="Times New Roman" w:eastAsia="Times New Roman" w:hAnsi="Times New Roman" w:cs="Times New Roman"/>
          <w:color w:val="373A3C"/>
          <w:sz w:val="24"/>
          <w:szCs w:val="24"/>
          <w:highlight w:val="white"/>
        </w:rPr>
        <w:t xml:space="preserve">offrey of Monmouth’s </w:t>
      </w:r>
      <w:r>
        <w:rPr>
          <w:rFonts w:ascii="Times New Roman" w:eastAsia="Times New Roman" w:hAnsi="Times New Roman" w:cs="Times New Roman"/>
          <w:i/>
          <w:color w:val="373A3C"/>
          <w:sz w:val="24"/>
          <w:szCs w:val="24"/>
          <w:highlight w:val="white"/>
        </w:rPr>
        <w:t xml:space="preserve">Historia </w:t>
      </w:r>
      <w:proofErr w:type="spellStart"/>
      <w:r>
        <w:rPr>
          <w:rFonts w:ascii="Times New Roman" w:eastAsia="Times New Roman" w:hAnsi="Times New Roman" w:cs="Times New Roman"/>
          <w:i/>
          <w:color w:val="373A3C"/>
          <w:sz w:val="24"/>
          <w:szCs w:val="24"/>
          <w:highlight w:val="white"/>
        </w:rPr>
        <w:t>Regum</w:t>
      </w:r>
      <w:proofErr w:type="spellEnd"/>
      <w:r>
        <w:rPr>
          <w:rFonts w:ascii="Times New Roman" w:eastAsia="Times New Roman" w:hAnsi="Times New Roman" w:cs="Times New Roman"/>
          <w:i/>
          <w:color w:val="373A3C"/>
          <w:sz w:val="24"/>
          <w:szCs w:val="24"/>
          <w:highlight w:val="white"/>
        </w:rPr>
        <w:t xml:space="preserve"> Britanniae</w:t>
      </w:r>
      <w:r>
        <w:rPr>
          <w:rFonts w:ascii="Times New Roman" w:eastAsia="Times New Roman" w:hAnsi="Times New Roman" w:cs="Times New Roman"/>
          <w:color w:val="373A3C"/>
          <w:sz w:val="24"/>
          <w:szCs w:val="24"/>
          <w:highlight w:val="white"/>
        </w:rPr>
        <w:t xml:space="preserve"> remains the most influential, as it cast Arthur as the greatest in a long line of British monarchs traced back to the days of Troy and Brutus. This story of kings focuses on the theme of sovereignty which is “</w:t>
      </w:r>
      <w:r>
        <w:rPr>
          <w:rFonts w:ascii="Times New Roman" w:eastAsia="Times New Roman" w:hAnsi="Times New Roman" w:cs="Times New Roman"/>
          <w:color w:val="373A3C"/>
          <w:sz w:val="24"/>
          <w:szCs w:val="24"/>
          <w:highlight w:val="white"/>
        </w:rPr>
        <w:t>the thread which runs through the whole book. Geoffrey accepted both the unity of Britain and its traditional divisions.”</w:t>
      </w:r>
      <w:r>
        <w:rPr>
          <w:rFonts w:ascii="Times New Roman" w:eastAsia="Times New Roman" w:hAnsi="Times New Roman" w:cs="Times New Roman"/>
          <w:color w:val="373A3C"/>
          <w:sz w:val="24"/>
          <w:szCs w:val="24"/>
          <w:highlight w:val="white"/>
          <w:vertAlign w:val="superscript"/>
        </w:rPr>
        <w:footnoteReference w:id="30"/>
      </w:r>
      <w:r>
        <w:rPr>
          <w:rFonts w:ascii="Times New Roman" w:eastAsia="Times New Roman" w:hAnsi="Times New Roman" w:cs="Times New Roman"/>
          <w:color w:val="373A3C"/>
          <w:sz w:val="24"/>
          <w:szCs w:val="24"/>
          <w:highlight w:val="white"/>
        </w:rPr>
        <w:t xml:space="preserve"> Within this tale, readers find many of the characteristics of Arthur that, though not always utilized, came to define his </w:t>
      </w:r>
      <w:r>
        <w:rPr>
          <w:rFonts w:ascii="Times New Roman" w:eastAsia="Times New Roman" w:hAnsi="Times New Roman" w:cs="Times New Roman"/>
          <w:color w:val="373A3C"/>
          <w:sz w:val="24"/>
          <w:szCs w:val="24"/>
          <w:highlight w:val="white"/>
        </w:rPr>
        <w:lastRenderedPageBreak/>
        <w:t>biography a</w:t>
      </w:r>
      <w:r>
        <w:rPr>
          <w:rFonts w:ascii="Times New Roman" w:eastAsia="Times New Roman" w:hAnsi="Times New Roman" w:cs="Times New Roman"/>
          <w:color w:val="373A3C"/>
          <w:sz w:val="24"/>
          <w:szCs w:val="24"/>
          <w:highlight w:val="white"/>
        </w:rPr>
        <w:t xml:space="preserve">s best as possible, including his magic-influenced birth and prophesied return from death after the Battle of </w:t>
      </w:r>
      <w:proofErr w:type="spellStart"/>
      <w:r>
        <w:rPr>
          <w:rFonts w:ascii="Times New Roman" w:eastAsia="Times New Roman" w:hAnsi="Times New Roman" w:cs="Times New Roman"/>
          <w:color w:val="373A3C"/>
          <w:sz w:val="24"/>
          <w:szCs w:val="24"/>
          <w:highlight w:val="white"/>
        </w:rPr>
        <w:t>Camlann</w:t>
      </w:r>
      <w:proofErr w:type="spellEnd"/>
      <w:r>
        <w:rPr>
          <w:rFonts w:ascii="Times New Roman" w:eastAsia="Times New Roman" w:hAnsi="Times New Roman" w:cs="Times New Roman"/>
          <w:color w:val="373A3C"/>
          <w:sz w:val="24"/>
          <w:szCs w:val="24"/>
          <w:highlight w:val="white"/>
        </w:rPr>
        <w:t>. The tale that Geoffrey weaves is not history, but rather the origins of the romances that would erupt in the work of Malory and Chretien.</w:t>
      </w:r>
      <w:r>
        <w:rPr>
          <w:rFonts w:ascii="Times New Roman" w:eastAsia="Times New Roman" w:hAnsi="Times New Roman" w:cs="Times New Roman"/>
          <w:color w:val="373A3C"/>
          <w:sz w:val="24"/>
          <w:szCs w:val="24"/>
          <w:highlight w:val="white"/>
        </w:rPr>
        <w:t xml:space="preserve"> Though Geoffrey certainly relied on Welsh sources of the Arthurian legend, he invented much as well, casting Arthur as a British monarch toward which all Britons could look as a source of inspiration. It is no wonder, especially then given the preeminence</w:t>
      </w:r>
      <w:r>
        <w:rPr>
          <w:rFonts w:ascii="Times New Roman" w:eastAsia="Times New Roman" w:hAnsi="Times New Roman" w:cs="Times New Roman"/>
          <w:color w:val="373A3C"/>
          <w:sz w:val="24"/>
          <w:szCs w:val="24"/>
          <w:highlight w:val="white"/>
        </w:rPr>
        <w:t xml:space="preserve"> of Chretien’s romances in the Norman courts, that eventual English king obsessed with this figure whose origins were so strikingly British, if not completely Welsh.</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 xml:space="preserve">Even from the early prose tales, the possibility of using the Arthurian legend as a means </w:t>
      </w:r>
      <w:r>
        <w:rPr>
          <w:rFonts w:ascii="Times New Roman" w:eastAsia="Times New Roman" w:hAnsi="Times New Roman" w:cs="Times New Roman"/>
          <w:color w:val="373A3C"/>
          <w:sz w:val="24"/>
          <w:szCs w:val="24"/>
          <w:highlight w:val="white"/>
        </w:rPr>
        <w:t>of cultural propaganda became evident to writers. Just as Geoffrey reframed Arthur as a unifying English king who could appeal to both Briton and Norman, so too did later writers frame Arthur in ways to advance their social or political ends. The ability t</w:t>
      </w:r>
      <w:r>
        <w:rPr>
          <w:rFonts w:ascii="Times New Roman" w:eastAsia="Times New Roman" w:hAnsi="Times New Roman" w:cs="Times New Roman"/>
          <w:color w:val="373A3C"/>
          <w:sz w:val="24"/>
          <w:szCs w:val="24"/>
          <w:highlight w:val="white"/>
        </w:rPr>
        <w:t xml:space="preserve">o reinvent Arthur so easily meant that though his popularity waxed and waned throughout the centuries, his appeal never completely disappeared. In the 19th century, his appeal grew extremely with the publishing of Tennyson’s </w:t>
      </w:r>
      <w:r>
        <w:rPr>
          <w:rFonts w:ascii="Times New Roman" w:eastAsia="Times New Roman" w:hAnsi="Times New Roman" w:cs="Times New Roman"/>
          <w:i/>
          <w:color w:val="373A3C"/>
          <w:sz w:val="24"/>
          <w:szCs w:val="24"/>
          <w:highlight w:val="white"/>
        </w:rPr>
        <w:t>Idylls of the King</w:t>
      </w:r>
      <w:r>
        <w:rPr>
          <w:rFonts w:ascii="Times New Roman" w:eastAsia="Times New Roman" w:hAnsi="Times New Roman" w:cs="Times New Roman"/>
          <w:color w:val="373A3C"/>
          <w:sz w:val="24"/>
          <w:szCs w:val="24"/>
          <w:highlight w:val="white"/>
        </w:rPr>
        <w:t>. Very little</w:t>
      </w:r>
      <w:r>
        <w:rPr>
          <w:rFonts w:ascii="Times New Roman" w:eastAsia="Times New Roman" w:hAnsi="Times New Roman" w:cs="Times New Roman"/>
          <w:color w:val="373A3C"/>
          <w:sz w:val="24"/>
          <w:szCs w:val="24"/>
          <w:highlight w:val="white"/>
        </w:rPr>
        <w:t xml:space="preserve"> remained of the Welsh marauder who fought to unify the British against Saxon invaders. Rather, Tennyson frames his Arthur in both imperialist and gender thought. His story opens with Guinevere herself, “the fairest of all flesh on earth.”</w:t>
      </w:r>
      <w:r>
        <w:rPr>
          <w:rFonts w:ascii="Times New Roman" w:eastAsia="Times New Roman" w:hAnsi="Times New Roman" w:cs="Times New Roman"/>
          <w:color w:val="373A3C"/>
          <w:sz w:val="24"/>
          <w:szCs w:val="24"/>
          <w:highlight w:val="white"/>
          <w:vertAlign w:val="superscript"/>
        </w:rPr>
        <w:footnoteReference w:id="31"/>
      </w:r>
      <w:r>
        <w:rPr>
          <w:rFonts w:ascii="Times New Roman" w:eastAsia="Times New Roman" w:hAnsi="Times New Roman" w:cs="Times New Roman"/>
          <w:color w:val="373A3C"/>
          <w:sz w:val="24"/>
          <w:szCs w:val="24"/>
          <w:highlight w:val="white"/>
        </w:rPr>
        <w:t xml:space="preserve"> Guinevere thus becomes the central flaw of Arthur’s reign, her adultery with Lancelot the catalyst for the downfall of the most glorious era of Britain’s supposed past. Her story concludes with her desperate joining of a convent to repent of her sins, cla</w:t>
      </w:r>
      <w:r>
        <w:rPr>
          <w:rFonts w:ascii="Times New Roman" w:eastAsia="Times New Roman" w:hAnsi="Times New Roman" w:cs="Times New Roman"/>
          <w:color w:val="373A3C"/>
          <w:sz w:val="24"/>
          <w:szCs w:val="24"/>
          <w:highlight w:val="white"/>
        </w:rPr>
        <w:t>iming that she is “that wicked one, who broke/the vast design and purpose of the King.”</w:t>
      </w:r>
      <w:r>
        <w:rPr>
          <w:rFonts w:ascii="Times New Roman" w:eastAsia="Times New Roman" w:hAnsi="Times New Roman" w:cs="Times New Roman"/>
          <w:color w:val="373A3C"/>
          <w:sz w:val="24"/>
          <w:szCs w:val="24"/>
          <w:highlight w:val="white"/>
          <w:vertAlign w:val="superscript"/>
        </w:rPr>
        <w:footnoteReference w:id="32"/>
      </w:r>
      <w:r>
        <w:rPr>
          <w:rFonts w:ascii="Times New Roman" w:eastAsia="Times New Roman" w:hAnsi="Times New Roman" w:cs="Times New Roman"/>
          <w:color w:val="373A3C"/>
          <w:sz w:val="24"/>
          <w:szCs w:val="24"/>
          <w:highlight w:val="white"/>
        </w:rPr>
        <w:t xml:space="preserve"> It is perhaps curious that Tennyson should choose to compose his tale in such a manner during the reign of Queen Victoria, but it is </w:t>
      </w:r>
      <w:r>
        <w:rPr>
          <w:rFonts w:ascii="Times New Roman" w:eastAsia="Times New Roman" w:hAnsi="Times New Roman" w:cs="Times New Roman"/>
          <w:color w:val="373A3C"/>
          <w:sz w:val="24"/>
          <w:szCs w:val="24"/>
          <w:highlight w:val="white"/>
        </w:rPr>
        <w:lastRenderedPageBreak/>
        <w:t>clear he intends to demonstrate th</w:t>
      </w:r>
      <w:r>
        <w:rPr>
          <w:rFonts w:ascii="Times New Roman" w:eastAsia="Times New Roman" w:hAnsi="Times New Roman" w:cs="Times New Roman"/>
          <w:color w:val="373A3C"/>
          <w:sz w:val="24"/>
          <w:szCs w:val="24"/>
          <w:highlight w:val="white"/>
        </w:rPr>
        <w:t xml:space="preserve">e frailty of weak-willed women and the danger they pose to orderly society. </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David Jones remarked on the lasting influence of Tennyson’s work in the mid-20th century, supposing “that for most English-speaking people Arthur is still best known through Tenny</w:t>
      </w:r>
      <w:r>
        <w:rPr>
          <w:rFonts w:ascii="Times New Roman" w:eastAsia="Times New Roman" w:hAnsi="Times New Roman" w:cs="Times New Roman"/>
          <w:color w:val="373A3C"/>
          <w:sz w:val="24"/>
          <w:szCs w:val="24"/>
          <w:highlight w:val="white"/>
        </w:rPr>
        <w:t xml:space="preserve">son...the name Arthur evokes Tennyson and the </w:t>
      </w:r>
      <w:r>
        <w:rPr>
          <w:rFonts w:ascii="Times New Roman" w:eastAsia="Times New Roman" w:hAnsi="Times New Roman" w:cs="Times New Roman"/>
          <w:i/>
          <w:color w:val="373A3C"/>
          <w:sz w:val="24"/>
          <w:szCs w:val="24"/>
          <w:highlight w:val="white"/>
        </w:rPr>
        <w:t>Idylls of the King</w:t>
      </w:r>
      <w:r>
        <w:rPr>
          <w:rFonts w:ascii="Times New Roman" w:eastAsia="Times New Roman" w:hAnsi="Times New Roman" w:cs="Times New Roman"/>
          <w:color w:val="373A3C"/>
          <w:sz w:val="24"/>
          <w:szCs w:val="24"/>
          <w:highlight w:val="white"/>
        </w:rPr>
        <w:t xml:space="preserve"> rather than Malory, and certainly rather than </w:t>
      </w:r>
      <w:proofErr w:type="spellStart"/>
      <w:r>
        <w:rPr>
          <w:rFonts w:ascii="Times New Roman" w:eastAsia="Times New Roman" w:hAnsi="Times New Roman" w:cs="Times New Roman"/>
          <w:color w:val="373A3C"/>
          <w:sz w:val="24"/>
          <w:szCs w:val="24"/>
          <w:highlight w:val="white"/>
        </w:rPr>
        <w:t>Nennius</w:t>
      </w:r>
      <w:proofErr w:type="spellEnd"/>
      <w:r>
        <w:rPr>
          <w:rFonts w:ascii="Times New Roman" w:eastAsia="Times New Roman" w:hAnsi="Times New Roman" w:cs="Times New Roman"/>
          <w:color w:val="373A3C"/>
          <w:sz w:val="24"/>
          <w:szCs w:val="24"/>
          <w:highlight w:val="white"/>
        </w:rPr>
        <w:t>, or late Roman horse-troops, or Celtic war-god, or agriculture deity.”</w:t>
      </w:r>
      <w:r>
        <w:rPr>
          <w:rFonts w:ascii="Times New Roman" w:eastAsia="Times New Roman" w:hAnsi="Times New Roman" w:cs="Times New Roman"/>
          <w:color w:val="373A3C"/>
          <w:sz w:val="24"/>
          <w:szCs w:val="24"/>
          <w:highlight w:val="white"/>
          <w:vertAlign w:val="superscript"/>
        </w:rPr>
        <w:footnoteReference w:id="33"/>
      </w:r>
      <w:r>
        <w:rPr>
          <w:rFonts w:ascii="Times New Roman" w:eastAsia="Times New Roman" w:hAnsi="Times New Roman" w:cs="Times New Roman"/>
          <w:color w:val="373A3C"/>
          <w:sz w:val="24"/>
          <w:szCs w:val="24"/>
          <w:highlight w:val="white"/>
        </w:rPr>
        <w:t xml:space="preserve"> Tennyson’s work also utilized Arthur in such a way that he seemin</w:t>
      </w:r>
      <w:r>
        <w:rPr>
          <w:rFonts w:ascii="Times New Roman" w:eastAsia="Times New Roman" w:hAnsi="Times New Roman" w:cs="Times New Roman"/>
          <w:color w:val="373A3C"/>
          <w:sz w:val="24"/>
          <w:szCs w:val="24"/>
          <w:highlight w:val="white"/>
        </w:rPr>
        <w:t xml:space="preserve">gly defended notions of English imperialism and conquest. Before the coming of Arthur, Tennyson’s quintessential English monarch, “the land of </w:t>
      </w:r>
      <w:proofErr w:type="spellStart"/>
      <w:r>
        <w:rPr>
          <w:rFonts w:ascii="Times New Roman" w:eastAsia="Times New Roman" w:hAnsi="Times New Roman" w:cs="Times New Roman"/>
          <w:color w:val="373A3C"/>
          <w:sz w:val="24"/>
          <w:szCs w:val="24"/>
          <w:highlight w:val="white"/>
        </w:rPr>
        <w:t>Cameliard</w:t>
      </w:r>
      <w:proofErr w:type="spellEnd"/>
      <w:r>
        <w:rPr>
          <w:rFonts w:ascii="Times New Roman" w:eastAsia="Times New Roman" w:hAnsi="Times New Roman" w:cs="Times New Roman"/>
          <w:color w:val="373A3C"/>
          <w:sz w:val="24"/>
          <w:szCs w:val="24"/>
          <w:highlight w:val="white"/>
        </w:rPr>
        <w:t xml:space="preserve"> was waste,/thick with wet woods, and many a beast therein,/And none or few to scare or chase the beast;</w:t>
      </w:r>
      <w:r>
        <w:rPr>
          <w:rFonts w:ascii="Times New Roman" w:eastAsia="Times New Roman" w:hAnsi="Times New Roman" w:cs="Times New Roman"/>
          <w:color w:val="373A3C"/>
          <w:sz w:val="24"/>
          <w:szCs w:val="24"/>
          <w:highlight w:val="white"/>
        </w:rPr>
        <w:t>/So that wild dog and wolf and boar and bear/Came night and day.”</w:t>
      </w:r>
      <w:r>
        <w:rPr>
          <w:rFonts w:ascii="Times New Roman" w:eastAsia="Times New Roman" w:hAnsi="Times New Roman" w:cs="Times New Roman"/>
          <w:color w:val="373A3C"/>
          <w:sz w:val="24"/>
          <w:szCs w:val="24"/>
          <w:highlight w:val="white"/>
          <w:vertAlign w:val="superscript"/>
        </w:rPr>
        <w:footnoteReference w:id="34"/>
      </w:r>
      <w:r>
        <w:rPr>
          <w:rFonts w:ascii="Times New Roman" w:eastAsia="Times New Roman" w:hAnsi="Times New Roman" w:cs="Times New Roman"/>
          <w:color w:val="373A3C"/>
          <w:sz w:val="24"/>
          <w:szCs w:val="24"/>
          <w:highlight w:val="white"/>
        </w:rPr>
        <w:t xml:space="preserve"> Much like Kipling’s later “White man’s burden,” Tennyson’s </w:t>
      </w:r>
      <w:r>
        <w:rPr>
          <w:rFonts w:ascii="Times New Roman" w:eastAsia="Times New Roman" w:hAnsi="Times New Roman" w:cs="Times New Roman"/>
          <w:i/>
          <w:color w:val="373A3C"/>
          <w:sz w:val="24"/>
          <w:szCs w:val="24"/>
          <w:highlight w:val="white"/>
        </w:rPr>
        <w:t>Idylls</w:t>
      </w:r>
      <w:r>
        <w:rPr>
          <w:rFonts w:ascii="Times New Roman" w:eastAsia="Times New Roman" w:hAnsi="Times New Roman" w:cs="Times New Roman"/>
          <w:color w:val="373A3C"/>
          <w:sz w:val="24"/>
          <w:szCs w:val="24"/>
          <w:highlight w:val="white"/>
        </w:rPr>
        <w:t xml:space="preserve"> reinforce the notion that the world depends on England, just as Britain once depended upon an English king. Only the heirs </w:t>
      </w:r>
      <w:r>
        <w:rPr>
          <w:rFonts w:ascii="Times New Roman" w:eastAsia="Times New Roman" w:hAnsi="Times New Roman" w:cs="Times New Roman"/>
          <w:color w:val="373A3C"/>
          <w:sz w:val="24"/>
          <w:szCs w:val="24"/>
          <w:highlight w:val="white"/>
        </w:rPr>
        <w:t xml:space="preserve">of Arthur are prepared to offer </w:t>
      </w:r>
      <w:proofErr w:type="spellStart"/>
      <w:r>
        <w:rPr>
          <w:rFonts w:ascii="Times New Roman" w:eastAsia="Times New Roman" w:hAnsi="Times New Roman" w:cs="Times New Roman"/>
          <w:color w:val="373A3C"/>
          <w:sz w:val="24"/>
          <w:szCs w:val="24"/>
          <w:highlight w:val="white"/>
        </w:rPr>
        <w:t>civilisation</w:t>
      </w:r>
      <w:proofErr w:type="spellEnd"/>
      <w:r>
        <w:rPr>
          <w:rFonts w:ascii="Times New Roman" w:eastAsia="Times New Roman" w:hAnsi="Times New Roman" w:cs="Times New Roman"/>
          <w:color w:val="373A3C"/>
          <w:sz w:val="24"/>
          <w:szCs w:val="24"/>
          <w:highlight w:val="white"/>
        </w:rPr>
        <w:t xml:space="preserve"> and prosperity to the rest of a barbaric world. Thus, it is perhaps appropriate that Monty Python, when telling their own version of the King Arthur legend, should decry Arthur as one who allows injustice to rei</w:t>
      </w:r>
      <w:r>
        <w:rPr>
          <w:rFonts w:ascii="Times New Roman" w:eastAsia="Times New Roman" w:hAnsi="Times New Roman" w:cs="Times New Roman"/>
          <w:color w:val="373A3C"/>
          <w:sz w:val="24"/>
          <w:szCs w:val="24"/>
          <w:highlight w:val="white"/>
        </w:rPr>
        <w:t>gn “by exploiting the workers. By hanging on to outdated imperialist dogma which perpetuates the economic and social differences in our society.”</w:t>
      </w:r>
      <w:r>
        <w:rPr>
          <w:rFonts w:ascii="Times New Roman" w:eastAsia="Times New Roman" w:hAnsi="Times New Roman" w:cs="Times New Roman"/>
          <w:color w:val="373A3C"/>
          <w:sz w:val="24"/>
          <w:szCs w:val="24"/>
          <w:highlight w:val="white"/>
          <w:vertAlign w:val="superscript"/>
        </w:rPr>
        <w:footnoteReference w:id="35"/>
      </w:r>
      <w:r>
        <w:rPr>
          <w:rFonts w:ascii="Times New Roman" w:eastAsia="Times New Roman" w:hAnsi="Times New Roman" w:cs="Times New Roman"/>
          <w:color w:val="373A3C"/>
          <w:sz w:val="24"/>
          <w:szCs w:val="24"/>
          <w:highlight w:val="white"/>
        </w:rPr>
        <w:t xml:space="preserve"> Once again, the ability to transform the Arthur story, brought about by his lack of rigid biographical detail</w:t>
      </w:r>
      <w:r>
        <w:rPr>
          <w:rFonts w:ascii="Times New Roman" w:eastAsia="Times New Roman" w:hAnsi="Times New Roman" w:cs="Times New Roman"/>
          <w:color w:val="373A3C"/>
          <w:sz w:val="24"/>
          <w:szCs w:val="24"/>
          <w:highlight w:val="white"/>
        </w:rPr>
        <w:t>s, proved advantageous to an author with a political agenda.</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 xml:space="preserve">Of course, this use of Arthur as a means of advancing an idea has not ceased in text or film. Authors as diverse as Mary Stewart, T.H. White, and Stephen </w:t>
      </w:r>
      <w:proofErr w:type="spellStart"/>
      <w:r>
        <w:rPr>
          <w:rFonts w:ascii="Times New Roman" w:eastAsia="Times New Roman" w:hAnsi="Times New Roman" w:cs="Times New Roman"/>
          <w:color w:val="373A3C"/>
          <w:sz w:val="24"/>
          <w:szCs w:val="24"/>
          <w:highlight w:val="white"/>
        </w:rPr>
        <w:t>Lawhead</w:t>
      </w:r>
      <w:proofErr w:type="spellEnd"/>
      <w:r>
        <w:rPr>
          <w:rFonts w:ascii="Times New Roman" w:eastAsia="Times New Roman" w:hAnsi="Times New Roman" w:cs="Times New Roman"/>
          <w:color w:val="373A3C"/>
          <w:sz w:val="24"/>
          <w:szCs w:val="24"/>
          <w:highlight w:val="white"/>
        </w:rPr>
        <w:t xml:space="preserve"> have all adapted </w:t>
      </w:r>
      <w:r>
        <w:rPr>
          <w:rFonts w:ascii="Times New Roman" w:eastAsia="Times New Roman" w:hAnsi="Times New Roman" w:cs="Times New Roman"/>
          <w:color w:val="373A3C"/>
          <w:sz w:val="24"/>
          <w:szCs w:val="24"/>
          <w:highlight w:val="white"/>
        </w:rPr>
        <w:lastRenderedPageBreak/>
        <w:t>Arthur’s story i</w:t>
      </w:r>
      <w:r>
        <w:rPr>
          <w:rFonts w:ascii="Times New Roman" w:eastAsia="Times New Roman" w:hAnsi="Times New Roman" w:cs="Times New Roman"/>
          <w:color w:val="373A3C"/>
          <w:sz w:val="24"/>
          <w:szCs w:val="24"/>
          <w:highlight w:val="white"/>
        </w:rPr>
        <w:t xml:space="preserve">n their own ways. Mary Stewart’s </w:t>
      </w:r>
      <w:r>
        <w:rPr>
          <w:rFonts w:ascii="Times New Roman" w:eastAsia="Times New Roman" w:hAnsi="Times New Roman" w:cs="Times New Roman"/>
          <w:i/>
          <w:color w:val="373A3C"/>
          <w:sz w:val="24"/>
          <w:szCs w:val="24"/>
          <w:highlight w:val="white"/>
        </w:rPr>
        <w:t>Merlin</w:t>
      </w:r>
      <w:r>
        <w:rPr>
          <w:rFonts w:ascii="Times New Roman" w:eastAsia="Times New Roman" w:hAnsi="Times New Roman" w:cs="Times New Roman"/>
          <w:color w:val="373A3C"/>
          <w:sz w:val="24"/>
          <w:szCs w:val="24"/>
          <w:highlight w:val="white"/>
        </w:rPr>
        <w:t xml:space="preserve"> trilogy recasts the Arthurian legend as a unification of Britain against invading forces orchestrated by a Merlin of noble blood whose magic derives from an unnamed, religion-surpassing divine being and requires pain</w:t>
      </w:r>
      <w:r>
        <w:rPr>
          <w:rFonts w:ascii="Times New Roman" w:eastAsia="Times New Roman" w:hAnsi="Times New Roman" w:cs="Times New Roman"/>
          <w:color w:val="373A3C"/>
          <w:sz w:val="24"/>
          <w:szCs w:val="24"/>
          <w:highlight w:val="white"/>
        </w:rPr>
        <w:t xml:space="preserve"> and sacrifice in exchange of power. Though written in such a way as to feel more like historical fiction than fantasy, with engineering and cleverness often taking the place of magic, Stewart still admits the tale is “pure imagination. For that is all </w:t>
      </w:r>
      <w:r>
        <w:rPr>
          <w:rFonts w:ascii="Times New Roman" w:eastAsia="Times New Roman" w:hAnsi="Times New Roman" w:cs="Times New Roman"/>
          <w:i/>
          <w:color w:val="373A3C"/>
          <w:sz w:val="24"/>
          <w:szCs w:val="24"/>
          <w:highlight w:val="white"/>
        </w:rPr>
        <w:t>The</w:t>
      </w:r>
      <w:r>
        <w:rPr>
          <w:rFonts w:ascii="Times New Roman" w:eastAsia="Times New Roman" w:hAnsi="Times New Roman" w:cs="Times New Roman"/>
          <w:i/>
          <w:color w:val="373A3C"/>
          <w:sz w:val="24"/>
          <w:szCs w:val="24"/>
          <w:highlight w:val="white"/>
        </w:rPr>
        <w:t xml:space="preserve"> Crystal Cave</w:t>
      </w:r>
      <w:r>
        <w:rPr>
          <w:rFonts w:ascii="Times New Roman" w:eastAsia="Times New Roman" w:hAnsi="Times New Roman" w:cs="Times New Roman"/>
          <w:color w:val="373A3C"/>
          <w:sz w:val="24"/>
          <w:szCs w:val="24"/>
          <w:highlight w:val="white"/>
        </w:rPr>
        <w:t xml:space="preserve"> [the first book in the series] claims to be. It is not a work of scholarship, and can obviously make no claim to be serious history.”</w:t>
      </w:r>
      <w:r>
        <w:rPr>
          <w:rFonts w:ascii="Times New Roman" w:eastAsia="Times New Roman" w:hAnsi="Times New Roman" w:cs="Times New Roman"/>
          <w:color w:val="373A3C"/>
          <w:sz w:val="24"/>
          <w:szCs w:val="24"/>
          <w:highlight w:val="white"/>
          <w:vertAlign w:val="superscript"/>
        </w:rPr>
        <w:footnoteReference w:id="36"/>
      </w:r>
      <w:r>
        <w:rPr>
          <w:rFonts w:ascii="Times New Roman" w:eastAsia="Times New Roman" w:hAnsi="Times New Roman" w:cs="Times New Roman"/>
          <w:color w:val="373A3C"/>
          <w:sz w:val="24"/>
          <w:szCs w:val="24"/>
          <w:highlight w:val="white"/>
        </w:rPr>
        <w:t xml:space="preserve"> Stephen </w:t>
      </w:r>
      <w:proofErr w:type="spellStart"/>
      <w:r>
        <w:rPr>
          <w:rFonts w:ascii="Times New Roman" w:eastAsia="Times New Roman" w:hAnsi="Times New Roman" w:cs="Times New Roman"/>
          <w:color w:val="373A3C"/>
          <w:sz w:val="24"/>
          <w:szCs w:val="24"/>
          <w:highlight w:val="white"/>
        </w:rPr>
        <w:t>Lawhead</w:t>
      </w:r>
      <w:proofErr w:type="spellEnd"/>
      <w:r>
        <w:rPr>
          <w:rFonts w:ascii="Times New Roman" w:eastAsia="Times New Roman" w:hAnsi="Times New Roman" w:cs="Times New Roman"/>
          <w:color w:val="373A3C"/>
          <w:sz w:val="24"/>
          <w:szCs w:val="24"/>
          <w:highlight w:val="white"/>
        </w:rPr>
        <w:t>, however, as a writer of Christian fiction, fashions his Arthur into an heir of Christian p</w:t>
      </w:r>
      <w:r>
        <w:rPr>
          <w:rFonts w:ascii="Times New Roman" w:eastAsia="Times New Roman" w:hAnsi="Times New Roman" w:cs="Times New Roman"/>
          <w:color w:val="373A3C"/>
          <w:sz w:val="24"/>
          <w:szCs w:val="24"/>
          <w:highlight w:val="white"/>
        </w:rPr>
        <w:t>rogress in Britain and Atlantean mythology, making Arthur’s reign part of God’s will for the Island of the Mighty.</w:t>
      </w:r>
      <w:r>
        <w:rPr>
          <w:rFonts w:ascii="Times New Roman" w:eastAsia="Times New Roman" w:hAnsi="Times New Roman" w:cs="Times New Roman"/>
          <w:color w:val="373A3C"/>
          <w:sz w:val="24"/>
          <w:szCs w:val="24"/>
          <w:highlight w:val="white"/>
          <w:vertAlign w:val="superscript"/>
        </w:rPr>
        <w:footnoteReference w:id="37"/>
      </w:r>
      <w:r>
        <w:rPr>
          <w:rFonts w:ascii="Times New Roman" w:eastAsia="Times New Roman" w:hAnsi="Times New Roman" w:cs="Times New Roman"/>
          <w:color w:val="373A3C"/>
          <w:sz w:val="24"/>
          <w:szCs w:val="24"/>
          <w:highlight w:val="white"/>
        </w:rPr>
        <w:t xml:space="preserve"> Writers throughout the 20th century interpreted Arthur in newfound ways or presented older traditions in new lights for contemporary audienc</w:t>
      </w:r>
      <w:r>
        <w:rPr>
          <w:rFonts w:ascii="Times New Roman" w:eastAsia="Times New Roman" w:hAnsi="Times New Roman" w:cs="Times New Roman"/>
          <w:color w:val="373A3C"/>
          <w:sz w:val="24"/>
          <w:szCs w:val="24"/>
          <w:highlight w:val="white"/>
        </w:rPr>
        <w:t>es, resulting in Arthur’s preeminence among folk tales and legends even into the 20th century.</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This popularity transcends writing, of course. King Arthur has appeared in dozens of movies within the last century, his story a constant source of entertainment</w:t>
      </w:r>
      <w:r>
        <w:rPr>
          <w:rFonts w:ascii="Times New Roman" w:eastAsia="Times New Roman" w:hAnsi="Times New Roman" w:cs="Times New Roman"/>
          <w:color w:val="373A3C"/>
          <w:sz w:val="24"/>
          <w:szCs w:val="24"/>
          <w:highlight w:val="white"/>
        </w:rPr>
        <w:t xml:space="preserve"> and inspiration. Actors as varied as Sean Connery (</w:t>
      </w:r>
      <w:r>
        <w:rPr>
          <w:rFonts w:ascii="Times New Roman" w:eastAsia="Times New Roman" w:hAnsi="Times New Roman" w:cs="Times New Roman"/>
          <w:i/>
          <w:color w:val="373A3C"/>
          <w:sz w:val="24"/>
          <w:szCs w:val="24"/>
          <w:highlight w:val="white"/>
        </w:rPr>
        <w:t>First Knight</w:t>
      </w:r>
      <w:r>
        <w:rPr>
          <w:rFonts w:ascii="Times New Roman" w:eastAsia="Times New Roman" w:hAnsi="Times New Roman" w:cs="Times New Roman"/>
          <w:color w:val="373A3C"/>
          <w:sz w:val="24"/>
          <w:szCs w:val="24"/>
          <w:highlight w:val="white"/>
        </w:rPr>
        <w:t>), Richard Harris (</w:t>
      </w:r>
      <w:r>
        <w:rPr>
          <w:rFonts w:ascii="Times New Roman" w:eastAsia="Times New Roman" w:hAnsi="Times New Roman" w:cs="Times New Roman"/>
          <w:i/>
          <w:color w:val="373A3C"/>
          <w:sz w:val="24"/>
          <w:szCs w:val="24"/>
          <w:highlight w:val="white"/>
        </w:rPr>
        <w:t>Camelot</w:t>
      </w:r>
      <w:r>
        <w:rPr>
          <w:rFonts w:ascii="Times New Roman" w:eastAsia="Times New Roman" w:hAnsi="Times New Roman" w:cs="Times New Roman"/>
          <w:color w:val="373A3C"/>
          <w:sz w:val="24"/>
          <w:szCs w:val="24"/>
          <w:highlight w:val="white"/>
        </w:rPr>
        <w:t>), Clive Owen (</w:t>
      </w:r>
      <w:r>
        <w:rPr>
          <w:rFonts w:ascii="Times New Roman" w:eastAsia="Times New Roman" w:hAnsi="Times New Roman" w:cs="Times New Roman"/>
          <w:i/>
          <w:color w:val="373A3C"/>
          <w:sz w:val="24"/>
          <w:szCs w:val="24"/>
          <w:highlight w:val="white"/>
        </w:rPr>
        <w:t>King Arthur</w:t>
      </w:r>
      <w:r>
        <w:rPr>
          <w:rFonts w:ascii="Times New Roman" w:eastAsia="Times New Roman" w:hAnsi="Times New Roman" w:cs="Times New Roman"/>
          <w:color w:val="373A3C"/>
          <w:sz w:val="24"/>
          <w:szCs w:val="24"/>
          <w:highlight w:val="white"/>
        </w:rPr>
        <w:t xml:space="preserve">), Charlie </w:t>
      </w:r>
      <w:proofErr w:type="spellStart"/>
      <w:r>
        <w:rPr>
          <w:rFonts w:ascii="Times New Roman" w:eastAsia="Times New Roman" w:hAnsi="Times New Roman" w:cs="Times New Roman"/>
          <w:color w:val="373A3C"/>
          <w:sz w:val="24"/>
          <w:szCs w:val="24"/>
          <w:highlight w:val="white"/>
        </w:rPr>
        <w:t>Hunnam</w:t>
      </w:r>
      <w:proofErr w:type="spellEnd"/>
      <w:r>
        <w:rPr>
          <w:rFonts w:ascii="Times New Roman" w:eastAsia="Times New Roman" w:hAnsi="Times New Roman" w:cs="Times New Roman"/>
          <w:color w:val="373A3C"/>
          <w:sz w:val="24"/>
          <w:szCs w:val="24"/>
          <w:highlight w:val="white"/>
        </w:rPr>
        <w:t xml:space="preserve"> (</w:t>
      </w:r>
      <w:r>
        <w:rPr>
          <w:rFonts w:ascii="Times New Roman" w:eastAsia="Times New Roman" w:hAnsi="Times New Roman" w:cs="Times New Roman"/>
          <w:i/>
          <w:color w:val="373A3C"/>
          <w:sz w:val="24"/>
          <w:szCs w:val="24"/>
          <w:highlight w:val="white"/>
        </w:rPr>
        <w:t>King Arthur: Legend of the Sword</w:t>
      </w:r>
      <w:r>
        <w:rPr>
          <w:rFonts w:ascii="Times New Roman" w:eastAsia="Times New Roman" w:hAnsi="Times New Roman" w:cs="Times New Roman"/>
          <w:color w:val="373A3C"/>
          <w:sz w:val="24"/>
          <w:szCs w:val="24"/>
          <w:highlight w:val="white"/>
        </w:rPr>
        <w:t>), Graham Chapman (</w:t>
      </w:r>
      <w:r>
        <w:rPr>
          <w:rFonts w:ascii="Times New Roman" w:eastAsia="Times New Roman" w:hAnsi="Times New Roman" w:cs="Times New Roman"/>
          <w:i/>
          <w:color w:val="373A3C"/>
          <w:sz w:val="24"/>
          <w:szCs w:val="24"/>
          <w:highlight w:val="white"/>
        </w:rPr>
        <w:t>Monty Python and the Holy Grail</w:t>
      </w:r>
      <w:r>
        <w:rPr>
          <w:rFonts w:ascii="Times New Roman" w:eastAsia="Times New Roman" w:hAnsi="Times New Roman" w:cs="Times New Roman"/>
          <w:color w:val="373A3C"/>
          <w:sz w:val="24"/>
          <w:szCs w:val="24"/>
          <w:highlight w:val="white"/>
        </w:rPr>
        <w:t>), and Nigel Terry (</w:t>
      </w:r>
      <w:r>
        <w:rPr>
          <w:rFonts w:ascii="Times New Roman" w:eastAsia="Times New Roman" w:hAnsi="Times New Roman" w:cs="Times New Roman"/>
          <w:i/>
          <w:color w:val="373A3C"/>
          <w:sz w:val="24"/>
          <w:szCs w:val="24"/>
          <w:highlight w:val="white"/>
        </w:rPr>
        <w:t>Excalibur</w:t>
      </w:r>
      <w:r>
        <w:rPr>
          <w:rFonts w:ascii="Times New Roman" w:eastAsia="Times New Roman" w:hAnsi="Times New Roman" w:cs="Times New Roman"/>
          <w:color w:val="373A3C"/>
          <w:sz w:val="24"/>
          <w:szCs w:val="24"/>
          <w:highlight w:val="white"/>
        </w:rPr>
        <w:t>) have all</w:t>
      </w:r>
      <w:r>
        <w:rPr>
          <w:rFonts w:ascii="Times New Roman" w:eastAsia="Times New Roman" w:hAnsi="Times New Roman" w:cs="Times New Roman"/>
          <w:color w:val="373A3C"/>
          <w:sz w:val="24"/>
          <w:szCs w:val="24"/>
          <w:highlight w:val="white"/>
        </w:rPr>
        <w:t xml:space="preserve"> tried their hands (or their swords, perhaps) at embodying the legendary king to varying levels of success. Others, such as Bradley James (</w:t>
      </w:r>
      <w:r>
        <w:rPr>
          <w:rFonts w:ascii="Times New Roman" w:eastAsia="Times New Roman" w:hAnsi="Times New Roman" w:cs="Times New Roman"/>
          <w:i/>
          <w:color w:val="373A3C"/>
          <w:sz w:val="24"/>
          <w:szCs w:val="24"/>
          <w:highlight w:val="white"/>
        </w:rPr>
        <w:t>Merlin</w:t>
      </w:r>
      <w:r>
        <w:rPr>
          <w:rFonts w:ascii="Times New Roman" w:eastAsia="Times New Roman" w:hAnsi="Times New Roman" w:cs="Times New Roman"/>
          <w:color w:val="373A3C"/>
          <w:sz w:val="24"/>
          <w:szCs w:val="24"/>
          <w:highlight w:val="white"/>
        </w:rPr>
        <w:t>) and Jamie Campbell Bower (</w:t>
      </w:r>
      <w:r>
        <w:rPr>
          <w:rFonts w:ascii="Times New Roman" w:eastAsia="Times New Roman" w:hAnsi="Times New Roman" w:cs="Times New Roman"/>
          <w:i/>
          <w:color w:val="373A3C"/>
          <w:sz w:val="24"/>
          <w:szCs w:val="24"/>
          <w:highlight w:val="white"/>
        </w:rPr>
        <w:t>Camelot</w:t>
      </w:r>
      <w:r>
        <w:rPr>
          <w:rFonts w:ascii="Times New Roman" w:eastAsia="Times New Roman" w:hAnsi="Times New Roman" w:cs="Times New Roman"/>
          <w:color w:val="373A3C"/>
          <w:sz w:val="24"/>
          <w:szCs w:val="24"/>
          <w:highlight w:val="white"/>
        </w:rPr>
        <w:t>), have adorned the robes and armor in television shows. Animation studios h</w:t>
      </w:r>
      <w:r>
        <w:rPr>
          <w:rFonts w:ascii="Times New Roman" w:eastAsia="Times New Roman" w:hAnsi="Times New Roman" w:cs="Times New Roman"/>
          <w:color w:val="373A3C"/>
          <w:sz w:val="24"/>
          <w:szCs w:val="24"/>
          <w:highlight w:val="white"/>
        </w:rPr>
        <w:t xml:space="preserve">ave also retold his stories, with Disney’s </w:t>
      </w:r>
      <w:r>
        <w:rPr>
          <w:rFonts w:ascii="Times New Roman" w:eastAsia="Times New Roman" w:hAnsi="Times New Roman" w:cs="Times New Roman"/>
          <w:i/>
          <w:color w:val="373A3C"/>
          <w:sz w:val="24"/>
          <w:szCs w:val="24"/>
          <w:highlight w:val="white"/>
        </w:rPr>
        <w:t>The Sword in the Stone</w:t>
      </w:r>
      <w:r>
        <w:rPr>
          <w:rFonts w:ascii="Times New Roman" w:eastAsia="Times New Roman" w:hAnsi="Times New Roman" w:cs="Times New Roman"/>
          <w:color w:val="373A3C"/>
          <w:sz w:val="24"/>
          <w:szCs w:val="24"/>
          <w:highlight w:val="white"/>
        </w:rPr>
        <w:t xml:space="preserve"> and Warner Bros.’ </w:t>
      </w:r>
      <w:r>
        <w:rPr>
          <w:rFonts w:ascii="Times New Roman" w:eastAsia="Times New Roman" w:hAnsi="Times New Roman" w:cs="Times New Roman"/>
          <w:i/>
          <w:color w:val="373A3C"/>
          <w:sz w:val="24"/>
          <w:szCs w:val="24"/>
          <w:highlight w:val="white"/>
        </w:rPr>
        <w:t>Quest for Camelot</w:t>
      </w:r>
      <w:r>
        <w:rPr>
          <w:rFonts w:ascii="Times New Roman" w:eastAsia="Times New Roman" w:hAnsi="Times New Roman" w:cs="Times New Roman"/>
          <w:color w:val="373A3C"/>
          <w:sz w:val="24"/>
          <w:szCs w:val="24"/>
          <w:highlight w:val="white"/>
        </w:rPr>
        <w:t xml:space="preserve"> of notable distinction (the latter complete with catchy song and dance numbers involving Eric Idle and Steve Perry of the band Journey). </w:t>
      </w:r>
      <w:r>
        <w:rPr>
          <w:rFonts w:ascii="Times New Roman" w:eastAsia="Times New Roman" w:hAnsi="Times New Roman" w:cs="Times New Roman"/>
          <w:color w:val="373A3C"/>
          <w:sz w:val="24"/>
          <w:szCs w:val="24"/>
          <w:highlight w:val="white"/>
        </w:rPr>
        <w:lastRenderedPageBreak/>
        <w:t>Whatever the medi</w:t>
      </w:r>
      <w:r>
        <w:rPr>
          <w:rFonts w:ascii="Times New Roman" w:eastAsia="Times New Roman" w:hAnsi="Times New Roman" w:cs="Times New Roman"/>
          <w:color w:val="373A3C"/>
          <w:sz w:val="24"/>
          <w:szCs w:val="24"/>
          <w:highlight w:val="white"/>
        </w:rPr>
        <w:t>um, the story of King Arthur continues to retain its popularity, with different versions offering degrees of supposed authenticity or maturity for audiences of any age.</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One surprising area where Arthur’s influence can be felt is even in video games. Most r</w:t>
      </w:r>
      <w:r>
        <w:rPr>
          <w:rFonts w:ascii="Times New Roman" w:eastAsia="Times New Roman" w:hAnsi="Times New Roman" w:cs="Times New Roman"/>
          <w:color w:val="373A3C"/>
          <w:sz w:val="24"/>
          <w:szCs w:val="24"/>
          <w:highlight w:val="white"/>
        </w:rPr>
        <w:t xml:space="preserve">ecently, the American West-themed </w:t>
      </w:r>
      <w:r>
        <w:rPr>
          <w:rFonts w:ascii="Times New Roman" w:eastAsia="Times New Roman" w:hAnsi="Times New Roman" w:cs="Times New Roman"/>
          <w:i/>
          <w:color w:val="373A3C"/>
          <w:sz w:val="24"/>
          <w:szCs w:val="24"/>
          <w:highlight w:val="white"/>
        </w:rPr>
        <w:t>Red Dead Redemption 2</w:t>
      </w:r>
      <w:r>
        <w:rPr>
          <w:rFonts w:ascii="Times New Roman" w:eastAsia="Times New Roman" w:hAnsi="Times New Roman" w:cs="Times New Roman"/>
          <w:color w:val="373A3C"/>
          <w:sz w:val="24"/>
          <w:szCs w:val="24"/>
          <w:highlight w:val="white"/>
        </w:rPr>
        <w:t xml:space="preserve"> relied on Arthurian themes in its story, transporting elements of King Arthur and his warriors to a band of outlaws in a fictionalized America. Take, for example, the main character of the narrative, </w:t>
      </w:r>
      <w:r>
        <w:rPr>
          <w:rFonts w:ascii="Times New Roman" w:eastAsia="Times New Roman" w:hAnsi="Times New Roman" w:cs="Times New Roman"/>
          <w:color w:val="373A3C"/>
          <w:sz w:val="24"/>
          <w:szCs w:val="24"/>
          <w:highlight w:val="white"/>
        </w:rPr>
        <w:t xml:space="preserve">Arthur Morgan. His name draws on both sides of the good and evil divide in Arthurian legends, the noble King Arthur and the typically wicked or vindictive Morgan le Fay. It is appropriate then that the game should demand the player decide on which side of </w:t>
      </w:r>
      <w:r>
        <w:rPr>
          <w:rFonts w:ascii="Times New Roman" w:eastAsia="Times New Roman" w:hAnsi="Times New Roman" w:cs="Times New Roman"/>
          <w:color w:val="373A3C"/>
          <w:sz w:val="24"/>
          <w:szCs w:val="24"/>
          <w:highlight w:val="white"/>
        </w:rPr>
        <w:t>the moral divide Arthur will ultimately fall. However, it is not Arthur himself who represents his namesake in the game. Rather, Arthur’s mentor Dutch takes on the role of King Arthur, the leader of a roving band of fighters (albeit criminals in this versi</w:t>
      </w:r>
      <w:r>
        <w:rPr>
          <w:rFonts w:ascii="Times New Roman" w:eastAsia="Times New Roman" w:hAnsi="Times New Roman" w:cs="Times New Roman"/>
          <w:color w:val="373A3C"/>
          <w:sz w:val="24"/>
          <w:szCs w:val="24"/>
          <w:highlight w:val="white"/>
        </w:rPr>
        <w:t>on) who dream of an idyllic life of freedom and opportunity (the mythical Camelot) while society threatens to eradicate their way of life (in the same way that the Saxon invasions of Britain inevitably meant the end of Arthur’s kingdom). Dutch and his gang</w:t>
      </w:r>
      <w:r>
        <w:rPr>
          <w:rFonts w:ascii="Times New Roman" w:eastAsia="Times New Roman" w:hAnsi="Times New Roman" w:cs="Times New Roman"/>
          <w:color w:val="373A3C"/>
          <w:sz w:val="24"/>
          <w:szCs w:val="24"/>
          <w:highlight w:val="white"/>
        </w:rPr>
        <w:t xml:space="preserve"> seek one last, large score which will provide them the opportunity to escape to a paradise of their own making, much like Arthur and his knights would come to seek the Holy Grail in later romances. The character Hosea represents a Merlin figure, a wise, e</w:t>
      </w:r>
      <w:r>
        <w:rPr>
          <w:rFonts w:ascii="Times New Roman" w:eastAsia="Times New Roman" w:hAnsi="Times New Roman" w:cs="Times New Roman"/>
          <w:color w:val="373A3C"/>
          <w:sz w:val="24"/>
          <w:szCs w:val="24"/>
          <w:highlight w:val="white"/>
        </w:rPr>
        <w:t>xperienced ally of Dutch whose eventual death brings about strife and the loss of a stabilizing force. Dutch’s lover is even believed to have betrayed him at one point in the game, bringing about her own death and the loss of another stabilizing force in D</w:t>
      </w:r>
      <w:r>
        <w:rPr>
          <w:rFonts w:ascii="Times New Roman" w:eastAsia="Times New Roman" w:hAnsi="Times New Roman" w:cs="Times New Roman"/>
          <w:color w:val="373A3C"/>
          <w:sz w:val="24"/>
          <w:szCs w:val="24"/>
          <w:highlight w:val="white"/>
        </w:rPr>
        <w:t xml:space="preserve">utch’s life. The cruel, twisted character of Micah embodies the Mordred persona, called son by Dutch frequently and a constant poisoner of his mental state, as well as the eventual traitor whose actions see the end of the gang entirely. </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lastRenderedPageBreak/>
        <w:t>Arthur Morgan, mea</w:t>
      </w:r>
      <w:r>
        <w:rPr>
          <w:rFonts w:ascii="Times New Roman" w:eastAsia="Times New Roman" w:hAnsi="Times New Roman" w:cs="Times New Roman"/>
          <w:color w:val="373A3C"/>
          <w:sz w:val="24"/>
          <w:szCs w:val="24"/>
          <w:highlight w:val="white"/>
        </w:rPr>
        <w:t xml:space="preserve">nwhile, takes on the role of Lancelot, Dutch’s best fighter and closest friend whose eventual questioning of Dutch’s erratic actions is viewed as betrayal. It is Arthur’s alliance with one of the women in the party (albeit not Dutch’s lover) that causes a </w:t>
      </w:r>
      <w:r>
        <w:rPr>
          <w:rFonts w:ascii="Times New Roman" w:eastAsia="Times New Roman" w:hAnsi="Times New Roman" w:cs="Times New Roman"/>
          <w:color w:val="373A3C"/>
          <w:sz w:val="24"/>
          <w:szCs w:val="24"/>
          <w:highlight w:val="white"/>
        </w:rPr>
        <w:t xml:space="preserve">split in the gang brought about by the treacherous Micah, with some members allying themselves with Arthur and others remaining loyal to Dutch. Ultimately, the gang falls apart (much like the ending of the Round Table, especially in Tennyson’s </w:t>
      </w:r>
      <w:r>
        <w:rPr>
          <w:rFonts w:ascii="Times New Roman" w:eastAsia="Times New Roman" w:hAnsi="Times New Roman" w:cs="Times New Roman"/>
          <w:i/>
          <w:color w:val="373A3C"/>
          <w:sz w:val="24"/>
          <w:szCs w:val="24"/>
          <w:highlight w:val="white"/>
        </w:rPr>
        <w:t>Idylls</w:t>
      </w:r>
      <w:r>
        <w:rPr>
          <w:rFonts w:ascii="Times New Roman" w:eastAsia="Times New Roman" w:hAnsi="Times New Roman" w:cs="Times New Roman"/>
          <w:color w:val="373A3C"/>
          <w:sz w:val="24"/>
          <w:szCs w:val="24"/>
          <w:highlight w:val="white"/>
        </w:rPr>
        <w:t>), wit</w:t>
      </w:r>
      <w:r>
        <w:rPr>
          <w:rFonts w:ascii="Times New Roman" w:eastAsia="Times New Roman" w:hAnsi="Times New Roman" w:cs="Times New Roman"/>
          <w:color w:val="373A3C"/>
          <w:sz w:val="24"/>
          <w:szCs w:val="24"/>
          <w:highlight w:val="white"/>
        </w:rPr>
        <w:t>h none able to truly reach that final, big score (their Holy Grail). Only later does John Marston, viewed by Arthur as pure because of his family and like a younger brother or son to him, retrieve the money and make a new life for himself, much like Galaha</w:t>
      </w:r>
      <w:r>
        <w:rPr>
          <w:rFonts w:ascii="Times New Roman" w:eastAsia="Times New Roman" w:hAnsi="Times New Roman" w:cs="Times New Roman"/>
          <w:color w:val="373A3C"/>
          <w:sz w:val="24"/>
          <w:szCs w:val="24"/>
          <w:highlight w:val="white"/>
        </w:rPr>
        <w:t xml:space="preserve">d typically is considered the only knight worthy to fulfill the quest of the Holy Grail. If the player chooses to play Arthur as an honorable character, the game is even explicit about its connections to the Arthur legend, as John’s son speaks of “reading </w:t>
      </w:r>
      <w:r>
        <w:rPr>
          <w:rFonts w:ascii="Times New Roman" w:eastAsia="Times New Roman" w:hAnsi="Times New Roman" w:cs="Times New Roman"/>
          <w:color w:val="373A3C"/>
          <w:sz w:val="24"/>
          <w:szCs w:val="24"/>
          <w:highlight w:val="white"/>
        </w:rPr>
        <w:t>about Knights, you know, of the round table...There’s King Arthur, and there’s Sir Lancelot, and the Lady Guinevere, and a whole lot of others,” to which John responds that he likes the sound of those stories.</w:t>
      </w:r>
      <w:r>
        <w:rPr>
          <w:rFonts w:ascii="Times New Roman" w:eastAsia="Times New Roman" w:hAnsi="Times New Roman" w:cs="Times New Roman"/>
          <w:color w:val="373A3C"/>
          <w:sz w:val="24"/>
          <w:szCs w:val="24"/>
          <w:highlight w:val="white"/>
          <w:vertAlign w:val="superscript"/>
        </w:rPr>
        <w:footnoteReference w:id="38"/>
      </w:r>
      <w:r>
        <w:rPr>
          <w:rFonts w:ascii="Times New Roman" w:eastAsia="Times New Roman" w:hAnsi="Times New Roman" w:cs="Times New Roman"/>
          <w:color w:val="373A3C"/>
          <w:sz w:val="24"/>
          <w:szCs w:val="24"/>
          <w:highlight w:val="white"/>
        </w:rPr>
        <w:t xml:space="preserve"> What appears to be a random line that referen</w:t>
      </w:r>
      <w:r>
        <w:rPr>
          <w:rFonts w:ascii="Times New Roman" w:eastAsia="Times New Roman" w:hAnsi="Times New Roman" w:cs="Times New Roman"/>
          <w:color w:val="373A3C"/>
          <w:sz w:val="24"/>
          <w:szCs w:val="24"/>
          <w:highlight w:val="white"/>
        </w:rPr>
        <w:t>ces the positive end of the main character stands out to Arthurian scholars as confirmation that a contemporary video game set in the West of America actually relies heavily on medieval legends and a questionably historical king.</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That the King Arthur legen</w:t>
      </w:r>
      <w:r>
        <w:rPr>
          <w:rFonts w:ascii="Times New Roman" w:eastAsia="Times New Roman" w:hAnsi="Times New Roman" w:cs="Times New Roman"/>
          <w:color w:val="373A3C"/>
          <w:sz w:val="24"/>
          <w:szCs w:val="24"/>
          <w:highlight w:val="white"/>
        </w:rPr>
        <w:t xml:space="preserve">d can be found in a Western-themed video game testifies to its pervasiveness and endurance as a staple of popular culture. From books to games to movies, Arthur and his compatriots exist in countless forms of media, a theme examined by </w:t>
      </w:r>
      <w:proofErr w:type="spellStart"/>
      <w:r>
        <w:rPr>
          <w:rFonts w:ascii="Times New Roman" w:eastAsia="Times New Roman" w:hAnsi="Times New Roman" w:cs="Times New Roman"/>
          <w:color w:val="373A3C"/>
          <w:sz w:val="24"/>
          <w:szCs w:val="24"/>
          <w:highlight w:val="white"/>
        </w:rPr>
        <w:t>Sklar</w:t>
      </w:r>
      <w:proofErr w:type="spellEnd"/>
      <w:r>
        <w:rPr>
          <w:rFonts w:ascii="Times New Roman" w:eastAsia="Times New Roman" w:hAnsi="Times New Roman" w:cs="Times New Roman"/>
          <w:color w:val="373A3C"/>
          <w:sz w:val="24"/>
          <w:szCs w:val="24"/>
          <w:highlight w:val="white"/>
        </w:rPr>
        <w:t xml:space="preserve"> and Hoffman in</w:t>
      </w:r>
      <w:r>
        <w:rPr>
          <w:rFonts w:ascii="Times New Roman" w:eastAsia="Times New Roman" w:hAnsi="Times New Roman" w:cs="Times New Roman"/>
          <w:color w:val="373A3C"/>
          <w:sz w:val="24"/>
          <w:szCs w:val="24"/>
          <w:highlight w:val="white"/>
        </w:rPr>
        <w:t xml:space="preserve"> their examination of his role in popular culture. They reflect on how “Arthurian allusions permeate popular music; product and business names are drawn from the legends, </w:t>
      </w:r>
      <w:r>
        <w:rPr>
          <w:rFonts w:ascii="Times New Roman" w:eastAsia="Times New Roman" w:hAnsi="Times New Roman" w:cs="Times New Roman"/>
          <w:color w:val="373A3C"/>
          <w:sz w:val="24"/>
          <w:szCs w:val="24"/>
          <w:highlight w:val="white"/>
        </w:rPr>
        <w:lastRenderedPageBreak/>
        <w:t>undoubtedly because advertisers and marketers believe the names have a resonance that</w:t>
      </w:r>
      <w:r>
        <w:rPr>
          <w:rFonts w:ascii="Times New Roman" w:eastAsia="Times New Roman" w:hAnsi="Times New Roman" w:cs="Times New Roman"/>
          <w:color w:val="373A3C"/>
          <w:sz w:val="24"/>
          <w:szCs w:val="24"/>
          <w:highlight w:val="white"/>
        </w:rPr>
        <w:t xml:space="preserve"> will sell...these numerous manifestations make it clear that the study of popular Arthuriana is important because it is the study of our culture on many levels.”</w:t>
      </w:r>
      <w:r>
        <w:rPr>
          <w:rFonts w:ascii="Times New Roman" w:eastAsia="Times New Roman" w:hAnsi="Times New Roman" w:cs="Times New Roman"/>
          <w:color w:val="373A3C"/>
          <w:sz w:val="24"/>
          <w:szCs w:val="24"/>
          <w:highlight w:val="white"/>
          <w:vertAlign w:val="superscript"/>
        </w:rPr>
        <w:footnoteReference w:id="39"/>
      </w:r>
      <w:r>
        <w:rPr>
          <w:rFonts w:ascii="Times New Roman" w:eastAsia="Times New Roman" w:hAnsi="Times New Roman" w:cs="Times New Roman"/>
          <w:color w:val="373A3C"/>
          <w:sz w:val="24"/>
          <w:szCs w:val="24"/>
          <w:highlight w:val="white"/>
        </w:rPr>
        <w:t xml:space="preserve"> Arthur has maintained popularity for centuries precisely because his story can shift and mor</w:t>
      </w:r>
      <w:r>
        <w:rPr>
          <w:rFonts w:ascii="Times New Roman" w:eastAsia="Times New Roman" w:hAnsi="Times New Roman" w:cs="Times New Roman"/>
          <w:color w:val="373A3C"/>
          <w:sz w:val="24"/>
          <w:szCs w:val="24"/>
          <w:highlight w:val="white"/>
        </w:rPr>
        <w:t xml:space="preserve">ph into whatever version an audience deems satisfactory while still retaining some semblance his essence. As O </w:t>
      </w:r>
      <w:proofErr w:type="spellStart"/>
      <w:r>
        <w:rPr>
          <w:rFonts w:ascii="Times New Roman" w:eastAsia="Times New Roman" w:hAnsi="Times New Roman" w:cs="Times New Roman"/>
          <w:color w:val="373A3C"/>
          <w:sz w:val="24"/>
          <w:szCs w:val="24"/>
          <w:highlight w:val="white"/>
        </w:rPr>
        <w:t>Corrain</w:t>
      </w:r>
      <w:proofErr w:type="spellEnd"/>
      <w:r>
        <w:rPr>
          <w:rFonts w:ascii="Times New Roman" w:eastAsia="Times New Roman" w:hAnsi="Times New Roman" w:cs="Times New Roman"/>
          <w:color w:val="373A3C"/>
          <w:sz w:val="24"/>
          <w:szCs w:val="24"/>
          <w:highlight w:val="white"/>
        </w:rPr>
        <w:t xml:space="preserve"> demonstrates in his analysis of legend and tradition, the King Arthur story “is not the dead hand of the dead nor is it a pre-determining</w:t>
      </w:r>
      <w:r>
        <w:rPr>
          <w:rFonts w:ascii="Times New Roman" w:eastAsia="Times New Roman" w:hAnsi="Times New Roman" w:cs="Times New Roman"/>
          <w:color w:val="373A3C"/>
          <w:sz w:val="24"/>
          <w:szCs w:val="24"/>
          <w:highlight w:val="white"/>
        </w:rPr>
        <w:t xml:space="preserve"> code (like a biological one) which cannot be changed (at least consciously and in conscionable time) but a series of sets of </w:t>
      </w:r>
      <w:r>
        <w:rPr>
          <w:rFonts w:ascii="Times New Roman" w:eastAsia="Times New Roman" w:hAnsi="Times New Roman" w:cs="Times New Roman"/>
          <w:i/>
          <w:color w:val="373A3C"/>
          <w:sz w:val="24"/>
          <w:szCs w:val="24"/>
          <w:highlight w:val="white"/>
        </w:rPr>
        <w:t>possible</w:t>
      </w:r>
      <w:r>
        <w:rPr>
          <w:rFonts w:ascii="Times New Roman" w:eastAsia="Times New Roman" w:hAnsi="Times New Roman" w:cs="Times New Roman"/>
          <w:color w:val="373A3C"/>
          <w:sz w:val="24"/>
          <w:szCs w:val="24"/>
          <w:highlight w:val="white"/>
        </w:rPr>
        <w:t xml:space="preserve"> options which allow the community to interpret and re-interpret its past and thus choose its present.”</w:t>
      </w:r>
      <w:r>
        <w:rPr>
          <w:rFonts w:ascii="Times New Roman" w:eastAsia="Times New Roman" w:hAnsi="Times New Roman" w:cs="Times New Roman"/>
          <w:color w:val="373A3C"/>
          <w:sz w:val="24"/>
          <w:szCs w:val="24"/>
          <w:highlight w:val="white"/>
          <w:vertAlign w:val="superscript"/>
        </w:rPr>
        <w:footnoteReference w:id="40"/>
      </w:r>
      <w:r>
        <w:rPr>
          <w:rFonts w:ascii="Times New Roman" w:eastAsia="Times New Roman" w:hAnsi="Times New Roman" w:cs="Times New Roman"/>
          <w:color w:val="373A3C"/>
          <w:sz w:val="24"/>
          <w:szCs w:val="24"/>
          <w:highlight w:val="white"/>
        </w:rPr>
        <w:t xml:space="preserve"> The story of Arth</w:t>
      </w:r>
      <w:r>
        <w:rPr>
          <w:rFonts w:ascii="Times New Roman" w:eastAsia="Times New Roman" w:hAnsi="Times New Roman" w:cs="Times New Roman"/>
          <w:color w:val="373A3C"/>
          <w:sz w:val="24"/>
          <w:szCs w:val="24"/>
          <w:highlight w:val="white"/>
        </w:rPr>
        <w:t>ur becomes the story of hope and idealism itself, a belief in a better way of life, whatever that way might be for a particular audience.</w:t>
      </w:r>
    </w:p>
    <w:p w:rsidR="001D5EF0" w:rsidRDefault="003709DF" w:rsidP="004250E9">
      <w:pPr>
        <w:spacing w:line="480" w:lineRule="auto"/>
        <w:ind w:firstLine="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Historians, linguists, and archaeologists, among others will continue to debate the historicity of King Arthur. Some will believe wholeheartedly in his existence and importance in British history; others will reject him as nothing more than fantasy and myt</w:t>
      </w:r>
      <w:r>
        <w:rPr>
          <w:rFonts w:ascii="Times New Roman" w:eastAsia="Times New Roman" w:hAnsi="Times New Roman" w:cs="Times New Roman"/>
          <w:color w:val="373A3C"/>
          <w:sz w:val="24"/>
          <w:szCs w:val="24"/>
          <w:highlight w:val="white"/>
        </w:rPr>
        <w:t>h. Short of the discovery of some new manuscript or archaeological evidence, this debate will persist with little ground gained on either side. Meanwhile, the culture as a whole will continue to devour the legend of King Arthur in all manner of media. In t</w:t>
      </w:r>
      <w:r>
        <w:rPr>
          <w:rFonts w:ascii="Times New Roman" w:eastAsia="Times New Roman" w:hAnsi="Times New Roman" w:cs="Times New Roman"/>
          <w:color w:val="373A3C"/>
          <w:sz w:val="24"/>
          <w:szCs w:val="24"/>
          <w:highlight w:val="white"/>
        </w:rPr>
        <w:t>his way, T.H. White’s “Once and Future King” moniker proves impressively accurate. Whether in movies or books, TV shows or video games, the demand for a character both as permeable and yet so essential as Arthur shall not wane anytime soon. Whatever histor</w:t>
      </w:r>
      <w:r>
        <w:rPr>
          <w:rFonts w:ascii="Times New Roman" w:eastAsia="Times New Roman" w:hAnsi="Times New Roman" w:cs="Times New Roman"/>
          <w:color w:val="373A3C"/>
          <w:sz w:val="24"/>
          <w:szCs w:val="24"/>
          <w:highlight w:val="white"/>
        </w:rPr>
        <w:t xml:space="preserve">icity of Arthur, his legend endures and evolves for countless generations. He remains a most pervasive myth, powerful and long-lasting. King Arthur might not return from Avalon healed of his wounds, but his reign persists in the stories that have </w:t>
      </w:r>
      <w:r>
        <w:rPr>
          <w:rFonts w:ascii="Times New Roman" w:eastAsia="Times New Roman" w:hAnsi="Times New Roman" w:cs="Times New Roman"/>
          <w:color w:val="373A3C"/>
          <w:sz w:val="24"/>
          <w:szCs w:val="24"/>
          <w:highlight w:val="white"/>
        </w:rPr>
        <w:lastRenderedPageBreak/>
        <w:t>transform</w:t>
      </w:r>
      <w:r>
        <w:rPr>
          <w:rFonts w:ascii="Times New Roman" w:eastAsia="Times New Roman" w:hAnsi="Times New Roman" w:cs="Times New Roman"/>
          <w:color w:val="373A3C"/>
          <w:sz w:val="24"/>
          <w:szCs w:val="24"/>
          <w:highlight w:val="white"/>
        </w:rPr>
        <w:t>ed him truly into all things for all men. Historical or not, Arthur does indeed prove to be the Once and Future King.</w:t>
      </w:r>
      <w:r>
        <w:br w:type="page"/>
      </w:r>
    </w:p>
    <w:p w:rsidR="001D5EF0" w:rsidRDefault="003709DF">
      <w:pPr>
        <w:jc w:val="center"/>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lastRenderedPageBreak/>
        <w:t>Bibliography</w:t>
      </w:r>
    </w:p>
    <w:p w:rsidR="001D5EF0" w:rsidRDefault="001D5EF0">
      <w:pPr>
        <w:spacing w:line="240" w:lineRule="auto"/>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sz w:val="24"/>
          <w:szCs w:val="24"/>
        </w:rPr>
        <w:t xml:space="preserve">Anderson, Benedict, </w:t>
      </w:r>
      <w:r>
        <w:rPr>
          <w:rFonts w:ascii="Times New Roman" w:eastAsia="Times New Roman" w:hAnsi="Times New Roman" w:cs="Times New Roman"/>
          <w:i/>
          <w:sz w:val="24"/>
          <w:szCs w:val="24"/>
        </w:rPr>
        <w:t>Imagined Communities</w:t>
      </w:r>
      <w:r>
        <w:rPr>
          <w:rFonts w:ascii="Times New Roman" w:eastAsia="Times New Roman" w:hAnsi="Times New Roman" w:cs="Times New Roman"/>
          <w:sz w:val="24"/>
          <w:szCs w:val="24"/>
        </w:rPr>
        <w:t xml:space="preserve"> (London: Verso, 2006).</w:t>
      </w:r>
    </w:p>
    <w:p w:rsidR="001D5EF0" w:rsidRDefault="001D5EF0" w:rsidP="004250E9">
      <w:pPr>
        <w:spacing w:line="240" w:lineRule="auto"/>
        <w:ind w:left="720" w:hanging="720"/>
        <w:rPr>
          <w:rFonts w:ascii="Times New Roman" w:eastAsia="Times New Roman" w:hAnsi="Times New Roman" w:cs="Times New Roman"/>
          <w:color w:val="373A3C"/>
          <w:sz w:val="24"/>
          <w:szCs w:val="24"/>
          <w:highlight w:val="white"/>
        </w:rPr>
      </w:pPr>
    </w:p>
    <w:p w:rsidR="001D5EF0" w:rsidRDefault="003709DF" w:rsidP="004250E9">
      <w:pPr>
        <w:spacing w:line="240" w:lineRule="auto"/>
        <w:ind w:left="720" w:hanging="720"/>
        <w:rPr>
          <w:rFonts w:ascii="Times New Roman" w:eastAsia="Times New Roman" w:hAnsi="Times New Roman" w:cs="Times New Roman"/>
          <w:color w:val="373A3C"/>
          <w:sz w:val="24"/>
          <w:szCs w:val="24"/>
          <w:highlight w:val="white"/>
        </w:rPr>
      </w:pPr>
      <w:r>
        <w:rPr>
          <w:rFonts w:ascii="Times New Roman" w:eastAsia="Times New Roman" w:hAnsi="Times New Roman" w:cs="Times New Roman"/>
          <w:color w:val="373A3C"/>
          <w:sz w:val="24"/>
          <w:szCs w:val="24"/>
          <w:highlight w:val="white"/>
        </w:rPr>
        <w:t>Bromwich, Rachel</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Jarman</w:t>
      </w:r>
      <w:proofErr w:type="spellEnd"/>
      <w:r>
        <w:rPr>
          <w:rFonts w:ascii="Times New Roman" w:eastAsia="Times New Roman" w:hAnsi="Times New Roman" w:cs="Times New Roman"/>
          <w:sz w:val="24"/>
          <w:szCs w:val="24"/>
        </w:rPr>
        <w:t xml:space="preserve">, A. O. H., and Roberts, </w:t>
      </w:r>
      <w:proofErr w:type="spellStart"/>
      <w:r>
        <w:rPr>
          <w:rFonts w:ascii="Times New Roman" w:eastAsia="Times New Roman" w:hAnsi="Times New Roman" w:cs="Times New Roman"/>
          <w:sz w:val="24"/>
          <w:szCs w:val="24"/>
        </w:rPr>
        <w:t>Brynley</w:t>
      </w:r>
      <w:proofErr w:type="spellEnd"/>
      <w:r>
        <w:rPr>
          <w:rFonts w:ascii="Times New Roman" w:eastAsia="Times New Roman" w:hAnsi="Times New Roman" w:cs="Times New Roman"/>
          <w:sz w:val="24"/>
          <w:szCs w:val="24"/>
        </w:rPr>
        <w:t xml:space="preserve"> F., eds., </w:t>
      </w:r>
      <w:r>
        <w:rPr>
          <w:rFonts w:ascii="Times New Roman" w:eastAsia="Times New Roman" w:hAnsi="Times New Roman" w:cs="Times New Roman"/>
          <w:i/>
          <w:sz w:val="24"/>
          <w:szCs w:val="24"/>
        </w:rPr>
        <w:t>The Arthur of the Welsh</w:t>
      </w:r>
      <w:r>
        <w:rPr>
          <w:rFonts w:ascii="Times New Roman" w:eastAsia="Times New Roman" w:hAnsi="Times New Roman" w:cs="Times New Roman"/>
          <w:sz w:val="24"/>
          <w:szCs w:val="24"/>
        </w:rPr>
        <w:t xml:space="preserve"> (Cardiff: University of Wales Press, 1991).</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Charles-Edwards, Thomas, “The Arthur of History” in </w:t>
      </w:r>
      <w:r>
        <w:rPr>
          <w:rFonts w:ascii="Times New Roman" w:eastAsia="Times New Roman" w:hAnsi="Times New Roman" w:cs="Times New Roman"/>
          <w:i/>
          <w:sz w:val="24"/>
          <w:szCs w:val="24"/>
        </w:rPr>
        <w:t>The Arthur of the Welsh</w:t>
      </w:r>
      <w:r>
        <w:rPr>
          <w:rFonts w:ascii="Times New Roman" w:eastAsia="Times New Roman" w:hAnsi="Times New Roman" w:cs="Times New Roman"/>
          <w:sz w:val="24"/>
          <w:szCs w:val="24"/>
        </w:rPr>
        <w:t xml:space="preserve"> by Rachel Bromwich, A.O.H </w:t>
      </w:r>
      <w:proofErr w:type="spellStart"/>
      <w:r>
        <w:rPr>
          <w:rFonts w:ascii="Times New Roman" w:eastAsia="Times New Roman" w:hAnsi="Times New Roman" w:cs="Times New Roman"/>
          <w:sz w:val="24"/>
          <w:szCs w:val="24"/>
        </w:rPr>
        <w:t>Jarman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Brynley</w:t>
      </w:r>
      <w:proofErr w:type="spellEnd"/>
      <w:r>
        <w:rPr>
          <w:rFonts w:ascii="Times New Roman" w:eastAsia="Times New Roman" w:hAnsi="Times New Roman" w:cs="Times New Roman"/>
          <w:sz w:val="24"/>
          <w:szCs w:val="24"/>
        </w:rPr>
        <w:t xml:space="preserve"> F. Roberts, ed</w:t>
      </w:r>
      <w:r>
        <w:rPr>
          <w:rFonts w:ascii="Times New Roman" w:eastAsia="Times New Roman" w:hAnsi="Times New Roman" w:cs="Times New Roman"/>
          <w:sz w:val="24"/>
          <w:szCs w:val="24"/>
        </w:rPr>
        <w:t>s., (Cardiff: University of Wales Press, 1991), pp. 15-32.</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Coe, Jon and Young, Simon, </w:t>
      </w:r>
      <w:r>
        <w:rPr>
          <w:rFonts w:ascii="Times New Roman" w:eastAsia="Times New Roman" w:hAnsi="Times New Roman" w:cs="Times New Roman"/>
          <w:i/>
          <w:sz w:val="24"/>
          <w:szCs w:val="24"/>
        </w:rPr>
        <w:t>The Celtic Sources for the Arthurian Legend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Felinfach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Llanferch</w:t>
      </w:r>
      <w:proofErr w:type="spellEnd"/>
      <w:r>
        <w:rPr>
          <w:rFonts w:ascii="Times New Roman" w:eastAsia="Times New Roman" w:hAnsi="Times New Roman" w:cs="Times New Roman"/>
          <w:sz w:val="24"/>
          <w:szCs w:val="24"/>
        </w:rPr>
        <w:t xml:space="preserve"> Publishers, 1995).</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Dumville</w:t>
      </w:r>
      <w:proofErr w:type="spellEnd"/>
      <w:r>
        <w:rPr>
          <w:rFonts w:ascii="Times New Roman" w:eastAsia="Times New Roman" w:hAnsi="Times New Roman" w:cs="Times New Roman"/>
          <w:sz w:val="24"/>
          <w:szCs w:val="24"/>
        </w:rPr>
        <w:t xml:space="preserve">, David, “The Historical Value of the </w:t>
      </w:r>
      <w:r>
        <w:rPr>
          <w:rFonts w:ascii="Times New Roman" w:eastAsia="Times New Roman" w:hAnsi="Times New Roman" w:cs="Times New Roman"/>
          <w:i/>
          <w:sz w:val="24"/>
          <w:szCs w:val="24"/>
        </w:rPr>
        <w:t xml:space="preserve">Historia </w:t>
      </w:r>
      <w:proofErr w:type="spellStart"/>
      <w:r>
        <w:rPr>
          <w:rFonts w:ascii="Times New Roman" w:eastAsia="Times New Roman" w:hAnsi="Times New Roman" w:cs="Times New Roman"/>
          <w:i/>
          <w:sz w:val="24"/>
          <w:szCs w:val="24"/>
        </w:rPr>
        <w:t>Brittonum</w:t>
      </w:r>
      <w:proofErr w:type="spellEnd"/>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Arthurian Lite</w:t>
      </w:r>
      <w:r>
        <w:rPr>
          <w:rFonts w:ascii="Times New Roman" w:eastAsia="Times New Roman" w:hAnsi="Times New Roman" w:cs="Times New Roman"/>
          <w:i/>
          <w:sz w:val="24"/>
          <w:szCs w:val="24"/>
        </w:rPr>
        <w:t>rature</w:t>
      </w:r>
      <w:r>
        <w:rPr>
          <w:rFonts w:ascii="Times New Roman" w:eastAsia="Times New Roman" w:hAnsi="Times New Roman" w:cs="Times New Roman"/>
          <w:sz w:val="24"/>
          <w:szCs w:val="24"/>
        </w:rPr>
        <w:t>, 6 (1986), pp. 1-26.</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 Thomas, “The Historicity and </w:t>
      </w:r>
      <w:proofErr w:type="spellStart"/>
      <w:r>
        <w:rPr>
          <w:rFonts w:ascii="Times New Roman" w:eastAsia="Times New Roman" w:hAnsi="Times New Roman" w:cs="Times New Roman"/>
          <w:sz w:val="24"/>
          <w:szCs w:val="24"/>
        </w:rPr>
        <w:t>Historicisation</w:t>
      </w:r>
      <w:proofErr w:type="spellEnd"/>
      <w:r>
        <w:rPr>
          <w:rFonts w:ascii="Times New Roman" w:eastAsia="Times New Roman" w:hAnsi="Times New Roman" w:cs="Times New Roman"/>
          <w:sz w:val="24"/>
          <w:szCs w:val="24"/>
        </w:rPr>
        <w:t xml:space="preserve"> of Arthur” in </w:t>
      </w:r>
      <w:r>
        <w:rPr>
          <w:rFonts w:ascii="Times New Roman" w:eastAsia="Times New Roman" w:hAnsi="Times New Roman" w:cs="Times New Roman"/>
          <w:i/>
          <w:sz w:val="24"/>
          <w:szCs w:val="24"/>
        </w:rPr>
        <w:t>Arthuriana: Early Arthurian Tradition and the Origins of the Legend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Louth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Lindes</w:t>
      </w:r>
      <w:proofErr w:type="spellEnd"/>
      <w:r>
        <w:rPr>
          <w:rFonts w:ascii="Times New Roman" w:eastAsia="Times New Roman" w:hAnsi="Times New Roman" w:cs="Times New Roman"/>
          <w:sz w:val="24"/>
          <w:szCs w:val="24"/>
        </w:rPr>
        <w:t xml:space="preserve"> Press, 2009), pp. 1-32.</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Jackson, Kenneth, “The Arthur of History,” in </w:t>
      </w:r>
      <w:r>
        <w:rPr>
          <w:rFonts w:ascii="Times New Roman" w:eastAsia="Times New Roman" w:hAnsi="Times New Roman" w:cs="Times New Roman"/>
          <w:i/>
          <w:sz w:val="24"/>
          <w:szCs w:val="24"/>
        </w:rPr>
        <w:t>Arthuri</w:t>
      </w:r>
      <w:r>
        <w:rPr>
          <w:rFonts w:ascii="Times New Roman" w:eastAsia="Times New Roman" w:hAnsi="Times New Roman" w:cs="Times New Roman"/>
          <w:i/>
          <w:sz w:val="24"/>
          <w:szCs w:val="24"/>
        </w:rPr>
        <w:t>an Literature of the Middle Ages</w:t>
      </w:r>
      <w:r>
        <w:rPr>
          <w:rFonts w:ascii="Times New Roman" w:eastAsia="Times New Roman" w:hAnsi="Times New Roman" w:cs="Times New Roman"/>
          <w:sz w:val="24"/>
          <w:szCs w:val="24"/>
        </w:rPr>
        <w:t xml:space="preserve"> by R.S. Loomis, ed., (Oxford: Oxford University Press, 1959), pp. 1-11.</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Jones, David, “The Myth of Arthur” in </w:t>
      </w:r>
      <w:r>
        <w:rPr>
          <w:rFonts w:ascii="Times New Roman" w:eastAsia="Times New Roman" w:hAnsi="Times New Roman" w:cs="Times New Roman"/>
          <w:i/>
          <w:sz w:val="24"/>
          <w:szCs w:val="24"/>
        </w:rPr>
        <w:t>Epoch and Artist: Selected Writings</w:t>
      </w:r>
      <w:r>
        <w:rPr>
          <w:rFonts w:ascii="Times New Roman" w:eastAsia="Times New Roman" w:hAnsi="Times New Roman" w:cs="Times New Roman"/>
          <w:sz w:val="24"/>
          <w:szCs w:val="24"/>
        </w:rPr>
        <w:t>, (London: Faber, 1973), pp. 212-259.</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Lawhead</w:t>
      </w:r>
      <w:proofErr w:type="spellEnd"/>
      <w:r>
        <w:rPr>
          <w:rFonts w:ascii="Times New Roman" w:eastAsia="Times New Roman" w:hAnsi="Times New Roman" w:cs="Times New Roman"/>
          <w:sz w:val="24"/>
          <w:szCs w:val="24"/>
        </w:rPr>
        <w:t xml:space="preserve">, Steven, </w:t>
      </w:r>
      <w:r>
        <w:rPr>
          <w:rFonts w:ascii="Times New Roman" w:eastAsia="Times New Roman" w:hAnsi="Times New Roman" w:cs="Times New Roman"/>
          <w:i/>
          <w:sz w:val="24"/>
          <w:szCs w:val="24"/>
        </w:rPr>
        <w:t>Merlin</w:t>
      </w:r>
      <w:r>
        <w:rPr>
          <w:rFonts w:ascii="Times New Roman" w:eastAsia="Times New Roman" w:hAnsi="Times New Roman" w:cs="Times New Roman"/>
          <w:sz w:val="24"/>
          <w:szCs w:val="24"/>
        </w:rPr>
        <w:t xml:space="preserve"> (New York: Har</w:t>
      </w:r>
      <w:r>
        <w:rPr>
          <w:rFonts w:ascii="Times New Roman" w:eastAsia="Times New Roman" w:hAnsi="Times New Roman" w:cs="Times New Roman"/>
          <w:sz w:val="24"/>
          <w:szCs w:val="24"/>
        </w:rPr>
        <w:t>per Voyager, 1988).</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Lloyd-Morgan, </w:t>
      </w:r>
      <w:proofErr w:type="spellStart"/>
      <w:r>
        <w:rPr>
          <w:rFonts w:ascii="Times New Roman" w:eastAsia="Times New Roman" w:hAnsi="Times New Roman" w:cs="Times New Roman"/>
          <w:sz w:val="24"/>
          <w:szCs w:val="24"/>
        </w:rPr>
        <w:t>Ceridwen</w:t>
      </w:r>
      <w:proofErr w:type="spellEnd"/>
      <w:r>
        <w:rPr>
          <w:rFonts w:ascii="Times New Roman" w:eastAsia="Times New Roman" w:hAnsi="Times New Roman" w:cs="Times New Roman"/>
          <w:sz w:val="24"/>
          <w:szCs w:val="24"/>
        </w:rPr>
        <w:t xml:space="preserve">, “Narratives and Non-Narratives: Aspects of Welsh Arthurian Tradition”, </w:t>
      </w:r>
      <w:r>
        <w:rPr>
          <w:rFonts w:ascii="Times New Roman" w:eastAsia="Times New Roman" w:hAnsi="Times New Roman" w:cs="Times New Roman"/>
          <w:i/>
          <w:sz w:val="24"/>
          <w:szCs w:val="24"/>
        </w:rPr>
        <w:t>Arthurian Literature</w:t>
      </w:r>
      <w:r>
        <w:rPr>
          <w:rFonts w:ascii="Times New Roman" w:eastAsia="Times New Roman" w:hAnsi="Times New Roman" w:cs="Times New Roman"/>
          <w:sz w:val="24"/>
          <w:szCs w:val="24"/>
        </w:rPr>
        <w:t>, 21 (2004), p. 115-136.</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i/>
          <w:sz w:val="24"/>
          <w:szCs w:val="24"/>
        </w:rPr>
        <w:t>Monty Python and the Holy Grail</w:t>
      </w:r>
      <w:r>
        <w:rPr>
          <w:rFonts w:ascii="Times New Roman" w:eastAsia="Times New Roman" w:hAnsi="Times New Roman" w:cs="Times New Roman"/>
          <w:sz w:val="24"/>
          <w:szCs w:val="24"/>
        </w:rPr>
        <w:t>, dir. by Terry Gilliam and Terry Jones (Michael White Producti</w:t>
      </w:r>
      <w:r>
        <w:rPr>
          <w:rFonts w:ascii="Times New Roman" w:eastAsia="Times New Roman" w:hAnsi="Times New Roman" w:cs="Times New Roman"/>
          <w:sz w:val="24"/>
          <w:szCs w:val="24"/>
        </w:rPr>
        <w:t>ons, 1975).</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 </w:t>
      </w:r>
      <w:proofErr w:type="spellStart"/>
      <w:r>
        <w:rPr>
          <w:rFonts w:ascii="Times New Roman" w:eastAsia="Times New Roman" w:hAnsi="Times New Roman" w:cs="Times New Roman"/>
          <w:sz w:val="24"/>
          <w:szCs w:val="24"/>
        </w:rPr>
        <w:t>Corrain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Donnchadh</w:t>
      </w:r>
      <w:proofErr w:type="spellEnd"/>
      <w:r>
        <w:rPr>
          <w:rFonts w:ascii="Times New Roman" w:eastAsia="Times New Roman" w:hAnsi="Times New Roman" w:cs="Times New Roman"/>
          <w:sz w:val="24"/>
          <w:szCs w:val="24"/>
        </w:rPr>
        <w:t xml:space="preserve">, “Legend as Critic”, </w:t>
      </w:r>
      <w:r>
        <w:rPr>
          <w:rFonts w:ascii="Times New Roman" w:eastAsia="Times New Roman" w:hAnsi="Times New Roman" w:cs="Times New Roman"/>
          <w:i/>
          <w:sz w:val="24"/>
          <w:szCs w:val="24"/>
        </w:rPr>
        <w:t>Historical Studies</w:t>
      </w:r>
      <w:r>
        <w:rPr>
          <w:rFonts w:ascii="Times New Roman" w:eastAsia="Times New Roman" w:hAnsi="Times New Roman" w:cs="Times New Roman"/>
          <w:sz w:val="24"/>
          <w:szCs w:val="24"/>
        </w:rPr>
        <w:t>, 16 (1987), p. 23-38.</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Padel</w:t>
      </w:r>
      <w:proofErr w:type="spellEnd"/>
      <w:r>
        <w:rPr>
          <w:rFonts w:ascii="Times New Roman" w:eastAsia="Times New Roman" w:hAnsi="Times New Roman" w:cs="Times New Roman"/>
          <w:sz w:val="24"/>
          <w:szCs w:val="24"/>
        </w:rPr>
        <w:t xml:space="preserve">, O. J., “The Nature of Arthur,” </w:t>
      </w:r>
      <w:r>
        <w:rPr>
          <w:rFonts w:ascii="Times New Roman" w:eastAsia="Times New Roman" w:hAnsi="Times New Roman" w:cs="Times New Roman"/>
          <w:i/>
          <w:sz w:val="24"/>
          <w:szCs w:val="24"/>
        </w:rPr>
        <w:t>Cambrian Medieval Celtic Studies</w:t>
      </w:r>
      <w:r>
        <w:rPr>
          <w:rFonts w:ascii="Times New Roman" w:eastAsia="Times New Roman" w:hAnsi="Times New Roman" w:cs="Times New Roman"/>
          <w:sz w:val="24"/>
          <w:szCs w:val="24"/>
        </w:rPr>
        <w:t>, 27 (1994), pp. 1-31.</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i/>
          <w:sz w:val="24"/>
          <w:szCs w:val="24"/>
        </w:rPr>
        <w:t>Red Dead Redemption 2</w:t>
      </w:r>
      <w:r>
        <w:rPr>
          <w:rFonts w:ascii="Times New Roman" w:eastAsia="Times New Roman" w:hAnsi="Times New Roman" w:cs="Times New Roman"/>
          <w:sz w:val="24"/>
          <w:szCs w:val="24"/>
        </w:rPr>
        <w:t>, written by Dan Houser and Michael Unsworth</w:t>
      </w:r>
      <w:r>
        <w:rPr>
          <w:rFonts w:ascii="Times New Roman" w:eastAsia="Times New Roman" w:hAnsi="Times New Roman" w:cs="Times New Roman"/>
          <w:sz w:val="24"/>
          <w:szCs w:val="24"/>
        </w:rPr>
        <w:t xml:space="preserve"> (Rockstar Productions, 2018).</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Roberts, </w:t>
      </w:r>
      <w:proofErr w:type="spellStart"/>
      <w:r>
        <w:rPr>
          <w:rFonts w:ascii="Times New Roman" w:eastAsia="Times New Roman" w:hAnsi="Times New Roman" w:cs="Times New Roman"/>
          <w:sz w:val="24"/>
          <w:szCs w:val="24"/>
        </w:rPr>
        <w:t>Brynley</w:t>
      </w:r>
      <w:proofErr w:type="spellEnd"/>
      <w:r>
        <w:rPr>
          <w:rFonts w:ascii="Times New Roman" w:eastAsia="Times New Roman" w:hAnsi="Times New Roman" w:cs="Times New Roman"/>
          <w:sz w:val="24"/>
          <w:szCs w:val="24"/>
        </w:rPr>
        <w:t xml:space="preserve">, “Geoffrey of Monmouth and Welsh Historical Tradition”, </w:t>
      </w:r>
      <w:r>
        <w:rPr>
          <w:rFonts w:ascii="Times New Roman" w:eastAsia="Times New Roman" w:hAnsi="Times New Roman" w:cs="Times New Roman"/>
          <w:i/>
          <w:sz w:val="24"/>
          <w:szCs w:val="24"/>
        </w:rPr>
        <w:t>Nottingham Medieval Studies,</w:t>
      </w:r>
      <w:r>
        <w:rPr>
          <w:rFonts w:ascii="Times New Roman" w:eastAsia="Times New Roman" w:hAnsi="Times New Roman" w:cs="Times New Roman"/>
          <w:sz w:val="24"/>
          <w:szCs w:val="24"/>
        </w:rPr>
        <w:t xml:space="preserve"> 20 (1976), pp. 29-40.</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Sklar</w:t>
      </w:r>
      <w:proofErr w:type="spellEnd"/>
      <w:r>
        <w:rPr>
          <w:rFonts w:ascii="Times New Roman" w:eastAsia="Times New Roman" w:hAnsi="Times New Roman" w:cs="Times New Roman"/>
          <w:sz w:val="24"/>
          <w:szCs w:val="24"/>
        </w:rPr>
        <w:t xml:space="preserve">, Elizabeth  and Hoffman, Donald, </w:t>
      </w:r>
      <w:r>
        <w:rPr>
          <w:rFonts w:ascii="Times New Roman" w:eastAsia="Times New Roman" w:hAnsi="Times New Roman" w:cs="Times New Roman"/>
          <w:i/>
          <w:sz w:val="24"/>
          <w:szCs w:val="24"/>
        </w:rPr>
        <w:t>King Arthur in Popular Culture</w:t>
      </w:r>
      <w:r>
        <w:rPr>
          <w:rFonts w:ascii="Times New Roman" w:eastAsia="Times New Roman" w:hAnsi="Times New Roman" w:cs="Times New Roman"/>
          <w:sz w:val="24"/>
          <w:szCs w:val="24"/>
        </w:rPr>
        <w:t xml:space="preserve"> (Jefferson: McFarland, 2002).</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Stewart, Mary, </w:t>
      </w:r>
      <w:r>
        <w:rPr>
          <w:rFonts w:ascii="Times New Roman" w:eastAsia="Times New Roman" w:hAnsi="Times New Roman" w:cs="Times New Roman"/>
          <w:i/>
          <w:sz w:val="24"/>
          <w:szCs w:val="24"/>
        </w:rPr>
        <w:t>The Crystal Cave</w:t>
      </w:r>
      <w:r>
        <w:rPr>
          <w:rFonts w:ascii="Times New Roman" w:eastAsia="Times New Roman" w:hAnsi="Times New Roman" w:cs="Times New Roman"/>
          <w:sz w:val="24"/>
          <w:szCs w:val="24"/>
        </w:rPr>
        <w:t xml:space="preserve"> (New York: Fawcett Crest, 1970).</w:t>
      </w:r>
    </w:p>
    <w:p w:rsidR="001D5EF0" w:rsidRDefault="001D5EF0" w:rsidP="004250E9">
      <w:pPr>
        <w:spacing w:line="240" w:lineRule="auto"/>
        <w:ind w:left="720" w:hanging="720"/>
        <w:rPr>
          <w:rFonts w:ascii="Times New Roman" w:eastAsia="Times New Roman" w:hAnsi="Times New Roman" w:cs="Times New Roman"/>
          <w:sz w:val="24"/>
          <w:szCs w:val="24"/>
        </w:rPr>
      </w:pPr>
    </w:p>
    <w:p w:rsidR="001D5EF0" w:rsidRDefault="003709DF" w:rsidP="004250E9">
      <w:pPr>
        <w:spacing w:line="24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Tennyson, Lord Alfred, </w:t>
      </w:r>
      <w:r>
        <w:rPr>
          <w:rFonts w:ascii="Times New Roman" w:eastAsia="Times New Roman" w:hAnsi="Times New Roman" w:cs="Times New Roman"/>
          <w:i/>
          <w:sz w:val="24"/>
          <w:szCs w:val="24"/>
        </w:rPr>
        <w:t>Idylls of the King</w:t>
      </w:r>
      <w:r>
        <w:rPr>
          <w:rFonts w:ascii="Times New Roman" w:eastAsia="Times New Roman" w:hAnsi="Times New Roman" w:cs="Times New Roman"/>
          <w:sz w:val="24"/>
          <w:szCs w:val="24"/>
        </w:rPr>
        <w:t xml:space="preserve"> (New York: Signet Classics, 1961).</w:t>
      </w:r>
    </w:p>
    <w:p w:rsidR="001D5EF0" w:rsidRDefault="001D5EF0">
      <w:pPr>
        <w:spacing w:line="240" w:lineRule="auto"/>
        <w:rPr>
          <w:rFonts w:ascii="Times New Roman" w:eastAsia="Times New Roman" w:hAnsi="Times New Roman" w:cs="Times New Roman"/>
          <w:sz w:val="24"/>
          <w:szCs w:val="24"/>
        </w:rPr>
      </w:pPr>
    </w:p>
    <w:p w:rsidR="001D5EF0" w:rsidRDefault="001D5EF0">
      <w:pPr>
        <w:spacing w:line="240" w:lineRule="auto"/>
        <w:rPr>
          <w:rFonts w:ascii="Times New Roman" w:eastAsia="Times New Roman" w:hAnsi="Times New Roman" w:cs="Times New Roman"/>
          <w:sz w:val="24"/>
          <w:szCs w:val="24"/>
        </w:rPr>
      </w:pPr>
    </w:p>
    <w:sectPr w:rsidR="001D5EF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09DF" w:rsidRDefault="003709DF">
      <w:pPr>
        <w:spacing w:line="240" w:lineRule="auto"/>
      </w:pPr>
      <w:r>
        <w:separator/>
      </w:r>
    </w:p>
  </w:endnote>
  <w:endnote w:type="continuationSeparator" w:id="0">
    <w:p w:rsidR="003709DF" w:rsidRDefault="003709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Roboto">
    <w:altName w:val="Arial"/>
    <w:panose1 w:val="020B0604020202020204"/>
    <w:charset w:val="00"/>
    <w:family w:val="auto"/>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09DF" w:rsidRDefault="003709DF">
      <w:pPr>
        <w:spacing w:line="240" w:lineRule="auto"/>
      </w:pPr>
      <w:r>
        <w:separator/>
      </w:r>
    </w:p>
  </w:footnote>
  <w:footnote w:type="continuationSeparator" w:id="0">
    <w:p w:rsidR="003709DF" w:rsidRDefault="003709DF">
      <w:pPr>
        <w:spacing w:line="240" w:lineRule="auto"/>
      </w:pPr>
      <w:r>
        <w:continuationSeparator/>
      </w:r>
    </w:p>
  </w:footnote>
  <w:footnote w:id="1">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See “The Arthur of History” by Kenneth Jackson in Loomis’ </w:t>
      </w:r>
      <w:r>
        <w:rPr>
          <w:rFonts w:ascii="Times New Roman" w:eastAsia="Times New Roman" w:hAnsi="Times New Roman" w:cs="Times New Roman"/>
          <w:i/>
          <w:sz w:val="24"/>
          <w:szCs w:val="24"/>
        </w:rPr>
        <w:t>Arthurian Literatur</w:t>
      </w:r>
      <w:r>
        <w:rPr>
          <w:rFonts w:ascii="Times New Roman" w:eastAsia="Times New Roman" w:hAnsi="Times New Roman" w:cs="Times New Roman"/>
          <w:i/>
          <w:sz w:val="24"/>
          <w:szCs w:val="24"/>
        </w:rPr>
        <w:t>e in the Middle Ages</w:t>
      </w:r>
      <w:r>
        <w:rPr>
          <w:rFonts w:ascii="Times New Roman" w:eastAsia="Times New Roman" w:hAnsi="Times New Roman" w:cs="Times New Roman"/>
          <w:sz w:val="24"/>
          <w:szCs w:val="24"/>
        </w:rPr>
        <w:t xml:space="preserve"> (Oxford: Oxford University Press, 1959) and “The Nature of Arthur” by OJ </w:t>
      </w:r>
      <w:proofErr w:type="spellStart"/>
      <w:r>
        <w:rPr>
          <w:rFonts w:ascii="Times New Roman" w:eastAsia="Times New Roman" w:hAnsi="Times New Roman" w:cs="Times New Roman"/>
          <w:sz w:val="24"/>
          <w:szCs w:val="24"/>
        </w:rPr>
        <w:t>Padel</w:t>
      </w:r>
      <w:proofErr w:type="spellEnd"/>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The Cambrian Medieval Celtic Studies</w:t>
      </w:r>
      <w:r>
        <w:rPr>
          <w:rFonts w:ascii="Times New Roman" w:eastAsia="Times New Roman" w:hAnsi="Times New Roman" w:cs="Times New Roman"/>
          <w:sz w:val="24"/>
          <w:szCs w:val="24"/>
        </w:rPr>
        <w:t>, 27 (1994).</w:t>
      </w:r>
    </w:p>
  </w:footnote>
  <w:footnote w:id="2">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Thomas Charles-Edwards, “The Arthur of History” in </w:t>
      </w:r>
      <w:r>
        <w:rPr>
          <w:rFonts w:ascii="Times New Roman" w:eastAsia="Times New Roman" w:hAnsi="Times New Roman" w:cs="Times New Roman"/>
          <w:i/>
          <w:sz w:val="24"/>
          <w:szCs w:val="24"/>
        </w:rPr>
        <w:t>The Arthur of the Welsh</w:t>
      </w:r>
      <w:r>
        <w:rPr>
          <w:rFonts w:ascii="Times New Roman" w:eastAsia="Times New Roman" w:hAnsi="Times New Roman" w:cs="Times New Roman"/>
          <w:sz w:val="24"/>
          <w:szCs w:val="24"/>
        </w:rPr>
        <w:t xml:space="preserve"> by Rachel Bromwich, A.O.H </w:t>
      </w:r>
      <w:proofErr w:type="spellStart"/>
      <w:r>
        <w:rPr>
          <w:rFonts w:ascii="Times New Roman" w:eastAsia="Times New Roman" w:hAnsi="Times New Roman" w:cs="Times New Roman"/>
          <w:sz w:val="24"/>
          <w:szCs w:val="24"/>
        </w:rPr>
        <w:t>J</w:t>
      </w:r>
      <w:r>
        <w:rPr>
          <w:rFonts w:ascii="Times New Roman" w:eastAsia="Times New Roman" w:hAnsi="Times New Roman" w:cs="Times New Roman"/>
          <w:sz w:val="24"/>
          <w:szCs w:val="24"/>
        </w:rPr>
        <w:t>arman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Brynley</w:t>
      </w:r>
      <w:proofErr w:type="spellEnd"/>
      <w:r>
        <w:rPr>
          <w:rFonts w:ascii="Times New Roman" w:eastAsia="Times New Roman" w:hAnsi="Times New Roman" w:cs="Times New Roman"/>
          <w:sz w:val="24"/>
          <w:szCs w:val="24"/>
        </w:rPr>
        <w:t xml:space="preserve"> F. Roberts, eds., (Cardiff: University of Wales Press, 1991), p. 15.</w:t>
      </w:r>
    </w:p>
  </w:footnote>
  <w:footnote w:id="3">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Thomas Green, “The Historicity and </w:t>
      </w:r>
      <w:proofErr w:type="spellStart"/>
      <w:r>
        <w:rPr>
          <w:rFonts w:ascii="Times New Roman" w:eastAsia="Times New Roman" w:hAnsi="Times New Roman" w:cs="Times New Roman"/>
          <w:sz w:val="24"/>
          <w:szCs w:val="24"/>
        </w:rPr>
        <w:t>Historicisation</w:t>
      </w:r>
      <w:proofErr w:type="spellEnd"/>
      <w:r>
        <w:rPr>
          <w:rFonts w:ascii="Times New Roman" w:eastAsia="Times New Roman" w:hAnsi="Times New Roman" w:cs="Times New Roman"/>
          <w:sz w:val="24"/>
          <w:szCs w:val="24"/>
        </w:rPr>
        <w:t xml:space="preserve"> of Arthur” in </w:t>
      </w:r>
      <w:r>
        <w:rPr>
          <w:rFonts w:ascii="Times New Roman" w:eastAsia="Times New Roman" w:hAnsi="Times New Roman" w:cs="Times New Roman"/>
          <w:i/>
          <w:sz w:val="24"/>
          <w:szCs w:val="24"/>
        </w:rPr>
        <w:t>Arthuriana: Early Arthurian Tradition and the Origins of the Legend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Louth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Lindes</w:t>
      </w:r>
      <w:proofErr w:type="spellEnd"/>
      <w:r>
        <w:rPr>
          <w:rFonts w:ascii="Times New Roman" w:eastAsia="Times New Roman" w:hAnsi="Times New Roman" w:cs="Times New Roman"/>
          <w:sz w:val="24"/>
          <w:szCs w:val="24"/>
        </w:rPr>
        <w:t xml:space="preserve"> Press, 2009), p. 4</w:t>
      </w:r>
      <w:r>
        <w:rPr>
          <w:rFonts w:ascii="Times New Roman" w:eastAsia="Times New Roman" w:hAnsi="Times New Roman" w:cs="Times New Roman"/>
          <w:sz w:val="24"/>
          <w:szCs w:val="24"/>
        </w:rPr>
        <w:t>.</w:t>
      </w:r>
    </w:p>
  </w:footnote>
  <w:footnote w:id="4">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Kenneth Jackson, “The Arthur of History,” in </w:t>
      </w:r>
      <w:r>
        <w:rPr>
          <w:rFonts w:ascii="Times New Roman" w:eastAsia="Times New Roman" w:hAnsi="Times New Roman" w:cs="Times New Roman"/>
          <w:i/>
          <w:sz w:val="24"/>
          <w:szCs w:val="24"/>
        </w:rPr>
        <w:t>Arthurian Literature of the Middle Ages</w:t>
      </w:r>
      <w:r>
        <w:rPr>
          <w:rFonts w:ascii="Times New Roman" w:eastAsia="Times New Roman" w:hAnsi="Times New Roman" w:cs="Times New Roman"/>
          <w:sz w:val="24"/>
          <w:szCs w:val="24"/>
        </w:rPr>
        <w:t xml:space="preserve"> by R.S. Loomis, ed., (Oxford: Oxford University Press, 1959), p. 2. </w:t>
      </w:r>
    </w:p>
  </w:footnote>
  <w:footnote w:id="5">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Thomas Green, “The Historicity and </w:t>
      </w:r>
      <w:proofErr w:type="spellStart"/>
      <w:r>
        <w:rPr>
          <w:rFonts w:ascii="Times New Roman" w:eastAsia="Times New Roman" w:hAnsi="Times New Roman" w:cs="Times New Roman"/>
          <w:sz w:val="24"/>
          <w:szCs w:val="24"/>
        </w:rPr>
        <w:t>Historicisation</w:t>
      </w:r>
      <w:proofErr w:type="spellEnd"/>
      <w:r>
        <w:rPr>
          <w:rFonts w:ascii="Times New Roman" w:eastAsia="Times New Roman" w:hAnsi="Times New Roman" w:cs="Times New Roman"/>
          <w:sz w:val="24"/>
          <w:szCs w:val="24"/>
        </w:rPr>
        <w:t xml:space="preserve"> of Arthur” in </w:t>
      </w:r>
      <w:r>
        <w:rPr>
          <w:rFonts w:ascii="Times New Roman" w:eastAsia="Times New Roman" w:hAnsi="Times New Roman" w:cs="Times New Roman"/>
          <w:i/>
          <w:sz w:val="24"/>
          <w:szCs w:val="24"/>
        </w:rPr>
        <w:t>Arthuriana: Early Arthurian Tra</w:t>
      </w:r>
      <w:r>
        <w:rPr>
          <w:rFonts w:ascii="Times New Roman" w:eastAsia="Times New Roman" w:hAnsi="Times New Roman" w:cs="Times New Roman"/>
          <w:i/>
          <w:sz w:val="24"/>
          <w:szCs w:val="24"/>
        </w:rPr>
        <w:t>dition and the Origins of the Legend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Louth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Lindes</w:t>
      </w:r>
      <w:proofErr w:type="spellEnd"/>
      <w:r>
        <w:rPr>
          <w:rFonts w:ascii="Times New Roman" w:eastAsia="Times New Roman" w:hAnsi="Times New Roman" w:cs="Times New Roman"/>
          <w:sz w:val="24"/>
          <w:szCs w:val="24"/>
        </w:rPr>
        <w:t xml:space="preserve"> Press, 2009), p. 3.</w:t>
      </w:r>
    </w:p>
  </w:footnote>
  <w:footnote w:id="6">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Jon Coe and Simon Young, </w:t>
      </w:r>
      <w:r>
        <w:rPr>
          <w:rFonts w:ascii="Times New Roman" w:eastAsia="Times New Roman" w:hAnsi="Times New Roman" w:cs="Times New Roman"/>
          <w:i/>
          <w:sz w:val="24"/>
          <w:szCs w:val="24"/>
        </w:rPr>
        <w:t>The Celtic Sources for the Arth</w:t>
      </w:r>
      <w:r>
        <w:rPr>
          <w:rFonts w:ascii="Times New Roman" w:eastAsia="Times New Roman" w:hAnsi="Times New Roman" w:cs="Times New Roman"/>
          <w:i/>
          <w:sz w:val="24"/>
          <w:szCs w:val="24"/>
        </w:rPr>
        <w:t>urian Legend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Felinfach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Llanferch</w:t>
      </w:r>
      <w:proofErr w:type="spellEnd"/>
      <w:r>
        <w:rPr>
          <w:rFonts w:ascii="Times New Roman" w:eastAsia="Times New Roman" w:hAnsi="Times New Roman" w:cs="Times New Roman"/>
          <w:sz w:val="24"/>
          <w:szCs w:val="24"/>
        </w:rPr>
        <w:t xml:space="preserve"> Publishers, 1995), p. 6.</w:t>
      </w:r>
    </w:p>
  </w:footnote>
  <w:footnote w:id="7">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David </w:t>
      </w:r>
      <w:proofErr w:type="spellStart"/>
      <w:r>
        <w:rPr>
          <w:rFonts w:ascii="Times New Roman" w:eastAsia="Times New Roman" w:hAnsi="Times New Roman" w:cs="Times New Roman"/>
          <w:sz w:val="24"/>
          <w:szCs w:val="24"/>
        </w:rPr>
        <w:t>Dumville</w:t>
      </w:r>
      <w:proofErr w:type="spellEnd"/>
      <w:r>
        <w:rPr>
          <w:rFonts w:ascii="Times New Roman" w:eastAsia="Times New Roman" w:hAnsi="Times New Roman" w:cs="Times New Roman"/>
          <w:sz w:val="24"/>
          <w:szCs w:val="24"/>
        </w:rPr>
        <w:t xml:space="preserve">, “The Historical Value of the </w:t>
      </w:r>
      <w:r>
        <w:rPr>
          <w:rFonts w:ascii="Times New Roman" w:eastAsia="Times New Roman" w:hAnsi="Times New Roman" w:cs="Times New Roman"/>
          <w:i/>
          <w:sz w:val="24"/>
          <w:szCs w:val="24"/>
        </w:rPr>
        <w:t xml:space="preserve">Historia </w:t>
      </w:r>
      <w:proofErr w:type="spellStart"/>
      <w:r>
        <w:rPr>
          <w:rFonts w:ascii="Times New Roman" w:eastAsia="Times New Roman" w:hAnsi="Times New Roman" w:cs="Times New Roman"/>
          <w:i/>
          <w:sz w:val="24"/>
          <w:szCs w:val="24"/>
        </w:rPr>
        <w:t>Brittonum</w:t>
      </w:r>
      <w:proofErr w:type="spellEnd"/>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Arthurian Literature</w:t>
      </w:r>
      <w:r>
        <w:rPr>
          <w:rFonts w:ascii="Times New Roman" w:eastAsia="Times New Roman" w:hAnsi="Times New Roman" w:cs="Times New Roman"/>
          <w:sz w:val="24"/>
          <w:szCs w:val="24"/>
        </w:rPr>
        <w:t>, 6 (1986), p. 7.</w:t>
      </w:r>
    </w:p>
  </w:footnote>
  <w:footnote w:id="8">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Kenneth Jackson, “The Arthur of History,” in </w:t>
      </w:r>
      <w:r>
        <w:rPr>
          <w:rFonts w:ascii="Times New Roman" w:eastAsia="Times New Roman" w:hAnsi="Times New Roman" w:cs="Times New Roman"/>
          <w:i/>
          <w:sz w:val="24"/>
          <w:szCs w:val="24"/>
        </w:rPr>
        <w:t>Arthurian Literature of the M</w:t>
      </w:r>
      <w:r>
        <w:rPr>
          <w:rFonts w:ascii="Times New Roman" w:eastAsia="Times New Roman" w:hAnsi="Times New Roman" w:cs="Times New Roman"/>
          <w:i/>
          <w:sz w:val="24"/>
          <w:szCs w:val="24"/>
        </w:rPr>
        <w:t>iddle Ages</w:t>
      </w:r>
      <w:r>
        <w:rPr>
          <w:rFonts w:ascii="Times New Roman" w:eastAsia="Times New Roman" w:hAnsi="Times New Roman" w:cs="Times New Roman"/>
          <w:sz w:val="24"/>
          <w:szCs w:val="24"/>
        </w:rPr>
        <w:t xml:space="preserve"> by R.S. Loomis, ed., (Oxford: Oxford University Press, 1959), p. 11.</w:t>
      </w:r>
    </w:p>
  </w:footnote>
  <w:footnote w:id="9">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Jon Coe and Simon Young, </w:t>
      </w:r>
      <w:r>
        <w:rPr>
          <w:rFonts w:ascii="Times New Roman" w:eastAsia="Times New Roman" w:hAnsi="Times New Roman" w:cs="Times New Roman"/>
          <w:i/>
          <w:sz w:val="24"/>
          <w:szCs w:val="24"/>
        </w:rPr>
        <w:t>The Celtic Sources for the Arthurian Legend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Felinfach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Llanferch</w:t>
      </w:r>
      <w:proofErr w:type="spellEnd"/>
      <w:r>
        <w:rPr>
          <w:rFonts w:ascii="Times New Roman" w:eastAsia="Times New Roman" w:hAnsi="Times New Roman" w:cs="Times New Roman"/>
          <w:sz w:val="24"/>
          <w:szCs w:val="24"/>
        </w:rPr>
        <w:t xml:space="preserve"> Publishers, 1995), p. 6.</w:t>
      </w:r>
    </w:p>
  </w:footnote>
  <w:footnote w:id="10">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Thomas Green, “The Historicity and </w:t>
      </w:r>
      <w:proofErr w:type="spellStart"/>
      <w:r>
        <w:rPr>
          <w:rFonts w:ascii="Times New Roman" w:eastAsia="Times New Roman" w:hAnsi="Times New Roman" w:cs="Times New Roman"/>
          <w:sz w:val="24"/>
          <w:szCs w:val="24"/>
        </w:rPr>
        <w:t>Historicisation</w:t>
      </w:r>
      <w:proofErr w:type="spellEnd"/>
      <w:r>
        <w:rPr>
          <w:rFonts w:ascii="Times New Roman" w:eastAsia="Times New Roman" w:hAnsi="Times New Roman" w:cs="Times New Roman"/>
          <w:sz w:val="24"/>
          <w:szCs w:val="24"/>
        </w:rPr>
        <w:t xml:space="preserve"> of Arthur” in </w:t>
      </w:r>
      <w:r>
        <w:rPr>
          <w:rFonts w:ascii="Times New Roman" w:eastAsia="Times New Roman" w:hAnsi="Times New Roman" w:cs="Times New Roman"/>
          <w:i/>
          <w:sz w:val="24"/>
          <w:szCs w:val="24"/>
        </w:rPr>
        <w:t>Arthuriana: Early Arthurian Tradition and the Origins of the Legend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Louth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Lindes</w:t>
      </w:r>
      <w:proofErr w:type="spellEnd"/>
      <w:r>
        <w:rPr>
          <w:rFonts w:ascii="Times New Roman" w:eastAsia="Times New Roman" w:hAnsi="Times New Roman" w:cs="Times New Roman"/>
          <w:sz w:val="24"/>
          <w:szCs w:val="24"/>
        </w:rPr>
        <w:t xml:space="preserve"> Press, 20</w:t>
      </w:r>
      <w:r>
        <w:rPr>
          <w:rFonts w:ascii="Times New Roman" w:eastAsia="Times New Roman" w:hAnsi="Times New Roman" w:cs="Times New Roman"/>
          <w:sz w:val="24"/>
          <w:szCs w:val="24"/>
        </w:rPr>
        <w:t>09), p. 6.</w:t>
      </w:r>
    </w:p>
  </w:footnote>
  <w:footnote w:id="11">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Rachel Bromwich, A.O.H </w:t>
      </w:r>
      <w:proofErr w:type="spellStart"/>
      <w:r>
        <w:rPr>
          <w:rFonts w:ascii="Times New Roman" w:eastAsia="Times New Roman" w:hAnsi="Times New Roman" w:cs="Times New Roman"/>
          <w:sz w:val="24"/>
          <w:szCs w:val="24"/>
        </w:rPr>
        <w:t>Jarman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Brynley</w:t>
      </w:r>
      <w:proofErr w:type="spellEnd"/>
      <w:r>
        <w:rPr>
          <w:rFonts w:ascii="Times New Roman" w:eastAsia="Times New Roman" w:hAnsi="Times New Roman" w:cs="Times New Roman"/>
          <w:sz w:val="24"/>
          <w:szCs w:val="24"/>
        </w:rPr>
        <w:t xml:space="preserve"> F. Roberts, eds., </w:t>
      </w:r>
      <w:r>
        <w:rPr>
          <w:rFonts w:ascii="Times New Roman" w:eastAsia="Times New Roman" w:hAnsi="Times New Roman" w:cs="Times New Roman"/>
          <w:i/>
          <w:sz w:val="24"/>
          <w:szCs w:val="24"/>
        </w:rPr>
        <w:t>The Arthur of the Welsh</w:t>
      </w:r>
      <w:r>
        <w:rPr>
          <w:rFonts w:ascii="Times New Roman" w:eastAsia="Times New Roman" w:hAnsi="Times New Roman" w:cs="Times New Roman"/>
          <w:sz w:val="24"/>
          <w:szCs w:val="24"/>
        </w:rPr>
        <w:t xml:space="preserve"> (Cardiff: University of Wales Press, 1991), p. 3.</w:t>
      </w:r>
    </w:p>
  </w:footnote>
  <w:footnote w:id="12">
    <w:p w:rsidR="001D5EF0" w:rsidRDefault="003709DF">
      <w:pPr>
        <w:spacing w:line="240" w:lineRule="auto"/>
        <w:rPr>
          <w:sz w:val="20"/>
          <w:szCs w:val="20"/>
        </w:rPr>
      </w:pPr>
      <w:r>
        <w:rPr>
          <w:vertAlign w:val="superscript"/>
        </w:rPr>
        <w:footnoteRef/>
      </w:r>
      <w:r>
        <w:rPr>
          <w:rFonts w:ascii="Times New Roman" w:eastAsia="Times New Roman" w:hAnsi="Times New Roman" w:cs="Times New Roman"/>
          <w:sz w:val="24"/>
          <w:szCs w:val="24"/>
        </w:rPr>
        <w:t xml:space="preserve">O.J. </w:t>
      </w:r>
      <w:proofErr w:type="spellStart"/>
      <w:r>
        <w:rPr>
          <w:rFonts w:ascii="Times New Roman" w:eastAsia="Times New Roman" w:hAnsi="Times New Roman" w:cs="Times New Roman"/>
          <w:sz w:val="24"/>
          <w:szCs w:val="24"/>
        </w:rPr>
        <w:t>Padel</w:t>
      </w:r>
      <w:proofErr w:type="spellEnd"/>
      <w:r>
        <w:rPr>
          <w:rFonts w:ascii="Times New Roman" w:eastAsia="Times New Roman" w:hAnsi="Times New Roman" w:cs="Times New Roman"/>
          <w:sz w:val="24"/>
          <w:szCs w:val="24"/>
        </w:rPr>
        <w:t xml:space="preserve">, “The Nature of Arthur,” </w:t>
      </w:r>
      <w:r>
        <w:rPr>
          <w:rFonts w:ascii="Times New Roman" w:eastAsia="Times New Roman" w:hAnsi="Times New Roman" w:cs="Times New Roman"/>
          <w:i/>
          <w:sz w:val="24"/>
          <w:szCs w:val="24"/>
        </w:rPr>
        <w:t>Cambrian Medieval Celtic Studies</w:t>
      </w:r>
      <w:r>
        <w:rPr>
          <w:rFonts w:ascii="Times New Roman" w:eastAsia="Times New Roman" w:hAnsi="Times New Roman" w:cs="Times New Roman"/>
          <w:sz w:val="24"/>
          <w:szCs w:val="24"/>
        </w:rPr>
        <w:t>, 27 (1994), pp. 15.</w:t>
      </w:r>
    </w:p>
  </w:footnote>
  <w:footnote w:id="13">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Thomas Charles-Edwards, “The Arthur of History” in </w:t>
      </w:r>
      <w:r>
        <w:rPr>
          <w:rFonts w:ascii="Times New Roman" w:eastAsia="Times New Roman" w:hAnsi="Times New Roman" w:cs="Times New Roman"/>
          <w:i/>
          <w:sz w:val="24"/>
          <w:szCs w:val="24"/>
        </w:rPr>
        <w:t>The Arthur of the Welsh</w:t>
      </w:r>
      <w:r>
        <w:rPr>
          <w:rFonts w:ascii="Times New Roman" w:eastAsia="Times New Roman" w:hAnsi="Times New Roman" w:cs="Times New Roman"/>
          <w:sz w:val="24"/>
          <w:szCs w:val="24"/>
        </w:rPr>
        <w:t xml:space="preserve"> by Rachel Bromwich, A.O.H </w:t>
      </w:r>
      <w:proofErr w:type="spellStart"/>
      <w:r>
        <w:rPr>
          <w:rFonts w:ascii="Times New Roman" w:eastAsia="Times New Roman" w:hAnsi="Times New Roman" w:cs="Times New Roman"/>
          <w:sz w:val="24"/>
          <w:szCs w:val="24"/>
        </w:rPr>
        <w:t>Jarman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Brynley</w:t>
      </w:r>
      <w:proofErr w:type="spellEnd"/>
      <w:r>
        <w:rPr>
          <w:rFonts w:ascii="Times New Roman" w:eastAsia="Times New Roman" w:hAnsi="Times New Roman" w:cs="Times New Roman"/>
          <w:sz w:val="24"/>
          <w:szCs w:val="24"/>
        </w:rPr>
        <w:t xml:space="preserve"> F. Roberts, eds., (Cardiff: University of Wales Press, 1991), p. 15.</w:t>
      </w:r>
    </w:p>
  </w:footnote>
  <w:footnote w:id="14">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Jon Coe and Simon Young, </w:t>
      </w:r>
      <w:r>
        <w:rPr>
          <w:rFonts w:ascii="Times New Roman" w:eastAsia="Times New Roman" w:hAnsi="Times New Roman" w:cs="Times New Roman"/>
          <w:i/>
          <w:sz w:val="24"/>
          <w:szCs w:val="24"/>
        </w:rPr>
        <w:t>The Celtic Sources for the Arthurian Legend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Felinfach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Llanferch</w:t>
      </w:r>
      <w:proofErr w:type="spellEnd"/>
      <w:r>
        <w:rPr>
          <w:rFonts w:ascii="Times New Roman" w:eastAsia="Times New Roman" w:hAnsi="Times New Roman" w:cs="Times New Roman"/>
          <w:sz w:val="24"/>
          <w:szCs w:val="24"/>
        </w:rPr>
        <w:t xml:space="preserve"> Publishers, 1995), p. 154</w:t>
      </w:r>
    </w:p>
  </w:footnote>
  <w:footnote w:id="15">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Kenneth Jackson, “The Arthur of History,” in </w:t>
      </w:r>
      <w:r>
        <w:rPr>
          <w:rFonts w:ascii="Times New Roman" w:eastAsia="Times New Roman" w:hAnsi="Times New Roman" w:cs="Times New Roman"/>
          <w:i/>
          <w:sz w:val="24"/>
          <w:szCs w:val="24"/>
        </w:rPr>
        <w:t>Arthurian Literatur</w:t>
      </w:r>
      <w:r>
        <w:rPr>
          <w:rFonts w:ascii="Times New Roman" w:eastAsia="Times New Roman" w:hAnsi="Times New Roman" w:cs="Times New Roman"/>
          <w:i/>
          <w:sz w:val="24"/>
          <w:szCs w:val="24"/>
        </w:rPr>
        <w:t>e of the Middle Ages</w:t>
      </w:r>
      <w:r>
        <w:rPr>
          <w:rFonts w:ascii="Times New Roman" w:eastAsia="Times New Roman" w:hAnsi="Times New Roman" w:cs="Times New Roman"/>
          <w:sz w:val="24"/>
          <w:szCs w:val="24"/>
        </w:rPr>
        <w:t xml:space="preserve"> by R.S. Loomis, ed., (Oxford: Oxford University Press, 1959), p. 3.</w:t>
      </w:r>
    </w:p>
  </w:footnote>
  <w:footnote w:id="16">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O.J. </w:t>
      </w:r>
      <w:proofErr w:type="spellStart"/>
      <w:r>
        <w:rPr>
          <w:rFonts w:ascii="Times New Roman" w:eastAsia="Times New Roman" w:hAnsi="Times New Roman" w:cs="Times New Roman"/>
          <w:sz w:val="24"/>
          <w:szCs w:val="24"/>
        </w:rPr>
        <w:t>Padel</w:t>
      </w:r>
      <w:proofErr w:type="spellEnd"/>
      <w:r>
        <w:rPr>
          <w:rFonts w:ascii="Times New Roman" w:eastAsia="Times New Roman" w:hAnsi="Times New Roman" w:cs="Times New Roman"/>
          <w:sz w:val="24"/>
          <w:szCs w:val="24"/>
        </w:rPr>
        <w:t xml:space="preserve">, “The Nature of Arthur,” </w:t>
      </w:r>
      <w:r>
        <w:rPr>
          <w:rFonts w:ascii="Times New Roman" w:eastAsia="Times New Roman" w:hAnsi="Times New Roman" w:cs="Times New Roman"/>
          <w:i/>
          <w:sz w:val="24"/>
          <w:szCs w:val="24"/>
        </w:rPr>
        <w:t>Cambrian Medieval Celtic Studies</w:t>
      </w:r>
      <w:r>
        <w:rPr>
          <w:rFonts w:ascii="Times New Roman" w:eastAsia="Times New Roman" w:hAnsi="Times New Roman" w:cs="Times New Roman"/>
          <w:sz w:val="24"/>
          <w:szCs w:val="24"/>
        </w:rPr>
        <w:t>, 27 (1994), pp. 13-14.</w:t>
      </w:r>
    </w:p>
  </w:footnote>
  <w:footnote w:id="17">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Thomas Green, “The Historicity and </w:t>
      </w:r>
      <w:proofErr w:type="spellStart"/>
      <w:r>
        <w:rPr>
          <w:rFonts w:ascii="Times New Roman" w:eastAsia="Times New Roman" w:hAnsi="Times New Roman" w:cs="Times New Roman"/>
          <w:sz w:val="24"/>
          <w:szCs w:val="24"/>
        </w:rPr>
        <w:t>Historicisation</w:t>
      </w:r>
      <w:proofErr w:type="spellEnd"/>
      <w:r>
        <w:rPr>
          <w:rFonts w:ascii="Times New Roman" w:eastAsia="Times New Roman" w:hAnsi="Times New Roman" w:cs="Times New Roman"/>
          <w:sz w:val="24"/>
          <w:szCs w:val="24"/>
        </w:rPr>
        <w:t xml:space="preserve"> of Arthur” in </w:t>
      </w:r>
      <w:r>
        <w:rPr>
          <w:rFonts w:ascii="Times New Roman" w:eastAsia="Times New Roman" w:hAnsi="Times New Roman" w:cs="Times New Roman"/>
          <w:i/>
          <w:sz w:val="24"/>
          <w:szCs w:val="24"/>
        </w:rPr>
        <w:t>Arthur</w:t>
      </w:r>
      <w:r>
        <w:rPr>
          <w:rFonts w:ascii="Times New Roman" w:eastAsia="Times New Roman" w:hAnsi="Times New Roman" w:cs="Times New Roman"/>
          <w:i/>
          <w:sz w:val="24"/>
          <w:szCs w:val="24"/>
        </w:rPr>
        <w:t>iana: Early Arthurian Tradition and the Origins of the Legend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Louth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Lindes</w:t>
      </w:r>
      <w:proofErr w:type="spellEnd"/>
      <w:r>
        <w:rPr>
          <w:rFonts w:ascii="Times New Roman" w:eastAsia="Times New Roman" w:hAnsi="Times New Roman" w:cs="Times New Roman"/>
          <w:sz w:val="24"/>
          <w:szCs w:val="24"/>
        </w:rPr>
        <w:t xml:space="preserve"> Press, 2009), p. 4.</w:t>
      </w:r>
    </w:p>
  </w:footnote>
  <w:footnote w:id="18">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Ceridwen</w:t>
      </w:r>
      <w:proofErr w:type="spellEnd"/>
      <w:r>
        <w:rPr>
          <w:rFonts w:ascii="Times New Roman" w:eastAsia="Times New Roman" w:hAnsi="Times New Roman" w:cs="Times New Roman"/>
          <w:sz w:val="24"/>
          <w:szCs w:val="24"/>
        </w:rPr>
        <w:t xml:space="preserve"> Lloyd-M</w:t>
      </w:r>
      <w:r>
        <w:rPr>
          <w:rFonts w:ascii="Times New Roman" w:eastAsia="Times New Roman" w:hAnsi="Times New Roman" w:cs="Times New Roman"/>
          <w:sz w:val="24"/>
          <w:szCs w:val="24"/>
        </w:rPr>
        <w:t xml:space="preserve">organ, “Narratives and Non-Narratives: Aspects of Welsh Arthurian Tradition”, </w:t>
      </w:r>
      <w:r>
        <w:rPr>
          <w:rFonts w:ascii="Times New Roman" w:eastAsia="Times New Roman" w:hAnsi="Times New Roman" w:cs="Times New Roman"/>
          <w:i/>
          <w:sz w:val="24"/>
          <w:szCs w:val="24"/>
        </w:rPr>
        <w:t>Arthurian Literature</w:t>
      </w:r>
      <w:r>
        <w:rPr>
          <w:rFonts w:ascii="Times New Roman" w:eastAsia="Times New Roman" w:hAnsi="Times New Roman" w:cs="Times New Roman"/>
          <w:sz w:val="24"/>
          <w:szCs w:val="24"/>
        </w:rPr>
        <w:t>, 21 (2004), p. 115.</w:t>
      </w:r>
    </w:p>
  </w:footnote>
  <w:footnote w:id="19">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Kenneth Jackson, “The Arthur of History,” in </w:t>
      </w:r>
      <w:r>
        <w:rPr>
          <w:rFonts w:ascii="Times New Roman" w:eastAsia="Times New Roman" w:hAnsi="Times New Roman" w:cs="Times New Roman"/>
          <w:i/>
          <w:sz w:val="24"/>
          <w:szCs w:val="24"/>
        </w:rPr>
        <w:t>Arthurian Literature of the Middle Ages</w:t>
      </w:r>
      <w:r>
        <w:rPr>
          <w:rFonts w:ascii="Times New Roman" w:eastAsia="Times New Roman" w:hAnsi="Times New Roman" w:cs="Times New Roman"/>
          <w:sz w:val="24"/>
          <w:szCs w:val="24"/>
        </w:rPr>
        <w:t xml:space="preserve"> by R.S. Loomis, ed., (Oxford: Oxford University Pr</w:t>
      </w:r>
      <w:r>
        <w:rPr>
          <w:rFonts w:ascii="Times New Roman" w:eastAsia="Times New Roman" w:hAnsi="Times New Roman" w:cs="Times New Roman"/>
          <w:sz w:val="24"/>
          <w:szCs w:val="24"/>
        </w:rPr>
        <w:t>ess, 1959), p. 29.</w:t>
      </w:r>
    </w:p>
  </w:footnote>
  <w:footnote w:id="20">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Donnchadh</w:t>
      </w:r>
      <w:proofErr w:type="spellEnd"/>
      <w:r>
        <w:rPr>
          <w:rFonts w:ascii="Times New Roman" w:eastAsia="Times New Roman" w:hAnsi="Times New Roman" w:cs="Times New Roman"/>
          <w:sz w:val="24"/>
          <w:szCs w:val="24"/>
        </w:rPr>
        <w:t xml:space="preserve"> O </w:t>
      </w:r>
      <w:proofErr w:type="spellStart"/>
      <w:r>
        <w:rPr>
          <w:rFonts w:ascii="Times New Roman" w:eastAsia="Times New Roman" w:hAnsi="Times New Roman" w:cs="Times New Roman"/>
          <w:sz w:val="24"/>
          <w:szCs w:val="24"/>
        </w:rPr>
        <w:t>Corrain</w:t>
      </w:r>
      <w:proofErr w:type="spellEnd"/>
      <w:r>
        <w:rPr>
          <w:rFonts w:ascii="Times New Roman" w:eastAsia="Times New Roman" w:hAnsi="Times New Roman" w:cs="Times New Roman"/>
          <w:sz w:val="24"/>
          <w:szCs w:val="24"/>
        </w:rPr>
        <w:t xml:space="preserve">, “Legend as Critic”, </w:t>
      </w:r>
      <w:r>
        <w:rPr>
          <w:rFonts w:ascii="Times New Roman" w:eastAsia="Times New Roman" w:hAnsi="Times New Roman" w:cs="Times New Roman"/>
          <w:i/>
          <w:sz w:val="24"/>
          <w:szCs w:val="24"/>
        </w:rPr>
        <w:t>Historical Studies</w:t>
      </w:r>
      <w:r>
        <w:rPr>
          <w:rFonts w:ascii="Times New Roman" w:eastAsia="Times New Roman" w:hAnsi="Times New Roman" w:cs="Times New Roman"/>
          <w:sz w:val="24"/>
          <w:szCs w:val="24"/>
        </w:rPr>
        <w:t>, 16 (1987), p. 25.</w:t>
      </w:r>
    </w:p>
  </w:footnote>
  <w:footnote w:id="21">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See Benedict Anderson, </w:t>
      </w:r>
      <w:r>
        <w:rPr>
          <w:rFonts w:ascii="Times New Roman" w:eastAsia="Times New Roman" w:hAnsi="Times New Roman" w:cs="Times New Roman"/>
          <w:i/>
          <w:sz w:val="24"/>
          <w:szCs w:val="24"/>
        </w:rPr>
        <w:t>Imagined Communities</w:t>
      </w:r>
      <w:r>
        <w:rPr>
          <w:rFonts w:ascii="Times New Roman" w:eastAsia="Times New Roman" w:hAnsi="Times New Roman" w:cs="Times New Roman"/>
          <w:sz w:val="24"/>
          <w:szCs w:val="24"/>
        </w:rPr>
        <w:t xml:space="preserve"> (London: Verso, 2006).</w:t>
      </w:r>
    </w:p>
  </w:footnote>
  <w:footnote w:id="22">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Stephen </w:t>
      </w:r>
      <w:proofErr w:type="spellStart"/>
      <w:r>
        <w:rPr>
          <w:rFonts w:ascii="Times New Roman" w:eastAsia="Times New Roman" w:hAnsi="Times New Roman" w:cs="Times New Roman"/>
          <w:sz w:val="24"/>
          <w:szCs w:val="24"/>
        </w:rPr>
        <w:t>Lawhead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Merlin</w:t>
      </w:r>
      <w:r>
        <w:rPr>
          <w:rFonts w:ascii="Times New Roman" w:eastAsia="Times New Roman" w:hAnsi="Times New Roman" w:cs="Times New Roman"/>
          <w:sz w:val="24"/>
          <w:szCs w:val="24"/>
        </w:rPr>
        <w:t xml:space="preserve"> (New York: Harper Voyager, 1988), p. 183.</w:t>
      </w:r>
    </w:p>
  </w:footnote>
  <w:footnote w:id="23">
    <w:p w:rsidR="001D5EF0" w:rsidRDefault="003709DF">
      <w:pPr>
        <w:spacing w:line="240" w:lineRule="auto"/>
        <w:rPr>
          <w:rFonts w:ascii="Times New Roman" w:eastAsia="Times New Roman" w:hAnsi="Times New Roman" w:cs="Times New Roman"/>
          <w:sz w:val="24"/>
          <w:szCs w:val="24"/>
        </w:rPr>
      </w:pPr>
      <w:r>
        <w:rPr>
          <w:vertAlign w:val="superscript"/>
        </w:rPr>
        <w:footnoteRef/>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sz w:val="24"/>
          <w:szCs w:val="24"/>
        </w:rPr>
        <w:t>Pryddeu</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Annwfn</w:t>
      </w:r>
      <w:proofErr w:type="spellEnd"/>
    </w:p>
  </w:footnote>
  <w:footnote w:id="24">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i/>
          <w:sz w:val="24"/>
          <w:szCs w:val="24"/>
        </w:rPr>
        <w:t xml:space="preserve">The Dream of </w:t>
      </w:r>
      <w:proofErr w:type="spellStart"/>
      <w:r>
        <w:rPr>
          <w:rFonts w:ascii="Times New Roman" w:eastAsia="Times New Roman" w:hAnsi="Times New Roman" w:cs="Times New Roman"/>
          <w:i/>
          <w:sz w:val="24"/>
          <w:szCs w:val="24"/>
        </w:rPr>
        <w:t>Rhonabwy</w:t>
      </w:r>
      <w:proofErr w:type="spellEnd"/>
    </w:p>
  </w:footnote>
  <w:footnote w:id="25">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i/>
          <w:sz w:val="24"/>
          <w:szCs w:val="24"/>
        </w:rPr>
        <w:t xml:space="preserve">Historia </w:t>
      </w:r>
      <w:proofErr w:type="spellStart"/>
      <w:r>
        <w:rPr>
          <w:rFonts w:ascii="Times New Roman" w:eastAsia="Times New Roman" w:hAnsi="Times New Roman" w:cs="Times New Roman"/>
          <w:i/>
          <w:sz w:val="24"/>
          <w:szCs w:val="24"/>
        </w:rPr>
        <w:t>Brittonum</w:t>
      </w:r>
      <w:proofErr w:type="spellEnd"/>
    </w:p>
  </w:footnote>
  <w:footnote w:id="26">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See Mary Stewart’s </w:t>
      </w:r>
      <w:r>
        <w:rPr>
          <w:rFonts w:ascii="Times New Roman" w:eastAsia="Times New Roman" w:hAnsi="Times New Roman" w:cs="Times New Roman"/>
          <w:i/>
          <w:sz w:val="24"/>
          <w:szCs w:val="24"/>
        </w:rPr>
        <w:t>Merlin Trilogy,</w:t>
      </w:r>
      <w:r>
        <w:rPr>
          <w:rFonts w:ascii="Times New Roman" w:eastAsia="Times New Roman" w:hAnsi="Times New Roman" w:cs="Times New Roman"/>
          <w:sz w:val="24"/>
          <w:szCs w:val="24"/>
        </w:rPr>
        <w:t xml:space="preserve"> Marion Zimmer Bradley’s </w:t>
      </w:r>
      <w:r>
        <w:rPr>
          <w:rFonts w:ascii="Times New Roman" w:eastAsia="Times New Roman" w:hAnsi="Times New Roman" w:cs="Times New Roman"/>
          <w:i/>
          <w:sz w:val="24"/>
          <w:szCs w:val="24"/>
        </w:rPr>
        <w:t>Mists of Avalon</w:t>
      </w:r>
      <w:r>
        <w:rPr>
          <w:rFonts w:ascii="Times New Roman" w:eastAsia="Times New Roman" w:hAnsi="Times New Roman" w:cs="Times New Roman"/>
          <w:sz w:val="24"/>
          <w:szCs w:val="24"/>
        </w:rPr>
        <w:t xml:space="preserve">, and Stephen </w:t>
      </w:r>
      <w:proofErr w:type="spellStart"/>
      <w:r>
        <w:rPr>
          <w:rFonts w:ascii="Times New Roman" w:eastAsia="Times New Roman" w:hAnsi="Times New Roman" w:cs="Times New Roman"/>
          <w:sz w:val="24"/>
          <w:szCs w:val="24"/>
        </w:rPr>
        <w:t>Lawhead’s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Pendragon Cycle</w:t>
      </w:r>
    </w:p>
  </w:footnote>
  <w:footnote w:id="27">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i/>
          <w:sz w:val="24"/>
          <w:szCs w:val="24"/>
        </w:rPr>
        <w:t>Monty Python and the Holy Grail</w:t>
      </w:r>
      <w:r>
        <w:rPr>
          <w:rFonts w:ascii="Times New Roman" w:eastAsia="Times New Roman" w:hAnsi="Times New Roman" w:cs="Times New Roman"/>
          <w:sz w:val="24"/>
          <w:szCs w:val="24"/>
        </w:rPr>
        <w:t>, dir. by Terry Gilliam and Terry Jones (Michael White Productions, 1975).</w:t>
      </w:r>
    </w:p>
  </w:footnote>
  <w:footnote w:id="28">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Thomas Jones, “The Early Evolution of the Legend of Arthur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Nottingham Medieval Studies</w:t>
      </w:r>
      <w:r>
        <w:rPr>
          <w:rFonts w:ascii="Times New Roman" w:eastAsia="Times New Roman" w:hAnsi="Times New Roman" w:cs="Times New Roman"/>
          <w:sz w:val="24"/>
          <w:szCs w:val="24"/>
        </w:rPr>
        <w:t>, 8 (1964), pp. 19-20.</w:t>
      </w:r>
    </w:p>
  </w:footnote>
  <w:footnote w:id="29">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David Jones, “The Myth of Arthur” in </w:t>
      </w:r>
      <w:r>
        <w:rPr>
          <w:rFonts w:ascii="Times New Roman" w:eastAsia="Times New Roman" w:hAnsi="Times New Roman" w:cs="Times New Roman"/>
          <w:i/>
          <w:sz w:val="24"/>
          <w:szCs w:val="24"/>
        </w:rPr>
        <w:t>Epoch and Artist: Selected Writings</w:t>
      </w:r>
      <w:r>
        <w:rPr>
          <w:rFonts w:ascii="Times New Roman" w:eastAsia="Times New Roman" w:hAnsi="Times New Roman" w:cs="Times New Roman"/>
          <w:sz w:val="24"/>
          <w:szCs w:val="24"/>
        </w:rPr>
        <w:t>, (London: Faber, 1973), p. 218.</w:t>
      </w:r>
    </w:p>
  </w:footnote>
  <w:footnote w:id="30">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Brynley</w:t>
      </w:r>
      <w:proofErr w:type="spellEnd"/>
      <w:r>
        <w:rPr>
          <w:rFonts w:ascii="Times New Roman" w:eastAsia="Times New Roman" w:hAnsi="Times New Roman" w:cs="Times New Roman"/>
          <w:sz w:val="24"/>
          <w:szCs w:val="24"/>
        </w:rPr>
        <w:t xml:space="preserve"> Roberts, “Geoffrey of Monmouth and Welsh Historical Tradition”, </w:t>
      </w:r>
      <w:r>
        <w:rPr>
          <w:rFonts w:ascii="Times New Roman" w:eastAsia="Times New Roman" w:hAnsi="Times New Roman" w:cs="Times New Roman"/>
          <w:i/>
          <w:sz w:val="24"/>
          <w:szCs w:val="24"/>
        </w:rPr>
        <w:t>Nottingham Medieval Studies,</w:t>
      </w:r>
      <w:r>
        <w:rPr>
          <w:rFonts w:ascii="Times New Roman" w:eastAsia="Times New Roman" w:hAnsi="Times New Roman" w:cs="Times New Roman"/>
          <w:sz w:val="24"/>
          <w:szCs w:val="24"/>
        </w:rPr>
        <w:t xml:space="preserve"> 20 (1976), p. 37.</w:t>
      </w:r>
    </w:p>
  </w:footnote>
  <w:footnote w:id="31">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Alfred, Lord Tennyson, </w:t>
      </w:r>
      <w:r>
        <w:rPr>
          <w:rFonts w:ascii="Times New Roman" w:eastAsia="Times New Roman" w:hAnsi="Times New Roman" w:cs="Times New Roman"/>
          <w:i/>
          <w:sz w:val="24"/>
          <w:szCs w:val="24"/>
        </w:rPr>
        <w:t>Idylls of the King</w:t>
      </w:r>
      <w:r>
        <w:rPr>
          <w:rFonts w:ascii="Times New Roman" w:eastAsia="Times New Roman" w:hAnsi="Times New Roman" w:cs="Times New Roman"/>
          <w:sz w:val="24"/>
          <w:szCs w:val="24"/>
        </w:rPr>
        <w:t xml:space="preserve"> (New York: Signet Classics, 1961), p. 15.</w:t>
      </w:r>
    </w:p>
  </w:footnote>
  <w:footnote w:id="32">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Alfred, Lord Tennyson, </w:t>
      </w:r>
      <w:r>
        <w:rPr>
          <w:rFonts w:ascii="Times New Roman" w:eastAsia="Times New Roman" w:hAnsi="Times New Roman" w:cs="Times New Roman"/>
          <w:i/>
          <w:sz w:val="24"/>
          <w:szCs w:val="24"/>
        </w:rPr>
        <w:t>Idylls of the King</w:t>
      </w:r>
      <w:r>
        <w:rPr>
          <w:rFonts w:ascii="Times New Roman" w:eastAsia="Times New Roman" w:hAnsi="Times New Roman" w:cs="Times New Roman"/>
          <w:sz w:val="24"/>
          <w:szCs w:val="24"/>
        </w:rPr>
        <w:t xml:space="preserve"> (New York: Signet Classics, 1961), p. 240.</w:t>
      </w:r>
    </w:p>
  </w:footnote>
  <w:footnote w:id="33">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David Jones, “The Myth of Ar</w:t>
      </w:r>
      <w:r>
        <w:rPr>
          <w:rFonts w:ascii="Times New Roman" w:eastAsia="Times New Roman" w:hAnsi="Times New Roman" w:cs="Times New Roman"/>
          <w:sz w:val="24"/>
          <w:szCs w:val="24"/>
        </w:rPr>
        <w:t xml:space="preserve">thur” in </w:t>
      </w:r>
      <w:r>
        <w:rPr>
          <w:rFonts w:ascii="Times New Roman" w:eastAsia="Times New Roman" w:hAnsi="Times New Roman" w:cs="Times New Roman"/>
          <w:i/>
          <w:sz w:val="24"/>
          <w:szCs w:val="24"/>
        </w:rPr>
        <w:t>Epoch and Artist: Selected Writings</w:t>
      </w:r>
      <w:r>
        <w:rPr>
          <w:rFonts w:ascii="Times New Roman" w:eastAsia="Times New Roman" w:hAnsi="Times New Roman" w:cs="Times New Roman"/>
          <w:sz w:val="24"/>
          <w:szCs w:val="24"/>
        </w:rPr>
        <w:t>, (London: Faber, 1973), p. 215.</w:t>
      </w:r>
    </w:p>
  </w:footnote>
  <w:footnote w:id="34">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Alfred, Lord Tennyson, </w:t>
      </w:r>
      <w:r>
        <w:rPr>
          <w:rFonts w:ascii="Times New Roman" w:eastAsia="Times New Roman" w:hAnsi="Times New Roman" w:cs="Times New Roman"/>
          <w:i/>
          <w:sz w:val="24"/>
          <w:szCs w:val="24"/>
        </w:rPr>
        <w:t>Idylls of the King</w:t>
      </w:r>
      <w:r>
        <w:rPr>
          <w:rFonts w:ascii="Times New Roman" w:eastAsia="Times New Roman" w:hAnsi="Times New Roman" w:cs="Times New Roman"/>
          <w:sz w:val="24"/>
          <w:szCs w:val="24"/>
        </w:rPr>
        <w:t xml:space="preserve"> (New York: Signet Classics, </w:t>
      </w:r>
      <w:r>
        <w:rPr>
          <w:rFonts w:ascii="Times New Roman" w:eastAsia="Times New Roman" w:hAnsi="Times New Roman" w:cs="Times New Roman"/>
          <w:sz w:val="24"/>
          <w:szCs w:val="24"/>
        </w:rPr>
        <w:t>1961), p. 15.</w:t>
      </w:r>
    </w:p>
  </w:footnote>
  <w:footnote w:id="35">
    <w:p w:rsidR="001D5EF0" w:rsidRDefault="003709DF">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i/>
          <w:sz w:val="24"/>
          <w:szCs w:val="24"/>
        </w:rPr>
        <w:t>Monty Python and the Holy Grail</w:t>
      </w:r>
      <w:r>
        <w:rPr>
          <w:rFonts w:ascii="Times New Roman" w:eastAsia="Times New Roman" w:hAnsi="Times New Roman" w:cs="Times New Roman"/>
          <w:sz w:val="24"/>
          <w:szCs w:val="24"/>
        </w:rPr>
        <w:t>, dir. by Terry Gilliam and Terry Jones (Michael White Productions, 1975).</w:t>
      </w:r>
    </w:p>
  </w:footnote>
  <w:footnote w:id="36">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Mary Stewart, </w:t>
      </w:r>
      <w:r>
        <w:rPr>
          <w:rFonts w:ascii="Times New Roman" w:eastAsia="Times New Roman" w:hAnsi="Times New Roman" w:cs="Times New Roman"/>
          <w:i/>
          <w:sz w:val="24"/>
          <w:szCs w:val="24"/>
        </w:rPr>
        <w:t>The Crystal Cave</w:t>
      </w:r>
      <w:r>
        <w:rPr>
          <w:rFonts w:ascii="Times New Roman" w:eastAsia="Times New Roman" w:hAnsi="Times New Roman" w:cs="Times New Roman"/>
          <w:sz w:val="24"/>
          <w:szCs w:val="24"/>
        </w:rPr>
        <w:t xml:space="preserve"> (New York: Fawcett Crest, 1970), p. 382.</w:t>
      </w:r>
    </w:p>
  </w:footnote>
  <w:footnote w:id="37">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Stephen </w:t>
      </w:r>
      <w:proofErr w:type="spellStart"/>
      <w:r>
        <w:rPr>
          <w:rFonts w:ascii="Times New Roman" w:eastAsia="Times New Roman" w:hAnsi="Times New Roman" w:cs="Times New Roman"/>
          <w:sz w:val="24"/>
          <w:szCs w:val="24"/>
        </w:rPr>
        <w:t>Lawhead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Merlin</w:t>
      </w:r>
      <w:r>
        <w:rPr>
          <w:rFonts w:ascii="Times New Roman" w:eastAsia="Times New Roman" w:hAnsi="Times New Roman" w:cs="Times New Roman"/>
          <w:sz w:val="24"/>
          <w:szCs w:val="24"/>
        </w:rPr>
        <w:t xml:space="preserve"> (New York: Harper Voyager), p. 12.</w:t>
      </w:r>
    </w:p>
  </w:footnote>
  <w:footnote w:id="38">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i/>
          <w:sz w:val="24"/>
          <w:szCs w:val="24"/>
        </w:rPr>
        <w:t>Red Dead Redemption 2</w:t>
      </w:r>
      <w:r>
        <w:rPr>
          <w:rFonts w:ascii="Times New Roman" w:eastAsia="Times New Roman" w:hAnsi="Times New Roman" w:cs="Times New Roman"/>
          <w:sz w:val="24"/>
          <w:szCs w:val="24"/>
        </w:rPr>
        <w:t>, written by Dan Houser and Michael Unsworth (Rockstar Productions, 2018).</w:t>
      </w:r>
    </w:p>
  </w:footnote>
  <w:footnote w:id="39">
    <w:p w:rsidR="001D5EF0" w:rsidRDefault="003709DF">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Elizabeth </w:t>
      </w:r>
      <w:proofErr w:type="spellStart"/>
      <w:r>
        <w:rPr>
          <w:rFonts w:ascii="Times New Roman" w:eastAsia="Times New Roman" w:hAnsi="Times New Roman" w:cs="Times New Roman"/>
          <w:sz w:val="24"/>
          <w:szCs w:val="24"/>
        </w:rPr>
        <w:t>Sklar</w:t>
      </w:r>
      <w:proofErr w:type="spellEnd"/>
      <w:r>
        <w:rPr>
          <w:rFonts w:ascii="Times New Roman" w:eastAsia="Times New Roman" w:hAnsi="Times New Roman" w:cs="Times New Roman"/>
          <w:sz w:val="24"/>
          <w:szCs w:val="24"/>
        </w:rPr>
        <w:t xml:space="preserve"> and Donald Hoffman, </w:t>
      </w:r>
      <w:r>
        <w:rPr>
          <w:rFonts w:ascii="Times New Roman" w:eastAsia="Times New Roman" w:hAnsi="Times New Roman" w:cs="Times New Roman"/>
          <w:i/>
          <w:sz w:val="24"/>
          <w:szCs w:val="24"/>
        </w:rPr>
        <w:t>King Arthur in Popular Culture</w:t>
      </w:r>
      <w:r>
        <w:rPr>
          <w:rFonts w:ascii="Times New Roman" w:eastAsia="Times New Roman" w:hAnsi="Times New Roman" w:cs="Times New Roman"/>
          <w:sz w:val="24"/>
          <w:szCs w:val="24"/>
        </w:rPr>
        <w:t xml:space="preserve"> (Jefferson: McFarland, 2002), p. 2.</w:t>
      </w:r>
    </w:p>
  </w:footnote>
  <w:footnote w:id="40">
    <w:p w:rsidR="001D5EF0" w:rsidRDefault="003709DF">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Donnchadh</w:t>
      </w:r>
      <w:proofErr w:type="spellEnd"/>
      <w:r>
        <w:rPr>
          <w:rFonts w:ascii="Times New Roman" w:eastAsia="Times New Roman" w:hAnsi="Times New Roman" w:cs="Times New Roman"/>
          <w:sz w:val="24"/>
          <w:szCs w:val="24"/>
        </w:rPr>
        <w:t xml:space="preserve"> O </w:t>
      </w:r>
      <w:proofErr w:type="spellStart"/>
      <w:r>
        <w:rPr>
          <w:rFonts w:ascii="Times New Roman" w:eastAsia="Times New Roman" w:hAnsi="Times New Roman" w:cs="Times New Roman"/>
          <w:sz w:val="24"/>
          <w:szCs w:val="24"/>
        </w:rPr>
        <w:t>Cor</w:t>
      </w:r>
      <w:r>
        <w:rPr>
          <w:rFonts w:ascii="Times New Roman" w:eastAsia="Times New Roman" w:hAnsi="Times New Roman" w:cs="Times New Roman"/>
          <w:sz w:val="24"/>
          <w:szCs w:val="24"/>
        </w:rPr>
        <w:t>rain</w:t>
      </w:r>
      <w:proofErr w:type="spellEnd"/>
      <w:r>
        <w:rPr>
          <w:rFonts w:ascii="Times New Roman" w:eastAsia="Times New Roman" w:hAnsi="Times New Roman" w:cs="Times New Roman"/>
          <w:sz w:val="24"/>
          <w:szCs w:val="24"/>
        </w:rPr>
        <w:t xml:space="preserve">, “Legend as Critic”, </w:t>
      </w:r>
      <w:r>
        <w:rPr>
          <w:rFonts w:ascii="Times New Roman" w:eastAsia="Times New Roman" w:hAnsi="Times New Roman" w:cs="Times New Roman"/>
          <w:i/>
          <w:sz w:val="24"/>
          <w:szCs w:val="24"/>
        </w:rPr>
        <w:t>Historical Studies</w:t>
      </w:r>
      <w:r>
        <w:rPr>
          <w:rFonts w:ascii="Times New Roman" w:eastAsia="Times New Roman" w:hAnsi="Times New Roman" w:cs="Times New Roman"/>
          <w:sz w:val="24"/>
          <w:szCs w:val="24"/>
        </w:rPr>
        <w:t>, 16 (1987), p. 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D5EF0"/>
    <w:rsid w:val="0003509D"/>
    <w:rsid w:val="001D5EF0"/>
    <w:rsid w:val="003709DF"/>
    <w:rsid w:val="00425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4F06B"/>
  <w15:docId w15:val="{0422B870-845F-984F-B7BB-A0BBF43C2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rsid w:val="0003509D"/>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22</Pages>
  <Words>5025</Words>
  <Characters>28649</Characters>
  <Application>Microsoft Office Word</Application>
  <DocSecurity>0</DocSecurity>
  <Lines>238</Lines>
  <Paragraphs>67</Paragraphs>
  <ScaleCrop>false</ScaleCrop>
  <Company/>
  <LinksUpToDate>false</LinksUpToDate>
  <CharactersWithSpaces>33607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mckinleyterry@gmail.com</cp:lastModifiedBy>
  <cp:revision>3</cp:revision>
  <dcterms:created xsi:type="dcterms:W3CDTF">2019-01-14T16:03:00Z</dcterms:created>
  <dcterms:modified xsi:type="dcterms:W3CDTF">2019-01-14T16:06:00Z</dcterms:modified>
</cp:coreProperties>
</file>