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18DBD" w14:textId="77777777" w:rsidR="00944DDC" w:rsidRPr="00065B02" w:rsidRDefault="00944DDC" w:rsidP="00944DDC">
      <w:pPr>
        <w:rPr>
          <w:rFonts w:ascii="Times New Roman" w:hAnsi="Times New Roman" w:cs="Times New Roman"/>
          <w:sz w:val="24"/>
          <w:szCs w:val="24"/>
        </w:rPr>
      </w:pPr>
      <w:r w:rsidRPr="00065B02">
        <w:rPr>
          <w:rFonts w:ascii="Times New Roman" w:hAnsi="Times New Roman" w:cs="Times New Roman"/>
          <w:sz w:val="24"/>
          <w:szCs w:val="24"/>
        </w:rPr>
        <w:t>Lindsay Davies</w:t>
      </w:r>
    </w:p>
    <w:p w14:paraId="26C7692C" w14:textId="77777777" w:rsidR="00944DDC" w:rsidRPr="00065B02" w:rsidRDefault="00944DDC" w:rsidP="00944DDC">
      <w:pPr>
        <w:rPr>
          <w:rFonts w:ascii="Times New Roman" w:hAnsi="Times New Roman" w:cs="Times New Roman"/>
          <w:sz w:val="24"/>
          <w:szCs w:val="24"/>
        </w:rPr>
      </w:pPr>
      <w:r w:rsidRPr="00065B02">
        <w:rPr>
          <w:rFonts w:ascii="Times New Roman" w:hAnsi="Times New Roman" w:cs="Times New Roman"/>
          <w:sz w:val="24"/>
          <w:szCs w:val="24"/>
        </w:rPr>
        <w:t>2414210</w:t>
      </w:r>
    </w:p>
    <w:p w14:paraId="4B1A8AD6" w14:textId="77777777" w:rsidR="00944DDC" w:rsidRPr="00065B02" w:rsidRDefault="00944DDC" w:rsidP="00944DDC">
      <w:pPr>
        <w:rPr>
          <w:rFonts w:ascii="Times New Roman" w:hAnsi="Times New Roman" w:cs="Times New Roman"/>
          <w:sz w:val="24"/>
          <w:szCs w:val="24"/>
        </w:rPr>
      </w:pPr>
      <w:r w:rsidRPr="00065B02">
        <w:rPr>
          <w:rFonts w:ascii="Times New Roman" w:hAnsi="Times New Roman" w:cs="Times New Roman"/>
          <w:sz w:val="24"/>
          <w:szCs w:val="24"/>
        </w:rPr>
        <w:t>University of Wales Trinity Saint David</w:t>
      </w:r>
    </w:p>
    <w:p w14:paraId="544D0304" w14:textId="034C72F1" w:rsidR="00944DDC" w:rsidRPr="000D4146" w:rsidRDefault="00944DDC" w:rsidP="00944DDC">
      <w:pPr>
        <w:rPr>
          <w:rFonts w:ascii="Times New Roman" w:hAnsi="Times New Roman" w:cs="Times New Roman"/>
          <w:b/>
          <w:bCs/>
          <w:sz w:val="24"/>
          <w:szCs w:val="24"/>
        </w:rPr>
      </w:pPr>
      <w:r w:rsidRPr="00065B02">
        <w:rPr>
          <w:rFonts w:ascii="Times New Roman" w:hAnsi="Times New Roman" w:cs="Times New Roman"/>
          <w:sz w:val="24"/>
          <w:szCs w:val="24"/>
        </w:rPr>
        <w:t>Mode/code:</w:t>
      </w:r>
      <w:r>
        <w:rPr>
          <w:rFonts w:ascii="Times New Roman" w:hAnsi="Times New Roman" w:cs="Times New Roman"/>
          <w:sz w:val="24"/>
          <w:szCs w:val="24"/>
        </w:rPr>
        <w:t xml:space="preserve"> Health Promotion in Practice</w:t>
      </w:r>
      <w:r w:rsidR="000D4146" w:rsidRPr="000D4146">
        <w:rPr>
          <w:rFonts w:ascii="Times New Roman" w:hAnsi="Times New Roman" w:cs="Times New Roman"/>
          <w:sz w:val="24"/>
          <w:szCs w:val="24"/>
        </w:rPr>
        <w:t>/</w:t>
      </w:r>
      <w:r w:rsidR="000D4146" w:rsidRPr="000D4146">
        <w:rPr>
          <w:rFonts w:ascii="Times New Roman" w:hAnsi="Times New Roman" w:cs="Times New Roman"/>
          <w:sz w:val="24"/>
          <w:szCs w:val="24"/>
        </w:rPr>
        <w:t>(BMHN5002)</w:t>
      </w:r>
    </w:p>
    <w:p w14:paraId="4A385DB6" w14:textId="77777777" w:rsidR="00944DDC" w:rsidRPr="0028310A" w:rsidRDefault="00944DDC" w:rsidP="00944DDC">
      <w:pPr>
        <w:rPr>
          <w:rFonts w:ascii="Times New Roman" w:hAnsi="Times New Roman" w:cs="Times New Roman"/>
          <w:b/>
          <w:bCs/>
          <w:sz w:val="28"/>
          <w:szCs w:val="28"/>
          <w:u w:val="single"/>
        </w:rPr>
      </w:pPr>
      <w:r w:rsidRPr="00065B02">
        <w:rPr>
          <w:rFonts w:ascii="Times New Roman" w:hAnsi="Times New Roman" w:cs="Times New Roman"/>
          <w:sz w:val="24"/>
          <w:szCs w:val="24"/>
        </w:rPr>
        <w:t>Title:</w:t>
      </w:r>
      <w:r>
        <w:rPr>
          <w:rFonts w:ascii="Times New Roman" w:hAnsi="Times New Roman" w:cs="Times New Roman"/>
          <w:sz w:val="24"/>
          <w:szCs w:val="24"/>
        </w:rPr>
        <w:t xml:space="preserve"> </w:t>
      </w:r>
      <w:r w:rsidRPr="0028310A">
        <w:rPr>
          <w:rFonts w:ascii="Times New Roman" w:hAnsi="Times New Roman" w:cs="Times New Roman"/>
          <w:sz w:val="24"/>
          <w:szCs w:val="24"/>
        </w:rPr>
        <w:t>Promoting Dietary Fibre Intake: A Health Promotion Event Evaluation</w:t>
      </w:r>
    </w:p>
    <w:p w14:paraId="37BDE548" w14:textId="3DB2314D" w:rsidR="00944DDC" w:rsidRPr="00065B02" w:rsidRDefault="00944DDC" w:rsidP="00944DDC">
      <w:pPr>
        <w:rPr>
          <w:rFonts w:ascii="Times New Roman" w:hAnsi="Times New Roman" w:cs="Times New Roman"/>
          <w:sz w:val="24"/>
          <w:szCs w:val="24"/>
        </w:rPr>
      </w:pPr>
      <w:r w:rsidRPr="00065B02">
        <w:rPr>
          <w:rFonts w:ascii="Times New Roman" w:hAnsi="Times New Roman" w:cs="Times New Roman"/>
          <w:sz w:val="24"/>
          <w:szCs w:val="24"/>
        </w:rPr>
        <w:t>Word count</w:t>
      </w:r>
      <w:r>
        <w:rPr>
          <w:rFonts w:ascii="Times New Roman" w:hAnsi="Times New Roman" w:cs="Times New Roman"/>
          <w:sz w:val="24"/>
          <w:szCs w:val="24"/>
        </w:rPr>
        <w:t>: 2181</w:t>
      </w:r>
    </w:p>
    <w:p w14:paraId="0B11BAEC" w14:textId="77777777" w:rsidR="00944DDC" w:rsidRPr="007273B9" w:rsidRDefault="00944DDC" w:rsidP="00944DDC">
      <w:r w:rsidRPr="00432D7C">
        <w:rPr>
          <w:rFonts w:ascii="Times New Roman" w:hAnsi="Times New Roman" w:cs="Times New Roman"/>
          <w:sz w:val="24"/>
          <w:szCs w:val="24"/>
        </w:rPr>
        <w:t xml:space="preserve">For this assessment, Generative AI was used only for research, structuring, proofreading, and learning support, in line with module guidance. Copilot supported the research process by helping </w:t>
      </w:r>
      <w:r>
        <w:rPr>
          <w:rFonts w:ascii="Times New Roman" w:hAnsi="Times New Roman" w:cs="Times New Roman"/>
          <w:sz w:val="24"/>
          <w:szCs w:val="24"/>
        </w:rPr>
        <w:t>to locate academic sources, summarise external materials, and clarify data-handling steps in</w:t>
      </w:r>
      <w:r w:rsidRPr="00432D7C">
        <w:rPr>
          <w:rFonts w:ascii="Times New Roman" w:hAnsi="Times New Roman" w:cs="Times New Roman"/>
          <w:sz w:val="24"/>
          <w:szCs w:val="24"/>
        </w:rPr>
        <w:t xml:space="preserve"> Excel. Library search tools were used to find original theoretical papers, including the Behaviour Change Wheel, Self</w:t>
      </w:r>
      <w:r w:rsidRPr="00432D7C">
        <w:rPr>
          <w:rFonts w:ascii="Times New Roman" w:hAnsi="Times New Roman" w:cs="Times New Roman"/>
          <w:sz w:val="24"/>
          <w:szCs w:val="24"/>
        </w:rPr>
        <w:noBreakHyphen/>
        <w:t>Determination Theory, and the Transtheoretical Model. All analysis, interpretation, critical discussion, and written content were produced independently by the student.</w:t>
      </w:r>
      <w:r>
        <w:rPr>
          <w:rFonts w:ascii="Times New Roman" w:hAnsi="Times New Roman" w:cs="Times New Roman"/>
          <w:sz w:val="24"/>
          <w:szCs w:val="24"/>
        </w:rPr>
        <w:t xml:space="preserve"> </w:t>
      </w:r>
      <w:r w:rsidRPr="007273B9">
        <w:rPr>
          <w:rFonts w:ascii="Times New Roman" w:hAnsi="Times New Roman" w:cs="Times New Roman"/>
          <w:sz w:val="24"/>
          <w:szCs w:val="24"/>
        </w:rPr>
        <w:t xml:space="preserve">The table below outlines the AI tools used, </w:t>
      </w:r>
      <w:r>
        <w:rPr>
          <w:rFonts w:ascii="Times New Roman" w:hAnsi="Times New Roman" w:cs="Times New Roman"/>
          <w:sz w:val="24"/>
          <w:szCs w:val="24"/>
        </w:rPr>
        <w:t>their purposes</w:t>
      </w:r>
      <w:r w:rsidRPr="007273B9">
        <w:rPr>
          <w:rFonts w:ascii="Times New Roman" w:hAnsi="Times New Roman" w:cs="Times New Roman"/>
          <w:sz w:val="24"/>
          <w:szCs w:val="24"/>
        </w:rPr>
        <w:t>, and the example prompts that supported my research and learning.</w:t>
      </w:r>
    </w:p>
    <w:p w14:paraId="423CB950" w14:textId="77777777" w:rsidR="00944DDC" w:rsidRPr="00432D7C" w:rsidRDefault="00944DDC" w:rsidP="00944DDC">
      <w:pPr>
        <w:rPr>
          <w:rFonts w:ascii="Times New Roman" w:hAnsi="Times New Roman" w:cs="Times New Roman"/>
          <w:sz w:val="24"/>
          <w:szCs w:val="24"/>
        </w:rPr>
      </w:pPr>
    </w:p>
    <w:tbl>
      <w:tblPr>
        <w:tblStyle w:val="TableGrid"/>
        <w:tblW w:w="10060" w:type="dxa"/>
        <w:tblLook w:val="04A0" w:firstRow="1" w:lastRow="0" w:firstColumn="1" w:lastColumn="0" w:noHBand="0" w:noVBand="1"/>
      </w:tblPr>
      <w:tblGrid>
        <w:gridCol w:w="2051"/>
        <w:gridCol w:w="2051"/>
        <w:gridCol w:w="5958"/>
      </w:tblGrid>
      <w:tr w:rsidR="00944DDC" w:rsidRPr="00944DDC" w14:paraId="4E9875A4" w14:textId="77777777" w:rsidTr="003514F1">
        <w:tc>
          <w:tcPr>
            <w:tcW w:w="2051" w:type="dxa"/>
          </w:tcPr>
          <w:p w14:paraId="2E9E1A24"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AI tool</w:t>
            </w:r>
          </w:p>
        </w:tc>
        <w:tc>
          <w:tcPr>
            <w:tcW w:w="2051" w:type="dxa"/>
          </w:tcPr>
          <w:p w14:paraId="025D9606"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Reason for use</w:t>
            </w:r>
          </w:p>
        </w:tc>
        <w:tc>
          <w:tcPr>
            <w:tcW w:w="5958" w:type="dxa"/>
          </w:tcPr>
          <w:p w14:paraId="5B510778"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Example prompt(s)</w:t>
            </w:r>
          </w:p>
        </w:tc>
      </w:tr>
      <w:tr w:rsidR="00944DDC" w:rsidRPr="00944DDC" w14:paraId="3D9EFCA5" w14:textId="77777777" w:rsidTr="003514F1">
        <w:tc>
          <w:tcPr>
            <w:tcW w:w="2051" w:type="dxa"/>
          </w:tcPr>
          <w:p w14:paraId="49E5E666"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13C4BE62"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7DC87B95" w14:textId="2E088544"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Find me the current consumption of fibre being consumed each day in the UK</w:t>
            </w:r>
            <w:r w:rsidR="00530DFD">
              <w:rPr>
                <w:rFonts w:ascii="Times New Roman" w:hAnsi="Times New Roman" w:cs="Times New Roman"/>
              </w:rPr>
              <w:t>.</w:t>
            </w:r>
          </w:p>
          <w:p w14:paraId="0F39F5FF" w14:textId="77777777" w:rsidR="00944DDC" w:rsidRPr="00944DDC" w:rsidRDefault="00944DDC" w:rsidP="003514F1">
            <w:pPr>
              <w:rPr>
                <w:rFonts w:ascii="Times New Roman" w:hAnsi="Times New Roman" w:cs="Times New Roman"/>
              </w:rPr>
            </w:pPr>
          </w:p>
        </w:tc>
      </w:tr>
      <w:tr w:rsidR="00944DDC" w:rsidRPr="00944DDC" w14:paraId="765412F5" w14:textId="77777777" w:rsidTr="003514F1">
        <w:tc>
          <w:tcPr>
            <w:tcW w:w="2051" w:type="dxa"/>
          </w:tcPr>
          <w:p w14:paraId="174F2AF3"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532F5A0F"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5A9ECA9D" w14:textId="072CD8A7"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Show me a governing body that says that colorectal cancer is rising in the UK</w:t>
            </w:r>
            <w:r w:rsidR="009455E9">
              <w:rPr>
                <w:rFonts w:ascii="Times New Roman" w:hAnsi="Times New Roman" w:cs="Times New Roman"/>
              </w:rPr>
              <w:t>.</w:t>
            </w:r>
          </w:p>
          <w:p w14:paraId="18CFC8B9" w14:textId="77777777" w:rsidR="00944DDC" w:rsidRPr="00944DDC" w:rsidRDefault="00944DDC" w:rsidP="003514F1">
            <w:pPr>
              <w:rPr>
                <w:rFonts w:ascii="Times New Roman" w:hAnsi="Times New Roman" w:cs="Times New Roman"/>
              </w:rPr>
            </w:pPr>
          </w:p>
        </w:tc>
      </w:tr>
      <w:tr w:rsidR="00944DDC" w:rsidRPr="00944DDC" w14:paraId="2871EC5F" w14:textId="77777777" w:rsidTr="003514F1">
        <w:tc>
          <w:tcPr>
            <w:tcW w:w="2051" w:type="dxa"/>
          </w:tcPr>
          <w:p w14:paraId="12683239"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425B79DE"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4A5F063A" w14:textId="5E803A29"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Show me an academic paper that shows that low fibre increases constipation and colorectal cancer</w:t>
            </w:r>
            <w:r w:rsidR="009455E9">
              <w:rPr>
                <w:rFonts w:ascii="Times New Roman" w:hAnsi="Times New Roman" w:cs="Times New Roman"/>
              </w:rPr>
              <w:t>.</w:t>
            </w:r>
          </w:p>
          <w:p w14:paraId="3A7EAAF9" w14:textId="77777777" w:rsidR="00944DDC" w:rsidRPr="00944DDC" w:rsidRDefault="00944DDC" w:rsidP="003514F1">
            <w:pPr>
              <w:rPr>
                <w:rFonts w:ascii="Times New Roman" w:hAnsi="Times New Roman" w:cs="Times New Roman"/>
              </w:rPr>
            </w:pPr>
          </w:p>
        </w:tc>
      </w:tr>
      <w:tr w:rsidR="00944DDC" w:rsidRPr="00944DDC" w14:paraId="2869CA46" w14:textId="77777777" w:rsidTr="003514F1">
        <w:tc>
          <w:tcPr>
            <w:tcW w:w="2051" w:type="dxa"/>
          </w:tcPr>
          <w:p w14:paraId="3585D127"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69B59A6F"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76F28949" w14:textId="78441946"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Find me an academic journal that looks at increasing water intake when you increase fibre</w:t>
            </w:r>
            <w:r w:rsidR="009455E9">
              <w:rPr>
                <w:rFonts w:ascii="Times New Roman" w:hAnsi="Times New Roman" w:cs="Times New Roman"/>
              </w:rPr>
              <w:t>.</w:t>
            </w:r>
          </w:p>
          <w:p w14:paraId="5189A41D" w14:textId="77777777" w:rsidR="00944DDC" w:rsidRPr="00944DDC" w:rsidRDefault="00944DDC" w:rsidP="003514F1">
            <w:pPr>
              <w:rPr>
                <w:rFonts w:ascii="Times New Roman" w:hAnsi="Times New Roman" w:cs="Times New Roman"/>
              </w:rPr>
            </w:pPr>
          </w:p>
        </w:tc>
      </w:tr>
      <w:tr w:rsidR="00944DDC" w:rsidRPr="00944DDC" w14:paraId="4D45FCDA" w14:textId="77777777" w:rsidTr="003514F1">
        <w:tc>
          <w:tcPr>
            <w:tcW w:w="2051" w:type="dxa"/>
          </w:tcPr>
          <w:p w14:paraId="7D819BD2"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7043B090"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6FD96617"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Find me an academic journal that speaks of the importance of partnership working in health promotion</w:t>
            </w:r>
          </w:p>
          <w:p w14:paraId="022E8236" w14:textId="77777777" w:rsidR="00944DDC" w:rsidRPr="00944DDC" w:rsidRDefault="00944DDC" w:rsidP="003514F1">
            <w:pPr>
              <w:rPr>
                <w:rFonts w:ascii="Times New Roman" w:hAnsi="Times New Roman" w:cs="Times New Roman"/>
              </w:rPr>
            </w:pPr>
          </w:p>
        </w:tc>
      </w:tr>
      <w:tr w:rsidR="00944DDC" w:rsidRPr="00944DDC" w14:paraId="39CFBAC4" w14:textId="77777777" w:rsidTr="003514F1">
        <w:tc>
          <w:tcPr>
            <w:tcW w:w="2051" w:type="dxa"/>
          </w:tcPr>
          <w:p w14:paraId="1102099F"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1637DBC0"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77F6170F" w14:textId="678A7F39"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Show me the Public Health stance on partnership working in health promotion</w:t>
            </w:r>
            <w:r w:rsidR="009455E9">
              <w:rPr>
                <w:rFonts w:ascii="Times New Roman" w:hAnsi="Times New Roman" w:cs="Times New Roman"/>
              </w:rPr>
              <w:t>.</w:t>
            </w:r>
          </w:p>
          <w:p w14:paraId="36DF9123" w14:textId="77777777" w:rsidR="00944DDC" w:rsidRPr="00944DDC" w:rsidRDefault="00944DDC" w:rsidP="003514F1">
            <w:pPr>
              <w:rPr>
                <w:rFonts w:ascii="Times New Roman" w:hAnsi="Times New Roman" w:cs="Times New Roman"/>
              </w:rPr>
            </w:pPr>
          </w:p>
        </w:tc>
      </w:tr>
      <w:tr w:rsidR="00944DDC" w:rsidRPr="00944DDC" w14:paraId="010EE8D5" w14:textId="77777777" w:rsidTr="003514F1">
        <w:tc>
          <w:tcPr>
            <w:tcW w:w="2051" w:type="dxa"/>
          </w:tcPr>
          <w:p w14:paraId="713CBCE1"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4226EF1C"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6AAFEA3F" w14:textId="473FA405"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What is the WHO stance on partnership working in health promotion? Show me the links</w:t>
            </w:r>
            <w:r w:rsidR="009455E9">
              <w:rPr>
                <w:rFonts w:ascii="Times New Roman" w:hAnsi="Times New Roman" w:cs="Times New Roman"/>
              </w:rPr>
              <w:t>.</w:t>
            </w:r>
          </w:p>
          <w:p w14:paraId="79BA745C" w14:textId="77777777" w:rsidR="00944DDC" w:rsidRPr="00944DDC" w:rsidRDefault="00944DDC" w:rsidP="003514F1">
            <w:pPr>
              <w:rPr>
                <w:rFonts w:ascii="Times New Roman" w:hAnsi="Times New Roman" w:cs="Times New Roman"/>
              </w:rPr>
            </w:pPr>
          </w:p>
        </w:tc>
      </w:tr>
      <w:tr w:rsidR="00944DDC" w:rsidRPr="00944DDC" w14:paraId="7DB80DBD" w14:textId="77777777" w:rsidTr="003514F1">
        <w:tc>
          <w:tcPr>
            <w:tcW w:w="2051" w:type="dxa"/>
          </w:tcPr>
          <w:p w14:paraId="3406ED26"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08C4A65F"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7B2F4823" w14:textId="6F842663"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What is the WHO's stance on sustainability? Show me the links</w:t>
            </w:r>
            <w:r w:rsidR="009455E9">
              <w:rPr>
                <w:rFonts w:ascii="Times New Roman" w:hAnsi="Times New Roman" w:cs="Times New Roman"/>
              </w:rPr>
              <w:t>.</w:t>
            </w:r>
          </w:p>
          <w:p w14:paraId="5FEF630F" w14:textId="77777777" w:rsidR="00944DDC" w:rsidRPr="00944DDC" w:rsidRDefault="00944DDC" w:rsidP="003514F1">
            <w:pPr>
              <w:rPr>
                <w:rFonts w:ascii="Times New Roman" w:hAnsi="Times New Roman" w:cs="Times New Roman"/>
              </w:rPr>
            </w:pPr>
          </w:p>
        </w:tc>
      </w:tr>
      <w:tr w:rsidR="00944DDC" w:rsidRPr="00944DDC" w14:paraId="2B707EB2" w14:textId="77777777" w:rsidTr="003514F1">
        <w:tc>
          <w:tcPr>
            <w:tcW w:w="2051" w:type="dxa"/>
          </w:tcPr>
          <w:p w14:paraId="18F3FCF4"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Library</w:t>
            </w:r>
          </w:p>
        </w:tc>
        <w:tc>
          <w:tcPr>
            <w:tcW w:w="2051" w:type="dxa"/>
          </w:tcPr>
          <w:p w14:paraId="633BE8B1"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0C5AB628" w14:textId="5C0CDC46"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Behaviour change wheel</w:t>
            </w:r>
            <w:r w:rsidR="00530DFD">
              <w:rPr>
                <w:rFonts w:ascii="Times New Roman" w:hAnsi="Times New Roman" w:cs="Times New Roman"/>
              </w:rPr>
              <w:t>.</w:t>
            </w:r>
          </w:p>
          <w:p w14:paraId="0F0AC692" w14:textId="77777777" w:rsidR="00944DDC" w:rsidRPr="00944DDC" w:rsidRDefault="00944DDC" w:rsidP="003514F1">
            <w:pPr>
              <w:rPr>
                <w:rFonts w:ascii="Times New Roman" w:hAnsi="Times New Roman" w:cs="Times New Roman"/>
              </w:rPr>
            </w:pPr>
          </w:p>
        </w:tc>
      </w:tr>
      <w:tr w:rsidR="00944DDC" w:rsidRPr="00944DDC" w14:paraId="01B944DB" w14:textId="77777777" w:rsidTr="003514F1">
        <w:tc>
          <w:tcPr>
            <w:tcW w:w="2051" w:type="dxa"/>
          </w:tcPr>
          <w:p w14:paraId="15B93A39"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Library</w:t>
            </w:r>
          </w:p>
        </w:tc>
        <w:tc>
          <w:tcPr>
            <w:tcW w:w="2051" w:type="dxa"/>
          </w:tcPr>
          <w:p w14:paraId="7DFB6216"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2FEEEDD7" w14:textId="746B6309"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Self-determination theory</w:t>
            </w:r>
            <w:r w:rsidR="00530DFD">
              <w:rPr>
                <w:rFonts w:ascii="Times New Roman" w:hAnsi="Times New Roman" w:cs="Times New Roman"/>
              </w:rPr>
              <w:t>.</w:t>
            </w:r>
          </w:p>
          <w:p w14:paraId="7C2710B7" w14:textId="77777777" w:rsidR="00944DDC" w:rsidRPr="00944DDC" w:rsidRDefault="00944DDC" w:rsidP="003514F1">
            <w:pPr>
              <w:rPr>
                <w:rFonts w:ascii="Times New Roman" w:hAnsi="Times New Roman" w:cs="Times New Roman"/>
              </w:rPr>
            </w:pPr>
          </w:p>
        </w:tc>
      </w:tr>
      <w:tr w:rsidR="00944DDC" w:rsidRPr="00944DDC" w14:paraId="3E572041" w14:textId="77777777" w:rsidTr="003514F1">
        <w:tc>
          <w:tcPr>
            <w:tcW w:w="2051" w:type="dxa"/>
          </w:tcPr>
          <w:p w14:paraId="3B932926"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179E7B5D"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35EF6020" w14:textId="5F1E48E0"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How </w:t>
            </w:r>
            <w:r w:rsidR="006E28C4">
              <w:rPr>
                <w:rFonts w:ascii="Times New Roman" w:hAnsi="Times New Roman" w:cs="Times New Roman"/>
              </w:rPr>
              <w:t>does Public Health evaluate its</w:t>
            </w:r>
            <w:r w:rsidRPr="00944DDC">
              <w:rPr>
                <w:rFonts w:ascii="Times New Roman" w:hAnsi="Times New Roman" w:cs="Times New Roman"/>
              </w:rPr>
              <w:t xml:space="preserve"> health promotion campaigns</w:t>
            </w:r>
            <w:r w:rsidR="00530DFD">
              <w:rPr>
                <w:rFonts w:ascii="Times New Roman" w:hAnsi="Times New Roman" w:cs="Times New Roman"/>
              </w:rPr>
              <w:t>?</w:t>
            </w:r>
          </w:p>
          <w:p w14:paraId="3B476E16" w14:textId="77777777" w:rsidR="00944DDC" w:rsidRPr="00944DDC" w:rsidRDefault="00944DDC" w:rsidP="003514F1">
            <w:pPr>
              <w:rPr>
                <w:rFonts w:ascii="Times New Roman" w:hAnsi="Times New Roman" w:cs="Times New Roman"/>
              </w:rPr>
            </w:pPr>
          </w:p>
        </w:tc>
      </w:tr>
      <w:tr w:rsidR="00944DDC" w:rsidRPr="00944DDC" w14:paraId="3BCB708C" w14:textId="77777777" w:rsidTr="003514F1">
        <w:tc>
          <w:tcPr>
            <w:tcW w:w="2051" w:type="dxa"/>
          </w:tcPr>
          <w:p w14:paraId="2F7D246C"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lastRenderedPageBreak/>
              <w:t>Copilot</w:t>
            </w:r>
          </w:p>
        </w:tc>
        <w:tc>
          <w:tcPr>
            <w:tcW w:w="2051" w:type="dxa"/>
          </w:tcPr>
          <w:p w14:paraId="6EEB0FA9"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4AC4AAB9" w14:textId="2CD13EE0"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Find me an academic journal that looks at the importance of evaluating health promotion events</w:t>
            </w:r>
            <w:r w:rsidR="006E28C4">
              <w:rPr>
                <w:rFonts w:ascii="Times New Roman" w:hAnsi="Times New Roman" w:cs="Times New Roman"/>
              </w:rPr>
              <w:t>.</w:t>
            </w:r>
          </w:p>
          <w:p w14:paraId="75D65D6F" w14:textId="77777777" w:rsidR="00944DDC" w:rsidRPr="00944DDC" w:rsidRDefault="00944DDC" w:rsidP="003514F1">
            <w:pPr>
              <w:rPr>
                <w:rFonts w:ascii="Times New Roman" w:hAnsi="Times New Roman" w:cs="Times New Roman"/>
              </w:rPr>
            </w:pPr>
          </w:p>
        </w:tc>
      </w:tr>
      <w:tr w:rsidR="00944DDC" w:rsidRPr="00944DDC" w14:paraId="786CD674" w14:textId="77777777" w:rsidTr="003514F1">
        <w:tc>
          <w:tcPr>
            <w:tcW w:w="2051" w:type="dxa"/>
          </w:tcPr>
          <w:p w14:paraId="06A98334"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301B1B49"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1AF29E9B" w14:textId="7265F3D5"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Find me an academic journal that looks at the importance of working as a team to deliver a health promotion event</w:t>
            </w:r>
            <w:r w:rsidR="006E28C4">
              <w:rPr>
                <w:rFonts w:ascii="Times New Roman" w:hAnsi="Times New Roman" w:cs="Times New Roman"/>
              </w:rPr>
              <w:t>.</w:t>
            </w:r>
          </w:p>
          <w:p w14:paraId="68BB670A" w14:textId="77777777" w:rsidR="00944DDC" w:rsidRPr="00944DDC" w:rsidRDefault="00944DDC" w:rsidP="003514F1">
            <w:pPr>
              <w:rPr>
                <w:rFonts w:ascii="Times New Roman" w:hAnsi="Times New Roman" w:cs="Times New Roman"/>
              </w:rPr>
            </w:pPr>
          </w:p>
        </w:tc>
      </w:tr>
      <w:tr w:rsidR="00944DDC" w:rsidRPr="00944DDC" w14:paraId="677E2B42" w14:textId="77777777" w:rsidTr="003514F1">
        <w:tc>
          <w:tcPr>
            <w:tcW w:w="2051" w:type="dxa"/>
          </w:tcPr>
          <w:p w14:paraId="026C0898"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05926ACA"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5D178A5F" w14:textId="4C483820"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Find me academic journals on health promotion in practice</w:t>
            </w:r>
            <w:r w:rsidR="006E28C4">
              <w:rPr>
                <w:rFonts w:ascii="Times New Roman" w:hAnsi="Times New Roman" w:cs="Times New Roman"/>
              </w:rPr>
              <w:t>.</w:t>
            </w:r>
          </w:p>
          <w:p w14:paraId="6B2437D1" w14:textId="77777777" w:rsidR="00944DDC" w:rsidRPr="00944DDC" w:rsidRDefault="00944DDC" w:rsidP="003514F1">
            <w:pPr>
              <w:rPr>
                <w:rFonts w:ascii="Times New Roman" w:hAnsi="Times New Roman" w:cs="Times New Roman"/>
              </w:rPr>
            </w:pPr>
          </w:p>
        </w:tc>
      </w:tr>
      <w:tr w:rsidR="00944DDC" w:rsidRPr="00944DDC" w14:paraId="49FB21FF" w14:textId="77777777" w:rsidTr="003514F1">
        <w:tc>
          <w:tcPr>
            <w:tcW w:w="2051" w:type="dxa"/>
          </w:tcPr>
          <w:p w14:paraId="6E4E7730"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533F6213"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Learning</w:t>
            </w:r>
          </w:p>
        </w:tc>
        <w:tc>
          <w:tcPr>
            <w:tcW w:w="5958" w:type="dxa"/>
          </w:tcPr>
          <w:p w14:paraId="41A253A3" w14:textId="099E064F"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Using these screenshots, tell me what I should insert into Excel, and give me a step-by-step guide on how to produce charts with this data</w:t>
            </w:r>
            <w:r w:rsidR="006E28C4">
              <w:rPr>
                <w:rFonts w:ascii="Times New Roman" w:hAnsi="Times New Roman" w:cs="Times New Roman"/>
              </w:rPr>
              <w:t>.</w:t>
            </w:r>
          </w:p>
          <w:p w14:paraId="0B6F5ACD" w14:textId="77777777" w:rsidR="00944DDC" w:rsidRPr="00944DDC" w:rsidRDefault="00944DDC" w:rsidP="003514F1">
            <w:pPr>
              <w:rPr>
                <w:rFonts w:ascii="Times New Roman" w:hAnsi="Times New Roman" w:cs="Times New Roman"/>
              </w:rPr>
            </w:pPr>
          </w:p>
        </w:tc>
      </w:tr>
      <w:tr w:rsidR="00944DDC" w:rsidRPr="00944DDC" w14:paraId="18913FEC" w14:textId="77777777" w:rsidTr="003514F1">
        <w:tc>
          <w:tcPr>
            <w:tcW w:w="2051" w:type="dxa"/>
          </w:tcPr>
          <w:p w14:paraId="4253FDF7"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2B42CDC4"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Learning</w:t>
            </w:r>
          </w:p>
        </w:tc>
        <w:tc>
          <w:tcPr>
            <w:tcW w:w="5958" w:type="dxa"/>
          </w:tcPr>
          <w:p w14:paraId="3CDC944C"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What do these results mean?</w:t>
            </w:r>
          </w:p>
          <w:p w14:paraId="7531F502" w14:textId="77777777" w:rsidR="00944DDC" w:rsidRPr="00944DDC" w:rsidRDefault="00944DDC" w:rsidP="003514F1">
            <w:pPr>
              <w:rPr>
                <w:rFonts w:ascii="Times New Roman" w:hAnsi="Times New Roman" w:cs="Times New Roman"/>
              </w:rPr>
            </w:pPr>
          </w:p>
        </w:tc>
      </w:tr>
      <w:tr w:rsidR="00944DDC" w:rsidRPr="00944DDC" w14:paraId="542D02D6" w14:textId="77777777" w:rsidTr="003514F1">
        <w:tc>
          <w:tcPr>
            <w:tcW w:w="2051" w:type="dxa"/>
          </w:tcPr>
          <w:p w14:paraId="174DED52"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Library</w:t>
            </w:r>
          </w:p>
        </w:tc>
        <w:tc>
          <w:tcPr>
            <w:tcW w:w="2051" w:type="dxa"/>
          </w:tcPr>
          <w:p w14:paraId="23961930"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Research</w:t>
            </w:r>
          </w:p>
        </w:tc>
        <w:tc>
          <w:tcPr>
            <w:tcW w:w="5958" w:type="dxa"/>
          </w:tcPr>
          <w:p w14:paraId="50511B55"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 xml:space="preserve"> Original paper for the Transtheoretical Model (Stages of Change)</w:t>
            </w:r>
          </w:p>
          <w:p w14:paraId="52925E00" w14:textId="77777777" w:rsidR="00944DDC" w:rsidRPr="00944DDC" w:rsidRDefault="00944DDC" w:rsidP="003514F1">
            <w:pPr>
              <w:rPr>
                <w:rFonts w:ascii="Times New Roman" w:hAnsi="Times New Roman" w:cs="Times New Roman"/>
              </w:rPr>
            </w:pPr>
          </w:p>
        </w:tc>
      </w:tr>
      <w:tr w:rsidR="00944DDC" w:rsidRPr="00944DDC" w14:paraId="0B8254FD" w14:textId="77777777" w:rsidTr="003514F1">
        <w:tc>
          <w:tcPr>
            <w:tcW w:w="2051" w:type="dxa"/>
          </w:tcPr>
          <w:p w14:paraId="5DD2A79A"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Copilot</w:t>
            </w:r>
          </w:p>
        </w:tc>
        <w:tc>
          <w:tcPr>
            <w:tcW w:w="2051" w:type="dxa"/>
          </w:tcPr>
          <w:p w14:paraId="7574B34E"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Structuring</w:t>
            </w:r>
          </w:p>
        </w:tc>
        <w:tc>
          <w:tcPr>
            <w:tcW w:w="5958" w:type="dxa"/>
          </w:tcPr>
          <w:p w14:paraId="190FBAEA" w14:textId="77777777" w:rsidR="00944DDC" w:rsidRPr="00944DDC" w:rsidRDefault="00944DDC" w:rsidP="003514F1">
            <w:pPr>
              <w:rPr>
                <w:rFonts w:ascii="Times New Roman" w:hAnsi="Times New Roman" w:cs="Times New Roman"/>
              </w:rPr>
            </w:pPr>
            <w:r w:rsidRPr="00944DDC">
              <w:rPr>
                <w:rFonts w:ascii="Times New Roman" w:hAnsi="Times New Roman" w:cs="Times New Roman"/>
              </w:rPr>
              <w:t>Suggest a logical structure and subheadings for my report.</w:t>
            </w:r>
          </w:p>
        </w:tc>
      </w:tr>
    </w:tbl>
    <w:p w14:paraId="2203274F" w14:textId="77777777" w:rsidR="00944DDC" w:rsidRDefault="00944DDC" w:rsidP="00944DDC">
      <w:pPr>
        <w:rPr>
          <w:rFonts w:ascii="Times New Roman" w:hAnsi="Times New Roman" w:cs="Times New Roman"/>
          <w:b/>
          <w:bCs/>
          <w:sz w:val="36"/>
          <w:szCs w:val="36"/>
          <w:u w:val="single"/>
        </w:rPr>
      </w:pPr>
      <w:r>
        <w:rPr>
          <w:rFonts w:ascii="Times New Roman" w:hAnsi="Times New Roman" w:cs="Times New Roman"/>
          <w:b/>
          <w:bCs/>
          <w:sz w:val="24"/>
          <w:szCs w:val="24"/>
          <w:u w:val="single"/>
        </w:rPr>
        <w:t xml:space="preserve"> </w:t>
      </w:r>
    </w:p>
    <w:p w14:paraId="5E91A473" w14:textId="77777777" w:rsidR="00960E2D" w:rsidRDefault="00960E2D">
      <w:pPr>
        <w:rPr>
          <w:rFonts w:ascii="Times New Roman" w:hAnsi="Times New Roman" w:cs="Times New Roman"/>
          <w:b/>
          <w:bCs/>
          <w:sz w:val="28"/>
          <w:szCs w:val="28"/>
          <w:u w:val="single"/>
        </w:rPr>
      </w:pPr>
      <w:r>
        <w:rPr>
          <w:rFonts w:ascii="Times New Roman" w:hAnsi="Times New Roman" w:cs="Times New Roman"/>
          <w:b/>
          <w:bCs/>
          <w:sz w:val="28"/>
          <w:szCs w:val="28"/>
          <w:u w:val="single"/>
        </w:rPr>
        <w:br w:type="page"/>
      </w:r>
    </w:p>
    <w:p w14:paraId="4BEDB50B" w14:textId="7B71FA06" w:rsidR="0028310A" w:rsidRPr="0028310A" w:rsidRDefault="0028310A" w:rsidP="0028310A">
      <w:pPr>
        <w:rPr>
          <w:rFonts w:ascii="Times New Roman" w:hAnsi="Times New Roman" w:cs="Times New Roman"/>
          <w:b/>
          <w:bCs/>
          <w:sz w:val="28"/>
          <w:szCs w:val="28"/>
          <w:u w:val="single"/>
        </w:rPr>
      </w:pPr>
      <w:r w:rsidRPr="0028310A">
        <w:rPr>
          <w:rFonts w:ascii="Times New Roman" w:hAnsi="Times New Roman" w:cs="Times New Roman"/>
          <w:b/>
          <w:bCs/>
          <w:sz w:val="28"/>
          <w:szCs w:val="28"/>
          <w:u w:val="single"/>
        </w:rPr>
        <w:lastRenderedPageBreak/>
        <w:t>Promoting Dietary Fibre Intake: A Health Promotion Event Evaluation</w:t>
      </w:r>
    </w:p>
    <w:p w14:paraId="7947531D" w14:textId="77777777" w:rsidR="0028310A" w:rsidRPr="0028310A" w:rsidRDefault="0028310A" w:rsidP="0028310A">
      <w:pPr>
        <w:rPr>
          <w:rFonts w:ascii="Times New Roman" w:hAnsi="Times New Roman" w:cs="Times New Roman"/>
          <w:sz w:val="24"/>
          <w:szCs w:val="24"/>
        </w:rPr>
      </w:pPr>
    </w:p>
    <w:p w14:paraId="6A12721E" w14:textId="77777777" w:rsidR="00563BFD" w:rsidRPr="0013222F" w:rsidRDefault="00563BFD" w:rsidP="00563BFD">
      <w:pPr>
        <w:rPr>
          <w:rFonts w:ascii="Times New Roman" w:hAnsi="Times New Roman" w:cs="Times New Roman"/>
          <w:b/>
          <w:bCs/>
          <w:sz w:val="24"/>
          <w:szCs w:val="24"/>
          <w:u w:val="single"/>
        </w:rPr>
      </w:pPr>
      <w:r w:rsidRPr="0013222F">
        <w:rPr>
          <w:rFonts w:ascii="Times New Roman" w:hAnsi="Times New Roman" w:cs="Times New Roman"/>
          <w:b/>
          <w:bCs/>
          <w:sz w:val="24"/>
          <w:szCs w:val="24"/>
          <w:u w:val="single"/>
        </w:rPr>
        <w:t>1 Background and Event Description</w:t>
      </w:r>
    </w:p>
    <w:p w14:paraId="60B0D4B8" w14:textId="77777777" w:rsidR="00563BFD" w:rsidRPr="0013222F" w:rsidRDefault="00563BFD" w:rsidP="00563BFD">
      <w:pPr>
        <w:rPr>
          <w:rFonts w:ascii="Times New Roman" w:hAnsi="Times New Roman" w:cs="Times New Roman"/>
          <w:sz w:val="24"/>
          <w:szCs w:val="24"/>
        </w:rPr>
      </w:pPr>
      <w:r w:rsidRPr="0013222F">
        <w:rPr>
          <w:rFonts w:ascii="Times New Roman" w:hAnsi="Times New Roman" w:cs="Times New Roman"/>
          <w:sz w:val="24"/>
          <w:szCs w:val="24"/>
        </w:rPr>
        <w:t xml:space="preserve">UK adults rarely meet the recommended 30 g/day fibre intake (OHID, 2025). </w:t>
      </w:r>
      <w:r w:rsidRPr="00E832DA">
        <w:rPr>
          <w:rFonts w:ascii="Times New Roman" w:hAnsi="Times New Roman" w:cs="Times New Roman"/>
          <w:sz w:val="24"/>
          <w:szCs w:val="24"/>
        </w:rPr>
        <w:t xml:space="preserve">Low fibre intake increases the risk of constipation and colorectal cancer (Bellini et al., 2021; WCRF, 2026). Colorectal cancer has risen steadily in the UK over the past two decades (Pedregal Pascual et al., 2025). </w:t>
      </w:r>
      <w:r w:rsidRPr="0013222F">
        <w:rPr>
          <w:rFonts w:ascii="Times New Roman" w:hAnsi="Times New Roman" w:cs="Times New Roman"/>
          <w:sz w:val="24"/>
          <w:szCs w:val="24"/>
        </w:rPr>
        <w:t>The event was a fibre</w:t>
      </w:r>
      <w:r w:rsidRPr="0013222F">
        <w:rPr>
          <w:rFonts w:ascii="Times New Roman" w:hAnsi="Times New Roman" w:cs="Times New Roman"/>
          <w:sz w:val="24"/>
          <w:szCs w:val="24"/>
        </w:rPr>
        <w:noBreakHyphen/>
        <w:t xml:space="preserve">focused educational stall designed to raise awareness of fibre and its health benefits. Hydration was included because adequate fluid intake </w:t>
      </w:r>
      <w:r>
        <w:rPr>
          <w:rFonts w:ascii="Times New Roman" w:hAnsi="Times New Roman" w:cs="Times New Roman"/>
          <w:sz w:val="24"/>
          <w:szCs w:val="24"/>
        </w:rPr>
        <w:t>supports</w:t>
      </w:r>
      <w:r w:rsidRPr="0013222F">
        <w:rPr>
          <w:rFonts w:ascii="Times New Roman" w:hAnsi="Times New Roman" w:cs="Times New Roman"/>
          <w:sz w:val="24"/>
          <w:szCs w:val="24"/>
        </w:rPr>
        <w:t xml:space="preserve"> normal bowel function (Bellini et al., 2021).</w:t>
      </w:r>
    </w:p>
    <w:p w14:paraId="7ADD7F4A" w14:textId="4C82DC72" w:rsidR="00563BFD" w:rsidRPr="0013222F" w:rsidRDefault="00B65FB3" w:rsidP="00563BFD">
      <w:pPr>
        <w:rPr>
          <w:rFonts w:ascii="Times New Roman" w:hAnsi="Times New Roman" w:cs="Times New Roman"/>
          <w:sz w:val="24"/>
          <w:szCs w:val="24"/>
        </w:rPr>
      </w:pPr>
      <w:r w:rsidRPr="00FD2321">
        <w:rPr>
          <w:rFonts w:ascii="Times New Roman" w:hAnsi="Times New Roman" w:cs="Times New Roman"/>
          <w:sz w:val="24"/>
          <w:szCs w:val="24"/>
        </w:rPr>
        <w:t>The event aimed to improve understanding of fibre by explaining its role, recommended intake levels, and simple ways to meet the</w:t>
      </w:r>
      <w:r w:rsidRPr="00FD2321">
        <w:rPr>
          <w:rFonts w:ascii="Times New Roman" w:hAnsi="Times New Roman" w:cs="Times New Roman"/>
          <w:sz w:val="24"/>
          <w:szCs w:val="24"/>
        </w:rPr>
        <w:t xml:space="preserve"> dietary reference value</w:t>
      </w:r>
      <w:r w:rsidR="009F16D6" w:rsidRPr="00FD2321">
        <w:rPr>
          <w:rFonts w:ascii="Times New Roman" w:hAnsi="Times New Roman" w:cs="Times New Roman"/>
          <w:sz w:val="24"/>
          <w:szCs w:val="24"/>
        </w:rPr>
        <w:t xml:space="preserve"> </w:t>
      </w:r>
      <w:r w:rsidR="00563BFD" w:rsidRPr="0013222F">
        <w:rPr>
          <w:rFonts w:ascii="Times New Roman" w:hAnsi="Times New Roman" w:cs="Times New Roman"/>
          <w:sz w:val="24"/>
          <w:szCs w:val="24"/>
        </w:rPr>
        <w:t xml:space="preserve">(DRV). It also assessed </w:t>
      </w:r>
      <w:r w:rsidR="00563BFD">
        <w:rPr>
          <w:rFonts w:ascii="Times New Roman" w:hAnsi="Times New Roman" w:cs="Times New Roman"/>
          <w:sz w:val="24"/>
          <w:szCs w:val="24"/>
        </w:rPr>
        <w:t>participants'</w:t>
      </w:r>
      <w:r w:rsidR="00563BFD" w:rsidRPr="0013222F">
        <w:rPr>
          <w:rFonts w:ascii="Times New Roman" w:hAnsi="Times New Roman" w:cs="Times New Roman"/>
          <w:sz w:val="24"/>
          <w:szCs w:val="24"/>
        </w:rPr>
        <w:t xml:space="preserve"> knowledge and encouraged reflection on personal habits.</w:t>
      </w:r>
    </w:p>
    <w:p w14:paraId="1E694208" w14:textId="4DAC1626" w:rsidR="00563BFD" w:rsidRPr="0013222F" w:rsidRDefault="00C21D45" w:rsidP="00563BFD">
      <w:pPr>
        <w:rPr>
          <w:rFonts w:ascii="Times New Roman" w:hAnsi="Times New Roman" w:cs="Times New Roman"/>
          <w:sz w:val="24"/>
          <w:szCs w:val="24"/>
        </w:rPr>
      </w:pPr>
      <w:r w:rsidRPr="00C21D45">
        <w:rPr>
          <w:rFonts w:ascii="Times New Roman" w:hAnsi="Times New Roman" w:cs="Times New Roman"/>
          <w:sz w:val="24"/>
          <w:szCs w:val="24"/>
        </w:rPr>
        <w:t>Interactive and visual activities supported learning, with student</w:t>
      </w:r>
      <w:r w:rsidRPr="00C21D45">
        <w:rPr>
          <w:rFonts w:ascii="Times New Roman" w:hAnsi="Times New Roman" w:cs="Times New Roman"/>
          <w:sz w:val="24"/>
          <w:szCs w:val="24"/>
        </w:rPr>
        <w:noBreakHyphen/>
        <w:t>led explanations throughout</w:t>
      </w:r>
      <w:r w:rsidR="00563BFD" w:rsidRPr="0013222F">
        <w:rPr>
          <w:rFonts w:ascii="Times New Roman" w:hAnsi="Times New Roman" w:cs="Times New Roman"/>
          <w:sz w:val="24"/>
          <w:szCs w:val="24"/>
        </w:rPr>
        <w:t xml:space="preserve">. </w:t>
      </w:r>
      <w:r w:rsidR="00681C96" w:rsidRPr="00681C96">
        <w:rPr>
          <w:rFonts w:ascii="Times New Roman" w:hAnsi="Times New Roman" w:cs="Times New Roman"/>
          <w:sz w:val="24"/>
          <w:szCs w:val="24"/>
        </w:rPr>
        <w:t xml:space="preserve">Posters and leaflets outlined </w:t>
      </w:r>
      <w:r w:rsidR="00534111">
        <w:rPr>
          <w:rFonts w:ascii="Times New Roman" w:hAnsi="Times New Roman" w:cs="Times New Roman"/>
          <w:sz w:val="24"/>
          <w:szCs w:val="24"/>
        </w:rPr>
        <w:t>fibre's</w:t>
      </w:r>
      <w:r w:rsidR="00681C96" w:rsidRPr="00681C96">
        <w:rPr>
          <w:rFonts w:ascii="Times New Roman" w:hAnsi="Times New Roman" w:cs="Times New Roman"/>
          <w:sz w:val="24"/>
          <w:szCs w:val="24"/>
        </w:rPr>
        <w:t xml:space="preserve"> role in health, and another display showed how to reach DRV with common foods</w:t>
      </w:r>
      <w:r w:rsidR="00563BFD" w:rsidRPr="0013222F">
        <w:rPr>
          <w:rFonts w:ascii="Times New Roman" w:hAnsi="Times New Roman" w:cs="Times New Roman"/>
          <w:sz w:val="24"/>
          <w:szCs w:val="24"/>
        </w:rPr>
        <w:t>. Physical food examples supported an interactive guessing activity, and the Bristol Stool Chart and Urine Colour Chart helped explain gut health and hydration. A short questionnaire assessed learning, and food</w:t>
      </w:r>
      <w:r w:rsidR="00563BFD" w:rsidRPr="0013222F">
        <w:rPr>
          <w:rFonts w:ascii="Times New Roman" w:hAnsi="Times New Roman" w:cs="Times New Roman"/>
          <w:sz w:val="24"/>
          <w:szCs w:val="24"/>
        </w:rPr>
        <w:noBreakHyphen/>
        <w:t>swap suggestions supported practical behaviour change.</w:t>
      </w:r>
    </w:p>
    <w:p w14:paraId="4716E208" w14:textId="4EA53ADD" w:rsidR="00563BFD" w:rsidRPr="0013222F" w:rsidRDefault="00563BFD" w:rsidP="00563BFD">
      <w:pPr>
        <w:rPr>
          <w:rFonts w:ascii="Times New Roman" w:hAnsi="Times New Roman" w:cs="Times New Roman"/>
          <w:sz w:val="24"/>
          <w:szCs w:val="24"/>
        </w:rPr>
      </w:pPr>
      <w:r w:rsidRPr="0013222F">
        <w:rPr>
          <w:rFonts w:ascii="Times New Roman" w:hAnsi="Times New Roman" w:cs="Times New Roman"/>
          <w:sz w:val="24"/>
          <w:szCs w:val="24"/>
        </w:rPr>
        <w:t xml:space="preserve">The team planned the event through weekly meetings. Tasks were shared evenly, and roles </w:t>
      </w:r>
      <w:r>
        <w:rPr>
          <w:rFonts w:ascii="Times New Roman" w:hAnsi="Times New Roman" w:cs="Times New Roman"/>
          <w:sz w:val="24"/>
          <w:szCs w:val="24"/>
        </w:rPr>
        <w:t xml:space="preserve">were </w:t>
      </w:r>
      <w:r w:rsidRPr="0013222F">
        <w:rPr>
          <w:rFonts w:ascii="Times New Roman" w:hAnsi="Times New Roman" w:cs="Times New Roman"/>
          <w:sz w:val="24"/>
          <w:szCs w:val="24"/>
        </w:rPr>
        <w:t>allocated to ensure smooth preparation. Team members designed posters, prepared leaflets, sourced food examples, created the questionnaire, and organised the stall layout. Evidence</w:t>
      </w:r>
      <w:r w:rsidRPr="0013222F">
        <w:rPr>
          <w:rFonts w:ascii="Times New Roman" w:hAnsi="Times New Roman" w:cs="Times New Roman"/>
          <w:sz w:val="24"/>
          <w:szCs w:val="24"/>
        </w:rPr>
        <w:noBreakHyphen/>
        <w:t>based information from SACN and NHS resources supported accuracy (NHS, 2026; SACN, 2015).</w:t>
      </w:r>
    </w:p>
    <w:p w14:paraId="53EA1E6D" w14:textId="06082DEF" w:rsidR="00563BFD" w:rsidRPr="0013222F" w:rsidRDefault="00563BFD" w:rsidP="00563BFD">
      <w:pPr>
        <w:rPr>
          <w:rFonts w:ascii="Times New Roman" w:hAnsi="Times New Roman" w:cs="Times New Roman"/>
          <w:sz w:val="24"/>
          <w:szCs w:val="24"/>
        </w:rPr>
      </w:pPr>
      <w:r w:rsidRPr="0013222F">
        <w:rPr>
          <w:rFonts w:ascii="Times New Roman" w:hAnsi="Times New Roman" w:cs="Times New Roman"/>
          <w:sz w:val="24"/>
          <w:szCs w:val="24"/>
        </w:rPr>
        <w:t xml:space="preserve">On the day, the stall was set up in a public area with displays and interactive activities. </w:t>
      </w:r>
      <w:r w:rsidR="00034284" w:rsidRPr="000E76AF">
        <w:rPr>
          <w:rFonts w:ascii="Times New Roman" w:hAnsi="Times New Roman" w:cs="Times New Roman"/>
          <w:sz w:val="24"/>
          <w:szCs w:val="24"/>
        </w:rPr>
        <w:t>Participants engaged with discussions about fibre and hydration, completed the fibre</w:t>
      </w:r>
      <w:r w:rsidR="00034284" w:rsidRPr="000E76AF">
        <w:rPr>
          <w:rFonts w:ascii="Times New Roman" w:hAnsi="Times New Roman" w:cs="Times New Roman"/>
          <w:sz w:val="24"/>
          <w:szCs w:val="24"/>
        </w:rPr>
        <w:noBreakHyphen/>
        <w:t>ranking game, and filled in the questionnaire</w:t>
      </w:r>
      <w:r w:rsidRPr="0013222F">
        <w:rPr>
          <w:rFonts w:ascii="Times New Roman" w:hAnsi="Times New Roman" w:cs="Times New Roman"/>
          <w:sz w:val="24"/>
          <w:szCs w:val="24"/>
        </w:rPr>
        <w:t>. Small freebies were offered as a thank you. All aims and objectives were met according to the post</w:t>
      </w:r>
      <w:r w:rsidRPr="0013222F">
        <w:rPr>
          <w:rFonts w:ascii="Times New Roman" w:hAnsi="Times New Roman" w:cs="Times New Roman"/>
          <w:sz w:val="24"/>
          <w:szCs w:val="24"/>
        </w:rPr>
        <w:noBreakHyphen/>
        <w:t>event evaluation (n = 47)</w:t>
      </w:r>
      <w:r w:rsidR="000E76AF" w:rsidRPr="000E76AF">
        <w:rPr>
          <w:rFonts w:ascii="Times New Roman" w:hAnsi="Times New Roman" w:cs="Times New Roman"/>
          <w:sz w:val="24"/>
          <w:szCs w:val="24"/>
        </w:rPr>
        <w:t>.</w:t>
      </w:r>
    </w:p>
    <w:p w14:paraId="579E2D6A" w14:textId="77777777" w:rsidR="00563BFD" w:rsidRPr="0013222F" w:rsidRDefault="00563BFD" w:rsidP="00563BFD">
      <w:pPr>
        <w:rPr>
          <w:rFonts w:ascii="Times New Roman" w:hAnsi="Times New Roman" w:cs="Times New Roman"/>
          <w:b/>
          <w:bCs/>
          <w:sz w:val="24"/>
          <w:szCs w:val="24"/>
          <w:u w:val="single"/>
        </w:rPr>
      </w:pPr>
    </w:p>
    <w:p w14:paraId="6A4111F9" w14:textId="77777777" w:rsidR="00563BFD" w:rsidRPr="0013222F" w:rsidRDefault="00563BFD" w:rsidP="00563BFD">
      <w:pPr>
        <w:spacing w:after="0"/>
        <w:rPr>
          <w:rFonts w:ascii="Times New Roman" w:hAnsi="Times New Roman" w:cs="Times New Roman"/>
          <w:b/>
          <w:bCs/>
          <w:sz w:val="24"/>
          <w:szCs w:val="24"/>
          <w:u w:val="single"/>
        </w:rPr>
      </w:pPr>
      <w:r w:rsidRPr="0013222F">
        <w:rPr>
          <w:rFonts w:ascii="Times New Roman" w:hAnsi="Times New Roman" w:cs="Times New Roman"/>
          <w:b/>
          <w:bCs/>
          <w:sz w:val="24"/>
          <w:szCs w:val="24"/>
          <w:u w:val="single"/>
        </w:rPr>
        <w:t>Methods</w:t>
      </w:r>
    </w:p>
    <w:p w14:paraId="5D5B6ED2" w14:textId="4ABFF62D" w:rsidR="00563BFD" w:rsidRPr="0013222F" w:rsidRDefault="00563BFD" w:rsidP="00563BFD">
      <w:pPr>
        <w:rPr>
          <w:rFonts w:ascii="Times New Roman" w:hAnsi="Times New Roman" w:cs="Times New Roman"/>
          <w:sz w:val="24"/>
          <w:szCs w:val="24"/>
        </w:rPr>
      </w:pPr>
      <w:r w:rsidRPr="0013222F">
        <w:rPr>
          <w:rFonts w:ascii="Times New Roman" w:hAnsi="Times New Roman" w:cs="Times New Roman"/>
          <w:sz w:val="24"/>
          <w:szCs w:val="24"/>
        </w:rPr>
        <w:t xml:space="preserve">The stall ran on 24 March 2025 at The Quad, University of Wales Trinity Saint David, from 10:00 to 16:00. Students approached fellow students and tutors to take part. A total of n = 47 participants completed the questionnaire. Participants were university affiliates aged 18 to 55+; gender was not collected. The questionnaire comprised 8 items (7 </w:t>
      </w:r>
      <w:r w:rsidR="003B086F">
        <w:rPr>
          <w:rFonts w:ascii="Times New Roman" w:hAnsi="Times New Roman" w:cs="Times New Roman"/>
          <w:sz w:val="24"/>
          <w:szCs w:val="24"/>
        </w:rPr>
        <w:t>closed-ended knowledge/behaviour items and 1 open-ended intentions question, Q8) and was piloted with</w:t>
      </w:r>
      <w:r w:rsidRPr="0013222F">
        <w:rPr>
          <w:rFonts w:ascii="Times New Roman" w:hAnsi="Times New Roman" w:cs="Times New Roman"/>
          <w:sz w:val="24"/>
          <w:szCs w:val="24"/>
        </w:rPr>
        <w:t xml:space="preserve"> 2 students. Participation was voluntary; consent was obtained prior to completing the form, and responses were anonymous and stored securely. Ethical considerations were overseen by the supervising tutor as part of a teaching assessment. Descriptive analysis (counts and percentages) was performed in Microsoft Excel.</w:t>
      </w:r>
    </w:p>
    <w:p w14:paraId="1F63FDBB" w14:textId="77777777" w:rsidR="0028310A" w:rsidRPr="0028310A" w:rsidRDefault="0028310A" w:rsidP="0028310A">
      <w:pPr>
        <w:rPr>
          <w:rFonts w:ascii="Times New Roman" w:hAnsi="Times New Roman" w:cs="Times New Roman"/>
          <w:sz w:val="24"/>
          <w:szCs w:val="24"/>
        </w:rPr>
      </w:pPr>
    </w:p>
    <w:p w14:paraId="70D55822" w14:textId="77777777" w:rsidR="004C25E5" w:rsidRDefault="004C25E5" w:rsidP="003B086F">
      <w:pPr>
        <w:jc w:val="center"/>
        <w:rPr>
          <w:rFonts w:ascii="Times New Roman" w:hAnsi="Times New Roman" w:cs="Times New Roman"/>
          <w:b/>
          <w:bCs/>
          <w:sz w:val="26"/>
          <w:szCs w:val="26"/>
          <w:u w:val="single"/>
        </w:rPr>
      </w:pPr>
    </w:p>
    <w:p w14:paraId="5A09A7A7" w14:textId="694E02FB" w:rsidR="0028310A" w:rsidRPr="0028310A" w:rsidRDefault="0028310A" w:rsidP="003B086F">
      <w:pPr>
        <w:jc w:val="center"/>
        <w:rPr>
          <w:rFonts w:ascii="Times New Roman" w:hAnsi="Times New Roman" w:cs="Times New Roman"/>
          <w:b/>
          <w:bCs/>
          <w:sz w:val="26"/>
          <w:szCs w:val="26"/>
          <w:u w:val="single"/>
        </w:rPr>
      </w:pPr>
      <w:r w:rsidRPr="0028310A">
        <w:rPr>
          <w:rFonts w:ascii="Times New Roman" w:hAnsi="Times New Roman" w:cs="Times New Roman"/>
          <w:b/>
          <w:bCs/>
          <w:sz w:val="26"/>
          <w:szCs w:val="26"/>
          <w:u w:val="single"/>
        </w:rPr>
        <w:lastRenderedPageBreak/>
        <w:t>2 Questionnaire Results and Impact Evaluation</w:t>
      </w:r>
    </w:p>
    <w:p w14:paraId="3F719EC4" w14:textId="77777777" w:rsid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The questionnaire data (n = 47) were analysed using Microsoft Excel; findings are presented in Table 1 and Figures 1–5. Participants were university affiliates aged 18–55+; gender was not collected.</w:t>
      </w:r>
    </w:p>
    <w:p w14:paraId="5F776382" w14:textId="77777777" w:rsidR="004C25E5" w:rsidRDefault="004C25E5" w:rsidP="00A22AA3">
      <w:pPr>
        <w:spacing w:after="120"/>
        <w:rPr>
          <w:rFonts w:ascii="Times New Roman" w:hAnsi="Times New Roman" w:cs="Times New Roman"/>
          <w:b/>
          <w:bCs/>
          <w:sz w:val="24"/>
          <w:szCs w:val="24"/>
          <w:u w:val="single"/>
        </w:rPr>
      </w:pPr>
    </w:p>
    <w:p w14:paraId="03DB315D" w14:textId="43A30158" w:rsidR="00C3141C" w:rsidRPr="0028310A" w:rsidRDefault="00C3141C" w:rsidP="00A22AA3">
      <w:pPr>
        <w:spacing w:after="12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2.1 Knowledge-based results</w:t>
      </w:r>
    </w:p>
    <w:p w14:paraId="4EA85DD8" w14:textId="77777777" w:rsidR="0028310A" w:rsidRPr="00267929" w:rsidRDefault="0028310A" w:rsidP="007A394F">
      <w:pPr>
        <w:spacing w:after="0"/>
        <w:rPr>
          <w:rFonts w:ascii="Times New Roman" w:hAnsi="Times New Roman" w:cs="Times New Roman"/>
          <w:sz w:val="24"/>
          <w:szCs w:val="24"/>
          <w:u w:val="single"/>
        </w:rPr>
      </w:pPr>
      <w:r w:rsidRPr="0028310A">
        <w:rPr>
          <w:rFonts w:ascii="Times New Roman" w:hAnsi="Times New Roman" w:cs="Times New Roman"/>
          <w:sz w:val="24"/>
          <w:szCs w:val="24"/>
          <w:u w:val="single"/>
        </w:rPr>
        <w:t>Table 1. Overview of Participant Responses to the Fibre, Hydration, and Bowel Health Questionnaire (n = 47)</w:t>
      </w:r>
    </w:p>
    <w:p w14:paraId="53577FA5" w14:textId="5EC8BF3F" w:rsidR="00267929" w:rsidRPr="0028310A" w:rsidRDefault="00267929" w:rsidP="007A394F">
      <w:pPr>
        <w:spacing w:after="0"/>
        <w:rPr>
          <w:rFonts w:ascii="Times New Roman" w:hAnsi="Times New Roman" w:cs="Times New Roman"/>
          <w:sz w:val="24"/>
          <w:szCs w:val="24"/>
        </w:rPr>
      </w:pPr>
      <w:r>
        <w:rPr>
          <w:rFonts w:ascii="Times New Roman" w:hAnsi="Times New Roman" w:cs="Times New Roman"/>
          <w:noProof/>
        </w:rPr>
        <w:drawing>
          <wp:inline distT="0" distB="0" distL="0" distR="0" wp14:anchorId="565DB9B7" wp14:editId="690DA719">
            <wp:extent cx="5731510" cy="1612265"/>
            <wp:effectExtent l="0" t="0" r="2540" b="6985"/>
            <wp:docPr id="870220674" name="Picture 3" descr="The image displays a table with questions on various dietary topics, their corresponding recommended answers, and the percentage of correctness for each respon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20674" name="Picture 3" descr="The image displays a table with questions on various dietary topics, their corresponding recommended answers, and the percentage of correctness for each respons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1612265"/>
                    </a:xfrm>
                    <a:prstGeom prst="rect">
                      <a:avLst/>
                    </a:prstGeom>
                  </pic:spPr>
                </pic:pic>
              </a:graphicData>
            </a:graphic>
          </wp:inline>
        </w:drawing>
      </w:r>
    </w:p>
    <w:p w14:paraId="2C250940" w14:textId="77777777" w:rsidR="0028310A" w:rsidRPr="0028310A" w:rsidRDefault="0028310A" w:rsidP="007A394F">
      <w:pPr>
        <w:spacing w:after="0"/>
        <w:rPr>
          <w:rFonts w:ascii="Times New Roman" w:hAnsi="Times New Roman" w:cs="Times New Roman"/>
          <w:sz w:val="24"/>
          <w:szCs w:val="24"/>
        </w:rPr>
      </w:pPr>
    </w:p>
    <w:p w14:paraId="157904F8" w14:textId="2EF98981" w:rsidR="00267929" w:rsidRDefault="008E72C8" w:rsidP="007A394F">
      <w:pPr>
        <w:spacing w:after="0"/>
        <w:rPr>
          <w:rFonts w:ascii="Times New Roman" w:hAnsi="Times New Roman" w:cs="Times New Roman"/>
          <w:sz w:val="24"/>
          <w:szCs w:val="24"/>
        </w:rPr>
      </w:pPr>
      <w:r w:rsidRPr="0098381C">
        <w:rPr>
          <w:noProof/>
        </w:rPr>
        <w:drawing>
          <wp:inline distT="0" distB="0" distL="0" distR="0" wp14:anchorId="361CEEE8" wp14:editId="0F061A58">
            <wp:extent cx="4572000" cy="2743200"/>
            <wp:effectExtent l="0" t="0" r="0" b="0"/>
            <wp:docPr id="529255991" name="Chart 1">
              <a:extLst xmlns:a="http://schemas.openxmlformats.org/drawingml/2006/main">
                <a:ext uri="{FF2B5EF4-FFF2-40B4-BE49-F238E27FC236}">
                  <a16:creationId xmlns:a16="http://schemas.microsoft.com/office/drawing/2014/main" id="{7028D58F-0460-BF91-8CD4-E2514E5662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3E0B7AA" w14:textId="4BD069D6" w:rsidR="0028310A" w:rsidRPr="007A394F" w:rsidRDefault="0028310A" w:rsidP="007A394F">
      <w:pPr>
        <w:spacing w:after="0"/>
        <w:rPr>
          <w:rFonts w:ascii="Times New Roman" w:hAnsi="Times New Roman" w:cs="Times New Roman"/>
          <w:sz w:val="20"/>
          <w:szCs w:val="20"/>
        </w:rPr>
      </w:pPr>
      <w:r w:rsidRPr="0028310A">
        <w:rPr>
          <w:rFonts w:ascii="Times New Roman" w:hAnsi="Times New Roman" w:cs="Times New Roman"/>
          <w:sz w:val="20"/>
          <w:szCs w:val="20"/>
        </w:rPr>
        <w:t>Figure 1. Percentage of correct responses across all knowledge questions (n = 47).</w:t>
      </w:r>
    </w:p>
    <w:p w14:paraId="11E2C5EF" w14:textId="77777777" w:rsidR="008E72C8" w:rsidRDefault="008E72C8" w:rsidP="0028310A">
      <w:pPr>
        <w:rPr>
          <w:rFonts w:ascii="Times New Roman" w:hAnsi="Times New Roman" w:cs="Times New Roman"/>
          <w:sz w:val="24"/>
          <w:szCs w:val="24"/>
        </w:rPr>
      </w:pPr>
    </w:p>
    <w:p w14:paraId="1FF0A69B" w14:textId="51F22D75" w:rsidR="008E72C8" w:rsidRPr="0028310A" w:rsidRDefault="000E2C6B" w:rsidP="007A394F">
      <w:pPr>
        <w:spacing w:after="0"/>
        <w:rPr>
          <w:rFonts w:ascii="Times New Roman" w:hAnsi="Times New Roman" w:cs="Times New Roman"/>
          <w:sz w:val="24"/>
          <w:szCs w:val="24"/>
        </w:rPr>
      </w:pPr>
      <w:r w:rsidRPr="0098381C">
        <w:rPr>
          <w:noProof/>
        </w:rPr>
        <w:lastRenderedPageBreak/>
        <w:drawing>
          <wp:inline distT="0" distB="0" distL="0" distR="0" wp14:anchorId="52C6B5DF" wp14:editId="2C3C1A15">
            <wp:extent cx="4625340" cy="2042160"/>
            <wp:effectExtent l="0" t="0" r="3810" b="15240"/>
            <wp:docPr id="664552954" name="Chart 1">
              <a:extLst xmlns:a="http://schemas.openxmlformats.org/drawingml/2006/main">
                <a:ext uri="{FF2B5EF4-FFF2-40B4-BE49-F238E27FC236}">
                  <a16:creationId xmlns:a16="http://schemas.microsoft.com/office/drawing/2014/main" id="{61E4D525-0331-DF38-C314-F29F82E55C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EF2BF4F" w14:textId="77777777" w:rsidR="0028310A" w:rsidRPr="007A394F" w:rsidRDefault="0028310A" w:rsidP="007A394F">
      <w:pPr>
        <w:spacing w:after="0"/>
        <w:rPr>
          <w:rFonts w:ascii="Times New Roman" w:hAnsi="Times New Roman" w:cs="Times New Roman"/>
          <w:sz w:val="20"/>
          <w:szCs w:val="20"/>
        </w:rPr>
      </w:pPr>
      <w:r w:rsidRPr="0028310A">
        <w:rPr>
          <w:rFonts w:ascii="Times New Roman" w:hAnsi="Times New Roman" w:cs="Times New Roman"/>
          <w:sz w:val="20"/>
          <w:szCs w:val="20"/>
        </w:rPr>
        <w:t>Figure 2. Knowledge of recommended daily fibre intake (n = 47).</w:t>
      </w:r>
    </w:p>
    <w:p w14:paraId="5495643D" w14:textId="77777777" w:rsidR="000E2C6B" w:rsidRDefault="000E2C6B" w:rsidP="0028310A">
      <w:pPr>
        <w:rPr>
          <w:rFonts w:ascii="Times New Roman" w:hAnsi="Times New Roman" w:cs="Times New Roman"/>
          <w:sz w:val="24"/>
          <w:szCs w:val="24"/>
        </w:rPr>
      </w:pPr>
    </w:p>
    <w:p w14:paraId="057EBFF2" w14:textId="7B030B76" w:rsidR="000E2C6B" w:rsidRPr="0028310A" w:rsidRDefault="000219A5" w:rsidP="007A394F">
      <w:pPr>
        <w:spacing w:after="0"/>
        <w:rPr>
          <w:rFonts w:ascii="Times New Roman" w:hAnsi="Times New Roman" w:cs="Times New Roman"/>
          <w:sz w:val="24"/>
          <w:szCs w:val="24"/>
        </w:rPr>
      </w:pPr>
      <w:r w:rsidRPr="0098381C">
        <w:rPr>
          <w:noProof/>
        </w:rPr>
        <w:drawing>
          <wp:inline distT="0" distB="0" distL="0" distR="0" wp14:anchorId="3EDB9FC2" wp14:editId="0A8CB2EA">
            <wp:extent cx="4732020" cy="2255520"/>
            <wp:effectExtent l="0" t="0" r="11430" b="11430"/>
            <wp:docPr id="204711142" name="Chart 1">
              <a:extLst xmlns:a="http://schemas.openxmlformats.org/drawingml/2006/main">
                <a:ext uri="{FF2B5EF4-FFF2-40B4-BE49-F238E27FC236}">
                  <a16:creationId xmlns:a16="http://schemas.microsoft.com/office/drawing/2014/main" id="{C793893C-BBDB-5F2C-FDF3-057DD88B2D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1A22FA3" w14:textId="77777777" w:rsidR="0028310A" w:rsidRPr="007A394F" w:rsidRDefault="0028310A" w:rsidP="007A394F">
      <w:pPr>
        <w:spacing w:after="0"/>
        <w:rPr>
          <w:rFonts w:ascii="Times New Roman" w:hAnsi="Times New Roman" w:cs="Times New Roman"/>
          <w:sz w:val="20"/>
          <w:szCs w:val="20"/>
        </w:rPr>
      </w:pPr>
      <w:r w:rsidRPr="0028310A">
        <w:rPr>
          <w:rFonts w:ascii="Times New Roman" w:hAnsi="Times New Roman" w:cs="Times New Roman"/>
          <w:sz w:val="20"/>
          <w:szCs w:val="20"/>
        </w:rPr>
        <w:t>Figure 3. Understanding of the fibre and hydration relationship (n = 47).</w:t>
      </w:r>
    </w:p>
    <w:p w14:paraId="36FAFE92" w14:textId="77777777" w:rsidR="000219A5" w:rsidRDefault="000219A5" w:rsidP="0028310A">
      <w:pPr>
        <w:rPr>
          <w:rFonts w:ascii="Times New Roman" w:hAnsi="Times New Roman" w:cs="Times New Roman"/>
          <w:sz w:val="24"/>
          <w:szCs w:val="24"/>
        </w:rPr>
      </w:pPr>
    </w:p>
    <w:p w14:paraId="180574AA" w14:textId="128551AB" w:rsidR="000219A5" w:rsidRPr="0028310A" w:rsidRDefault="00B37043" w:rsidP="007A394F">
      <w:pPr>
        <w:spacing w:after="0"/>
        <w:rPr>
          <w:rFonts w:ascii="Times New Roman" w:hAnsi="Times New Roman" w:cs="Times New Roman"/>
          <w:sz w:val="24"/>
          <w:szCs w:val="24"/>
        </w:rPr>
      </w:pPr>
      <w:r w:rsidRPr="0098381C">
        <w:rPr>
          <w:noProof/>
        </w:rPr>
        <w:drawing>
          <wp:inline distT="0" distB="0" distL="0" distR="0" wp14:anchorId="1F9AB642" wp14:editId="0D4ED11B">
            <wp:extent cx="4747260" cy="2133600"/>
            <wp:effectExtent l="0" t="0" r="15240" b="0"/>
            <wp:docPr id="1135271798" name="Chart 1">
              <a:extLst xmlns:a="http://schemas.openxmlformats.org/drawingml/2006/main">
                <a:ext uri="{FF2B5EF4-FFF2-40B4-BE49-F238E27FC236}">
                  <a16:creationId xmlns:a16="http://schemas.microsoft.com/office/drawing/2014/main" id="{BA40FD10-F259-0334-D85B-67E08FE9CB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0A5676" w14:textId="77777777" w:rsidR="0028310A" w:rsidRPr="007A394F" w:rsidRDefault="0028310A" w:rsidP="007A394F">
      <w:pPr>
        <w:spacing w:after="0"/>
        <w:rPr>
          <w:rFonts w:ascii="Times New Roman" w:hAnsi="Times New Roman" w:cs="Times New Roman"/>
          <w:sz w:val="20"/>
          <w:szCs w:val="20"/>
        </w:rPr>
      </w:pPr>
      <w:r w:rsidRPr="0028310A">
        <w:rPr>
          <w:rFonts w:ascii="Times New Roman" w:hAnsi="Times New Roman" w:cs="Times New Roman"/>
          <w:sz w:val="20"/>
          <w:szCs w:val="20"/>
        </w:rPr>
        <w:t>Figure 4. Knowledge of hydration indicators (n = 47).</w:t>
      </w:r>
    </w:p>
    <w:p w14:paraId="78646375" w14:textId="77777777" w:rsidR="00B37043" w:rsidRDefault="00B37043" w:rsidP="0028310A">
      <w:pPr>
        <w:rPr>
          <w:rFonts w:ascii="Times New Roman" w:hAnsi="Times New Roman" w:cs="Times New Roman"/>
          <w:sz w:val="24"/>
          <w:szCs w:val="24"/>
        </w:rPr>
      </w:pPr>
    </w:p>
    <w:p w14:paraId="7B80D54B" w14:textId="4068B54C" w:rsidR="00B37043" w:rsidRPr="0028310A" w:rsidRDefault="007A394F" w:rsidP="007A394F">
      <w:pPr>
        <w:spacing w:after="0"/>
        <w:rPr>
          <w:rFonts w:ascii="Times New Roman" w:hAnsi="Times New Roman" w:cs="Times New Roman"/>
          <w:sz w:val="24"/>
          <w:szCs w:val="24"/>
        </w:rPr>
      </w:pPr>
      <w:r w:rsidRPr="00C110CE">
        <w:rPr>
          <w:noProof/>
        </w:rPr>
        <w:lastRenderedPageBreak/>
        <w:drawing>
          <wp:inline distT="0" distB="0" distL="0" distR="0" wp14:anchorId="0C000DAA" wp14:editId="7918D931">
            <wp:extent cx="4777740" cy="2537460"/>
            <wp:effectExtent l="0" t="0" r="3810" b="15240"/>
            <wp:docPr id="343483418" name="Chart 1">
              <a:extLst xmlns:a="http://schemas.openxmlformats.org/drawingml/2006/main">
                <a:ext uri="{FF2B5EF4-FFF2-40B4-BE49-F238E27FC236}">
                  <a16:creationId xmlns:a16="http://schemas.microsoft.com/office/drawing/2014/main" id="{A31EBCA4-4BFA-1089-1BF3-D21BD06EA0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5A3A2F7" w14:textId="77777777" w:rsidR="0028310A" w:rsidRPr="0028310A" w:rsidRDefault="0028310A" w:rsidP="007A394F">
      <w:pPr>
        <w:spacing w:after="0"/>
        <w:rPr>
          <w:rFonts w:ascii="Times New Roman" w:hAnsi="Times New Roman" w:cs="Times New Roman"/>
          <w:sz w:val="20"/>
          <w:szCs w:val="20"/>
        </w:rPr>
      </w:pPr>
      <w:r w:rsidRPr="0028310A">
        <w:rPr>
          <w:rFonts w:ascii="Times New Roman" w:hAnsi="Times New Roman" w:cs="Times New Roman"/>
          <w:sz w:val="20"/>
          <w:szCs w:val="20"/>
        </w:rPr>
        <w:t>Figure 5. Identification of healthy stool type (n = 47).</w:t>
      </w:r>
    </w:p>
    <w:p w14:paraId="01AFBD1E" w14:textId="77777777" w:rsidR="0028310A" w:rsidRPr="0028310A" w:rsidRDefault="0028310A" w:rsidP="0028310A">
      <w:pPr>
        <w:rPr>
          <w:rFonts w:ascii="Times New Roman" w:hAnsi="Times New Roman" w:cs="Times New Roman"/>
          <w:sz w:val="24"/>
          <w:szCs w:val="24"/>
        </w:rPr>
      </w:pPr>
    </w:p>
    <w:p w14:paraId="139B146C" w14:textId="1283D33A" w:rsidR="0028310A" w:rsidRPr="0028310A" w:rsidRDefault="00134E39" w:rsidP="0028310A">
      <w:pPr>
        <w:rPr>
          <w:rFonts w:ascii="Times New Roman" w:hAnsi="Times New Roman" w:cs="Times New Roman"/>
          <w:sz w:val="24"/>
          <w:szCs w:val="24"/>
        </w:rPr>
      </w:pPr>
      <w:r w:rsidRPr="00134E39">
        <w:rPr>
          <w:rFonts w:ascii="Times New Roman" w:hAnsi="Times New Roman" w:cs="Times New Roman"/>
          <w:sz w:val="24"/>
          <w:szCs w:val="24"/>
        </w:rPr>
        <w:t>Across the knowledge</w:t>
      </w:r>
      <w:r w:rsidRPr="00134E39">
        <w:rPr>
          <w:rFonts w:ascii="Times New Roman" w:hAnsi="Times New Roman" w:cs="Times New Roman"/>
          <w:sz w:val="24"/>
          <w:szCs w:val="24"/>
        </w:rPr>
        <w:noBreakHyphen/>
        <w:t>based questions, 57.4% to 87.2% of participants selected the correct answers</w:t>
      </w:r>
      <w:r w:rsidR="0028310A" w:rsidRPr="0028310A">
        <w:rPr>
          <w:rFonts w:ascii="Times New Roman" w:hAnsi="Times New Roman" w:cs="Times New Roman"/>
          <w:sz w:val="24"/>
          <w:szCs w:val="24"/>
        </w:rPr>
        <w:t>. Knowledge of the recommended daily fibre intake was high, with 87.2% (41/47) correctly identifying 30 g/day (Figure 2). Understanding of the fibre–hydration relationship was similarly strong, with 85.1% (40/47) recognising that inadequate water intake can lead to constipation (Figure 3). Hydration knowledge was also good, with 82.9% (39/47) correctly identifying pale yellow urine as the indicator of adequate hydration (Figure 4). Identification of healthy stool type showed moderate understanding, with 57.4% (27/47) selecting Type 4 on the Bristol Stool Chart (Figure 5).</w:t>
      </w:r>
    </w:p>
    <w:p w14:paraId="3F6B2776" w14:textId="77777777" w:rsidR="0028310A" w:rsidRPr="0028310A" w:rsidRDefault="0028310A" w:rsidP="0028310A">
      <w:pPr>
        <w:rPr>
          <w:rFonts w:ascii="Times New Roman" w:hAnsi="Times New Roman" w:cs="Times New Roman"/>
          <w:sz w:val="24"/>
          <w:szCs w:val="24"/>
        </w:rPr>
      </w:pPr>
    </w:p>
    <w:p w14:paraId="0CD5A480" w14:textId="77777777" w:rsidR="0028310A" w:rsidRPr="0028310A" w:rsidRDefault="0028310A" w:rsidP="007A394F">
      <w:pPr>
        <w:spacing w:after="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2.2 Public health evaluation link</w:t>
      </w:r>
    </w:p>
    <w:p w14:paraId="7B1472AD"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Public health evaluation examines the delivery of an intervention, its short-term effects, and whether longer-term outcomes or standards were achieved (OHID, 2018). The questionnaire findings indicate short-term changes in knowledge, awareness, and intentions after the intervention. These short-term changes align with impact evaluation within public health practice (WHO, 2001). The high proportion of correct responses suggests improved understanding of fibre intake, hydration, and bowel health. These findings demonstrate immediate learning and attitudinal change. This evaluation reflects the final stage of the Public Health Nutrition Cycle, which emphasises programme evaluation to assess effectiveness and inform improvement (Lean and Combet, 2017).</w:t>
      </w:r>
    </w:p>
    <w:p w14:paraId="5A804F2E" w14:textId="77777777" w:rsidR="0028310A" w:rsidRPr="0028310A" w:rsidRDefault="0028310A" w:rsidP="0028310A">
      <w:pPr>
        <w:rPr>
          <w:rFonts w:ascii="Times New Roman" w:hAnsi="Times New Roman" w:cs="Times New Roman"/>
          <w:sz w:val="24"/>
          <w:szCs w:val="24"/>
        </w:rPr>
      </w:pPr>
    </w:p>
    <w:p w14:paraId="076A8D21" w14:textId="77777777" w:rsidR="0028310A" w:rsidRPr="0028310A" w:rsidRDefault="0028310A" w:rsidP="007A394F">
      <w:pPr>
        <w:spacing w:after="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2.3 Behaviour change intentions (Q8)</w:t>
      </w:r>
    </w:p>
    <w:p w14:paraId="3ED685B2" w14:textId="729197B2" w:rsidR="004C25E5" w:rsidRDefault="0028310A" w:rsidP="004C25E5">
      <w:pPr>
        <w:rPr>
          <w:rFonts w:ascii="Times New Roman" w:hAnsi="Times New Roman" w:cs="Times New Roman"/>
          <w:sz w:val="24"/>
          <w:szCs w:val="24"/>
        </w:rPr>
      </w:pPr>
      <w:r w:rsidRPr="0028310A">
        <w:rPr>
          <w:rFonts w:ascii="Times New Roman" w:hAnsi="Times New Roman" w:cs="Times New Roman"/>
          <w:sz w:val="24"/>
          <w:szCs w:val="24"/>
        </w:rPr>
        <w:t xml:space="preserve">Open responses to Question 8 were summarised descriptively and grouped by common suggestions; illustrative responses are reported below. The most common suggestions included increasing bean consumption (e.g., baked beans, beans on toast), switching to wholemeal bread, adding oats or overnight oats, increasing fruit and vegetable intake, and improving hydration. These responses show that participants were able to identify simple, achievable dietary changes, indicating increased capability and motivation to improve fibre intake. This further supports the </w:t>
      </w:r>
      <w:r w:rsidR="004D3F9F">
        <w:rPr>
          <w:rFonts w:ascii="Times New Roman" w:hAnsi="Times New Roman" w:cs="Times New Roman"/>
          <w:sz w:val="24"/>
          <w:szCs w:val="24"/>
        </w:rPr>
        <w:t>event's</w:t>
      </w:r>
      <w:r w:rsidRPr="0028310A">
        <w:rPr>
          <w:rFonts w:ascii="Times New Roman" w:hAnsi="Times New Roman" w:cs="Times New Roman"/>
          <w:sz w:val="24"/>
          <w:szCs w:val="24"/>
        </w:rPr>
        <w:t xml:space="preserve"> impact-level outcomes as defined by OHID (2018).</w:t>
      </w:r>
    </w:p>
    <w:p w14:paraId="14E1E5FA" w14:textId="0BFE88E6" w:rsidR="0028310A" w:rsidRPr="0028310A" w:rsidRDefault="0028310A" w:rsidP="004C25E5">
      <w:pPr>
        <w:jc w:val="center"/>
        <w:rPr>
          <w:rFonts w:ascii="Times New Roman" w:hAnsi="Times New Roman" w:cs="Times New Roman"/>
          <w:sz w:val="24"/>
          <w:szCs w:val="24"/>
        </w:rPr>
      </w:pPr>
      <w:r w:rsidRPr="0028310A">
        <w:rPr>
          <w:rFonts w:ascii="Times New Roman" w:hAnsi="Times New Roman" w:cs="Times New Roman"/>
          <w:b/>
          <w:bCs/>
          <w:sz w:val="26"/>
          <w:szCs w:val="26"/>
          <w:u w:val="single"/>
        </w:rPr>
        <w:lastRenderedPageBreak/>
        <w:t>3 Critical Evaluation of Health Promotion Theories</w:t>
      </w:r>
    </w:p>
    <w:p w14:paraId="3940559A"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Public health practice draws on multiple behaviour change theories, including stage-based models such as the Transtheoretical Model (Prochaska and DiClemente, 1983). The model proposes that individuals progress through stages from pre-contemplation to maintenance (Prochaska and DiClemente, 1983).</w:t>
      </w:r>
    </w:p>
    <w:p w14:paraId="298FE7DB" w14:textId="3F31BDF4"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Although the stall was not designed using TTM, a stage-based perspective helps interpret the questionnaire responses. Behaviour</w:t>
      </w:r>
      <w:r w:rsidR="00CA4B18">
        <w:rPr>
          <w:rFonts w:ascii="Times New Roman" w:hAnsi="Times New Roman" w:cs="Times New Roman"/>
          <w:sz w:val="24"/>
          <w:szCs w:val="24"/>
        </w:rPr>
        <w:t>al</w:t>
      </w:r>
      <w:r w:rsidRPr="0028310A">
        <w:rPr>
          <w:rFonts w:ascii="Times New Roman" w:hAnsi="Times New Roman" w:cs="Times New Roman"/>
          <w:sz w:val="24"/>
          <w:szCs w:val="24"/>
        </w:rPr>
        <w:t xml:space="preserve"> change intentions in Question 8 suggest several participants were in preparation or action stages, indicating readiness for dietary change.</w:t>
      </w:r>
    </w:p>
    <w:p w14:paraId="7A5D5B92" w14:textId="2A7C51D5"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 xml:space="preserve">The event design primarily used the COM-B model within the Behaviour Change Wheel (Michie, van Stralen and West, 2011). Self-Determination Theory also helps interpret engagement, as autonomy, competence, and relatedness may have influenced </w:t>
      </w:r>
      <w:r w:rsidR="00CA4B18">
        <w:rPr>
          <w:rFonts w:ascii="Times New Roman" w:hAnsi="Times New Roman" w:cs="Times New Roman"/>
          <w:sz w:val="24"/>
          <w:szCs w:val="24"/>
        </w:rPr>
        <w:t>participants'</w:t>
      </w:r>
      <w:r w:rsidRPr="0028310A">
        <w:rPr>
          <w:rFonts w:ascii="Times New Roman" w:hAnsi="Times New Roman" w:cs="Times New Roman"/>
          <w:sz w:val="24"/>
          <w:szCs w:val="24"/>
        </w:rPr>
        <w:t xml:space="preserve"> interactions (Ryan and Deci, 2000).</w:t>
      </w:r>
    </w:p>
    <w:p w14:paraId="6A8ED75D" w14:textId="77777777" w:rsidR="0028310A" w:rsidRPr="0028310A" w:rsidRDefault="0028310A" w:rsidP="0028310A">
      <w:pPr>
        <w:rPr>
          <w:rFonts w:ascii="Times New Roman" w:hAnsi="Times New Roman" w:cs="Times New Roman"/>
          <w:sz w:val="24"/>
          <w:szCs w:val="24"/>
        </w:rPr>
      </w:pPr>
    </w:p>
    <w:p w14:paraId="04E8F736" w14:textId="77777777" w:rsidR="0028310A" w:rsidRPr="0028310A" w:rsidRDefault="0028310A" w:rsidP="00A22AA3">
      <w:pPr>
        <w:spacing w:after="0"/>
        <w:rPr>
          <w:rFonts w:ascii="Times New Roman" w:hAnsi="Times New Roman" w:cs="Times New Roman"/>
          <w:sz w:val="24"/>
          <w:szCs w:val="24"/>
        </w:rPr>
      </w:pPr>
      <w:r w:rsidRPr="0028310A">
        <w:rPr>
          <w:rFonts w:ascii="Times New Roman" w:hAnsi="Times New Roman" w:cs="Times New Roman"/>
          <w:b/>
          <w:bCs/>
          <w:sz w:val="24"/>
          <w:szCs w:val="24"/>
          <w:u w:val="single"/>
        </w:rPr>
        <w:t>3.1 Self-Determination Theory (SDT</w:t>
      </w:r>
      <w:r w:rsidRPr="0028310A">
        <w:rPr>
          <w:rFonts w:ascii="Times New Roman" w:hAnsi="Times New Roman" w:cs="Times New Roman"/>
          <w:sz w:val="24"/>
          <w:szCs w:val="24"/>
        </w:rPr>
        <w:t>)</w:t>
      </w:r>
    </w:p>
    <w:p w14:paraId="78607FB9"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Self-Determination Theory proposes that behaviour change is more likely when three psychological needs are supported: autonomy, competence, and relatedness (Ryan and Deci, 2000). The event addressed competence by providing clear, evidence-based information on fibre intake, hydration, and bowel health. Interactive elements, including the fibre-ranking game and visual charts, helped participants feel more capable of applying the information.</w:t>
      </w:r>
    </w:p>
    <w:p w14:paraId="03246517"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The stall also supported autonomy by encouraging participants to identify their own achievable dietary changes in Question 8. Responses such as choosing beans, wholemeal bread, or oats demonstrate that individuals selected changes that felt personally realistic. Relatedness was fostered through student-led discussions, which created a supportive, conversational environment. However, SDT highlights that long-term behaviour change requires sustained autonomy support, which a one-day stall cannot fully provide (Ryan and Deci, 2000). Follow-up resources or digital prompts could have strengthened ongoing motivation.</w:t>
      </w:r>
    </w:p>
    <w:p w14:paraId="2646D8B5" w14:textId="77777777" w:rsidR="0028310A" w:rsidRPr="0028310A" w:rsidRDefault="0028310A" w:rsidP="0028310A">
      <w:pPr>
        <w:rPr>
          <w:rFonts w:ascii="Times New Roman" w:hAnsi="Times New Roman" w:cs="Times New Roman"/>
          <w:sz w:val="24"/>
          <w:szCs w:val="24"/>
        </w:rPr>
      </w:pPr>
    </w:p>
    <w:p w14:paraId="06F457D3" w14:textId="77777777" w:rsidR="0028310A" w:rsidRPr="0028310A" w:rsidRDefault="0028310A" w:rsidP="00A22AA3">
      <w:pPr>
        <w:spacing w:after="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3.2 Behaviour Change Wheel (BCW) and COM-B</w:t>
      </w:r>
    </w:p>
    <w:p w14:paraId="66D9E961"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The Behaviour Change Wheel is a comprehensive framework for designing behaviour change interventions, with COM-B (Capability, Opportunity, Motivation–Behaviour) at its core (Michie, van Stralen and West, 2011). COM-B proposes that behaviour results from Capability, Opportunity, and Motivation interacting to generate Behaviour (Michie et al., 2011). The event enhanced psychological capability by increasing knowledge of fibre recommendations, hydration, and bowel health. Interactive activities also supported physical capability by helping participants identify high-fibre foods and interpret stool and urine charts.</w:t>
      </w:r>
    </w:p>
    <w:p w14:paraId="68C55D09" w14:textId="77777777" w:rsidR="00A22AA3"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Opportunity was addressed through changes to the stall environment. Visual cues, food examples, and demonstrations made fibre-rich choices more noticeable and accessible. Social opportunity appeared through peer interactions and student explanations, which normalised discussions about gut health.</w:t>
      </w:r>
    </w:p>
    <w:p w14:paraId="47DD1D31" w14:textId="610DC82D"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lastRenderedPageBreak/>
        <w:t>The event influenced motivation through reflective and automatic pathways. It applied education, persuasion, and changes to the physical environment, key BCW functions supporting initial behaviour change (Michie et al., 2011). Educational content and the questionnaire supported reflective motivation by prompting participants to reflect on their habits. Automatic motivation was stimulated through engaging visuals, hands-on activities, and small freebies.</w:t>
      </w:r>
    </w:p>
    <w:p w14:paraId="3F4FF10B"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The BCW notes that sustained behaviour change often requires additional intervention functions, such as enablement or incentivisation (Michie et al., 2011). The event provided initial motivation but lacked longer-term mechanisms to support maintenance.</w:t>
      </w:r>
    </w:p>
    <w:p w14:paraId="78DF0663" w14:textId="77777777" w:rsidR="0028310A" w:rsidRPr="0028310A" w:rsidRDefault="0028310A" w:rsidP="0028310A">
      <w:pPr>
        <w:rPr>
          <w:rFonts w:ascii="Times New Roman" w:hAnsi="Times New Roman" w:cs="Times New Roman"/>
          <w:sz w:val="24"/>
          <w:szCs w:val="24"/>
        </w:rPr>
      </w:pPr>
    </w:p>
    <w:p w14:paraId="1F050A8A" w14:textId="77777777" w:rsidR="0028310A" w:rsidRPr="0028310A" w:rsidRDefault="0028310A" w:rsidP="00A22AA3">
      <w:pPr>
        <w:spacing w:after="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3.3 Critical reflection</w:t>
      </w:r>
    </w:p>
    <w:p w14:paraId="1F720C4D"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Both SDT and the BCW show that the event increased knowledge and short-term motivation, aligning with its aims (Ryan and Deci, 2000; Michie et al., 2011). The interactive, supportive environment addressed key behavioural determinants, particularly capability and autonomous motivation. However, both theories also highlight important limitations. The intervention was brief, lacked follow-up, and did not address structural barriers such as cost or food access. It also did not support long-term habit formation, which both frameworks emphasise as essential for sustained change (Ryan and Deci, 2000; Michie et al., 2011). Future interventions could include digital reminders, recipe cards, or local partnerships to support sustained motivation and opportunity.</w:t>
      </w:r>
    </w:p>
    <w:p w14:paraId="754EBA57" w14:textId="77777777" w:rsidR="0028310A" w:rsidRPr="0028310A" w:rsidRDefault="0028310A" w:rsidP="0028310A">
      <w:pPr>
        <w:rPr>
          <w:rFonts w:ascii="Times New Roman" w:hAnsi="Times New Roman" w:cs="Times New Roman"/>
          <w:sz w:val="24"/>
          <w:szCs w:val="24"/>
        </w:rPr>
      </w:pPr>
    </w:p>
    <w:p w14:paraId="109BF912" w14:textId="77777777" w:rsidR="00A22AA3" w:rsidRDefault="00A22AA3" w:rsidP="0028310A">
      <w:pPr>
        <w:rPr>
          <w:rFonts w:ascii="Times New Roman" w:hAnsi="Times New Roman" w:cs="Times New Roman"/>
          <w:sz w:val="24"/>
          <w:szCs w:val="24"/>
        </w:rPr>
      </w:pPr>
    </w:p>
    <w:p w14:paraId="3450D4E1" w14:textId="77777777" w:rsidR="00A22AA3" w:rsidRDefault="00A22AA3" w:rsidP="0028310A">
      <w:pPr>
        <w:rPr>
          <w:rFonts w:ascii="Times New Roman" w:hAnsi="Times New Roman" w:cs="Times New Roman"/>
          <w:sz w:val="24"/>
          <w:szCs w:val="24"/>
        </w:rPr>
      </w:pPr>
    </w:p>
    <w:p w14:paraId="50D8DD13" w14:textId="77777777" w:rsidR="00A22AA3" w:rsidRDefault="00A22AA3" w:rsidP="0028310A">
      <w:pPr>
        <w:rPr>
          <w:rFonts w:ascii="Times New Roman" w:hAnsi="Times New Roman" w:cs="Times New Roman"/>
          <w:sz w:val="24"/>
          <w:szCs w:val="24"/>
        </w:rPr>
      </w:pPr>
    </w:p>
    <w:p w14:paraId="3DD6ECC3" w14:textId="77777777" w:rsidR="00A22AA3" w:rsidRDefault="00A22AA3" w:rsidP="0028310A">
      <w:pPr>
        <w:rPr>
          <w:rFonts w:ascii="Times New Roman" w:hAnsi="Times New Roman" w:cs="Times New Roman"/>
          <w:sz w:val="24"/>
          <w:szCs w:val="24"/>
        </w:rPr>
      </w:pPr>
    </w:p>
    <w:p w14:paraId="0780EA97" w14:textId="77777777" w:rsidR="00A22AA3" w:rsidRDefault="00A22AA3" w:rsidP="0028310A">
      <w:pPr>
        <w:rPr>
          <w:rFonts w:ascii="Times New Roman" w:hAnsi="Times New Roman" w:cs="Times New Roman"/>
          <w:sz w:val="24"/>
          <w:szCs w:val="24"/>
        </w:rPr>
      </w:pPr>
    </w:p>
    <w:p w14:paraId="5EFBAE8C" w14:textId="77777777" w:rsidR="00A22AA3" w:rsidRDefault="00A22AA3" w:rsidP="0028310A">
      <w:pPr>
        <w:rPr>
          <w:rFonts w:ascii="Times New Roman" w:hAnsi="Times New Roman" w:cs="Times New Roman"/>
          <w:sz w:val="24"/>
          <w:szCs w:val="24"/>
        </w:rPr>
      </w:pPr>
    </w:p>
    <w:p w14:paraId="3162C20B" w14:textId="77777777" w:rsidR="00A22AA3" w:rsidRDefault="00A22AA3" w:rsidP="0028310A">
      <w:pPr>
        <w:rPr>
          <w:rFonts w:ascii="Times New Roman" w:hAnsi="Times New Roman" w:cs="Times New Roman"/>
          <w:sz w:val="24"/>
          <w:szCs w:val="24"/>
        </w:rPr>
      </w:pPr>
    </w:p>
    <w:p w14:paraId="04C75024" w14:textId="77777777" w:rsidR="00A22AA3" w:rsidRDefault="00A22AA3" w:rsidP="0028310A">
      <w:pPr>
        <w:rPr>
          <w:rFonts w:ascii="Times New Roman" w:hAnsi="Times New Roman" w:cs="Times New Roman"/>
          <w:sz w:val="24"/>
          <w:szCs w:val="24"/>
        </w:rPr>
      </w:pPr>
    </w:p>
    <w:p w14:paraId="377959C2" w14:textId="77777777" w:rsidR="00A22AA3" w:rsidRDefault="00A22AA3" w:rsidP="0028310A">
      <w:pPr>
        <w:rPr>
          <w:rFonts w:ascii="Times New Roman" w:hAnsi="Times New Roman" w:cs="Times New Roman"/>
          <w:sz w:val="24"/>
          <w:szCs w:val="24"/>
        </w:rPr>
      </w:pPr>
    </w:p>
    <w:p w14:paraId="3CF32222" w14:textId="77777777" w:rsidR="00A22AA3" w:rsidRDefault="00A22AA3" w:rsidP="0028310A">
      <w:pPr>
        <w:rPr>
          <w:rFonts w:ascii="Times New Roman" w:hAnsi="Times New Roman" w:cs="Times New Roman"/>
          <w:sz w:val="24"/>
          <w:szCs w:val="24"/>
        </w:rPr>
      </w:pPr>
    </w:p>
    <w:p w14:paraId="554AF10A" w14:textId="77777777" w:rsidR="00A22AA3" w:rsidRDefault="00A22AA3" w:rsidP="0028310A">
      <w:pPr>
        <w:rPr>
          <w:rFonts w:ascii="Times New Roman" w:hAnsi="Times New Roman" w:cs="Times New Roman"/>
          <w:sz w:val="24"/>
          <w:szCs w:val="24"/>
        </w:rPr>
      </w:pPr>
    </w:p>
    <w:p w14:paraId="2B668099" w14:textId="77777777" w:rsidR="00A22AA3" w:rsidRDefault="00A22AA3" w:rsidP="0028310A">
      <w:pPr>
        <w:rPr>
          <w:rFonts w:ascii="Times New Roman" w:hAnsi="Times New Roman" w:cs="Times New Roman"/>
          <w:sz w:val="24"/>
          <w:szCs w:val="24"/>
        </w:rPr>
      </w:pPr>
    </w:p>
    <w:p w14:paraId="019EC597" w14:textId="77777777" w:rsidR="00A22AA3" w:rsidRDefault="00A22AA3" w:rsidP="0028310A">
      <w:pPr>
        <w:rPr>
          <w:rFonts w:ascii="Times New Roman" w:hAnsi="Times New Roman" w:cs="Times New Roman"/>
          <w:sz w:val="24"/>
          <w:szCs w:val="24"/>
        </w:rPr>
      </w:pPr>
    </w:p>
    <w:p w14:paraId="2CEB4647" w14:textId="77777777" w:rsidR="00A22AA3" w:rsidRDefault="00A22AA3" w:rsidP="0028310A">
      <w:pPr>
        <w:rPr>
          <w:rFonts w:ascii="Times New Roman" w:hAnsi="Times New Roman" w:cs="Times New Roman"/>
          <w:sz w:val="24"/>
          <w:szCs w:val="24"/>
        </w:rPr>
      </w:pPr>
    </w:p>
    <w:p w14:paraId="4BD4D08C" w14:textId="77777777" w:rsidR="004C25E5" w:rsidRDefault="004C25E5" w:rsidP="004C25E5">
      <w:pPr>
        <w:spacing w:after="120"/>
        <w:rPr>
          <w:rFonts w:ascii="Times New Roman" w:hAnsi="Times New Roman" w:cs="Times New Roman"/>
          <w:sz w:val="24"/>
          <w:szCs w:val="24"/>
        </w:rPr>
      </w:pPr>
    </w:p>
    <w:p w14:paraId="684F89AC" w14:textId="77C496A9" w:rsidR="0028310A" w:rsidRPr="0028310A" w:rsidRDefault="0028310A" w:rsidP="004C25E5">
      <w:pPr>
        <w:spacing w:after="120"/>
        <w:jc w:val="center"/>
        <w:rPr>
          <w:rFonts w:ascii="Times New Roman" w:hAnsi="Times New Roman" w:cs="Times New Roman"/>
          <w:b/>
          <w:bCs/>
          <w:sz w:val="26"/>
          <w:szCs w:val="26"/>
          <w:u w:val="single"/>
        </w:rPr>
      </w:pPr>
      <w:r w:rsidRPr="0028310A">
        <w:rPr>
          <w:rFonts w:ascii="Times New Roman" w:hAnsi="Times New Roman" w:cs="Times New Roman"/>
          <w:b/>
          <w:bCs/>
          <w:sz w:val="26"/>
          <w:szCs w:val="26"/>
          <w:u w:val="single"/>
        </w:rPr>
        <w:lastRenderedPageBreak/>
        <w:t>4 Partnership Working in Health Promotion</w:t>
      </w:r>
    </w:p>
    <w:p w14:paraId="4E61853E" w14:textId="4DFDE10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Effective health promotion relies on partnership working, as no single organisation or individual can address complex public health issues alone (WHO, 2016; WHO, 2022). Partnership working involves collaboration between stakeholders who share resources, expertise, and responsibilities to achieve a common health goal (Speller, 2007). In public health nutrition, partnerships may include universities, local authorities, health services, charities, community groups, and academic teams (Estacio et al., 2017). Working collaboratively enhances the reach, quality, and sustainability of interventions (Estacio et al., 2017).</w:t>
      </w:r>
    </w:p>
    <w:p w14:paraId="0E417BBC" w14:textId="77777777" w:rsidR="0028310A" w:rsidRPr="0028310A" w:rsidRDefault="0028310A" w:rsidP="0028310A">
      <w:pPr>
        <w:rPr>
          <w:rFonts w:ascii="Times New Roman" w:hAnsi="Times New Roman" w:cs="Times New Roman"/>
          <w:sz w:val="24"/>
          <w:szCs w:val="24"/>
        </w:rPr>
      </w:pPr>
    </w:p>
    <w:p w14:paraId="01349778" w14:textId="77777777" w:rsidR="0028310A" w:rsidRPr="0028310A" w:rsidRDefault="0028310A" w:rsidP="00A22AA3">
      <w:pPr>
        <w:spacing w:after="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4.1 Importance of partnership working</w:t>
      </w:r>
    </w:p>
    <w:p w14:paraId="59A38499" w14:textId="7B2FF88A"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 xml:space="preserve">Partnership working strengthens health promotion by combining diverse expertise (Speller, 2007). </w:t>
      </w:r>
      <w:r w:rsidR="00284FCE" w:rsidRPr="00284FCE">
        <w:rPr>
          <w:rFonts w:ascii="Times New Roman" w:hAnsi="Times New Roman" w:cs="Times New Roman"/>
          <w:sz w:val="24"/>
          <w:szCs w:val="24"/>
        </w:rPr>
        <w:t>It enables wider audience reach, supports consistent messaging, and allows interventions to be delivered more efficiently</w:t>
      </w:r>
      <w:r w:rsidR="00284FCE">
        <w:rPr>
          <w:rFonts w:ascii="Times New Roman" w:hAnsi="Times New Roman" w:cs="Times New Roman"/>
          <w:sz w:val="24"/>
          <w:szCs w:val="24"/>
        </w:rPr>
        <w:t xml:space="preserve"> </w:t>
      </w:r>
      <w:r w:rsidRPr="0028310A">
        <w:rPr>
          <w:rFonts w:ascii="Times New Roman" w:hAnsi="Times New Roman" w:cs="Times New Roman"/>
          <w:sz w:val="24"/>
          <w:szCs w:val="24"/>
        </w:rPr>
        <w:t>(Estacio et al., 2017). Shared planning and resource pooling reduce duplication and improve the quality of educational materials (WHO, 2022). Partnerships also support accountability and evaluation, as multiple stakeholders contribute to monitoring outcomes and refining approaches (WHO, 2022). This aligns with the Public Health Nutrition Cycle, which emphasises that successful interventions depend on effective planning, collaboration, and evaluation (Lean and Combet, 2017).</w:t>
      </w:r>
    </w:p>
    <w:p w14:paraId="7122CFA6" w14:textId="77777777" w:rsidR="0028310A" w:rsidRPr="0028310A" w:rsidRDefault="0028310A" w:rsidP="0028310A">
      <w:pPr>
        <w:rPr>
          <w:rFonts w:ascii="Times New Roman" w:hAnsi="Times New Roman" w:cs="Times New Roman"/>
          <w:sz w:val="24"/>
          <w:szCs w:val="24"/>
        </w:rPr>
      </w:pPr>
    </w:p>
    <w:p w14:paraId="5F851873" w14:textId="77777777" w:rsidR="0028310A" w:rsidRPr="0028310A" w:rsidRDefault="0028310A" w:rsidP="00A22AA3">
      <w:pPr>
        <w:spacing w:after="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4.2 Partnership working in this health promotion event</w:t>
      </w:r>
    </w:p>
    <w:p w14:paraId="1007EB71" w14:textId="59F4EE90"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The fibre health promotion event was developed through internal partnership working within the student team. Weekly planning meetings ensured that tasks were shared evenly, roles were clearly allocated, and resources were developed collaboratively. Team members contributed different strengths, such as poster design, leaflet creation, questionnaire development, and sourcing food examples. This multidisciplinary approach improved the clarity, accuracy, and visual appeal of the stall (Estacio et al., 2017). Partnerships also extended beyond the team. Tutors supported academic accuracy and planning, while SACN, NHS, and World Cancer Research Fund resources strengthened the credibility of information (SACN, 2015; NHS, 2026; WCRF, 2026). The university provided the venue, equipment, and visibility needed to engage the public. These partnerships collectively strengthened the intervention by ensuring that the content was accurate, accessible, and aligned with national dietary guidelines (WHO, 2022; COMA, 1991).</w:t>
      </w:r>
    </w:p>
    <w:p w14:paraId="1AE0049A" w14:textId="77777777" w:rsidR="0028310A" w:rsidRPr="0028310A" w:rsidRDefault="0028310A" w:rsidP="0028310A">
      <w:pPr>
        <w:rPr>
          <w:rFonts w:ascii="Times New Roman" w:hAnsi="Times New Roman" w:cs="Times New Roman"/>
          <w:sz w:val="24"/>
          <w:szCs w:val="24"/>
        </w:rPr>
      </w:pPr>
    </w:p>
    <w:p w14:paraId="1F1D446A" w14:textId="77777777" w:rsidR="0028310A" w:rsidRPr="0028310A" w:rsidRDefault="0028310A" w:rsidP="00A22AA3">
      <w:pPr>
        <w:spacing w:after="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4.3 Critical discussion: strengths and limitations</w:t>
      </w:r>
    </w:p>
    <w:p w14:paraId="40D66063"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A key strength of partnership working in this event was the high level of communication and shared responsibility within the team (Estacio et al., 2017). Collaborative planning ensured the stall was well organised and visually engaging, which contributed to strong participant engagement. The use of evidence-based external resources further enhanced the quality and reliability of the information delivered (Lean and Combet, 2017).</w:t>
      </w:r>
    </w:p>
    <w:p w14:paraId="7B3C938C" w14:textId="77777777" w:rsidR="0028310A" w:rsidRPr="0028310A" w:rsidRDefault="0028310A" w:rsidP="0028310A">
      <w:pPr>
        <w:rPr>
          <w:rFonts w:ascii="Times New Roman" w:hAnsi="Times New Roman" w:cs="Times New Roman"/>
          <w:sz w:val="24"/>
          <w:szCs w:val="24"/>
        </w:rPr>
      </w:pPr>
    </w:p>
    <w:p w14:paraId="5DF55D0A"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lastRenderedPageBreak/>
        <w:t>However, there were limitations. The partnership network was relatively narrow, involving mainly internal university stakeholders. Wider partnerships with local health services, community groups, or public health organisations could have increased reach and expertise (Speller, 2007). Time constraints limited deeper collaboration, and workload distribution could have improved through clearer contingency planning. These limitations reflect common partnership challenges, including coordination difficulties, uneven contributions, and limited external engagement (Estacio et al., 2017). Lean and Combet note that limited partnership breadth can reduce intervention reach and sustainability, which was evident in this event (Lean and Combet, 2017).</w:t>
      </w:r>
    </w:p>
    <w:p w14:paraId="28FF3A27" w14:textId="77777777" w:rsidR="0028310A" w:rsidRPr="0028310A" w:rsidRDefault="0028310A" w:rsidP="0028310A">
      <w:pPr>
        <w:rPr>
          <w:rFonts w:ascii="Times New Roman" w:hAnsi="Times New Roman" w:cs="Times New Roman"/>
          <w:sz w:val="24"/>
          <w:szCs w:val="24"/>
        </w:rPr>
      </w:pPr>
    </w:p>
    <w:p w14:paraId="6266A4C3" w14:textId="77777777" w:rsidR="0028310A" w:rsidRPr="0028310A" w:rsidRDefault="0028310A" w:rsidP="00A22AA3">
      <w:pPr>
        <w:spacing w:after="0"/>
        <w:rPr>
          <w:rFonts w:ascii="Times New Roman" w:hAnsi="Times New Roman" w:cs="Times New Roman"/>
          <w:b/>
          <w:bCs/>
          <w:sz w:val="24"/>
          <w:szCs w:val="24"/>
          <w:u w:val="single"/>
        </w:rPr>
      </w:pPr>
      <w:r w:rsidRPr="0028310A">
        <w:rPr>
          <w:rFonts w:ascii="Times New Roman" w:hAnsi="Times New Roman" w:cs="Times New Roman"/>
          <w:b/>
          <w:bCs/>
          <w:sz w:val="24"/>
          <w:szCs w:val="24"/>
          <w:u w:val="single"/>
        </w:rPr>
        <w:t>4.4 Why partnership working matters for public health</w:t>
      </w:r>
    </w:p>
    <w:p w14:paraId="16CBA855"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Partnership working is essential for addressing nutrition-related health inequalities, improving community engagement, and ensuring that interventions are sustainable (WHO, 2016; WHO, 2022). By drawing on multiple perspectives and resources, partnerships help create interventions that are more relevant, culturally appropriate, and impactful (Speller, 2007). In this event, partnership working supported effective planning, delivery, and evaluation, which are key stages of the Public Health Nutrition Cycle (Lean and Combet, 2017). Strengthening partnerships in future events could enhance reach, improve long-term impact, and support more comprehensive public health strategies (WHO, 2022).</w:t>
      </w:r>
    </w:p>
    <w:p w14:paraId="51A7FB16"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Overall, the event followed the key stages of the Public Health Nutrition Cycle, from problem identification to evaluation (Lean and Combet, 2017). This demonstrated a structured and systematic approach to health promotion.</w:t>
      </w:r>
    </w:p>
    <w:p w14:paraId="34585176" w14:textId="77777777" w:rsidR="0028310A" w:rsidRPr="0028310A" w:rsidRDefault="0028310A" w:rsidP="0028310A">
      <w:pPr>
        <w:rPr>
          <w:rFonts w:ascii="Times New Roman" w:hAnsi="Times New Roman" w:cs="Times New Roman"/>
          <w:sz w:val="24"/>
          <w:szCs w:val="24"/>
        </w:rPr>
      </w:pPr>
    </w:p>
    <w:p w14:paraId="5F32268D" w14:textId="77777777" w:rsidR="0028310A" w:rsidRDefault="0028310A" w:rsidP="0028310A">
      <w:pPr>
        <w:rPr>
          <w:rFonts w:ascii="Times New Roman" w:hAnsi="Times New Roman" w:cs="Times New Roman"/>
          <w:sz w:val="24"/>
          <w:szCs w:val="24"/>
        </w:rPr>
      </w:pPr>
    </w:p>
    <w:p w14:paraId="232DB8EC" w14:textId="77777777" w:rsidR="0028310A" w:rsidRDefault="0028310A" w:rsidP="0028310A">
      <w:pPr>
        <w:rPr>
          <w:rFonts w:ascii="Times New Roman" w:hAnsi="Times New Roman" w:cs="Times New Roman"/>
          <w:sz w:val="24"/>
          <w:szCs w:val="24"/>
        </w:rPr>
      </w:pPr>
    </w:p>
    <w:p w14:paraId="4860D0AC" w14:textId="77777777" w:rsidR="0028310A" w:rsidRDefault="0028310A" w:rsidP="0028310A">
      <w:pPr>
        <w:rPr>
          <w:rFonts w:ascii="Times New Roman" w:hAnsi="Times New Roman" w:cs="Times New Roman"/>
          <w:sz w:val="24"/>
          <w:szCs w:val="24"/>
        </w:rPr>
      </w:pPr>
    </w:p>
    <w:p w14:paraId="33B0B817" w14:textId="77777777" w:rsidR="0028310A" w:rsidRDefault="0028310A" w:rsidP="0028310A">
      <w:pPr>
        <w:rPr>
          <w:rFonts w:ascii="Times New Roman" w:hAnsi="Times New Roman" w:cs="Times New Roman"/>
          <w:sz w:val="24"/>
          <w:szCs w:val="24"/>
        </w:rPr>
      </w:pPr>
    </w:p>
    <w:p w14:paraId="21E584B9" w14:textId="77777777" w:rsidR="00A22AA3" w:rsidRDefault="00A22AA3" w:rsidP="0028310A">
      <w:pPr>
        <w:rPr>
          <w:rFonts w:ascii="Times New Roman" w:hAnsi="Times New Roman" w:cs="Times New Roman"/>
          <w:sz w:val="24"/>
          <w:szCs w:val="24"/>
        </w:rPr>
      </w:pPr>
    </w:p>
    <w:p w14:paraId="07302C9A" w14:textId="77777777" w:rsidR="00A22AA3" w:rsidRDefault="00A22AA3" w:rsidP="0028310A">
      <w:pPr>
        <w:rPr>
          <w:rFonts w:ascii="Times New Roman" w:hAnsi="Times New Roman" w:cs="Times New Roman"/>
          <w:sz w:val="24"/>
          <w:szCs w:val="24"/>
        </w:rPr>
      </w:pPr>
    </w:p>
    <w:p w14:paraId="4D42F6F2" w14:textId="77777777" w:rsidR="00A22AA3" w:rsidRDefault="00A22AA3" w:rsidP="0028310A">
      <w:pPr>
        <w:rPr>
          <w:rFonts w:ascii="Times New Roman" w:hAnsi="Times New Roman" w:cs="Times New Roman"/>
          <w:sz w:val="24"/>
          <w:szCs w:val="24"/>
        </w:rPr>
      </w:pPr>
    </w:p>
    <w:p w14:paraId="682D3C0B" w14:textId="77777777" w:rsidR="00A22AA3" w:rsidRDefault="00A22AA3" w:rsidP="0028310A">
      <w:pPr>
        <w:rPr>
          <w:rFonts w:ascii="Times New Roman" w:hAnsi="Times New Roman" w:cs="Times New Roman"/>
          <w:sz w:val="24"/>
          <w:szCs w:val="24"/>
        </w:rPr>
      </w:pPr>
    </w:p>
    <w:p w14:paraId="0EEC7672" w14:textId="77777777" w:rsidR="00A22AA3" w:rsidRDefault="00A22AA3" w:rsidP="0028310A">
      <w:pPr>
        <w:rPr>
          <w:rFonts w:ascii="Times New Roman" w:hAnsi="Times New Roman" w:cs="Times New Roman"/>
          <w:sz w:val="24"/>
          <w:szCs w:val="24"/>
        </w:rPr>
      </w:pPr>
    </w:p>
    <w:p w14:paraId="38236BB9" w14:textId="77777777" w:rsidR="00A22AA3" w:rsidRDefault="00A22AA3" w:rsidP="0028310A">
      <w:pPr>
        <w:rPr>
          <w:rFonts w:ascii="Times New Roman" w:hAnsi="Times New Roman" w:cs="Times New Roman"/>
          <w:sz w:val="24"/>
          <w:szCs w:val="24"/>
        </w:rPr>
      </w:pPr>
    </w:p>
    <w:p w14:paraId="0A192E51" w14:textId="77777777" w:rsidR="00A22AA3" w:rsidRDefault="00A22AA3" w:rsidP="0028310A">
      <w:pPr>
        <w:rPr>
          <w:rFonts w:ascii="Times New Roman" w:hAnsi="Times New Roman" w:cs="Times New Roman"/>
          <w:sz w:val="24"/>
          <w:szCs w:val="24"/>
        </w:rPr>
      </w:pPr>
    </w:p>
    <w:p w14:paraId="787819D0" w14:textId="77777777" w:rsidR="00A22AA3" w:rsidRDefault="00A22AA3" w:rsidP="0028310A">
      <w:pPr>
        <w:rPr>
          <w:rFonts w:ascii="Times New Roman" w:hAnsi="Times New Roman" w:cs="Times New Roman"/>
          <w:sz w:val="24"/>
          <w:szCs w:val="24"/>
        </w:rPr>
      </w:pPr>
    </w:p>
    <w:p w14:paraId="6F3914CF" w14:textId="77777777" w:rsidR="00A22AA3" w:rsidRDefault="00A22AA3" w:rsidP="0028310A">
      <w:pPr>
        <w:rPr>
          <w:rFonts w:ascii="Times New Roman" w:hAnsi="Times New Roman" w:cs="Times New Roman"/>
          <w:sz w:val="24"/>
          <w:szCs w:val="24"/>
        </w:rPr>
      </w:pPr>
    </w:p>
    <w:p w14:paraId="2C47A0D9" w14:textId="77777777" w:rsidR="00A22AA3" w:rsidRDefault="00A22AA3" w:rsidP="0028310A">
      <w:pPr>
        <w:rPr>
          <w:rFonts w:ascii="Times New Roman" w:hAnsi="Times New Roman" w:cs="Times New Roman"/>
          <w:sz w:val="24"/>
          <w:szCs w:val="24"/>
        </w:rPr>
      </w:pPr>
    </w:p>
    <w:p w14:paraId="3B39E6DF" w14:textId="4167201C" w:rsidR="0028310A" w:rsidRPr="0028310A" w:rsidRDefault="0028310A" w:rsidP="00A22AA3">
      <w:pPr>
        <w:spacing w:after="120"/>
        <w:jc w:val="center"/>
        <w:rPr>
          <w:rFonts w:ascii="Times New Roman" w:hAnsi="Times New Roman" w:cs="Times New Roman"/>
          <w:b/>
          <w:bCs/>
          <w:sz w:val="26"/>
          <w:szCs w:val="26"/>
          <w:u w:val="single"/>
        </w:rPr>
      </w:pPr>
      <w:r w:rsidRPr="0028310A">
        <w:rPr>
          <w:rFonts w:ascii="Times New Roman" w:hAnsi="Times New Roman" w:cs="Times New Roman"/>
          <w:b/>
          <w:bCs/>
          <w:sz w:val="26"/>
          <w:szCs w:val="26"/>
          <w:u w:val="single"/>
        </w:rPr>
        <w:lastRenderedPageBreak/>
        <w:t>5 Summary of Main Findings and Learning Experiences</w:t>
      </w:r>
    </w:p>
    <w:p w14:paraId="375ACC08" w14:textId="18E78C4B"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 xml:space="preserve">The health promotion event successfully increased </w:t>
      </w:r>
      <w:r w:rsidR="00FA6CB3">
        <w:rPr>
          <w:rFonts w:ascii="Times New Roman" w:hAnsi="Times New Roman" w:cs="Times New Roman"/>
          <w:sz w:val="24"/>
          <w:szCs w:val="24"/>
        </w:rPr>
        <w:t>participants'</w:t>
      </w:r>
      <w:r w:rsidRPr="0028310A">
        <w:rPr>
          <w:rFonts w:ascii="Times New Roman" w:hAnsi="Times New Roman" w:cs="Times New Roman"/>
          <w:sz w:val="24"/>
          <w:szCs w:val="24"/>
        </w:rPr>
        <w:t xml:space="preserve"> understanding of dietary fibre, hydration, and bowel health. The questionnaire showed strong knowledge gains across fibre recommendations, hydration indicators, and the fibre–water relationship. Qualitative responses also showed clear intentions to change behaviour, including choosing wholemeal options, increasing bean intake, and improving hydration. These findings indicate that the event achieved its aim of improving awareness and supporting practical dietary choices.</w:t>
      </w:r>
    </w:p>
    <w:p w14:paraId="396D67FD"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The process of planning and delivering the event also provided valuable learning experiences. Working collaboratively highlighted the importance of clear communication, shared responsibility, and evidence-based resource development. The event showed that interactive and visual activities effectively support capability and motivation. The experience also demonstrated that knowledge alone is insufficient; supportive environments and accessible information enable healthier choices.</w:t>
      </w:r>
    </w:p>
    <w:p w14:paraId="39639A19" w14:textId="77777777" w:rsidR="0028310A" w:rsidRPr="0028310A" w:rsidRDefault="0028310A" w:rsidP="0028310A">
      <w:pPr>
        <w:rPr>
          <w:rFonts w:ascii="Times New Roman" w:hAnsi="Times New Roman" w:cs="Times New Roman"/>
          <w:sz w:val="24"/>
          <w:szCs w:val="24"/>
        </w:rPr>
      </w:pPr>
      <w:r w:rsidRPr="0028310A">
        <w:rPr>
          <w:rFonts w:ascii="Times New Roman" w:hAnsi="Times New Roman" w:cs="Times New Roman"/>
          <w:sz w:val="24"/>
          <w:szCs w:val="24"/>
        </w:rPr>
        <w:t>Overall, the event strengthened understanding of how structured planning, partnership working, and reflective evaluation support effective health promotion practice. However, long-term sustainability requires follow-up support, wider partnerships, and ongoing opportunities for participants to apply knowledge in everyday settings.</w:t>
      </w:r>
    </w:p>
    <w:p w14:paraId="451A3A56" w14:textId="654EA590" w:rsidR="00D01C7F" w:rsidRDefault="00D01C7F" w:rsidP="00746E3C">
      <w:pPr>
        <w:rPr>
          <w:rFonts w:ascii="Times New Roman" w:hAnsi="Times New Roman" w:cs="Times New Roman"/>
          <w:sz w:val="24"/>
          <w:szCs w:val="24"/>
        </w:rPr>
      </w:pPr>
    </w:p>
    <w:p w14:paraId="7B65B085" w14:textId="77777777" w:rsidR="00CC0AE7" w:rsidRDefault="00CC0AE7" w:rsidP="00746E3C">
      <w:pPr>
        <w:rPr>
          <w:rFonts w:ascii="Times New Roman" w:hAnsi="Times New Roman" w:cs="Times New Roman"/>
          <w:sz w:val="24"/>
          <w:szCs w:val="24"/>
        </w:rPr>
      </w:pPr>
    </w:p>
    <w:p w14:paraId="207FD710" w14:textId="77777777" w:rsidR="00CC0AE7" w:rsidRDefault="00CC0AE7" w:rsidP="00746E3C">
      <w:pPr>
        <w:rPr>
          <w:rFonts w:ascii="Times New Roman" w:hAnsi="Times New Roman" w:cs="Times New Roman"/>
          <w:sz w:val="24"/>
          <w:szCs w:val="24"/>
        </w:rPr>
      </w:pPr>
    </w:p>
    <w:p w14:paraId="00783D9D" w14:textId="77777777" w:rsidR="00CC0AE7" w:rsidRDefault="00CC0AE7" w:rsidP="00746E3C">
      <w:pPr>
        <w:rPr>
          <w:rFonts w:ascii="Times New Roman" w:hAnsi="Times New Roman" w:cs="Times New Roman"/>
          <w:sz w:val="24"/>
          <w:szCs w:val="24"/>
        </w:rPr>
      </w:pPr>
    </w:p>
    <w:p w14:paraId="7E4DCAA6" w14:textId="77777777" w:rsidR="00CC0AE7" w:rsidRDefault="00CC0AE7" w:rsidP="00746E3C">
      <w:pPr>
        <w:rPr>
          <w:rFonts w:ascii="Times New Roman" w:hAnsi="Times New Roman" w:cs="Times New Roman"/>
          <w:sz w:val="24"/>
          <w:szCs w:val="24"/>
        </w:rPr>
      </w:pPr>
    </w:p>
    <w:p w14:paraId="641AD0BC" w14:textId="77777777" w:rsidR="00CC0AE7" w:rsidRDefault="00CC0AE7" w:rsidP="00746E3C">
      <w:pPr>
        <w:rPr>
          <w:rFonts w:ascii="Times New Roman" w:hAnsi="Times New Roman" w:cs="Times New Roman"/>
          <w:sz w:val="24"/>
          <w:szCs w:val="24"/>
        </w:rPr>
      </w:pPr>
    </w:p>
    <w:p w14:paraId="2768CCA2" w14:textId="77777777" w:rsidR="00CC0AE7" w:rsidRDefault="00CC0AE7" w:rsidP="00746E3C">
      <w:pPr>
        <w:rPr>
          <w:rFonts w:ascii="Times New Roman" w:hAnsi="Times New Roman" w:cs="Times New Roman"/>
          <w:sz w:val="24"/>
          <w:szCs w:val="24"/>
        </w:rPr>
      </w:pPr>
    </w:p>
    <w:p w14:paraId="7E032713" w14:textId="77777777" w:rsidR="00CC0AE7" w:rsidRDefault="00CC0AE7" w:rsidP="00746E3C">
      <w:pPr>
        <w:rPr>
          <w:rFonts w:ascii="Times New Roman" w:hAnsi="Times New Roman" w:cs="Times New Roman"/>
          <w:sz w:val="24"/>
          <w:szCs w:val="24"/>
        </w:rPr>
      </w:pPr>
    </w:p>
    <w:p w14:paraId="24D4EE02" w14:textId="77777777" w:rsidR="00CC0AE7" w:rsidRDefault="00CC0AE7" w:rsidP="00746E3C">
      <w:pPr>
        <w:rPr>
          <w:rFonts w:ascii="Times New Roman" w:hAnsi="Times New Roman" w:cs="Times New Roman"/>
          <w:sz w:val="24"/>
          <w:szCs w:val="24"/>
        </w:rPr>
      </w:pPr>
    </w:p>
    <w:p w14:paraId="124FE56A" w14:textId="58881B08" w:rsidR="00CC0AE7" w:rsidRDefault="00617BF7" w:rsidP="00617BF7">
      <w:pPr>
        <w:tabs>
          <w:tab w:val="left" w:pos="3876"/>
        </w:tabs>
        <w:rPr>
          <w:rFonts w:ascii="Times New Roman" w:hAnsi="Times New Roman" w:cs="Times New Roman"/>
          <w:sz w:val="24"/>
          <w:szCs w:val="24"/>
        </w:rPr>
      </w:pPr>
      <w:r>
        <w:rPr>
          <w:rFonts w:ascii="Times New Roman" w:hAnsi="Times New Roman" w:cs="Times New Roman"/>
          <w:sz w:val="24"/>
          <w:szCs w:val="24"/>
        </w:rPr>
        <w:tab/>
      </w:r>
    </w:p>
    <w:p w14:paraId="698FEDF3" w14:textId="77777777" w:rsidR="00CC0AE7" w:rsidRDefault="00CC0AE7" w:rsidP="00746E3C">
      <w:pPr>
        <w:rPr>
          <w:rFonts w:ascii="Times New Roman" w:hAnsi="Times New Roman" w:cs="Times New Roman"/>
          <w:sz w:val="24"/>
          <w:szCs w:val="24"/>
        </w:rPr>
      </w:pPr>
    </w:p>
    <w:p w14:paraId="483BFDB1" w14:textId="77777777" w:rsidR="00CC0AE7" w:rsidRDefault="00CC0AE7" w:rsidP="00746E3C">
      <w:pPr>
        <w:rPr>
          <w:rFonts w:ascii="Times New Roman" w:hAnsi="Times New Roman" w:cs="Times New Roman"/>
          <w:sz w:val="24"/>
          <w:szCs w:val="24"/>
        </w:rPr>
      </w:pPr>
    </w:p>
    <w:p w14:paraId="15F58B12" w14:textId="77777777" w:rsidR="00CC0AE7" w:rsidRDefault="00CC0AE7" w:rsidP="00746E3C">
      <w:pPr>
        <w:rPr>
          <w:rFonts w:ascii="Times New Roman" w:hAnsi="Times New Roman" w:cs="Times New Roman"/>
          <w:sz w:val="24"/>
          <w:szCs w:val="24"/>
        </w:rPr>
      </w:pPr>
    </w:p>
    <w:p w14:paraId="73F33375" w14:textId="77777777" w:rsidR="00CC0AE7" w:rsidRDefault="00CC0AE7" w:rsidP="00746E3C">
      <w:pPr>
        <w:rPr>
          <w:rFonts w:ascii="Times New Roman" w:hAnsi="Times New Roman" w:cs="Times New Roman"/>
          <w:sz w:val="24"/>
          <w:szCs w:val="24"/>
        </w:rPr>
      </w:pPr>
    </w:p>
    <w:p w14:paraId="1FD5D244" w14:textId="77777777" w:rsidR="00CC0AE7" w:rsidRDefault="00CC0AE7" w:rsidP="00746E3C">
      <w:pPr>
        <w:rPr>
          <w:rFonts w:ascii="Times New Roman" w:hAnsi="Times New Roman" w:cs="Times New Roman"/>
          <w:sz w:val="24"/>
          <w:szCs w:val="24"/>
        </w:rPr>
      </w:pPr>
    </w:p>
    <w:p w14:paraId="63EE6C70" w14:textId="77777777" w:rsidR="00CC0AE7" w:rsidRDefault="00CC0AE7" w:rsidP="00746E3C">
      <w:pPr>
        <w:rPr>
          <w:rFonts w:ascii="Times New Roman" w:hAnsi="Times New Roman" w:cs="Times New Roman"/>
          <w:sz w:val="24"/>
          <w:szCs w:val="24"/>
        </w:rPr>
      </w:pPr>
    </w:p>
    <w:p w14:paraId="6D7D7494" w14:textId="77777777" w:rsidR="00CC0AE7" w:rsidRDefault="00CC0AE7" w:rsidP="00746E3C">
      <w:pPr>
        <w:rPr>
          <w:rFonts w:ascii="Times New Roman" w:hAnsi="Times New Roman" w:cs="Times New Roman"/>
          <w:sz w:val="24"/>
          <w:szCs w:val="24"/>
        </w:rPr>
      </w:pPr>
    </w:p>
    <w:p w14:paraId="468063B1" w14:textId="08F45518" w:rsidR="00CC0AE7" w:rsidRPr="00960E2D" w:rsidRDefault="00CC0AE7" w:rsidP="00746E3C">
      <w:pPr>
        <w:rPr>
          <w:rFonts w:ascii="Times New Roman" w:hAnsi="Times New Roman" w:cs="Times New Roman"/>
          <w:sz w:val="20"/>
          <w:szCs w:val="20"/>
        </w:rPr>
      </w:pPr>
      <w:r w:rsidRPr="00960E2D">
        <w:rPr>
          <w:rFonts w:ascii="Times New Roman" w:hAnsi="Times New Roman" w:cs="Times New Roman"/>
          <w:sz w:val="20"/>
          <w:szCs w:val="20"/>
        </w:rPr>
        <w:t>Total word count: 21</w:t>
      </w:r>
      <w:r w:rsidR="00960E2D" w:rsidRPr="00960E2D">
        <w:rPr>
          <w:rFonts w:ascii="Times New Roman" w:hAnsi="Times New Roman" w:cs="Times New Roman"/>
          <w:sz w:val="20"/>
          <w:szCs w:val="20"/>
        </w:rPr>
        <w:t>81</w:t>
      </w:r>
    </w:p>
    <w:p w14:paraId="25810842" w14:textId="77777777" w:rsidR="00CC0AE7" w:rsidRPr="00380715" w:rsidRDefault="00CC0AE7" w:rsidP="00CC0AE7">
      <w:pPr>
        <w:spacing w:after="0"/>
        <w:rPr>
          <w:rFonts w:ascii="Times New Roman" w:hAnsi="Times New Roman" w:cs="Times New Roman"/>
          <w:sz w:val="20"/>
          <w:szCs w:val="20"/>
          <w:u w:val="single"/>
        </w:rPr>
      </w:pPr>
      <w:r w:rsidRPr="00380715">
        <w:rPr>
          <w:rFonts w:ascii="Times New Roman" w:hAnsi="Times New Roman" w:cs="Times New Roman"/>
          <w:sz w:val="20"/>
          <w:szCs w:val="20"/>
          <w:u w:val="single"/>
        </w:rPr>
        <w:lastRenderedPageBreak/>
        <w:t>References</w:t>
      </w:r>
    </w:p>
    <w:p w14:paraId="62269987" w14:textId="77777777" w:rsidR="00CC0AE7" w:rsidRDefault="00CC0AE7" w:rsidP="00CC0AE7">
      <w:pPr>
        <w:spacing w:after="0"/>
        <w:rPr>
          <w:rFonts w:ascii="Times New Roman" w:hAnsi="Times New Roman" w:cs="Times New Roman"/>
          <w:sz w:val="20"/>
          <w:szCs w:val="20"/>
        </w:rPr>
      </w:pPr>
    </w:p>
    <w:p w14:paraId="7DDCA9CE" w14:textId="77777777" w:rsidR="00CC0AE7" w:rsidRPr="00753ABD"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 xml:space="preserve">Bellini, M., Tonarelli, S., Barracca, F., Rettura, F., Pancetti, A., Ceccarelli, L., Ricchiuti, A., Costa, F., de Bortoli, N., Marchi, S. and Rossi, A. </w:t>
      </w:r>
      <w:r w:rsidRPr="00380715">
        <w:rPr>
          <w:rFonts w:ascii="Times New Roman" w:hAnsi="Times New Roman" w:cs="Times New Roman"/>
          <w:sz w:val="20"/>
          <w:szCs w:val="20"/>
        </w:rPr>
        <w:t xml:space="preserve">(2021) </w:t>
      </w:r>
      <w:r w:rsidRPr="00753ABD">
        <w:rPr>
          <w:rFonts w:ascii="Times New Roman" w:hAnsi="Times New Roman" w:cs="Times New Roman"/>
          <w:sz w:val="20"/>
          <w:szCs w:val="20"/>
        </w:rPr>
        <w:t>'</w:t>
      </w:r>
      <w:r w:rsidRPr="00380715">
        <w:rPr>
          <w:rFonts w:ascii="Times New Roman" w:hAnsi="Times New Roman" w:cs="Times New Roman"/>
          <w:sz w:val="20"/>
          <w:szCs w:val="20"/>
        </w:rPr>
        <w:t>Chronic constipation: Is a nutritional approach reasonable?</w:t>
      </w:r>
      <w:r w:rsidRPr="00753ABD">
        <w:rPr>
          <w:rFonts w:ascii="Times New Roman" w:hAnsi="Times New Roman" w:cs="Times New Roman"/>
          <w:sz w:val="20"/>
          <w:szCs w:val="20"/>
        </w:rPr>
        <w:t>'</w:t>
      </w:r>
      <w:r w:rsidRPr="00380715">
        <w:rPr>
          <w:rFonts w:ascii="Times New Roman" w:hAnsi="Times New Roman" w:cs="Times New Roman"/>
          <w:sz w:val="20"/>
          <w:szCs w:val="20"/>
        </w:rPr>
        <w:t xml:space="preserve">, </w:t>
      </w:r>
      <w:r w:rsidRPr="00380715">
        <w:rPr>
          <w:rFonts w:ascii="Times New Roman" w:hAnsi="Times New Roman" w:cs="Times New Roman"/>
          <w:i/>
          <w:iCs/>
          <w:sz w:val="20"/>
          <w:szCs w:val="20"/>
        </w:rPr>
        <w:t>Nutrients</w:t>
      </w:r>
      <w:r w:rsidRPr="00380715">
        <w:rPr>
          <w:rFonts w:ascii="Times New Roman" w:hAnsi="Times New Roman" w:cs="Times New Roman"/>
          <w:sz w:val="20"/>
          <w:szCs w:val="20"/>
        </w:rPr>
        <w:t>, 13(10),</w:t>
      </w:r>
      <w:r w:rsidRPr="00753ABD">
        <w:rPr>
          <w:rFonts w:ascii="Times New Roman" w:hAnsi="Times New Roman" w:cs="Times New Roman"/>
          <w:sz w:val="20"/>
          <w:szCs w:val="20"/>
        </w:rPr>
        <w:t xml:space="preserve"> </w:t>
      </w:r>
      <w:r w:rsidRPr="00380715">
        <w:rPr>
          <w:rFonts w:ascii="Times New Roman" w:hAnsi="Times New Roman" w:cs="Times New Roman"/>
          <w:sz w:val="20"/>
          <w:szCs w:val="20"/>
        </w:rPr>
        <w:t xml:space="preserve">3386. Available at: </w:t>
      </w:r>
      <w:hyperlink r:id="rId11" w:history="1">
        <w:r w:rsidRPr="00380715">
          <w:rPr>
            <w:rStyle w:val="Hyperlink"/>
            <w:rFonts w:ascii="Times New Roman" w:hAnsi="Times New Roman" w:cs="Times New Roman"/>
            <w:sz w:val="20"/>
            <w:szCs w:val="20"/>
          </w:rPr>
          <w:t>https://pmc.ncbi.nlm.nih.gov/articles/PMC8538724/</w:t>
        </w:r>
      </w:hyperlink>
      <w:r w:rsidRPr="00753ABD">
        <w:rPr>
          <w:rFonts w:ascii="Times New Roman" w:hAnsi="Times New Roman" w:cs="Times New Roman"/>
          <w:sz w:val="20"/>
          <w:szCs w:val="20"/>
        </w:rPr>
        <w:t xml:space="preserve"> </w:t>
      </w:r>
      <w:r w:rsidRPr="00380715">
        <w:rPr>
          <w:rFonts w:ascii="Times New Roman" w:hAnsi="Times New Roman" w:cs="Times New Roman"/>
          <w:sz w:val="20"/>
          <w:szCs w:val="20"/>
        </w:rPr>
        <w:t>(Accessed: 15 April 2026).</w:t>
      </w:r>
      <w:r w:rsidRPr="00753ABD">
        <w:rPr>
          <w:rFonts w:ascii="Times New Roman" w:hAnsi="Times New Roman" w:cs="Times New Roman"/>
          <w:sz w:val="20"/>
          <w:szCs w:val="20"/>
        </w:rPr>
        <w:t xml:space="preserve">  </w:t>
      </w:r>
    </w:p>
    <w:p w14:paraId="156B34E8" w14:textId="77777777" w:rsidR="00CC0AE7" w:rsidRPr="00753ABD" w:rsidRDefault="00CC0AE7" w:rsidP="00CC0AE7">
      <w:pPr>
        <w:spacing w:after="0"/>
        <w:rPr>
          <w:rFonts w:ascii="Times New Roman" w:hAnsi="Times New Roman" w:cs="Times New Roman"/>
          <w:sz w:val="20"/>
          <w:szCs w:val="20"/>
        </w:rPr>
      </w:pPr>
    </w:p>
    <w:p w14:paraId="4CD95F81" w14:textId="77777777" w:rsidR="00CC0AE7" w:rsidRPr="00380715"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 xml:space="preserve">Department of Health (1991) </w:t>
      </w:r>
      <w:r w:rsidRPr="00753ABD">
        <w:rPr>
          <w:rFonts w:ascii="Times New Roman" w:hAnsi="Times New Roman" w:cs="Times New Roman"/>
          <w:i/>
          <w:iCs/>
          <w:sz w:val="20"/>
          <w:szCs w:val="20"/>
        </w:rPr>
        <w:t>Dietary Reference Values for Food Energy and Nutrients for the United Kingdom: Report of the Panel on Dietary Reference Values, Committee on Medical Aspects of Food Policy (COMA)</w:t>
      </w:r>
      <w:r w:rsidRPr="00753ABD">
        <w:rPr>
          <w:rFonts w:ascii="Times New Roman" w:hAnsi="Times New Roman" w:cs="Times New Roman"/>
          <w:sz w:val="20"/>
          <w:szCs w:val="20"/>
        </w:rPr>
        <w:t>. London: HMSO.</w:t>
      </w:r>
    </w:p>
    <w:p w14:paraId="4A31ACAF" w14:textId="77777777" w:rsidR="00CC0AE7" w:rsidRPr="00753ABD" w:rsidRDefault="00CC0AE7" w:rsidP="00CC0AE7">
      <w:pPr>
        <w:spacing w:after="0"/>
        <w:rPr>
          <w:rFonts w:ascii="Times New Roman" w:hAnsi="Times New Roman" w:cs="Times New Roman"/>
          <w:sz w:val="20"/>
          <w:szCs w:val="20"/>
        </w:rPr>
      </w:pPr>
    </w:p>
    <w:p w14:paraId="6EBA80BA" w14:textId="77777777" w:rsidR="00CC0AE7" w:rsidRPr="00380715"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 xml:space="preserve">Estacio, E.V., Oliver, M., Downing, B., Kurth, J. and Protheroe, J. </w:t>
      </w:r>
      <w:r w:rsidRPr="00380715">
        <w:rPr>
          <w:rFonts w:ascii="Times New Roman" w:hAnsi="Times New Roman" w:cs="Times New Roman"/>
          <w:sz w:val="20"/>
          <w:szCs w:val="20"/>
        </w:rPr>
        <w:t>(2017)</w:t>
      </w:r>
      <w:r w:rsidRPr="00753ABD">
        <w:rPr>
          <w:rFonts w:ascii="Times New Roman" w:hAnsi="Times New Roman" w:cs="Times New Roman"/>
          <w:sz w:val="20"/>
          <w:szCs w:val="20"/>
        </w:rPr>
        <w:t xml:space="preserve">' </w:t>
      </w:r>
      <w:r w:rsidRPr="00380715">
        <w:rPr>
          <w:rFonts w:ascii="Times New Roman" w:hAnsi="Times New Roman" w:cs="Times New Roman"/>
          <w:sz w:val="20"/>
          <w:szCs w:val="20"/>
        </w:rPr>
        <w:t>Effective partnership in community based health promotion: Lessons from the Health Literacy Partnership</w:t>
      </w:r>
      <w:r w:rsidRPr="00753ABD">
        <w:rPr>
          <w:rFonts w:ascii="Times New Roman" w:hAnsi="Times New Roman" w:cs="Times New Roman"/>
          <w:sz w:val="20"/>
          <w:szCs w:val="20"/>
        </w:rPr>
        <w:t>'</w:t>
      </w:r>
      <w:r w:rsidRPr="00380715">
        <w:rPr>
          <w:rFonts w:ascii="Times New Roman" w:hAnsi="Times New Roman" w:cs="Times New Roman"/>
          <w:sz w:val="20"/>
          <w:szCs w:val="20"/>
        </w:rPr>
        <w:t xml:space="preserve">, </w:t>
      </w:r>
      <w:r w:rsidRPr="00380715">
        <w:rPr>
          <w:rFonts w:ascii="Times New Roman" w:hAnsi="Times New Roman" w:cs="Times New Roman"/>
          <w:i/>
          <w:iCs/>
          <w:sz w:val="20"/>
          <w:szCs w:val="20"/>
        </w:rPr>
        <w:t>International Journal of Environmental Research and Public Health</w:t>
      </w:r>
      <w:r w:rsidRPr="00380715">
        <w:rPr>
          <w:rFonts w:ascii="Times New Roman" w:hAnsi="Times New Roman" w:cs="Times New Roman"/>
          <w:sz w:val="20"/>
          <w:szCs w:val="20"/>
        </w:rPr>
        <w:t>, 14(12),</w:t>
      </w:r>
      <w:r w:rsidRPr="00753ABD">
        <w:rPr>
          <w:rFonts w:ascii="Times New Roman" w:hAnsi="Times New Roman" w:cs="Times New Roman"/>
          <w:sz w:val="20"/>
          <w:szCs w:val="20"/>
        </w:rPr>
        <w:t xml:space="preserve"> </w:t>
      </w:r>
      <w:r w:rsidRPr="00380715">
        <w:rPr>
          <w:rFonts w:ascii="Times New Roman" w:hAnsi="Times New Roman" w:cs="Times New Roman"/>
          <w:sz w:val="20"/>
          <w:szCs w:val="20"/>
        </w:rPr>
        <w:t xml:space="preserve">1550. Available at: </w:t>
      </w:r>
      <w:hyperlink r:id="rId12" w:history="1">
        <w:r w:rsidRPr="00380715">
          <w:rPr>
            <w:rStyle w:val="Hyperlink"/>
            <w:rFonts w:ascii="Times New Roman" w:hAnsi="Times New Roman" w:cs="Times New Roman"/>
            <w:sz w:val="20"/>
            <w:szCs w:val="20"/>
          </w:rPr>
          <w:t>https://pmc.ncbi.nlm.nih.gov/articles/PMC5750968/</w:t>
        </w:r>
      </w:hyperlink>
      <w:r w:rsidRPr="00753ABD">
        <w:rPr>
          <w:rFonts w:ascii="Times New Roman" w:hAnsi="Times New Roman" w:cs="Times New Roman"/>
          <w:sz w:val="20"/>
          <w:szCs w:val="20"/>
        </w:rPr>
        <w:t xml:space="preserve"> </w:t>
      </w:r>
      <w:r w:rsidRPr="00380715">
        <w:rPr>
          <w:rFonts w:ascii="Times New Roman" w:hAnsi="Times New Roman" w:cs="Times New Roman"/>
          <w:sz w:val="20"/>
          <w:szCs w:val="20"/>
        </w:rPr>
        <w:t>(Accessed: 16 April 2026).</w:t>
      </w:r>
      <w:r w:rsidRPr="00753ABD">
        <w:rPr>
          <w:rFonts w:ascii="Times New Roman" w:hAnsi="Times New Roman" w:cs="Times New Roman"/>
          <w:sz w:val="20"/>
          <w:szCs w:val="20"/>
        </w:rPr>
        <w:t xml:space="preserve">  </w:t>
      </w:r>
    </w:p>
    <w:p w14:paraId="03E94088" w14:textId="77777777" w:rsidR="00CC0AE7" w:rsidRPr="00753ABD" w:rsidRDefault="00CC0AE7" w:rsidP="00CC0AE7">
      <w:pPr>
        <w:spacing w:after="0"/>
        <w:rPr>
          <w:rFonts w:ascii="Times New Roman" w:hAnsi="Times New Roman" w:cs="Times New Roman"/>
          <w:sz w:val="20"/>
          <w:szCs w:val="20"/>
        </w:rPr>
      </w:pPr>
    </w:p>
    <w:p w14:paraId="265D56AF" w14:textId="77777777" w:rsidR="00CC0AE7" w:rsidRPr="00380715" w:rsidRDefault="00CC0AE7" w:rsidP="00CC0AE7">
      <w:pPr>
        <w:spacing w:after="0"/>
        <w:rPr>
          <w:rFonts w:ascii="Times New Roman" w:hAnsi="Times New Roman" w:cs="Times New Roman"/>
          <w:sz w:val="20"/>
          <w:szCs w:val="20"/>
        </w:rPr>
      </w:pPr>
      <w:r w:rsidRPr="00380715">
        <w:rPr>
          <w:rFonts w:ascii="Times New Roman" w:hAnsi="Times New Roman" w:cs="Times New Roman"/>
          <w:sz w:val="20"/>
          <w:szCs w:val="20"/>
        </w:rPr>
        <w:t xml:space="preserve">Lean, M.E.J. and Combet, E. (2017) </w:t>
      </w:r>
      <w:r w:rsidRPr="00753ABD">
        <w:rPr>
          <w:rFonts w:ascii="Times New Roman" w:hAnsi="Times New Roman" w:cs="Times New Roman"/>
          <w:i/>
          <w:iCs/>
          <w:sz w:val="20"/>
          <w:szCs w:val="20"/>
        </w:rPr>
        <w:t>Barasi's</w:t>
      </w:r>
      <w:r w:rsidRPr="00380715">
        <w:rPr>
          <w:rFonts w:ascii="Times New Roman" w:hAnsi="Times New Roman" w:cs="Times New Roman"/>
          <w:i/>
          <w:iCs/>
          <w:sz w:val="20"/>
          <w:szCs w:val="20"/>
        </w:rPr>
        <w:t xml:space="preserve"> Human Nutrition: A Health Perspective</w:t>
      </w:r>
      <w:r w:rsidRPr="00380715">
        <w:rPr>
          <w:rFonts w:ascii="Times New Roman" w:hAnsi="Times New Roman" w:cs="Times New Roman"/>
          <w:sz w:val="20"/>
          <w:szCs w:val="20"/>
        </w:rPr>
        <w:t>. 3rd edn. Boca Raton: CRC Press.</w:t>
      </w:r>
    </w:p>
    <w:p w14:paraId="65D330AB" w14:textId="77777777" w:rsidR="00CC0AE7" w:rsidRPr="00753ABD" w:rsidRDefault="00CC0AE7" w:rsidP="00CC0AE7">
      <w:pPr>
        <w:spacing w:after="0"/>
        <w:rPr>
          <w:rFonts w:ascii="Times New Roman" w:hAnsi="Times New Roman" w:cs="Times New Roman"/>
          <w:sz w:val="20"/>
          <w:szCs w:val="20"/>
        </w:rPr>
      </w:pPr>
    </w:p>
    <w:p w14:paraId="71FEF9B1" w14:textId="77777777" w:rsidR="00CC0AE7" w:rsidRPr="00380715" w:rsidRDefault="00CC0AE7" w:rsidP="00CC0AE7">
      <w:pPr>
        <w:spacing w:after="0"/>
        <w:rPr>
          <w:rFonts w:ascii="Times New Roman" w:hAnsi="Times New Roman" w:cs="Times New Roman"/>
          <w:sz w:val="20"/>
          <w:szCs w:val="20"/>
        </w:rPr>
      </w:pPr>
      <w:r w:rsidRPr="00380715">
        <w:rPr>
          <w:rFonts w:ascii="Times New Roman" w:hAnsi="Times New Roman" w:cs="Times New Roman"/>
          <w:sz w:val="20"/>
          <w:szCs w:val="20"/>
        </w:rPr>
        <w:t xml:space="preserve">Michie, S., van Stralen, M.M. and West, R. (2011) </w:t>
      </w:r>
      <w:r w:rsidRPr="00753ABD">
        <w:rPr>
          <w:rFonts w:ascii="Times New Roman" w:hAnsi="Times New Roman" w:cs="Times New Roman"/>
          <w:sz w:val="20"/>
          <w:szCs w:val="20"/>
        </w:rPr>
        <w:t>'</w:t>
      </w:r>
      <w:r w:rsidRPr="00380715">
        <w:rPr>
          <w:rFonts w:ascii="Times New Roman" w:hAnsi="Times New Roman" w:cs="Times New Roman"/>
          <w:sz w:val="20"/>
          <w:szCs w:val="20"/>
        </w:rPr>
        <w:t>The behaviour change wheel: A new method for characterising and designing behaviour change interventions</w:t>
      </w:r>
      <w:r w:rsidRPr="00753ABD">
        <w:rPr>
          <w:rFonts w:ascii="Times New Roman" w:hAnsi="Times New Roman" w:cs="Times New Roman"/>
          <w:sz w:val="20"/>
          <w:szCs w:val="20"/>
        </w:rPr>
        <w:t>'</w:t>
      </w:r>
      <w:r w:rsidRPr="00380715">
        <w:rPr>
          <w:rFonts w:ascii="Times New Roman" w:hAnsi="Times New Roman" w:cs="Times New Roman"/>
          <w:sz w:val="20"/>
          <w:szCs w:val="20"/>
        </w:rPr>
        <w:t xml:space="preserve">, </w:t>
      </w:r>
      <w:r w:rsidRPr="00380715">
        <w:rPr>
          <w:rFonts w:ascii="Times New Roman" w:hAnsi="Times New Roman" w:cs="Times New Roman"/>
          <w:i/>
          <w:iCs/>
          <w:sz w:val="20"/>
          <w:szCs w:val="20"/>
        </w:rPr>
        <w:t>Implementation Science</w:t>
      </w:r>
      <w:r w:rsidRPr="00380715">
        <w:rPr>
          <w:rFonts w:ascii="Times New Roman" w:hAnsi="Times New Roman" w:cs="Times New Roman"/>
          <w:sz w:val="20"/>
          <w:szCs w:val="20"/>
        </w:rPr>
        <w:t>, 6,</w:t>
      </w:r>
      <w:r w:rsidRPr="00753ABD">
        <w:rPr>
          <w:rFonts w:ascii="Times New Roman" w:hAnsi="Times New Roman" w:cs="Times New Roman"/>
          <w:sz w:val="20"/>
          <w:szCs w:val="20"/>
        </w:rPr>
        <w:t xml:space="preserve"> </w:t>
      </w:r>
      <w:r w:rsidRPr="00380715">
        <w:rPr>
          <w:rFonts w:ascii="Times New Roman" w:hAnsi="Times New Roman" w:cs="Times New Roman"/>
          <w:sz w:val="20"/>
          <w:szCs w:val="20"/>
        </w:rPr>
        <w:t xml:space="preserve">42. Available at: </w:t>
      </w:r>
      <w:hyperlink r:id="rId13" w:history="1">
        <w:r w:rsidRPr="00380715">
          <w:rPr>
            <w:rStyle w:val="Hyperlink"/>
            <w:rFonts w:ascii="Times New Roman" w:hAnsi="Times New Roman" w:cs="Times New Roman"/>
            <w:sz w:val="20"/>
            <w:szCs w:val="20"/>
          </w:rPr>
          <w:t>https://pmc.ncbi.nlm.nih.gov/articles/PMC3096582/</w:t>
        </w:r>
      </w:hyperlink>
      <w:r w:rsidRPr="00753ABD">
        <w:rPr>
          <w:rFonts w:ascii="Times New Roman" w:hAnsi="Times New Roman" w:cs="Times New Roman"/>
          <w:sz w:val="20"/>
          <w:szCs w:val="20"/>
        </w:rPr>
        <w:t xml:space="preserve"> </w:t>
      </w:r>
      <w:r w:rsidRPr="00380715">
        <w:rPr>
          <w:rFonts w:ascii="Times New Roman" w:hAnsi="Times New Roman" w:cs="Times New Roman"/>
          <w:sz w:val="20"/>
          <w:szCs w:val="20"/>
        </w:rPr>
        <w:t>(Accessed: 15 April 2026).</w:t>
      </w:r>
      <w:r w:rsidRPr="00753ABD">
        <w:rPr>
          <w:rFonts w:ascii="Times New Roman" w:hAnsi="Times New Roman" w:cs="Times New Roman"/>
          <w:sz w:val="20"/>
          <w:szCs w:val="20"/>
        </w:rPr>
        <w:t xml:space="preserve">  </w:t>
      </w:r>
    </w:p>
    <w:p w14:paraId="5DBDF8E1" w14:textId="77777777" w:rsidR="00CC0AE7" w:rsidRPr="00753ABD" w:rsidRDefault="00CC0AE7" w:rsidP="00CC0AE7">
      <w:pPr>
        <w:spacing w:after="0"/>
        <w:rPr>
          <w:rFonts w:ascii="Times New Roman" w:hAnsi="Times New Roman" w:cs="Times New Roman"/>
          <w:sz w:val="20"/>
          <w:szCs w:val="20"/>
        </w:rPr>
      </w:pPr>
    </w:p>
    <w:p w14:paraId="5C01BA0F" w14:textId="77777777" w:rsidR="00CC0AE7" w:rsidRPr="00380715" w:rsidRDefault="00CC0AE7" w:rsidP="00CC0AE7">
      <w:pPr>
        <w:spacing w:after="0"/>
        <w:rPr>
          <w:rFonts w:ascii="Times New Roman" w:hAnsi="Times New Roman" w:cs="Times New Roman"/>
          <w:sz w:val="20"/>
          <w:szCs w:val="20"/>
        </w:rPr>
      </w:pPr>
      <w:r w:rsidRPr="00380715">
        <w:rPr>
          <w:rFonts w:ascii="Times New Roman" w:hAnsi="Times New Roman" w:cs="Times New Roman"/>
          <w:sz w:val="20"/>
          <w:szCs w:val="20"/>
        </w:rPr>
        <w:t xml:space="preserve">National Health Service (NHS) (2026) </w:t>
      </w:r>
      <w:r w:rsidRPr="00380715">
        <w:rPr>
          <w:rFonts w:ascii="Times New Roman" w:hAnsi="Times New Roman" w:cs="Times New Roman"/>
          <w:i/>
          <w:iCs/>
          <w:sz w:val="20"/>
          <w:szCs w:val="20"/>
        </w:rPr>
        <w:t>How to get more fibre into your diet</w:t>
      </w:r>
      <w:r w:rsidRPr="00380715">
        <w:rPr>
          <w:rFonts w:ascii="Times New Roman" w:hAnsi="Times New Roman" w:cs="Times New Roman"/>
          <w:sz w:val="20"/>
          <w:szCs w:val="20"/>
        </w:rPr>
        <w:t xml:space="preserve">. Available at: </w:t>
      </w:r>
      <w:hyperlink r:id="rId14" w:tgtFrame="_blank" w:tooltip="www.nhs.uk" w:history="1">
        <w:r w:rsidRPr="00380715">
          <w:rPr>
            <w:rStyle w:val="Hyperlink"/>
            <w:rFonts w:ascii="Times New Roman" w:hAnsi="Times New Roman" w:cs="Times New Roman"/>
            <w:sz w:val="20"/>
            <w:szCs w:val="20"/>
          </w:rPr>
          <w:t>https://www.nhs.uk/live-well/eat-well/digestive-health/how-to-get-more-fibre-into-your-diet</w:t>
        </w:r>
      </w:hyperlink>
      <w:r w:rsidRPr="00380715">
        <w:rPr>
          <w:rFonts w:ascii="Times New Roman" w:hAnsi="Times New Roman" w:cs="Times New Roman"/>
          <w:sz w:val="20"/>
          <w:szCs w:val="20"/>
        </w:rPr>
        <w:t xml:space="preserve"> (Accessed: 15 April 2026).</w:t>
      </w:r>
      <w:r w:rsidRPr="00753ABD">
        <w:rPr>
          <w:rFonts w:ascii="Times New Roman" w:hAnsi="Times New Roman" w:cs="Times New Roman"/>
          <w:sz w:val="20"/>
          <w:szCs w:val="20"/>
        </w:rPr>
        <w:t xml:space="preserve">  </w:t>
      </w:r>
    </w:p>
    <w:p w14:paraId="494BC7FC" w14:textId="77777777" w:rsidR="00CC0AE7" w:rsidRPr="00753ABD" w:rsidRDefault="00CC0AE7" w:rsidP="00CC0AE7">
      <w:pPr>
        <w:spacing w:after="0"/>
        <w:rPr>
          <w:rFonts w:ascii="Times New Roman" w:hAnsi="Times New Roman" w:cs="Times New Roman"/>
          <w:sz w:val="20"/>
          <w:szCs w:val="20"/>
        </w:rPr>
      </w:pPr>
    </w:p>
    <w:p w14:paraId="7B43F605" w14:textId="77777777" w:rsidR="00CC0AE7" w:rsidRPr="00380715"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 xml:space="preserve">Office for Health Improvement and Disparities (OHID) (2018) </w:t>
      </w:r>
      <w:r w:rsidRPr="00753ABD">
        <w:rPr>
          <w:rFonts w:ascii="Times New Roman" w:hAnsi="Times New Roman" w:cs="Times New Roman"/>
          <w:i/>
          <w:iCs/>
          <w:sz w:val="20"/>
          <w:szCs w:val="20"/>
        </w:rPr>
        <w:t>Evaluation methods: evaluation in health and wellbeing</w:t>
      </w:r>
      <w:r w:rsidRPr="00753ABD">
        <w:rPr>
          <w:rFonts w:ascii="Times New Roman" w:hAnsi="Times New Roman" w:cs="Times New Roman"/>
          <w:sz w:val="20"/>
          <w:szCs w:val="20"/>
        </w:rPr>
        <w:t xml:space="preserve">. Available at: </w:t>
      </w:r>
      <w:hyperlink r:id="rId15" w:history="1">
        <w:r w:rsidRPr="00753ABD">
          <w:rPr>
            <w:rStyle w:val="Hyperlink"/>
            <w:rFonts w:ascii="Times New Roman" w:hAnsi="Times New Roman" w:cs="Times New Roman"/>
            <w:sz w:val="20"/>
            <w:szCs w:val="20"/>
          </w:rPr>
          <w:t>https://www.gov.uk/guidance/evaluation-in-health-and-wellbeing-methods</w:t>
        </w:r>
      </w:hyperlink>
      <w:r w:rsidRPr="00753ABD">
        <w:rPr>
          <w:rFonts w:ascii="Times New Roman" w:hAnsi="Times New Roman" w:cs="Times New Roman"/>
          <w:sz w:val="20"/>
          <w:szCs w:val="20"/>
        </w:rPr>
        <w:t xml:space="preserve"> (Accessed: 16 April 2026).</w:t>
      </w:r>
    </w:p>
    <w:p w14:paraId="79421819" w14:textId="77777777" w:rsidR="00CC0AE7" w:rsidRPr="00753ABD" w:rsidRDefault="00CC0AE7" w:rsidP="00CC0AE7">
      <w:pPr>
        <w:spacing w:after="0"/>
        <w:rPr>
          <w:rFonts w:ascii="Times New Roman" w:hAnsi="Times New Roman" w:cs="Times New Roman"/>
          <w:sz w:val="20"/>
          <w:szCs w:val="20"/>
        </w:rPr>
      </w:pPr>
    </w:p>
    <w:p w14:paraId="77A361B4" w14:textId="77777777" w:rsidR="00CC0AE7" w:rsidRPr="00380715" w:rsidRDefault="00CC0AE7" w:rsidP="00CC0AE7">
      <w:pPr>
        <w:spacing w:after="0"/>
        <w:rPr>
          <w:rFonts w:ascii="Times New Roman" w:hAnsi="Times New Roman" w:cs="Times New Roman"/>
          <w:sz w:val="20"/>
          <w:szCs w:val="20"/>
        </w:rPr>
      </w:pPr>
      <w:r w:rsidRPr="00380715">
        <w:rPr>
          <w:rFonts w:ascii="Times New Roman" w:hAnsi="Times New Roman" w:cs="Times New Roman"/>
          <w:sz w:val="20"/>
          <w:szCs w:val="20"/>
        </w:rPr>
        <w:t xml:space="preserve">Office for Health Improvement and Disparities (OHID) (2025) </w:t>
      </w:r>
      <w:r w:rsidRPr="00380715">
        <w:rPr>
          <w:rFonts w:ascii="Times New Roman" w:hAnsi="Times New Roman" w:cs="Times New Roman"/>
          <w:i/>
          <w:iCs/>
          <w:sz w:val="20"/>
          <w:szCs w:val="20"/>
        </w:rPr>
        <w:t>National Diet and Nutrition Survey 2019 to 2023: report</w:t>
      </w:r>
      <w:r w:rsidRPr="00380715">
        <w:rPr>
          <w:rFonts w:ascii="Times New Roman" w:hAnsi="Times New Roman" w:cs="Times New Roman"/>
          <w:sz w:val="20"/>
          <w:szCs w:val="20"/>
        </w:rPr>
        <w:t>. Available at:</w:t>
      </w:r>
      <w:r w:rsidRPr="00753ABD">
        <w:rPr>
          <w:rFonts w:ascii="Times New Roman" w:hAnsi="Times New Roman" w:cs="Times New Roman"/>
          <w:sz w:val="20"/>
          <w:szCs w:val="20"/>
        </w:rPr>
        <w:t xml:space="preserve"> </w:t>
      </w:r>
      <w:hyperlink r:id="rId16" w:history="1">
        <w:r w:rsidRPr="00753ABD">
          <w:rPr>
            <w:rStyle w:val="Hyperlink"/>
            <w:rFonts w:ascii="Times New Roman" w:hAnsi="Times New Roman" w:cs="Times New Roman"/>
            <w:sz w:val="20"/>
            <w:szCs w:val="20"/>
          </w:rPr>
          <w:t>https://www.gov.uk/government/statistics/national-diet-and-nutrition-survey-2019-to-2023/national-diet-and-nutrition-survey-2019-to-2023-report</w:t>
        </w:r>
      </w:hyperlink>
      <w:r w:rsidRPr="00753ABD">
        <w:rPr>
          <w:rFonts w:ascii="Times New Roman" w:hAnsi="Times New Roman" w:cs="Times New Roman"/>
          <w:sz w:val="20"/>
          <w:szCs w:val="20"/>
        </w:rPr>
        <w:t xml:space="preserve"> </w:t>
      </w:r>
      <w:r w:rsidRPr="00380715">
        <w:rPr>
          <w:rFonts w:ascii="Times New Roman" w:hAnsi="Times New Roman" w:cs="Times New Roman"/>
          <w:sz w:val="20"/>
          <w:szCs w:val="20"/>
        </w:rPr>
        <w:t>(Accessed: 15 April 2026).</w:t>
      </w:r>
    </w:p>
    <w:p w14:paraId="51E82283" w14:textId="77777777" w:rsidR="00CC0AE7" w:rsidRPr="00753ABD" w:rsidRDefault="00CC0AE7" w:rsidP="00CC0AE7">
      <w:pPr>
        <w:spacing w:after="0"/>
        <w:rPr>
          <w:rFonts w:ascii="Times New Roman" w:hAnsi="Times New Roman" w:cs="Times New Roman"/>
          <w:sz w:val="20"/>
          <w:szCs w:val="20"/>
        </w:rPr>
      </w:pPr>
    </w:p>
    <w:p w14:paraId="5180D9A0" w14:textId="77777777" w:rsidR="00CC0AE7" w:rsidRPr="00380715"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Pedregal</w:t>
      </w:r>
      <w:r w:rsidRPr="00753ABD">
        <w:rPr>
          <w:rFonts w:ascii="Times New Roman" w:hAnsi="Times New Roman" w:cs="Times New Roman"/>
          <w:sz w:val="20"/>
          <w:szCs w:val="20"/>
        </w:rPr>
        <w:noBreakHyphen/>
        <w:t>Pascual, P., Guarner</w:t>
      </w:r>
      <w:r w:rsidRPr="00753ABD">
        <w:rPr>
          <w:rFonts w:ascii="Times New Roman" w:hAnsi="Times New Roman" w:cs="Times New Roman"/>
          <w:sz w:val="20"/>
          <w:szCs w:val="20"/>
        </w:rPr>
        <w:noBreakHyphen/>
        <w:t>Argente, C., Tan, E.H., Golozar, A., Duarte</w:t>
      </w:r>
      <w:r w:rsidRPr="00753ABD">
        <w:rPr>
          <w:rFonts w:ascii="Times New Roman" w:hAnsi="Times New Roman" w:cs="Times New Roman"/>
          <w:sz w:val="20"/>
          <w:szCs w:val="20"/>
        </w:rPr>
        <w:noBreakHyphen/>
        <w:t>Salles, T., Weinberger Rosen, A., Delmestri, A., Man, W.Y., Burn, E., Prieto</w:t>
      </w:r>
      <w:r w:rsidRPr="00753ABD">
        <w:rPr>
          <w:rFonts w:ascii="Times New Roman" w:hAnsi="Times New Roman" w:cs="Times New Roman"/>
          <w:sz w:val="20"/>
          <w:szCs w:val="20"/>
        </w:rPr>
        <w:noBreakHyphen/>
        <w:t>Alhambra, D. and Newby, D.</w:t>
      </w:r>
      <w:r w:rsidRPr="00380715">
        <w:rPr>
          <w:rFonts w:ascii="Times New Roman" w:hAnsi="Times New Roman" w:cs="Times New Roman"/>
          <w:sz w:val="20"/>
          <w:szCs w:val="20"/>
        </w:rPr>
        <w:t xml:space="preserve"> (2025) </w:t>
      </w:r>
      <w:r w:rsidRPr="00753ABD">
        <w:rPr>
          <w:rFonts w:ascii="Times New Roman" w:hAnsi="Times New Roman" w:cs="Times New Roman"/>
          <w:sz w:val="20"/>
          <w:szCs w:val="20"/>
        </w:rPr>
        <w:t>'</w:t>
      </w:r>
      <w:r w:rsidRPr="00380715">
        <w:rPr>
          <w:rFonts w:ascii="Times New Roman" w:hAnsi="Times New Roman" w:cs="Times New Roman"/>
          <w:sz w:val="20"/>
          <w:szCs w:val="20"/>
        </w:rPr>
        <w:t>Incidence and survival of colorectal cancer in the United Kingdom from 2000 to 2021: A population based cohort study</w:t>
      </w:r>
      <w:r w:rsidRPr="00753ABD">
        <w:rPr>
          <w:rFonts w:ascii="Times New Roman" w:hAnsi="Times New Roman" w:cs="Times New Roman"/>
          <w:sz w:val="20"/>
          <w:szCs w:val="20"/>
        </w:rPr>
        <w:t>'</w:t>
      </w:r>
      <w:r w:rsidRPr="00380715">
        <w:rPr>
          <w:rFonts w:ascii="Times New Roman" w:hAnsi="Times New Roman" w:cs="Times New Roman"/>
          <w:sz w:val="20"/>
          <w:szCs w:val="20"/>
        </w:rPr>
        <w:t xml:space="preserve">, </w:t>
      </w:r>
      <w:r w:rsidRPr="00380715">
        <w:rPr>
          <w:rFonts w:ascii="Times New Roman" w:hAnsi="Times New Roman" w:cs="Times New Roman"/>
          <w:i/>
          <w:iCs/>
          <w:sz w:val="20"/>
          <w:szCs w:val="20"/>
        </w:rPr>
        <w:t>American Journal of Gastroenterology</w:t>
      </w:r>
      <w:r w:rsidRPr="00380715">
        <w:rPr>
          <w:rFonts w:ascii="Times New Roman" w:hAnsi="Times New Roman" w:cs="Times New Roman"/>
          <w:sz w:val="20"/>
          <w:szCs w:val="20"/>
        </w:rPr>
        <w:t xml:space="preserve">, 120(12), pp. 2909–2917. Available at: </w:t>
      </w:r>
      <w:hyperlink r:id="rId17" w:tgtFrame="_blank" w:tooltip="pmc.ncbi.nlm.nih.gov" w:history="1">
        <w:r w:rsidRPr="00380715">
          <w:rPr>
            <w:rStyle w:val="Hyperlink"/>
            <w:rFonts w:ascii="Times New Roman" w:hAnsi="Times New Roman" w:cs="Times New Roman"/>
            <w:sz w:val="20"/>
            <w:szCs w:val="20"/>
          </w:rPr>
          <w:t>https://pmc.ncbi.nlm.nih.gov/articles/PMC12662139/</w:t>
        </w:r>
      </w:hyperlink>
      <w:r w:rsidRPr="00380715">
        <w:rPr>
          <w:rFonts w:ascii="Times New Roman" w:hAnsi="Times New Roman" w:cs="Times New Roman"/>
          <w:sz w:val="20"/>
          <w:szCs w:val="20"/>
        </w:rPr>
        <w:t xml:space="preserve"> (Accessed: 15 April 2026).</w:t>
      </w:r>
      <w:r w:rsidRPr="00753ABD">
        <w:rPr>
          <w:rFonts w:ascii="Times New Roman" w:hAnsi="Times New Roman" w:cs="Times New Roman"/>
          <w:sz w:val="20"/>
          <w:szCs w:val="20"/>
        </w:rPr>
        <w:t xml:space="preserve">   </w:t>
      </w:r>
      <w:r w:rsidRPr="00380715">
        <w:rPr>
          <w:rFonts w:ascii="Times New Roman" w:hAnsi="Times New Roman" w:cs="Times New Roman"/>
          <w:sz w:val="20"/>
          <w:szCs w:val="20"/>
        </w:rPr>
        <w:t xml:space="preserve"> </w:t>
      </w:r>
    </w:p>
    <w:p w14:paraId="5729A764" w14:textId="77777777" w:rsidR="00CC0AE7" w:rsidRPr="00753ABD" w:rsidRDefault="00CC0AE7" w:rsidP="00CC0AE7">
      <w:pPr>
        <w:spacing w:after="0"/>
        <w:rPr>
          <w:rFonts w:ascii="Times New Roman" w:hAnsi="Times New Roman" w:cs="Times New Roman"/>
          <w:sz w:val="20"/>
          <w:szCs w:val="20"/>
        </w:rPr>
      </w:pPr>
    </w:p>
    <w:p w14:paraId="7407801E" w14:textId="77777777" w:rsidR="00CC0AE7" w:rsidRPr="00753ABD"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 xml:space="preserve">Prochaska, J.O. and DiClemente, C.C. (1983) 'Stages and processes of </w:t>
      </w:r>
      <w:proofErr w:type="spellStart"/>
      <w:r w:rsidRPr="00753ABD">
        <w:rPr>
          <w:rFonts w:ascii="Times New Roman" w:hAnsi="Times New Roman" w:cs="Times New Roman"/>
          <w:sz w:val="20"/>
          <w:szCs w:val="20"/>
        </w:rPr>
        <w:t>self change</w:t>
      </w:r>
      <w:proofErr w:type="spellEnd"/>
      <w:r w:rsidRPr="00753ABD">
        <w:rPr>
          <w:rFonts w:ascii="Times New Roman" w:hAnsi="Times New Roman" w:cs="Times New Roman"/>
          <w:sz w:val="20"/>
          <w:szCs w:val="20"/>
        </w:rPr>
        <w:t xml:space="preserve"> of smoking: Toward an integrative model of change', </w:t>
      </w:r>
      <w:r w:rsidRPr="00753ABD">
        <w:rPr>
          <w:rFonts w:ascii="Times New Roman" w:hAnsi="Times New Roman" w:cs="Times New Roman"/>
          <w:i/>
          <w:iCs/>
          <w:sz w:val="20"/>
          <w:szCs w:val="20"/>
        </w:rPr>
        <w:t>Journal of Consulting and Clinical Psychology</w:t>
      </w:r>
      <w:r w:rsidRPr="00753ABD">
        <w:rPr>
          <w:rFonts w:ascii="Times New Roman" w:hAnsi="Times New Roman" w:cs="Times New Roman"/>
          <w:sz w:val="20"/>
          <w:szCs w:val="20"/>
        </w:rPr>
        <w:t xml:space="preserve">, 51(3), pp. 390–395. Available at: </w:t>
      </w:r>
      <w:hyperlink r:id="rId18" w:tgtFrame="_blank" w:tooltip="www.researchgate.net" w:history="1">
        <w:r w:rsidRPr="00753ABD">
          <w:rPr>
            <w:rStyle w:val="Hyperlink"/>
            <w:rFonts w:ascii="Times New Roman" w:hAnsi="Times New Roman" w:cs="Times New Roman"/>
            <w:sz w:val="20"/>
            <w:szCs w:val="20"/>
          </w:rPr>
          <w:t>https://www.researchgate.net/publication/16334721_Stages_and_Processes_of_Self-Change_of_Smoking_-_Toward_An_Integrative_Model_of_Change</w:t>
        </w:r>
      </w:hyperlink>
      <w:r w:rsidRPr="00753ABD">
        <w:rPr>
          <w:rFonts w:ascii="Times New Roman" w:hAnsi="Times New Roman" w:cs="Times New Roman"/>
          <w:sz w:val="20"/>
          <w:szCs w:val="20"/>
        </w:rPr>
        <w:t xml:space="preserve"> (Accessed: 16 April 2026).   </w:t>
      </w:r>
    </w:p>
    <w:p w14:paraId="5ECAE21A" w14:textId="77777777" w:rsidR="00CC0AE7" w:rsidRPr="00753ABD" w:rsidRDefault="00CC0AE7" w:rsidP="00CC0AE7">
      <w:pPr>
        <w:spacing w:after="0"/>
        <w:rPr>
          <w:rFonts w:ascii="Times New Roman" w:hAnsi="Times New Roman" w:cs="Times New Roman"/>
          <w:sz w:val="20"/>
          <w:szCs w:val="20"/>
        </w:rPr>
      </w:pPr>
    </w:p>
    <w:p w14:paraId="2850EC2B" w14:textId="77777777" w:rsidR="00CC0AE7" w:rsidRPr="00753ABD"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Ryan, R.M. and Deci, E.L. (2000) 'Self</w:t>
      </w:r>
      <w:r w:rsidRPr="00753ABD">
        <w:rPr>
          <w:rFonts w:ascii="Times New Roman" w:hAnsi="Times New Roman" w:cs="Times New Roman"/>
          <w:sz w:val="20"/>
          <w:szCs w:val="20"/>
        </w:rPr>
        <w:noBreakHyphen/>
        <w:t>determination theory and the facilitation of intrinsic motivation, social development, and well</w:t>
      </w:r>
      <w:r w:rsidRPr="00753ABD">
        <w:rPr>
          <w:rFonts w:ascii="Times New Roman" w:hAnsi="Times New Roman" w:cs="Times New Roman"/>
          <w:sz w:val="20"/>
          <w:szCs w:val="20"/>
        </w:rPr>
        <w:noBreakHyphen/>
        <w:t xml:space="preserve">being', </w:t>
      </w:r>
      <w:r w:rsidRPr="00753ABD">
        <w:rPr>
          <w:rFonts w:ascii="Times New Roman" w:hAnsi="Times New Roman" w:cs="Times New Roman"/>
          <w:i/>
          <w:iCs/>
          <w:sz w:val="20"/>
          <w:szCs w:val="20"/>
        </w:rPr>
        <w:t>American Psychologist</w:t>
      </w:r>
      <w:r w:rsidRPr="00753ABD">
        <w:rPr>
          <w:rFonts w:ascii="Times New Roman" w:hAnsi="Times New Roman" w:cs="Times New Roman"/>
          <w:sz w:val="20"/>
          <w:szCs w:val="20"/>
        </w:rPr>
        <w:t xml:space="preserve">, 55(1), pp. 68–78. Available at: </w:t>
      </w:r>
      <w:hyperlink r:id="rId19" w:history="1">
        <w:r w:rsidRPr="00753ABD">
          <w:rPr>
            <w:rStyle w:val="Hyperlink"/>
            <w:rFonts w:ascii="Times New Roman" w:hAnsi="Times New Roman" w:cs="Times New Roman"/>
            <w:sz w:val="20"/>
            <w:szCs w:val="20"/>
          </w:rPr>
          <w:t>https://research-ebsco-com.uwtsd.idm.oclc.org/c/onvpsy/viewer/pdf/ohmn6w2khr</w:t>
        </w:r>
      </w:hyperlink>
      <w:r w:rsidRPr="00753ABD">
        <w:rPr>
          <w:rFonts w:ascii="Times New Roman" w:hAnsi="Times New Roman" w:cs="Times New Roman"/>
          <w:sz w:val="20"/>
          <w:szCs w:val="20"/>
        </w:rPr>
        <w:t xml:space="preserve"> (Accessed: 17 April 2026).</w:t>
      </w:r>
    </w:p>
    <w:p w14:paraId="4380F69A" w14:textId="77777777" w:rsidR="00CC0AE7" w:rsidRPr="00753ABD" w:rsidRDefault="00CC0AE7" w:rsidP="00CC0AE7">
      <w:pPr>
        <w:spacing w:after="0"/>
        <w:rPr>
          <w:rFonts w:ascii="Times New Roman" w:hAnsi="Times New Roman" w:cs="Times New Roman"/>
          <w:sz w:val="20"/>
          <w:szCs w:val="20"/>
        </w:rPr>
      </w:pPr>
    </w:p>
    <w:p w14:paraId="458148A3" w14:textId="77777777" w:rsidR="00CC0AE7" w:rsidRPr="00753ABD" w:rsidRDefault="00CC0AE7" w:rsidP="00CC0AE7">
      <w:pPr>
        <w:spacing w:after="0"/>
        <w:rPr>
          <w:rFonts w:ascii="Times New Roman" w:hAnsi="Times New Roman" w:cs="Times New Roman"/>
          <w:sz w:val="20"/>
          <w:szCs w:val="20"/>
        </w:rPr>
      </w:pPr>
      <w:r w:rsidRPr="00380715">
        <w:rPr>
          <w:rFonts w:ascii="Times New Roman" w:hAnsi="Times New Roman" w:cs="Times New Roman"/>
          <w:sz w:val="20"/>
          <w:szCs w:val="20"/>
        </w:rPr>
        <w:t xml:space="preserve">Scientific Advisory Committee on Nutrition (SACN) (2015) </w:t>
      </w:r>
      <w:r w:rsidRPr="00380715">
        <w:rPr>
          <w:rFonts w:ascii="Times New Roman" w:hAnsi="Times New Roman" w:cs="Times New Roman"/>
          <w:i/>
          <w:iCs/>
          <w:sz w:val="20"/>
          <w:szCs w:val="20"/>
        </w:rPr>
        <w:t>Carbohydrates and Health</w:t>
      </w:r>
      <w:r w:rsidRPr="00380715">
        <w:rPr>
          <w:rFonts w:ascii="Times New Roman" w:hAnsi="Times New Roman" w:cs="Times New Roman"/>
          <w:sz w:val="20"/>
          <w:szCs w:val="20"/>
        </w:rPr>
        <w:t xml:space="preserve">. London: The Stationery Office. Available at: </w:t>
      </w:r>
      <w:hyperlink r:id="rId20" w:tgtFrame="_blank" w:tooltip="assets.publishing.service.gov.uk" w:history="1">
        <w:r w:rsidRPr="00380715">
          <w:rPr>
            <w:rStyle w:val="Hyperlink"/>
            <w:rFonts w:ascii="Times New Roman" w:hAnsi="Times New Roman" w:cs="Times New Roman"/>
            <w:sz w:val="20"/>
            <w:szCs w:val="20"/>
          </w:rPr>
          <w:t>https://assets.publishing.service.gov.uk/media/5a7f7cc3ed915d74e622ac2a/SACN_Carbohydrates_and_Health.pdf</w:t>
        </w:r>
      </w:hyperlink>
      <w:r w:rsidRPr="00380715">
        <w:rPr>
          <w:rFonts w:ascii="Times New Roman" w:hAnsi="Times New Roman" w:cs="Times New Roman"/>
          <w:sz w:val="20"/>
          <w:szCs w:val="20"/>
        </w:rPr>
        <w:t xml:space="preserve"> (Accessed: 15 April 2026).</w:t>
      </w:r>
      <w:r w:rsidRPr="00753ABD">
        <w:rPr>
          <w:rFonts w:ascii="Times New Roman" w:hAnsi="Times New Roman" w:cs="Times New Roman"/>
          <w:sz w:val="20"/>
          <w:szCs w:val="20"/>
        </w:rPr>
        <w:t xml:space="preserve">   </w:t>
      </w:r>
    </w:p>
    <w:p w14:paraId="0BCC7520" w14:textId="77777777" w:rsidR="00CC0AE7" w:rsidRDefault="00CC0AE7" w:rsidP="00CC0AE7">
      <w:pPr>
        <w:spacing w:after="0"/>
        <w:rPr>
          <w:rFonts w:ascii="Times New Roman" w:hAnsi="Times New Roman" w:cs="Times New Roman"/>
          <w:sz w:val="20"/>
          <w:szCs w:val="20"/>
        </w:rPr>
      </w:pPr>
    </w:p>
    <w:p w14:paraId="3DB61348" w14:textId="77777777" w:rsidR="00CC0AE7" w:rsidRPr="00380715" w:rsidRDefault="00CC0AE7" w:rsidP="00CC0AE7">
      <w:pPr>
        <w:spacing w:after="0"/>
        <w:rPr>
          <w:rFonts w:ascii="Times New Roman" w:hAnsi="Times New Roman" w:cs="Times New Roman"/>
          <w:sz w:val="20"/>
          <w:szCs w:val="20"/>
        </w:rPr>
      </w:pPr>
      <w:r w:rsidRPr="00380715">
        <w:rPr>
          <w:rFonts w:ascii="Times New Roman" w:hAnsi="Times New Roman" w:cs="Times New Roman"/>
          <w:sz w:val="20"/>
          <w:szCs w:val="20"/>
        </w:rPr>
        <w:lastRenderedPageBreak/>
        <w:t xml:space="preserve">Speller, V. (2007) </w:t>
      </w:r>
      <w:r w:rsidRPr="00380715">
        <w:rPr>
          <w:rFonts w:ascii="Times New Roman" w:hAnsi="Times New Roman" w:cs="Times New Roman"/>
          <w:i/>
          <w:iCs/>
          <w:sz w:val="20"/>
          <w:szCs w:val="20"/>
        </w:rPr>
        <w:t>Partnerships</w:t>
      </w:r>
      <w:r w:rsidRPr="00380715">
        <w:rPr>
          <w:rFonts w:ascii="Times New Roman" w:hAnsi="Times New Roman" w:cs="Times New Roman"/>
          <w:sz w:val="20"/>
          <w:szCs w:val="20"/>
        </w:rPr>
        <w:t xml:space="preserve">. In: </w:t>
      </w:r>
      <w:r w:rsidRPr="00380715">
        <w:rPr>
          <w:rFonts w:ascii="Times New Roman" w:hAnsi="Times New Roman" w:cs="Times New Roman"/>
          <w:i/>
          <w:iCs/>
          <w:sz w:val="20"/>
          <w:szCs w:val="20"/>
        </w:rPr>
        <w:t>Health Knowledge</w:t>
      </w:r>
      <w:r w:rsidRPr="00380715">
        <w:rPr>
          <w:rFonts w:ascii="Times New Roman" w:hAnsi="Times New Roman" w:cs="Times New Roman"/>
          <w:sz w:val="20"/>
          <w:szCs w:val="20"/>
        </w:rPr>
        <w:t xml:space="preserve">. Available at: </w:t>
      </w:r>
      <w:hyperlink r:id="rId21" w:tgtFrame="_blank" w:tooltip="www.healthknowledge.org.uk" w:history="1">
        <w:r w:rsidRPr="00380715">
          <w:rPr>
            <w:rStyle w:val="Hyperlink"/>
            <w:rFonts w:ascii="Times New Roman" w:hAnsi="Times New Roman" w:cs="Times New Roman"/>
            <w:sz w:val="20"/>
            <w:szCs w:val="20"/>
          </w:rPr>
          <w:t>https://www.healthknowledge.org.uk/public-health-textbook/disease-causation-diagnostic/2h-principles-health-promotion/partnerships</w:t>
        </w:r>
      </w:hyperlink>
      <w:r w:rsidRPr="00380715">
        <w:rPr>
          <w:rFonts w:ascii="Times New Roman" w:hAnsi="Times New Roman" w:cs="Times New Roman"/>
          <w:sz w:val="20"/>
          <w:szCs w:val="20"/>
        </w:rPr>
        <w:t xml:space="preserve"> (Accessed: 16 April 2026).</w:t>
      </w:r>
      <w:r w:rsidRPr="00753ABD">
        <w:rPr>
          <w:rFonts w:ascii="Times New Roman" w:hAnsi="Times New Roman" w:cs="Times New Roman"/>
          <w:sz w:val="20"/>
          <w:szCs w:val="20"/>
        </w:rPr>
        <w:t xml:space="preserve">  </w:t>
      </w:r>
    </w:p>
    <w:p w14:paraId="0D0E9603" w14:textId="77777777" w:rsidR="00CC0AE7" w:rsidRPr="00753ABD" w:rsidRDefault="00CC0AE7" w:rsidP="00CC0AE7">
      <w:pPr>
        <w:spacing w:after="0"/>
        <w:rPr>
          <w:rFonts w:ascii="Times New Roman" w:hAnsi="Times New Roman" w:cs="Times New Roman"/>
          <w:sz w:val="20"/>
          <w:szCs w:val="20"/>
        </w:rPr>
      </w:pPr>
    </w:p>
    <w:p w14:paraId="039DB74D" w14:textId="77777777" w:rsidR="00CC0AE7" w:rsidRPr="00753ABD" w:rsidRDefault="00CC0AE7" w:rsidP="00CC0AE7">
      <w:pPr>
        <w:spacing w:after="0"/>
        <w:rPr>
          <w:rFonts w:ascii="Times New Roman" w:hAnsi="Times New Roman" w:cs="Times New Roman"/>
          <w:sz w:val="20"/>
          <w:szCs w:val="20"/>
        </w:rPr>
      </w:pPr>
      <w:r w:rsidRPr="00380715">
        <w:rPr>
          <w:rFonts w:ascii="Times New Roman" w:hAnsi="Times New Roman" w:cs="Times New Roman"/>
          <w:sz w:val="20"/>
          <w:szCs w:val="20"/>
        </w:rPr>
        <w:t xml:space="preserve">World Cancer Research Fund </w:t>
      </w:r>
      <w:r w:rsidRPr="00753ABD">
        <w:rPr>
          <w:rFonts w:ascii="Times New Roman" w:hAnsi="Times New Roman" w:cs="Times New Roman"/>
          <w:sz w:val="20"/>
          <w:szCs w:val="20"/>
        </w:rPr>
        <w:t xml:space="preserve">(WCRF) </w:t>
      </w:r>
      <w:r w:rsidRPr="00380715">
        <w:rPr>
          <w:rFonts w:ascii="Times New Roman" w:hAnsi="Times New Roman" w:cs="Times New Roman"/>
          <w:sz w:val="20"/>
          <w:szCs w:val="20"/>
        </w:rPr>
        <w:t xml:space="preserve">(2026) </w:t>
      </w:r>
      <w:r w:rsidRPr="00380715">
        <w:rPr>
          <w:rFonts w:ascii="Times New Roman" w:hAnsi="Times New Roman" w:cs="Times New Roman"/>
          <w:i/>
          <w:iCs/>
          <w:sz w:val="20"/>
          <w:szCs w:val="20"/>
        </w:rPr>
        <w:t>The facts about fibre</w:t>
      </w:r>
      <w:r w:rsidRPr="00380715">
        <w:rPr>
          <w:rFonts w:ascii="Times New Roman" w:hAnsi="Times New Roman" w:cs="Times New Roman"/>
          <w:sz w:val="20"/>
          <w:szCs w:val="20"/>
        </w:rPr>
        <w:t xml:space="preserve">. Available at: </w:t>
      </w:r>
      <w:hyperlink r:id="rId22" w:tgtFrame="_blank" w:tooltip="www.wcrf.org" w:history="1">
        <w:r w:rsidRPr="00380715">
          <w:rPr>
            <w:rStyle w:val="Hyperlink"/>
            <w:rFonts w:ascii="Times New Roman" w:hAnsi="Times New Roman" w:cs="Times New Roman"/>
            <w:sz w:val="20"/>
            <w:szCs w:val="20"/>
          </w:rPr>
          <w:t>https://www.wcrf.org/living-well/health-guides-cookbooks/the-facts-about-fibre</w:t>
        </w:r>
      </w:hyperlink>
      <w:r w:rsidRPr="00380715">
        <w:rPr>
          <w:rFonts w:ascii="Times New Roman" w:hAnsi="Times New Roman" w:cs="Times New Roman"/>
          <w:sz w:val="20"/>
          <w:szCs w:val="20"/>
        </w:rPr>
        <w:t xml:space="preserve"> (Accessed: 15 April 2026).</w:t>
      </w:r>
      <w:r w:rsidRPr="00753ABD">
        <w:rPr>
          <w:rFonts w:ascii="Times New Roman" w:hAnsi="Times New Roman" w:cs="Times New Roman"/>
          <w:sz w:val="20"/>
          <w:szCs w:val="20"/>
        </w:rPr>
        <w:t xml:space="preserve">  </w:t>
      </w:r>
    </w:p>
    <w:p w14:paraId="548DC004" w14:textId="77777777" w:rsidR="00CC0AE7" w:rsidRPr="00753ABD" w:rsidRDefault="00CC0AE7" w:rsidP="00CC0AE7">
      <w:pPr>
        <w:spacing w:after="0"/>
        <w:rPr>
          <w:rFonts w:ascii="Times New Roman" w:hAnsi="Times New Roman" w:cs="Times New Roman"/>
          <w:sz w:val="20"/>
          <w:szCs w:val="20"/>
        </w:rPr>
      </w:pPr>
    </w:p>
    <w:p w14:paraId="5D0C3863" w14:textId="77777777" w:rsidR="00CC0AE7" w:rsidRPr="00380715"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 xml:space="preserve">World Health Organization (2001) </w:t>
      </w:r>
      <w:r w:rsidRPr="00753ABD">
        <w:rPr>
          <w:rFonts w:ascii="Times New Roman" w:hAnsi="Times New Roman" w:cs="Times New Roman"/>
          <w:i/>
          <w:iCs/>
          <w:sz w:val="20"/>
          <w:szCs w:val="20"/>
        </w:rPr>
        <w:t>Evaluation in health promotion: principles and perspectives</w:t>
      </w:r>
      <w:r w:rsidRPr="00753ABD">
        <w:rPr>
          <w:rFonts w:ascii="Times New Roman" w:hAnsi="Times New Roman" w:cs="Times New Roman"/>
          <w:sz w:val="20"/>
          <w:szCs w:val="20"/>
        </w:rPr>
        <w:t xml:space="preserve">. Copenhagen: WHO Regional Office for Europe. Available at: </w:t>
      </w:r>
      <w:hyperlink r:id="rId23" w:history="1">
        <w:r w:rsidRPr="00753ABD">
          <w:rPr>
            <w:rStyle w:val="Hyperlink"/>
            <w:rFonts w:ascii="Times New Roman" w:hAnsi="Times New Roman" w:cs="Times New Roman"/>
            <w:sz w:val="20"/>
            <w:szCs w:val="20"/>
          </w:rPr>
          <w:t>https://www.who.int/publications/i/item/9789289013598</w:t>
        </w:r>
      </w:hyperlink>
      <w:r w:rsidRPr="00753ABD">
        <w:rPr>
          <w:rFonts w:ascii="Times New Roman" w:hAnsi="Times New Roman" w:cs="Times New Roman"/>
          <w:sz w:val="20"/>
          <w:szCs w:val="20"/>
        </w:rPr>
        <w:t xml:space="preserve"> (Accessed: 17 April 2026).   </w:t>
      </w:r>
    </w:p>
    <w:p w14:paraId="38DC0D20" w14:textId="77777777" w:rsidR="00CC0AE7" w:rsidRPr="00753ABD" w:rsidRDefault="00CC0AE7" w:rsidP="00CC0AE7">
      <w:pPr>
        <w:spacing w:after="0"/>
        <w:rPr>
          <w:rFonts w:ascii="Times New Roman" w:hAnsi="Times New Roman" w:cs="Times New Roman"/>
          <w:sz w:val="20"/>
          <w:szCs w:val="20"/>
        </w:rPr>
      </w:pPr>
    </w:p>
    <w:p w14:paraId="6CF05253" w14:textId="77777777" w:rsidR="00CC0AE7" w:rsidRPr="00380715" w:rsidRDefault="00CC0AE7" w:rsidP="00CC0AE7">
      <w:pPr>
        <w:spacing w:after="0"/>
        <w:rPr>
          <w:rFonts w:ascii="Times New Roman" w:hAnsi="Times New Roman" w:cs="Times New Roman"/>
          <w:sz w:val="20"/>
          <w:szCs w:val="20"/>
        </w:rPr>
      </w:pPr>
      <w:r w:rsidRPr="00380715">
        <w:rPr>
          <w:rFonts w:ascii="Times New Roman" w:hAnsi="Times New Roman" w:cs="Times New Roman"/>
          <w:sz w:val="20"/>
          <w:szCs w:val="20"/>
        </w:rPr>
        <w:t xml:space="preserve">World Health Organization (2016) </w:t>
      </w:r>
      <w:r w:rsidRPr="00380715">
        <w:rPr>
          <w:rFonts w:ascii="Times New Roman" w:hAnsi="Times New Roman" w:cs="Times New Roman"/>
          <w:i/>
          <w:iCs/>
          <w:sz w:val="20"/>
          <w:szCs w:val="20"/>
        </w:rPr>
        <w:t>Shanghai Declaration on Promoting Health in the 2030 Agenda for Sustainable Development</w:t>
      </w:r>
      <w:r w:rsidRPr="00380715">
        <w:rPr>
          <w:rFonts w:ascii="Times New Roman" w:hAnsi="Times New Roman" w:cs="Times New Roman"/>
          <w:sz w:val="20"/>
          <w:szCs w:val="20"/>
        </w:rPr>
        <w:t xml:space="preserve">. Geneva: WHO. Available at: </w:t>
      </w:r>
      <w:hyperlink r:id="rId24" w:tgtFrame="_blank" w:tooltip="www.who.int" w:history="1">
        <w:r w:rsidRPr="00380715">
          <w:rPr>
            <w:rStyle w:val="Hyperlink"/>
            <w:rFonts w:ascii="Times New Roman" w:hAnsi="Times New Roman" w:cs="Times New Roman"/>
            <w:sz w:val="20"/>
            <w:szCs w:val="20"/>
          </w:rPr>
          <w:t>https://www.who.int/publications/i/item/WHO-NMH-PND-17.5</w:t>
        </w:r>
      </w:hyperlink>
      <w:r w:rsidRPr="00380715">
        <w:rPr>
          <w:rFonts w:ascii="Times New Roman" w:hAnsi="Times New Roman" w:cs="Times New Roman"/>
          <w:sz w:val="20"/>
          <w:szCs w:val="20"/>
        </w:rPr>
        <w:t xml:space="preserve"> (Accessed: 16 April 2026).</w:t>
      </w:r>
      <w:r w:rsidRPr="00753ABD">
        <w:rPr>
          <w:rFonts w:ascii="Times New Roman" w:hAnsi="Times New Roman" w:cs="Times New Roman"/>
          <w:sz w:val="20"/>
          <w:szCs w:val="20"/>
        </w:rPr>
        <w:t xml:space="preserve"> </w:t>
      </w:r>
    </w:p>
    <w:p w14:paraId="5A9321DA" w14:textId="77777777" w:rsidR="00CC0AE7" w:rsidRPr="00380715" w:rsidRDefault="00CC0AE7" w:rsidP="00CC0AE7">
      <w:pPr>
        <w:spacing w:after="0"/>
        <w:rPr>
          <w:rFonts w:ascii="Times New Roman" w:hAnsi="Times New Roman" w:cs="Times New Roman"/>
          <w:sz w:val="20"/>
          <w:szCs w:val="20"/>
        </w:rPr>
      </w:pPr>
    </w:p>
    <w:p w14:paraId="59869105" w14:textId="77777777" w:rsidR="00CC0AE7" w:rsidRPr="00380715" w:rsidRDefault="00CC0AE7" w:rsidP="00CC0AE7">
      <w:pPr>
        <w:spacing w:after="0"/>
        <w:rPr>
          <w:rFonts w:ascii="Times New Roman" w:hAnsi="Times New Roman" w:cs="Times New Roman"/>
          <w:sz w:val="20"/>
          <w:szCs w:val="20"/>
        </w:rPr>
      </w:pPr>
      <w:r w:rsidRPr="00753ABD">
        <w:rPr>
          <w:rFonts w:ascii="Times New Roman" w:hAnsi="Times New Roman" w:cs="Times New Roman"/>
          <w:sz w:val="20"/>
          <w:szCs w:val="20"/>
        </w:rPr>
        <w:t xml:space="preserve">World Health Organization (2022) </w:t>
      </w:r>
      <w:r w:rsidRPr="00753ABD">
        <w:rPr>
          <w:rFonts w:ascii="Times New Roman" w:hAnsi="Times New Roman" w:cs="Times New Roman"/>
          <w:i/>
          <w:iCs/>
          <w:sz w:val="20"/>
          <w:szCs w:val="20"/>
        </w:rPr>
        <w:t>Well</w:t>
      </w:r>
      <w:r w:rsidRPr="00753ABD">
        <w:rPr>
          <w:rFonts w:ascii="Times New Roman" w:hAnsi="Times New Roman" w:cs="Times New Roman"/>
          <w:i/>
          <w:iCs/>
          <w:sz w:val="20"/>
          <w:szCs w:val="20"/>
        </w:rPr>
        <w:noBreakHyphen/>
        <w:t>being and health promotion: Resolution WHA75.19</w:t>
      </w:r>
      <w:r w:rsidRPr="00753ABD">
        <w:rPr>
          <w:rFonts w:ascii="Times New Roman" w:hAnsi="Times New Roman" w:cs="Times New Roman"/>
          <w:sz w:val="20"/>
          <w:szCs w:val="20"/>
        </w:rPr>
        <w:t xml:space="preserve">. Geneva: World Health Organization. Available at: </w:t>
      </w:r>
      <w:hyperlink r:id="rId25" w:history="1">
        <w:r w:rsidRPr="00753ABD">
          <w:rPr>
            <w:rStyle w:val="Hyperlink"/>
            <w:rFonts w:ascii="Times New Roman" w:hAnsi="Times New Roman" w:cs="Times New Roman"/>
            <w:sz w:val="20"/>
            <w:szCs w:val="20"/>
          </w:rPr>
          <w:t>https://apps.who.int/gb/ebwha/pdf_files/WHA75/A75_R19-en.pdf</w:t>
        </w:r>
      </w:hyperlink>
      <w:r w:rsidRPr="00753ABD">
        <w:rPr>
          <w:rFonts w:ascii="Times New Roman" w:hAnsi="Times New Roman" w:cs="Times New Roman"/>
          <w:sz w:val="20"/>
          <w:szCs w:val="20"/>
        </w:rPr>
        <w:t xml:space="preserve"> (Accessed: 17 April 2026).</w:t>
      </w:r>
    </w:p>
    <w:p w14:paraId="1A764B14" w14:textId="77777777" w:rsidR="00CC0AE7" w:rsidRDefault="00CC0AE7" w:rsidP="00CC0AE7">
      <w:pPr>
        <w:spacing w:after="0"/>
        <w:rPr>
          <w:rFonts w:ascii="Times New Roman" w:hAnsi="Times New Roman" w:cs="Times New Roman"/>
          <w:sz w:val="24"/>
          <w:szCs w:val="24"/>
        </w:rPr>
      </w:pPr>
    </w:p>
    <w:p w14:paraId="472B0513" w14:textId="77777777" w:rsidR="00CC0AE7" w:rsidRDefault="00CC0AE7" w:rsidP="00CC0AE7">
      <w:pPr>
        <w:spacing w:after="0"/>
        <w:rPr>
          <w:rFonts w:ascii="Times New Roman" w:hAnsi="Times New Roman" w:cs="Times New Roman"/>
          <w:b/>
          <w:bCs/>
          <w:sz w:val="24"/>
          <w:szCs w:val="24"/>
          <w:u w:val="single"/>
        </w:rPr>
      </w:pPr>
    </w:p>
    <w:p w14:paraId="586E7654" w14:textId="77777777" w:rsidR="00CC0AE7" w:rsidRDefault="00CC0AE7" w:rsidP="00CC0AE7">
      <w:pPr>
        <w:spacing w:after="0"/>
        <w:rPr>
          <w:rFonts w:ascii="Times New Roman" w:hAnsi="Times New Roman" w:cs="Times New Roman"/>
          <w:b/>
          <w:bCs/>
          <w:sz w:val="24"/>
          <w:szCs w:val="24"/>
          <w:u w:val="single"/>
        </w:rPr>
      </w:pPr>
    </w:p>
    <w:p w14:paraId="20BE58D9" w14:textId="77777777" w:rsidR="00CC0AE7" w:rsidRDefault="00CC0AE7" w:rsidP="00CC0AE7">
      <w:pPr>
        <w:spacing w:after="0"/>
        <w:rPr>
          <w:rFonts w:ascii="Times New Roman" w:hAnsi="Times New Roman" w:cs="Times New Roman"/>
          <w:b/>
          <w:bCs/>
          <w:sz w:val="24"/>
          <w:szCs w:val="24"/>
          <w:u w:val="single"/>
        </w:rPr>
      </w:pPr>
    </w:p>
    <w:p w14:paraId="416338A0" w14:textId="77777777" w:rsidR="00CC0AE7" w:rsidRDefault="00CC0AE7" w:rsidP="00CC0AE7">
      <w:pPr>
        <w:spacing w:after="0"/>
        <w:rPr>
          <w:rFonts w:ascii="Times New Roman" w:hAnsi="Times New Roman" w:cs="Times New Roman"/>
          <w:b/>
          <w:bCs/>
          <w:sz w:val="24"/>
          <w:szCs w:val="24"/>
          <w:u w:val="single"/>
        </w:rPr>
      </w:pPr>
    </w:p>
    <w:p w14:paraId="16802A05" w14:textId="77777777" w:rsidR="00CC0AE7" w:rsidRDefault="00CC0AE7" w:rsidP="00CC0AE7">
      <w:pPr>
        <w:spacing w:after="0"/>
        <w:rPr>
          <w:rFonts w:ascii="Times New Roman" w:hAnsi="Times New Roman" w:cs="Times New Roman"/>
          <w:b/>
          <w:bCs/>
          <w:sz w:val="24"/>
          <w:szCs w:val="24"/>
          <w:u w:val="single"/>
        </w:rPr>
      </w:pPr>
    </w:p>
    <w:p w14:paraId="4DD8B7C4" w14:textId="77777777" w:rsidR="00CC0AE7" w:rsidRDefault="00CC0AE7" w:rsidP="00CC0AE7">
      <w:pPr>
        <w:spacing w:after="0"/>
        <w:rPr>
          <w:rFonts w:ascii="Times New Roman" w:hAnsi="Times New Roman" w:cs="Times New Roman"/>
          <w:b/>
          <w:bCs/>
          <w:sz w:val="24"/>
          <w:szCs w:val="24"/>
          <w:u w:val="single"/>
        </w:rPr>
      </w:pPr>
    </w:p>
    <w:p w14:paraId="0E0EABA7" w14:textId="77777777" w:rsidR="00CC0AE7" w:rsidRDefault="00CC0AE7" w:rsidP="00CC0AE7">
      <w:pPr>
        <w:spacing w:after="0"/>
        <w:rPr>
          <w:rFonts w:ascii="Times New Roman" w:hAnsi="Times New Roman" w:cs="Times New Roman"/>
          <w:b/>
          <w:bCs/>
          <w:sz w:val="24"/>
          <w:szCs w:val="24"/>
          <w:u w:val="single"/>
        </w:rPr>
      </w:pPr>
    </w:p>
    <w:p w14:paraId="63DBEA27" w14:textId="77777777" w:rsidR="00CC0AE7" w:rsidRDefault="00CC0AE7" w:rsidP="00CC0AE7">
      <w:pPr>
        <w:spacing w:after="0"/>
        <w:rPr>
          <w:rFonts w:ascii="Times New Roman" w:hAnsi="Times New Roman" w:cs="Times New Roman"/>
          <w:b/>
          <w:bCs/>
          <w:sz w:val="24"/>
          <w:szCs w:val="24"/>
          <w:u w:val="single"/>
        </w:rPr>
      </w:pPr>
    </w:p>
    <w:p w14:paraId="06B2B4C3" w14:textId="77777777" w:rsidR="00CC0AE7" w:rsidRDefault="00CC0AE7" w:rsidP="00CC0AE7">
      <w:pPr>
        <w:spacing w:after="0"/>
        <w:rPr>
          <w:rFonts w:ascii="Times New Roman" w:hAnsi="Times New Roman" w:cs="Times New Roman"/>
          <w:b/>
          <w:bCs/>
          <w:sz w:val="24"/>
          <w:szCs w:val="24"/>
          <w:u w:val="single"/>
        </w:rPr>
      </w:pPr>
    </w:p>
    <w:p w14:paraId="10CD411C" w14:textId="77777777" w:rsidR="00CC0AE7" w:rsidRDefault="00CC0AE7" w:rsidP="00CC0AE7">
      <w:pPr>
        <w:spacing w:after="0"/>
        <w:rPr>
          <w:rFonts w:ascii="Times New Roman" w:hAnsi="Times New Roman" w:cs="Times New Roman"/>
          <w:b/>
          <w:bCs/>
          <w:sz w:val="24"/>
          <w:szCs w:val="24"/>
          <w:u w:val="single"/>
        </w:rPr>
      </w:pPr>
    </w:p>
    <w:p w14:paraId="2D477F5A" w14:textId="77777777" w:rsidR="00CC0AE7" w:rsidRDefault="00CC0AE7" w:rsidP="00CC0AE7">
      <w:pPr>
        <w:spacing w:after="0"/>
        <w:rPr>
          <w:rFonts w:ascii="Times New Roman" w:hAnsi="Times New Roman" w:cs="Times New Roman"/>
          <w:b/>
          <w:bCs/>
          <w:sz w:val="24"/>
          <w:szCs w:val="24"/>
          <w:u w:val="single"/>
        </w:rPr>
      </w:pPr>
    </w:p>
    <w:p w14:paraId="2AED71AB" w14:textId="77777777" w:rsidR="00CC0AE7" w:rsidRDefault="00CC0AE7" w:rsidP="00CC0AE7">
      <w:pPr>
        <w:spacing w:after="0"/>
        <w:rPr>
          <w:rFonts w:ascii="Times New Roman" w:hAnsi="Times New Roman" w:cs="Times New Roman"/>
          <w:b/>
          <w:bCs/>
          <w:sz w:val="24"/>
          <w:szCs w:val="24"/>
          <w:u w:val="single"/>
        </w:rPr>
      </w:pPr>
    </w:p>
    <w:p w14:paraId="722E7C05" w14:textId="77777777" w:rsidR="00CC0AE7" w:rsidRDefault="00CC0AE7" w:rsidP="00CC0AE7">
      <w:pPr>
        <w:spacing w:after="0"/>
        <w:rPr>
          <w:rFonts w:ascii="Times New Roman" w:hAnsi="Times New Roman" w:cs="Times New Roman"/>
          <w:b/>
          <w:bCs/>
          <w:sz w:val="24"/>
          <w:szCs w:val="24"/>
          <w:u w:val="single"/>
        </w:rPr>
      </w:pPr>
    </w:p>
    <w:p w14:paraId="7C58AFEB" w14:textId="77777777" w:rsidR="00CC0AE7" w:rsidRDefault="00CC0AE7" w:rsidP="00CC0AE7">
      <w:pPr>
        <w:spacing w:after="0"/>
        <w:rPr>
          <w:rFonts w:ascii="Times New Roman" w:hAnsi="Times New Roman" w:cs="Times New Roman"/>
          <w:b/>
          <w:bCs/>
          <w:sz w:val="24"/>
          <w:szCs w:val="24"/>
          <w:u w:val="single"/>
        </w:rPr>
      </w:pPr>
    </w:p>
    <w:p w14:paraId="7161BDFC" w14:textId="77777777" w:rsidR="00CC0AE7" w:rsidRDefault="00CC0AE7" w:rsidP="00CC0AE7">
      <w:pPr>
        <w:spacing w:after="0"/>
        <w:rPr>
          <w:rFonts w:ascii="Times New Roman" w:hAnsi="Times New Roman" w:cs="Times New Roman"/>
          <w:b/>
          <w:bCs/>
          <w:sz w:val="24"/>
          <w:szCs w:val="24"/>
          <w:u w:val="single"/>
        </w:rPr>
      </w:pPr>
    </w:p>
    <w:p w14:paraId="4DC250E0" w14:textId="77777777" w:rsidR="00CC0AE7" w:rsidRDefault="00CC0AE7" w:rsidP="00CC0AE7">
      <w:pPr>
        <w:spacing w:after="0"/>
        <w:rPr>
          <w:rFonts w:ascii="Times New Roman" w:hAnsi="Times New Roman" w:cs="Times New Roman"/>
          <w:b/>
          <w:bCs/>
          <w:sz w:val="24"/>
          <w:szCs w:val="24"/>
          <w:u w:val="single"/>
        </w:rPr>
      </w:pPr>
    </w:p>
    <w:p w14:paraId="32A5839B" w14:textId="77777777" w:rsidR="00CC0AE7" w:rsidRDefault="00CC0AE7" w:rsidP="00CC0AE7">
      <w:pPr>
        <w:spacing w:after="0"/>
        <w:rPr>
          <w:rFonts w:ascii="Times New Roman" w:hAnsi="Times New Roman" w:cs="Times New Roman"/>
          <w:b/>
          <w:bCs/>
          <w:sz w:val="24"/>
          <w:szCs w:val="24"/>
          <w:u w:val="single"/>
        </w:rPr>
      </w:pPr>
    </w:p>
    <w:p w14:paraId="12B6B02C" w14:textId="77777777" w:rsidR="00CC0AE7" w:rsidRDefault="00CC0AE7" w:rsidP="00CC0AE7">
      <w:pPr>
        <w:spacing w:after="0"/>
        <w:rPr>
          <w:rFonts w:ascii="Times New Roman" w:hAnsi="Times New Roman" w:cs="Times New Roman"/>
          <w:b/>
          <w:bCs/>
          <w:sz w:val="24"/>
          <w:szCs w:val="24"/>
          <w:u w:val="single"/>
        </w:rPr>
      </w:pPr>
    </w:p>
    <w:p w14:paraId="059139D1" w14:textId="77777777" w:rsidR="00CC0AE7" w:rsidRDefault="00CC0AE7" w:rsidP="00CC0AE7">
      <w:pPr>
        <w:spacing w:after="0"/>
        <w:rPr>
          <w:rFonts w:ascii="Times New Roman" w:hAnsi="Times New Roman" w:cs="Times New Roman"/>
          <w:b/>
          <w:bCs/>
          <w:sz w:val="24"/>
          <w:szCs w:val="24"/>
          <w:u w:val="single"/>
        </w:rPr>
      </w:pPr>
    </w:p>
    <w:p w14:paraId="2F63B263" w14:textId="77777777" w:rsidR="00CC0AE7" w:rsidRDefault="00CC0AE7" w:rsidP="00CC0AE7">
      <w:pPr>
        <w:spacing w:after="0"/>
        <w:rPr>
          <w:rFonts w:ascii="Times New Roman" w:hAnsi="Times New Roman" w:cs="Times New Roman"/>
          <w:b/>
          <w:bCs/>
          <w:sz w:val="24"/>
          <w:szCs w:val="24"/>
          <w:u w:val="single"/>
        </w:rPr>
      </w:pPr>
    </w:p>
    <w:p w14:paraId="1EBF40EE" w14:textId="77777777" w:rsidR="00CC0AE7" w:rsidRDefault="00CC0AE7" w:rsidP="00CC0AE7">
      <w:pPr>
        <w:spacing w:after="0"/>
        <w:rPr>
          <w:rFonts w:ascii="Times New Roman" w:hAnsi="Times New Roman" w:cs="Times New Roman"/>
          <w:b/>
          <w:bCs/>
          <w:sz w:val="24"/>
          <w:szCs w:val="24"/>
          <w:u w:val="single"/>
        </w:rPr>
      </w:pPr>
    </w:p>
    <w:p w14:paraId="2A2AB072" w14:textId="77777777" w:rsidR="00CC0AE7" w:rsidRDefault="00CC0AE7" w:rsidP="00CC0AE7">
      <w:pPr>
        <w:spacing w:after="0"/>
        <w:rPr>
          <w:rFonts w:ascii="Times New Roman" w:hAnsi="Times New Roman" w:cs="Times New Roman"/>
          <w:b/>
          <w:bCs/>
          <w:sz w:val="24"/>
          <w:szCs w:val="24"/>
          <w:u w:val="single"/>
        </w:rPr>
      </w:pPr>
    </w:p>
    <w:p w14:paraId="42BFD1EA" w14:textId="77777777" w:rsidR="00CC0AE7" w:rsidRDefault="00CC0AE7" w:rsidP="00CC0AE7">
      <w:pPr>
        <w:spacing w:after="0"/>
        <w:rPr>
          <w:rFonts w:ascii="Times New Roman" w:hAnsi="Times New Roman" w:cs="Times New Roman"/>
          <w:b/>
          <w:bCs/>
          <w:sz w:val="24"/>
          <w:szCs w:val="24"/>
          <w:u w:val="single"/>
        </w:rPr>
      </w:pPr>
    </w:p>
    <w:p w14:paraId="53E4E94E" w14:textId="77777777" w:rsidR="00CC0AE7" w:rsidRDefault="00CC0AE7" w:rsidP="00CC0AE7">
      <w:pPr>
        <w:spacing w:after="0"/>
        <w:rPr>
          <w:rFonts w:ascii="Times New Roman" w:hAnsi="Times New Roman" w:cs="Times New Roman"/>
          <w:b/>
          <w:bCs/>
          <w:sz w:val="24"/>
          <w:szCs w:val="24"/>
          <w:u w:val="single"/>
        </w:rPr>
      </w:pPr>
    </w:p>
    <w:p w14:paraId="0FD73360" w14:textId="77777777" w:rsidR="00CC0AE7" w:rsidRDefault="00CC0AE7" w:rsidP="00CC0AE7">
      <w:pPr>
        <w:spacing w:after="0"/>
        <w:rPr>
          <w:rFonts w:ascii="Times New Roman" w:hAnsi="Times New Roman" w:cs="Times New Roman"/>
          <w:b/>
          <w:bCs/>
          <w:sz w:val="24"/>
          <w:szCs w:val="24"/>
          <w:u w:val="single"/>
        </w:rPr>
      </w:pPr>
    </w:p>
    <w:p w14:paraId="4DDA9BC7" w14:textId="77777777" w:rsidR="00CC0AE7" w:rsidRDefault="00CC0AE7" w:rsidP="00CC0AE7">
      <w:pPr>
        <w:spacing w:after="0"/>
        <w:rPr>
          <w:rFonts w:ascii="Times New Roman" w:hAnsi="Times New Roman" w:cs="Times New Roman"/>
          <w:b/>
          <w:bCs/>
          <w:sz w:val="24"/>
          <w:szCs w:val="24"/>
          <w:u w:val="single"/>
        </w:rPr>
      </w:pPr>
    </w:p>
    <w:p w14:paraId="5696FA15" w14:textId="77777777" w:rsidR="00CC0AE7" w:rsidRDefault="00CC0AE7" w:rsidP="00CC0AE7">
      <w:pPr>
        <w:spacing w:after="0"/>
        <w:rPr>
          <w:rFonts w:ascii="Times New Roman" w:hAnsi="Times New Roman" w:cs="Times New Roman"/>
          <w:b/>
          <w:bCs/>
          <w:sz w:val="24"/>
          <w:szCs w:val="24"/>
          <w:u w:val="single"/>
        </w:rPr>
      </w:pPr>
    </w:p>
    <w:p w14:paraId="7904DAD5" w14:textId="77777777" w:rsidR="00CC0AE7" w:rsidRDefault="00CC0AE7" w:rsidP="00CC0AE7">
      <w:pPr>
        <w:spacing w:after="0"/>
        <w:rPr>
          <w:rFonts w:ascii="Times New Roman" w:hAnsi="Times New Roman" w:cs="Times New Roman"/>
          <w:b/>
          <w:bCs/>
          <w:sz w:val="24"/>
          <w:szCs w:val="24"/>
          <w:u w:val="single"/>
        </w:rPr>
      </w:pPr>
    </w:p>
    <w:p w14:paraId="4A4C0A19" w14:textId="77777777" w:rsidR="00CC0AE7" w:rsidRDefault="00CC0AE7" w:rsidP="00CC0AE7">
      <w:pPr>
        <w:spacing w:after="0"/>
        <w:rPr>
          <w:rFonts w:ascii="Times New Roman" w:hAnsi="Times New Roman" w:cs="Times New Roman"/>
          <w:b/>
          <w:bCs/>
          <w:sz w:val="24"/>
          <w:szCs w:val="24"/>
          <w:u w:val="single"/>
        </w:rPr>
      </w:pPr>
    </w:p>
    <w:p w14:paraId="622C5080" w14:textId="77777777" w:rsidR="00CC0AE7" w:rsidRDefault="00CC0AE7" w:rsidP="00CC0AE7">
      <w:pPr>
        <w:spacing w:after="0"/>
        <w:rPr>
          <w:rFonts w:ascii="Times New Roman" w:hAnsi="Times New Roman" w:cs="Times New Roman"/>
          <w:b/>
          <w:bCs/>
          <w:sz w:val="24"/>
          <w:szCs w:val="24"/>
          <w:u w:val="single"/>
        </w:rPr>
      </w:pPr>
    </w:p>
    <w:p w14:paraId="59191C29" w14:textId="77777777" w:rsidR="00CC0AE7" w:rsidRDefault="00CC0AE7" w:rsidP="00CC0AE7">
      <w:pPr>
        <w:spacing w:after="0"/>
        <w:rPr>
          <w:rFonts w:ascii="Times New Roman" w:hAnsi="Times New Roman" w:cs="Times New Roman"/>
          <w:b/>
          <w:bCs/>
          <w:sz w:val="24"/>
          <w:szCs w:val="24"/>
          <w:u w:val="single"/>
        </w:rPr>
      </w:pPr>
      <w:r w:rsidRPr="00EF6C52">
        <w:rPr>
          <w:rFonts w:ascii="Times New Roman" w:hAnsi="Times New Roman" w:cs="Times New Roman"/>
          <w:b/>
          <w:bCs/>
          <w:sz w:val="24"/>
          <w:szCs w:val="24"/>
          <w:u w:val="single"/>
        </w:rPr>
        <w:lastRenderedPageBreak/>
        <w:t>Appendix A</w:t>
      </w:r>
      <w:r>
        <w:rPr>
          <w:rFonts w:ascii="Times New Roman" w:hAnsi="Times New Roman" w:cs="Times New Roman"/>
          <w:b/>
          <w:bCs/>
          <w:sz w:val="24"/>
          <w:szCs w:val="24"/>
          <w:u w:val="single"/>
        </w:rPr>
        <w:t xml:space="preserve">: </w:t>
      </w:r>
      <w:r w:rsidRPr="00EF6C52">
        <w:rPr>
          <w:rFonts w:ascii="Times New Roman" w:hAnsi="Times New Roman" w:cs="Times New Roman"/>
          <w:b/>
          <w:bCs/>
          <w:sz w:val="24"/>
          <w:szCs w:val="24"/>
          <w:u w:val="single"/>
        </w:rPr>
        <w:t>Meeting Minutes: Planning Session 1</w:t>
      </w:r>
    </w:p>
    <w:p w14:paraId="335A2CAF" w14:textId="77777777" w:rsidR="00CC0AE7" w:rsidRPr="00EF6C52" w:rsidRDefault="00CC0AE7" w:rsidP="00CC0AE7">
      <w:pPr>
        <w:spacing w:after="0"/>
        <w:rPr>
          <w:rFonts w:ascii="Times New Roman" w:hAnsi="Times New Roman" w:cs="Times New Roman"/>
          <w:b/>
          <w:bCs/>
          <w:sz w:val="24"/>
          <w:szCs w:val="24"/>
          <w:u w:val="single"/>
        </w:rPr>
      </w:pPr>
    </w:p>
    <w:p w14:paraId="2570FC9C" w14:textId="77777777" w:rsidR="00CC0AE7" w:rsidRDefault="00CC0AE7" w:rsidP="00CC0AE7">
      <w:pPr>
        <w:spacing w:after="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E5160C" wp14:editId="2D8BB7D5">
            <wp:extent cx="6309360" cy="6758940"/>
            <wp:effectExtent l="0" t="0" r="0" b="3810"/>
            <wp:docPr id="1257129512" name="Picture 1" descr="The image contains a handwritten meeting note detailing the distribution of roles for a presentation, including a QR code for Amelie and a banner for Lindsay, and emphasizing the importance of high-fiber sn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08878" name="Picture 1" descr="The image contains a handwritten meeting note detailing the distribution of roles for a presentation, including a QR code for Amelie and a banner for Lindsay, and emphasizing the importance of high-fiber snacks.&#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6309360" cy="6758940"/>
                    </a:xfrm>
                    <a:prstGeom prst="rect">
                      <a:avLst/>
                    </a:prstGeom>
                  </pic:spPr>
                </pic:pic>
              </a:graphicData>
            </a:graphic>
          </wp:inline>
        </w:drawing>
      </w:r>
    </w:p>
    <w:p w14:paraId="7A97A7A3" w14:textId="77777777" w:rsidR="00CC0AE7" w:rsidRDefault="00CC0AE7" w:rsidP="00CC0AE7">
      <w:pPr>
        <w:spacing w:after="0"/>
        <w:rPr>
          <w:rFonts w:ascii="Times New Roman" w:hAnsi="Times New Roman" w:cs="Times New Roman"/>
          <w:sz w:val="24"/>
          <w:szCs w:val="24"/>
        </w:rPr>
      </w:pPr>
    </w:p>
    <w:p w14:paraId="2707168C" w14:textId="77777777" w:rsidR="00CC0AE7" w:rsidRDefault="00CC0AE7" w:rsidP="00CC0AE7">
      <w:pPr>
        <w:spacing w:after="0"/>
        <w:rPr>
          <w:rFonts w:ascii="Times New Roman" w:hAnsi="Times New Roman" w:cs="Times New Roman"/>
          <w:sz w:val="24"/>
          <w:szCs w:val="24"/>
        </w:rPr>
      </w:pPr>
    </w:p>
    <w:p w14:paraId="55F8B5ED" w14:textId="77777777" w:rsidR="00CC0AE7" w:rsidRDefault="00CC0AE7" w:rsidP="00CC0AE7">
      <w:pPr>
        <w:spacing w:after="0"/>
        <w:rPr>
          <w:rFonts w:ascii="Times New Roman" w:hAnsi="Times New Roman" w:cs="Times New Roman"/>
          <w:sz w:val="24"/>
          <w:szCs w:val="24"/>
        </w:rPr>
      </w:pPr>
    </w:p>
    <w:p w14:paraId="4168205C" w14:textId="77777777" w:rsidR="00CC0AE7" w:rsidRDefault="00CC0AE7" w:rsidP="00CC0AE7">
      <w:pPr>
        <w:spacing w:after="0"/>
        <w:rPr>
          <w:rFonts w:ascii="Times New Roman" w:hAnsi="Times New Roman" w:cs="Times New Roman"/>
          <w:b/>
          <w:bCs/>
          <w:sz w:val="24"/>
          <w:szCs w:val="24"/>
          <w:u w:val="single"/>
        </w:rPr>
      </w:pPr>
    </w:p>
    <w:p w14:paraId="52AE4C67" w14:textId="77777777" w:rsidR="00CC0AE7" w:rsidRDefault="00CC0AE7" w:rsidP="00CC0AE7">
      <w:pPr>
        <w:spacing w:after="0"/>
        <w:rPr>
          <w:rFonts w:ascii="Times New Roman" w:hAnsi="Times New Roman" w:cs="Times New Roman"/>
          <w:b/>
          <w:bCs/>
          <w:sz w:val="24"/>
          <w:szCs w:val="24"/>
          <w:u w:val="single"/>
        </w:rPr>
      </w:pPr>
    </w:p>
    <w:p w14:paraId="03B5E33D" w14:textId="77777777" w:rsidR="00CC0AE7" w:rsidRDefault="00CC0AE7" w:rsidP="00CC0AE7">
      <w:pPr>
        <w:spacing w:after="0"/>
        <w:rPr>
          <w:rFonts w:ascii="Times New Roman" w:hAnsi="Times New Roman" w:cs="Times New Roman"/>
          <w:b/>
          <w:bCs/>
          <w:sz w:val="24"/>
          <w:szCs w:val="24"/>
          <w:u w:val="single"/>
        </w:rPr>
      </w:pPr>
    </w:p>
    <w:p w14:paraId="73DB4A23" w14:textId="77777777" w:rsidR="00CC0AE7" w:rsidRDefault="00CC0AE7" w:rsidP="00CC0AE7">
      <w:pPr>
        <w:spacing w:after="0"/>
        <w:rPr>
          <w:rFonts w:ascii="Times New Roman" w:hAnsi="Times New Roman" w:cs="Times New Roman"/>
          <w:b/>
          <w:bCs/>
          <w:sz w:val="24"/>
          <w:szCs w:val="24"/>
          <w:u w:val="single"/>
        </w:rPr>
      </w:pPr>
    </w:p>
    <w:p w14:paraId="3EB81CA6" w14:textId="77777777" w:rsidR="00CC0AE7" w:rsidRDefault="00CC0AE7" w:rsidP="00CC0AE7">
      <w:pPr>
        <w:spacing w:after="0"/>
        <w:rPr>
          <w:rFonts w:ascii="Times New Roman" w:hAnsi="Times New Roman" w:cs="Times New Roman"/>
          <w:b/>
          <w:bCs/>
          <w:sz w:val="24"/>
          <w:szCs w:val="24"/>
          <w:u w:val="single"/>
        </w:rPr>
      </w:pPr>
    </w:p>
    <w:p w14:paraId="382FD091" w14:textId="77777777" w:rsidR="00CC0AE7" w:rsidRDefault="00CC0AE7" w:rsidP="00CC0AE7">
      <w:pPr>
        <w:spacing w:after="0"/>
        <w:rPr>
          <w:rFonts w:ascii="Times New Roman" w:hAnsi="Times New Roman" w:cs="Times New Roman"/>
          <w:b/>
          <w:bCs/>
          <w:sz w:val="24"/>
          <w:szCs w:val="24"/>
          <w:u w:val="single"/>
        </w:rPr>
      </w:pPr>
    </w:p>
    <w:p w14:paraId="1D61105D" w14:textId="77777777" w:rsidR="00CC0AE7" w:rsidRDefault="00CC0AE7" w:rsidP="00CC0AE7">
      <w:pPr>
        <w:spacing w:after="0"/>
        <w:rPr>
          <w:rFonts w:ascii="Times New Roman" w:hAnsi="Times New Roman" w:cs="Times New Roman"/>
          <w:b/>
          <w:bCs/>
          <w:sz w:val="24"/>
          <w:szCs w:val="24"/>
          <w:u w:val="single"/>
        </w:rPr>
      </w:pPr>
      <w:r w:rsidRPr="006745B0">
        <w:rPr>
          <w:rFonts w:ascii="Times New Roman" w:hAnsi="Times New Roman" w:cs="Times New Roman"/>
          <w:b/>
          <w:bCs/>
          <w:sz w:val="24"/>
          <w:szCs w:val="24"/>
          <w:u w:val="single"/>
        </w:rPr>
        <w:lastRenderedPageBreak/>
        <w:t xml:space="preserve">Appendix </w:t>
      </w:r>
      <w:r>
        <w:rPr>
          <w:rFonts w:ascii="Times New Roman" w:hAnsi="Times New Roman" w:cs="Times New Roman"/>
          <w:b/>
          <w:bCs/>
          <w:sz w:val="24"/>
          <w:szCs w:val="24"/>
          <w:u w:val="single"/>
        </w:rPr>
        <w:t xml:space="preserve">B: </w:t>
      </w:r>
      <w:r w:rsidRPr="006745B0">
        <w:rPr>
          <w:rFonts w:ascii="Times New Roman" w:hAnsi="Times New Roman" w:cs="Times New Roman"/>
          <w:b/>
          <w:bCs/>
          <w:sz w:val="24"/>
          <w:szCs w:val="24"/>
          <w:u w:val="single"/>
        </w:rPr>
        <w:t>Meeting Minutes: Planning Session 2</w:t>
      </w:r>
    </w:p>
    <w:p w14:paraId="2FBD706A" w14:textId="77777777" w:rsidR="00CC0AE7" w:rsidRDefault="00CC0AE7" w:rsidP="00CC0AE7">
      <w:pPr>
        <w:spacing w:after="0"/>
        <w:rPr>
          <w:rFonts w:ascii="Times New Roman" w:hAnsi="Times New Roman" w:cs="Times New Roman"/>
          <w:b/>
          <w:bCs/>
          <w:sz w:val="24"/>
          <w:szCs w:val="24"/>
          <w:u w:val="single"/>
        </w:rPr>
      </w:pPr>
    </w:p>
    <w:p w14:paraId="118E67EE" w14:textId="77777777" w:rsidR="00CC0AE7" w:rsidRPr="00F112E6" w:rsidRDefault="00CC0AE7" w:rsidP="00CC0AE7">
      <w:pPr>
        <w:spacing w:after="0"/>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641833C7" wp14:editId="0F874B7D">
            <wp:extent cx="5731510" cy="7854950"/>
            <wp:effectExtent l="0" t="0" r="2540" b="0"/>
            <wp:docPr id="739039881" name="Picture 2" descr="The image appears to be a handwritten note or to-do list with various tasks such as sorting different types of fabric, organizing freebies, and preparing for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02353" name="Picture 2" descr="The image appears to be a handwritten note or to-do list with various tasks such as sorting different types of fabric, organizing freebies, and preparing for a survey.&#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854950"/>
                    </a:xfrm>
                    <a:prstGeom prst="rect">
                      <a:avLst/>
                    </a:prstGeom>
                  </pic:spPr>
                </pic:pic>
              </a:graphicData>
            </a:graphic>
          </wp:inline>
        </w:drawing>
      </w:r>
    </w:p>
    <w:p w14:paraId="1F35CBA3" w14:textId="77777777" w:rsidR="00CC0AE7" w:rsidRDefault="00CC0AE7" w:rsidP="00CC0AE7">
      <w:pPr>
        <w:spacing w:after="0"/>
        <w:rPr>
          <w:rFonts w:ascii="Times New Roman" w:hAnsi="Times New Roman" w:cs="Times New Roman"/>
          <w:sz w:val="24"/>
          <w:szCs w:val="24"/>
        </w:rPr>
      </w:pPr>
    </w:p>
    <w:p w14:paraId="6DD1EC33" w14:textId="77777777" w:rsidR="00CC0AE7" w:rsidRDefault="00CC0AE7" w:rsidP="00CC0AE7">
      <w:pPr>
        <w:spacing w:after="0"/>
        <w:rPr>
          <w:rFonts w:ascii="Times New Roman" w:hAnsi="Times New Roman" w:cs="Times New Roman"/>
          <w:sz w:val="24"/>
          <w:szCs w:val="24"/>
        </w:rPr>
      </w:pPr>
    </w:p>
    <w:p w14:paraId="295F6560" w14:textId="77777777" w:rsidR="00CC0AE7" w:rsidRDefault="00CC0AE7" w:rsidP="00CC0AE7">
      <w:pPr>
        <w:spacing w:after="0"/>
        <w:rPr>
          <w:rFonts w:ascii="Times New Roman" w:hAnsi="Times New Roman" w:cs="Times New Roman"/>
          <w:sz w:val="24"/>
          <w:szCs w:val="24"/>
        </w:rPr>
      </w:pPr>
    </w:p>
    <w:p w14:paraId="4BC0EFA9" w14:textId="77777777" w:rsidR="00CC0AE7" w:rsidRDefault="00CC0AE7" w:rsidP="00CC0AE7">
      <w:pPr>
        <w:spacing w:after="0"/>
        <w:rPr>
          <w:rFonts w:ascii="Times New Roman" w:hAnsi="Times New Roman" w:cs="Times New Roman"/>
          <w:sz w:val="24"/>
          <w:szCs w:val="24"/>
        </w:rPr>
      </w:pPr>
    </w:p>
    <w:p w14:paraId="43B713CA" w14:textId="77777777" w:rsidR="00CC0AE7" w:rsidRDefault="00CC0AE7" w:rsidP="00CC0AE7">
      <w:pPr>
        <w:spacing w:after="0"/>
        <w:rPr>
          <w:rFonts w:ascii="Times New Roman" w:hAnsi="Times New Roman" w:cs="Times New Roman"/>
          <w:b/>
          <w:bCs/>
          <w:sz w:val="24"/>
          <w:szCs w:val="24"/>
          <w:u w:val="single"/>
        </w:rPr>
      </w:pPr>
      <w:r w:rsidRPr="002A02B2">
        <w:rPr>
          <w:rFonts w:ascii="Times New Roman" w:hAnsi="Times New Roman" w:cs="Times New Roman"/>
          <w:b/>
          <w:bCs/>
          <w:sz w:val="24"/>
          <w:szCs w:val="24"/>
          <w:u w:val="single"/>
        </w:rPr>
        <w:t>Appendix</w:t>
      </w:r>
      <w:r>
        <w:rPr>
          <w:rFonts w:ascii="Times New Roman" w:hAnsi="Times New Roman" w:cs="Times New Roman"/>
          <w:b/>
          <w:bCs/>
          <w:sz w:val="24"/>
          <w:szCs w:val="24"/>
          <w:u w:val="single"/>
        </w:rPr>
        <w:t xml:space="preserve"> C:</w:t>
      </w:r>
      <w:r w:rsidRPr="002A02B2">
        <w:rPr>
          <w:rFonts w:ascii="Times New Roman" w:hAnsi="Times New Roman" w:cs="Times New Roman"/>
          <w:b/>
          <w:bCs/>
          <w:sz w:val="24"/>
          <w:szCs w:val="24"/>
          <w:u w:val="single"/>
        </w:rPr>
        <w:t xml:space="preserve"> Team Collaboration: Banner Preparation for the Health Promotion Stall</w:t>
      </w:r>
    </w:p>
    <w:p w14:paraId="617F0DB7" w14:textId="77777777" w:rsidR="00CC0AE7" w:rsidRDefault="00CC0AE7" w:rsidP="00CC0AE7">
      <w:pPr>
        <w:spacing w:after="0"/>
        <w:rPr>
          <w:rFonts w:ascii="Times New Roman" w:hAnsi="Times New Roman" w:cs="Times New Roman"/>
          <w:b/>
          <w:bCs/>
          <w:sz w:val="24"/>
          <w:szCs w:val="24"/>
          <w:u w:val="single"/>
        </w:rPr>
      </w:pPr>
    </w:p>
    <w:p w14:paraId="623DFD72" w14:textId="77777777" w:rsidR="00CC0AE7" w:rsidRPr="00F112E6" w:rsidRDefault="00CC0AE7" w:rsidP="00CC0AE7">
      <w:pPr>
        <w:spacing w:after="0"/>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5467A6FE" wp14:editId="277E3B09">
            <wp:extent cx="5731510" cy="7768590"/>
            <wp:effectExtent l="0" t="0" r="2540" b="3810"/>
            <wp:docPr id="1777629514" name="Picture 3" descr="The image shows three people sitting on a table, surrounded by books, papers, and a computer, possibly in a study or office enviro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67279" name="Picture 3" descr="The image shows three people sitting on a table, surrounded by books, papers, and a computer, possibly in a study or office environmen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7768590"/>
                    </a:xfrm>
                    <a:prstGeom prst="rect">
                      <a:avLst/>
                    </a:prstGeom>
                  </pic:spPr>
                </pic:pic>
              </a:graphicData>
            </a:graphic>
          </wp:inline>
        </w:drawing>
      </w:r>
    </w:p>
    <w:p w14:paraId="7F30E1B1" w14:textId="77777777" w:rsidR="00CC0AE7" w:rsidRDefault="00CC0AE7" w:rsidP="00CC0AE7">
      <w:pPr>
        <w:spacing w:after="0"/>
        <w:rPr>
          <w:rFonts w:ascii="Times New Roman" w:hAnsi="Times New Roman" w:cs="Times New Roman"/>
          <w:sz w:val="24"/>
          <w:szCs w:val="24"/>
        </w:rPr>
      </w:pPr>
    </w:p>
    <w:p w14:paraId="114F36FE" w14:textId="77777777" w:rsidR="00CC0AE7" w:rsidRDefault="00CC0AE7" w:rsidP="00CC0AE7">
      <w:pPr>
        <w:spacing w:after="0"/>
        <w:rPr>
          <w:rFonts w:ascii="Times New Roman" w:hAnsi="Times New Roman" w:cs="Times New Roman"/>
          <w:sz w:val="24"/>
          <w:szCs w:val="24"/>
        </w:rPr>
      </w:pPr>
    </w:p>
    <w:p w14:paraId="26FD7322" w14:textId="77777777" w:rsidR="00CC0AE7" w:rsidRDefault="00CC0AE7" w:rsidP="00CC0AE7">
      <w:pPr>
        <w:spacing w:after="0"/>
        <w:rPr>
          <w:rFonts w:ascii="Times New Roman" w:hAnsi="Times New Roman" w:cs="Times New Roman"/>
          <w:b/>
          <w:bCs/>
          <w:sz w:val="24"/>
          <w:szCs w:val="24"/>
          <w:u w:val="single"/>
        </w:rPr>
      </w:pPr>
      <w:r w:rsidRPr="00292D12">
        <w:rPr>
          <w:rFonts w:ascii="Times New Roman" w:hAnsi="Times New Roman" w:cs="Times New Roman"/>
          <w:b/>
          <w:bCs/>
          <w:sz w:val="24"/>
          <w:szCs w:val="24"/>
          <w:u w:val="single"/>
        </w:rPr>
        <w:lastRenderedPageBreak/>
        <w:t xml:space="preserve">Appendix D: </w:t>
      </w:r>
      <w:r w:rsidRPr="00D013C2">
        <w:rPr>
          <w:rFonts w:ascii="Times New Roman" w:hAnsi="Times New Roman" w:cs="Times New Roman"/>
          <w:b/>
          <w:bCs/>
          <w:sz w:val="24"/>
          <w:szCs w:val="24"/>
          <w:u w:val="single"/>
        </w:rPr>
        <w:t>Example of Event Resources: Display Board, Leaflets, and Fibre Game Materials</w:t>
      </w:r>
    </w:p>
    <w:p w14:paraId="6436B66B" w14:textId="77777777" w:rsidR="00CC0AE7" w:rsidRDefault="00CC0AE7" w:rsidP="00CC0AE7">
      <w:pPr>
        <w:spacing w:after="0"/>
        <w:rPr>
          <w:rFonts w:ascii="Times New Roman" w:hAnsi="Times New Roman" w:cs="Times New Roman"/>
          <w:b/>
          <w:bCs/>
          <w:sz w:val="24"/>
          <w:szCs w:val="24"/>
          <w:u w:val="single"/>
        </w:rPr>
      </w:pPr>
    </w:p>
    <w:p w14:paraId="22010343" w14:textId="77777777" w:rsidR="00CC0AE7" w:rsidRDefault="00CC0AE7" w:rsidP="00CC0AE7">
      <w:pPr>
        <w:spacing w:after="0"/>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30AB9D2A" wp14:editId="42B92661">
            <wp:extent cx="5731510" cy="4176395"/>
            <wp:effectExtent l="0" t="0" r="2540" b="0"/>
            <wp:docPr id="1778371258" name="Picture 4" descr="FIBRE WATER HEALTHY G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371258" name="Picture 4" descr="FIBRE WATER HEALTHY GU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4176395"/>
                    </a:xfrm>
                    <a:prstGeom prst="rect">
                      <a:avLst/>
                    </a:prstGeom>
                  </pic:spPr>
                </pic:pic>
              </a:graphicData>
            </a:graphic>
          </wp:inline>
        </w:drawing>
      </w:r>
    </w:p>
    <w:p w14:paraId="1BE6D365" w14:textId="77777777" w:rsidR="00CC0AE7" w:rsidRDefault="00CC0AE7" w:rsidP="00CC0AE7">
      <w:pPr>
        <w:spacing w:after="0"/>
        <w:rPr>
          <w:rFonts w:ascii="Times New Roman" w:hAnsi="Times New Roman" w:cs="Times New Roman"/>
          <w:b/>
          <w:bCs/>
          <w:sz w:val="24"/>
          <w:szCs w:val="24"/>
          <w:u w:val="single"/>
        </w:rPr>
      </w:pPr>
    </w:p>
    <w:p w14:paraId="01488A0F" w14:textId="77777777" w:rsidR="00CC0AE7" w:rsidRPr="00292D12" w:rsidRDefault="00CC0AE7" w:rsidP="00CC0AE7">
      <w:pPr>
        <w:spacing w:after="0"/>
        <w:rPr>
          <w:rFonts w:ascii="Times New Roman" w:hAnsi="Times New Roman" w:cs="Times New Roman"/>
          <w:b/>
          <w:bCs/>
          <w:sz w:val="24"/>
          <w:szCs w:val="24"/>
          <w:u w:val="single"/>
        </w:rPr>
      </w:pPr>
    </w:p>
    <w:p w14:paraId="3C4B080F" w14:textId="77777777" w:rsidR="00CC0AE7" w:rsidRPr="0073248F" w:rsidRDefault="00CC0AE7" w:rsidP="00746E3C">
      <w:pPr>
        <w:rPr>
          <w:rFonts w:ascii="Times New Roman" w:hAnsi="Times New Roman" w:cs="Times New Roman"/>
          <w:sz w:val="24"/>
          <w:szCs w:val="24"/>
        </w:rPr>
      </w:pPr>
    </w:p>
    <w:sectPr w:rsidR="00CC0AE7" w:rsidRPr="00732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E3C"/>
    <w:rsid w:val="000219A5"/>
    <w:rsid w:val="000332FE"/>
    <w:rsid w:val="00034284"/>
    <w:rsid w:val="000D4146"/>
    <w:rsid w:val="000D51BA"/>
    <w:rsid w:val="000E2C6B"/>
    <w:rsid w:val="000E76AF"/>
    <w:rsid w:val="00134E39"/>
    <w:rsid w:val="001D0DC0"/>
    <w:rsid w:val="00267929"/>
    <w:rsid w:val="0027477E"/>
    <w:rsid w:val="0028310A"/>
    <w:rsid w:val="00284FCE"/>
    <w:rsid w:val="003535F3"/>
    <w:rsid w:val="003B086F"/>
    <w:rsid w:val="004C25E5"/>
    <w:rsid w:val="004D3F9F"/>
    <w:rsid w:val="005160AD"/>
    <w:rsid w:val="00530DFD"/>
    <w:rsid w:val="00534111"/>
    <w:rsid w:val="00563BFD"/>
    <w:rsid w:val="005C2B8E"/>
    <w:rsid w:val="00617BF7"/>
    <w:rsid w:val="00681C96"/>
    <w:rsid w:val="006E28C4"/>
    <w:rsid w:val="0073248F"/>
    <w:rsid w:val="00746E3C"/>
    <w:rsid w:val="007641B4"/>
    <w:rsid w:val="007A394F"/>
    <w:rsid w:val="008621F7"/>
    <w:rsid w:val="008E72C8"/>
    <w:rsid w:val="00944DDC"/>
    <w:rsid w:val="009455E9"/>
    <w:rsid w:val="00960E2D"/>
    <w:rsid w:val="009F16D6"/>
    <w:rsid w:val="00A22AA3"/>
    <w:rsid w:val="00A42867"/>
    <w:rsid w:val="00B37043"/>
    <w:rsid w:val="00B65FB3"/>
    <w:rsid w:val="00BB1BCB"/>
    <w:rsid w:val="00C21D45"/>
    <w:rsid w:val="00C3141C"/>
    <w:rsid w:val="00C8446C"/>
    <w:rsid w:val="00CA4B18"/>
    <w:rsid w:val="00CC0AE7"/>
    <w:rsid w:val="00D01C7F"/>
    <w:rsid w:val="00DE570C"/>
    <w:rsid w:val="00EA6B52"/>
    <w:rsid w:val="00F92CF0"/>
    <w:rsid w:val="00FA6CB3"/>
    <w:rsid w:val="00FD2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8A95A"/>
  <w15:chartTrackingRefBased/>
  <w15:docId w15:val="{BED653DF-A91C-4AC6-837B-6D07931A1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E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6E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6E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6E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6E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6E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E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E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E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E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6E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6E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6E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6E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6E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E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E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E3C"/>
    <w:rPr>
      <w:rFonts w:eastAsiaTheme="majorEastAsia" w:cstheme="majorBidi"/>
      <w:color w:val="272727" w:themeColor="text1" w:themeTint="D8"/>
    </w:rPr>
  </w:style>
  <w:style w:type="paragraph" w:styleId="Title">
    <w:name w:val="Title"/>
    <w:basedOn w:val="Normal"/>
    <w:next w:val="Normal"/>
    <w:link w:val="TitleChar"/>
    <w:uiPriority w:val="10"/>
    <w:qFormat/>
    <w:rsid w:val="00746E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E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E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E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E3C"/>
    <w:pPr>
      <w:spacing w:before="160"/>
      <w:jc w:val="center"/>
    </w:pPr>
    <w:rPr>
      <w:i/>
      <w:iCs/>
      <w:color w:val="404040" w:themeColor="text1" w:themeTint="BF"/>
    </w:rPr>
  </w:style>
  <w:style w:type="character" w:customStyle="1" w:styleId="QuoteChar">
    <w:name w:val="Quote Char"/>
    <w:basedOn w:val="DefaultParagraphFont"/>
    <w:link w:val="Quote"/>
    <w:uiPriority w:val="29"/>
    <w:rsid w:val="00746E3C"/>
    <w:rPr>
      <w:i/>
      <w:iCs/>
      <w:color w:val="404040" w:themeColor="text1" w:themeTint="BF"/>
    </w:rPr>
  </w:style>
  <w:style w:type="paragraph" w:styleId="ListParagraph">
    <w:name w:val="List Paragraph"/>
    <w:basedOn w:val="Normal"/>
    <w:uiPriority w:val="34"/>
    <w:qFormat/>
    <w:rsid w:val="00746E3C"/>
    <w:pPr>
      <w:ind w:left="720"/>
      <w:contextualSpacing/>
    </w:pPr>
  </w:style>
  <w:style w:type="character" w:styleId="IntenseEmphasis">
    <w:name w:val="Intense Emphasis"/>
    <w:basedOn w:val="DefaultParagraphFont"/>
    <w:uiPriority w:val="21"/>
    <w:qFormat/>
    <w:rsid w:val="00746E3C"/>
    <w:rPr>
      <w:i/>
      <w:iCs/>
      <w:color w:val="2F5496" w:themeColor="accent1" w:themeShade="BF"/>
    </w:rPr>
  </w:style>
  <w:style w:type="paragraph" w:styleId="IntenseQuote">
    <w:name w:val="Intense Quote"/>
    <w:basedOn w:val="Normal"/>
    <w:next w:val="Normal"/>
    <w:link w:val="IntenseQuoteChar"/>
    <w:uiPriority w:val="30"/>
    <w:qFormat/>
    <w:rsid w:val="00746E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6E3C"/>
    <w:rPr>
      <w:i/>
      <w:iCs/>
      <w:color w:val="2F5496" w:themeColor="accent1" w:themeShade="BF"/>
    </w:rPr>
  </w:style>
  <w:style w:type="character" w:styleId="IntenseReference">
    <w:name w:val="Intense Reference"/>
    <w:basedOn w:val="DefaultParagraphFont"/>
    <w:uiPriority w:val="32"/>
    <w:qFormat/>
    <w:rsid w:val="00746E3C"/>
    <w:rPr>
      <w:b/>
      <w:bCs/>
      <w:smallCaps/>
      <w:color w:val="2F5496" w:themeColor="accent1" w:themeShade="BF"/>
      <w:spacing w:val="5"/>
    </w:rPr>
  </w:style>
  <w:style w:type="character" w:styleId="Hyperlink">
    <w:name w:val="Hyperlink"/>
    <w:basedOn w:val="DefaultParagraphFont"/>
    <w:uiPriority w:val="99"/>
    <w:unhideWhenUsed/>
    <w:rsid w:val="00CC0AE7"/>
    <w:rPr>
      <w:color w:val="0563C1" w:themeColor="hyperlink"/>
      <w:u w:val="single"/>
    </w:rPr>
  </w:style>
  <w:style w:type="table" w:styleId="TableGrid">
    <w:name w:val="Table Grid"/>
    <w:basedOn w:val="TableNormal"/>
    <w:uiPriority w:val="39"/>
    <w:rsid w:val="00944D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s://pmc.ncbi.nlm.nih.gov/articles/PMC3096582/" TargetMode="External"/><Relationship Id="rId18" Type="http://schemas.openxmlformats.org/officeDocument/2006/relationships/hyperlink" Target="https://www.researchgate.net/publication/16334721_Stages_and_Processes_of_Self-Change_of_Smoking_-_Toward_An_Integrative_Model_of_Change?utm_source=copilot.com" TargetMode="External"/><Relationship Id="rId26" Type="http://schemas.openxmlformats.org/officeDocument/2006/relationships/image" Target="media/image2.JPG"/><Relationship Id="rId3" Type="http://schemas.openxmlformats.org/officeDocument/2006/relationships/settings" Target="settings.xml"/><Relationship Id="rId21" Type="http://schemas.openxmlformats.org/officeDocument/2006/relationships/hyperlink" Target="https://www.healthknowledge.org.uk/public-health-textbook/disease-causation-diagnostic/2h-principles-health-promotion/partnerships?utm_source=copilot.com" TargetMode="External"/><Relationship Id="rId7" Type="http://schemas.openxmlformats.org/officeDocument/2006/relationships/chart" Target="charts/chart2.xml"/><Relationship Id="rId12" Type="http://schemas.openxmlformats.org/officeDocument/2006/relationships/hyperlink" Target="https://pmc.ncbi.nlm.nih.gov/articles/PMC5750968/" TargetMode="External"/><Relationship Id="rId17" Type="http://schemas.openxmlformats.org/officeDocument/2006/relationships/hyperlink" Target="https://pmc.ncbi.nlm.nih.gov/articles/PMC12662139/?utm_source=copilot.com" TargetMode="External"/><Relationship Id="rId25" Type="http://schemas.openxmlformats.org/officeDocument/2006/relationships/hyperlink" Target="https://apps.who.int/gb/ebwha/pdf_files/WHA75/A75_R19-en.pdf" TargetMode="External"/><Relationship Id="rId2" Type="http://schemas.openxmlformats.org/officeDocument/2006/relationships/styles" Target="styles.xml"/><Relationship Id="rId16" Type="http://schemas.openxmlformats.org/officeDocument/2006/relationships/hyperlink" Target="https://www.gov.uk/government/statistics/national-diet-and-nutrition-survey-2019-to-2023/national-diet-and-nutrition-survey-2019-to-2023-report" TargetMode="External"/><Relationship Id="rId20" Type="http://schemas.openxmlformats.org/officeDocument/2006/relationships/hyperlink" Target="https://assets.publishing.service.gov.uk/media/5a7f7cc3ed915d74e622ac2a/SACN_Carbohydrates_and_Health.pdf?utm_source=copilot.com" TargetMode="External"/><Relationship Id="rId29"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pmc.ncbi.nlm.nih.gov/articles/PMC8538724/" TargetMode="External"/><Relationship Id="rId24" Type="http://schemas.openxmlformats.org/officeDocument/2006/relationships/hyperlink" Target="https://www.who.int/publications/i/item/WHO-NMH-PND-17.5?utm_source=copilot.com" TargetMode="External"/><Relationship Id="rId5" Type="http://schemas.openxmlformats.org/officeDocument/2006/relationships/image" Target="media/image1.tmp"/><Relationship Id="rId15" Type="http://schemas.openxmlformats.org/officeDocument/2006/relationships/hyperlink" Target="https://www.gov.uk/guidance/evaluation-in-health-and-wellbeing-methods" TargetMode="External"/><Relationship Id="rId23" Type="http://schemas.openxmlformats.org/officeDocument/2006/relationships/hyperlink" Target="https://www.who.int/publications/i/item/9789289013598" TargetMode="External"/><Relationship Id="rId28" Type="http://schemas.openxmlformats.org/officeDocument/2006/relationships/image" Target="media/image4.JPG"/><Relationship Id="rId10" Type="http://schemas.openxmlformats.org/officeDocument/2006/relationships/chart" Target="charts/chart5.xml"/><Relationship Id="rId19" Type="http://schemas.openxmlformats.org/officeDocument/2006/relationships/hyperlink" Target="https://research-ebsco-com.uwtsd.idm.oclc.org/c/onvpsy/viewer/pdf/ohmn6w2kh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hyperlink" Target="https://www.nhs.uk/live-well/eat-well/digestive-health/how-to-get-more-fibre-into-your-diet?utm_source=copilot.com" TargetMode="External"/><Relationship Id="rId22" Type="http://schemas.openxmlformats.org/officeDocument/2006/relationships/hyperlink" Target="https://www.wcrf.org/living-well/health-guides-cookbooks/the-facts-about-fibre?utm_source=copilot.com" TargetMode="External"/><Relationship Id="rId27" Type="http://schemas.openxmlformats.org/officeDocument/2006/relationships/image" Target="media/image3.jpe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7709370630bd81d3/DIETARY%20ANALYSIS/Everything%20for%20Assessment%202/data%20gathered%20off%20the%20fibre%20stal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7709370630bd81d3/DIETARY%20ANALYSIS/Everything%20for%20Assessment%202/data%20gathered%20off%20the%20fibre%20stal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7709370630bd81d3/DIETARY%20ANALYSIS/Everything%20for%20Assessment%202/data%20gathered%20off%20the%20fibre%20stal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7709370630bd81d3/DIETARY%20ANALYSIS/Everything%20for%20Assessment%202/data%20gathered%20off%20the%20fibre%20stal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7709370630bd81d3/DIETARY%20ANALYSIS/Everything%20for%20Assessment%202/data%20gathered%20off%20the%20fibre%20stall.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t>Percentage of Correct Responses by Question</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Sheet1!$C$1</c:f>
              <c:strCache>
                <c:ptCount val="1"/>
                <c:pt idx="0">
                  <c:v>n Correct</c:v>
                </c:pt>
              </c:strCache>
            </c:strRef>
          </c:tx>
          <c:spPr>
            <a:solidFill>
              <a:schemeClr val="accent1"/>
            </a:solidFill>
            <a:ln>
              <a:noFill/>
            </a:ln>
            <a:effectLst/>
          </c:spPr>
          <c:invertIfNegative val="0"/>
          <c:cat>
            <c:strRef>
              <c:f>Sheet1!$A$2:$A$6</c:f>
              <c:strCache>
                <c:ptCount val="5"/>
                <c:pt idx="0">
                  <c:v>How much fibre is an adult recommended to have a day?</c:v>
                </c:pt>
                <c:pt idx="1">
                  <c:v>What foods are high in fibre?</c:v>
                </c:pt>
                <c:pt idx="2">
                  <c:v>What happens if you increase fibre but not water?</c:v>
                </c:pt>
                <c:pt idx="3">
                  <c:v>What colour should urine be if well hydrated?</c:v>
                </c:pt>
                <c:pt idx="4">
                  <c:v>Which option best represents healthy stool?</c:v>
                </c:pt>
              </c:strCache>
              <c:extLst/>
            </c:strRef>
          </c:cat>
          <c:val>
            <c:numRef>
              <c:f>Sheet1!$C$2:$C$6</c:f>
              <c:numCache>
                <c:formatCode>General</c:formatCode>
                <c:ptCount val="5"/>
                <c:pt idx="0">
                  <c:v>41</c:v>
                </c:pt>
                <c:pt idx="1">
                  <c:v>66</c:v>
                </c:pt>
                <c:pt idx="2">
                  <c:v>40</c:v>
                </c:pt>
                <c:pt idx="3">
                  <c:v>39</c:v>
                </c:pt>
                <c:pt idx="4">
                  <c:v>27</c:v>
                </c:pt>
              </c:numCache>
            </c:numRef>
          </c:val>
          <c:extLst>
            <c:ext xmlns:c16="http://schemas.microsoft.com/office/drawing/2014/chart" uri="{C3380CC4-5D6E-409C-BE32-E72D297353CC}">
              <c16:uniqueId val="{00000000-0228-4DFE-83B2-04382E7524D0}"/>
            </c:ext>
          </c:extLst>
        </c:ser>
        <c:ser>
          <c:idx val="1"/>
          <c:order val="1"/>
          <c:tx>
            <c:strRef>
              <c:f>Sheet1!$D$1</c:f>
              <c:strCache>
                <c:ptCount val="1"/>
                <c:pt idx="0">
                  <c:v>n Incorrect</c:v>
                </c:pt>
              </c:strCache>
            </c:strRef>
          </c:tx>
          <c:spPr>
            <a:solidFill>
              <a:schemeClr val="accent2"/>
            </a:solidFill>
            <a:ln>
              <a:noFill/>
            </a:ln>
            <a:effectLst/>
          </c:spPr>
          <c:invertIfNegative val="0"/>
          <c:cat>
            <c:strRef>
              <c:f>Sheet1!$A$2:$A$6</c:f>
              <c:strCache>
                <c:ptCount val="5"/>
                <c:pt idx="0">
                  <c:v>How much fibre is an adult recommended to have a day?</c:v>
                </c:pt>
                <c:pt idx="1">
                  <c:v>What foods are high in fibre?</c:v>
                </c:pt>
                <c:pt idx="2">
                  <c:v>What happens if you increase fibre but not water?</c:v>
                </c:pt>
                <c:pt idx="3">
                  <c:v>What colour should urine be if well hydrated?</c:v>
                </c:pt>
                <c:pt idx="4">
                  <c:v>Which option best represents healthy stool?</c:v>
                </c:pt>
              </c:strCache>
              <c:extLst/>
            </c:strRef>
          </c:cat>
          <c:val>
            <c:numRef>
              <c:f>Sheet1!$D$2:$D$6</c:f>
              <c:numCache>
                <c:formatCode>General</c:formatCode>
                <c:ptCount val="5"/>
                <c:pt idx="0">
                  <c:v>6</c:v>
                </c:pt>
                <c:pt idx="1">
                  <c:v>11</c:v>
                </c:pt>
                <c:pt idx="2">
                  <c:v>7</c:v>
                </c:pt>
                <c:pt idx="3">
                  <c:v>8</c:v>
                </c:pt>
                <c:pt idx="4">
                  <c:v>20</c:v>
                </c:pt>
              </c:numCache>
            </c:numRef>
          </c:val>
          <c:extLst>
            <c:ext xmlns:c16="http://schemas.microsoft.com/office/drawing/2014/chart" uri="{C3380CC4-5D6E-409C-BE32-E72D297353CC}">
              <c16:uniqueId val="{00000001-0228-4DFE-83B2-04382E7524D0}"/>
            </c:ext>
          </c:extLst>
        </c:ser>
        <c:ser>
          <c:idx val="2"/>
          <c:order val="2"/>
          <c:tx>
            <c:strRef>
              <c:f>Sheet1!$E$1</c:f>
              <c:strCache>
                <c:ptCount val="1"/>
                <c:pt idx="0">
                  <c:v>Total</c:v>
                </c:pt>
              </c:strCache>
            </c:strRef>
          </c:tx>
          <c:spPr>
            <a:solidFill>
              <a:schemeClr val="accent3"/>
            </a:solidFill>
            <a:ln>
              <a:noFill/>
            </a:ln>
            <a:effectLst/>
          </c:spPr>
          <c:invertIfNegative val="0"/>
          <c:cat>
            <c:strRef>
              <c:f>Sheet1!$A$2:$A$6</c:f>
              <c:strCache>
                <c:ptCount val="5"/>
                <c:pt idx="0">
                  <c:v>How much fibre is an adult recommended to have a day?</c:v>
                </c:pt>
                <c:pt idx="1">
                  <c:v>What foods are high in fibre?</c:v>
                </c:pt>
                <c:pt idx="2">
                  <c:v>What happens if you increase fibre but not water?</c:v>
                </c:pt>
                <c:pt idx="3">
                  <c:v>What colour should urine be if well hydrated?</c:v>
                </c:pt>
                <c:pt idx="4">
                  <c:v>Which option best represents healthy stool?</c:v>
                </c:pt>
              </c:strCache>
              <c:extLst/>
            </c:strRef>
          </c:cat>
          <c:val>
            <c:numRef>
              <c:f>Sheet1!$E$2:$E$6</c:f>
              <c:numCache>
                <c:formatCode>General</c:formatCode>
                <c:ptCount val="5"/>
                <c:pt idx="0">
                  <c:v>47</c:v>
                </c:pt>
                <c:pt idx="1">
                  <c:v>77</c:v>
                </c:pt>
                <c:pt idx="2">
                  <c:v>47</c:v>
                </c:pt>
                <c:pt idx="3">
                  <c:v>47</c:v>
                </c:pt>
                <c:pt idx="4">
                  <c:v>47</c:v>
                </c:pt>
              </c:numCache>
            </c:numRef>
          </c:val>
          <c:extLst>
            <c:ext xmlns:c16="http://schemas.microsoft.com/office/drawing/2014/chart" uri="{C3380CC4-5D6E-409C-BE32-E72D297353CC}">
              <c16:uniqueId val="{00000002-0228-4DFE-83B2-04382E7524D0}"/>
            </c:ext>
          </c:extLst>
        </c:ser>
        <c:ser>
          <c:idx val="3"/>
          <c:order val="3"/>
          <c:tx>
            <c:strRef>
              <c:f>Sheet1!$F$1</c:f>
              <c:strCache>
                <c:ptCount val="1"/>
                <c:pt idx="0">
                  <c:v>Percentage Correct</c:v>
                </c:pt>
              </c:strCache>
            </c:strRef>
          </c:tx>
          <c:spPr>
            <a:solidFill>
              <a:schemeClr val="accent4"/>
            </a:solidFill>
            <a:ln>
              <a:noFill/>
            </a:ln>
            <a:effectLst/>
          </c:spPr>
          <c:invertIfNegative val="0"/>
          <c:cat>
            <c:strRef>
              <c:f>Sheet1!$A$2:$A$6</c:f>
              <c:strCache>
                <c:ptCount val="5"/>
                <c:pt idx="0">
                  <c:v>How much fibre is an adult recommended to have a day?</c:v>
                </c:pt>
                <c:pt idx="1">
                  <c:v>What foods are high in fibre?</c:v>
                </c:pt>
                <c:pt idx="2">
                  <c:v>What happens if you increase fibre but not water?</c:v>
                </c:pt>
                <c:pt idx="3">
                  <c:v>What colour should urine be if well hydrated?</c:v>
                </c:pt>
                <c:pt idx="4">
                  <c:v>Which option best represents healthy stool?</c:v>
                </c:pt>
              </c:strCache>
              <c:extLst/>
            </c:strRef>
          </c:cat>
          <c:val>
            <c:numRef>
              <c:f>Sheet1!$F$2:$F$6</c:f>
              <c:numCache>
                <c:formatCode>0%</c:formatCode>
                <c:ptCount val="5"/>
                <c:pt idx="0">
                  <c:v>0.87234042553191493</c:v>
                </c:pt>
                <c:pt idx="1">
                  <c:v>0.8571428571428571</c:v>
                </c:pt>
                <c:pt idx="2">
                  <c:v>0.85106382978723405</c:v>
                </c:pt>
                <c:pt idx="3">
                  <c:v>0.82978723404255317</c:v>
                </c:pt>
                <c:pt idx="4">
                  <c:v>0.57446808510638303</c:v>
                </c:pt>
              </c:numCache>
            </c:numRef>
          </c:val>
          <c:extLst>
            <c:ext xmlns:c16="http://schemas.microsoft.com/office/drawing/2014/chart" uri="{C3380CC4-5D6E-409C-BE32-E72D297353CC}">
              <c16:uniqueId val="{00000003-0228-4DFE-83B2-04382E7524D0}"/>
            </c:ext>
          </c:extLst>
        </c:ser>
        <c:dLbls>
          <c:showLegendKey val="0"/>
          <c:showVal val="0"/>
          <c:showCatName val="0"/>
          <c:showSerName val="0"/>
          <c:showPercent val="0"/>
          <c:showBubbleSize val="0"/>
        </c:dLbls>
        <c:gapWidth val="182"/>
        <c:axId val="1011079759"/>
        <c:axId val="1011076879"/>
      </c:barChart>
      <c:catAx>
        <c:axId val="10110797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1076879"/>
        <c:crosses val="autoZero"/>
        <c:auto val="1"/>
        <c:lblAlgn val="ctr"/>
        <c:lblOffset val="100"/>
        <c:noMultiLvlLbl val="0"/>
      </c:catAx>
      <c:valAx>
        <c:axId val="10110768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1079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t>Knowledge of Recommended Daily Fibre Intake</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tx>
            <c:strRef>
              <c:f>Sheet1!$H$1</c:f>
              <c:strCache>
                <c:ptCount val="1"/>
                <c:pt idx="0">
                  <c:v>Count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882-45A2-B63C-408FBB530E7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882-45A2-B63C-408FBB530E7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882-45A2-B63C-408FBB530E7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882-45A2-B63C-408FBB530E7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882-45A2-B63C-408FBB530E7E}"/>
              </c:ext>
            </c:extLst>
          </c:dPt>
          <c:cat>
            <c:strRef>
              <c:f>Sheet1!$G$2:$G$6</c:f>
              <c:strCache>
                <c:ptCount val="5"/>
                <c:pt idx="0">
                  <c:v>10 g</c:v>
                </c:pt>
                <c:pt idx="1">
                  <c:v>20 g</c:v>
                </c:pt>
                <c:pt idx="2">
                  <c:v>30 g</c:v>
                </c:pt>
                <c:pt idx="3">
                  <c:v>40 g</c:v>
                </c:pt>
                <c:pt idx="4">
                  <c:v>50 g</c:v>
                </c:pt>
              </c:strCache>
            </c:strRef>
          </c:cat>
          <c:val>
            <c:numRef>
              <c:f>Sheet1!$H$2:$H$6</c:f>
              <c:numCache>
                <c:formatCode>General</c:formatCode>
                <c:ptCount val="5"/>
                <c:pt idx="0">
                  <c:v>3</c:v>
                </c:pt>
                <c:pt idx="1">
                  <c:v>2</c:v>
                </c:pt>
                <c:pt idx="2">
                  <c:v>41</c:v>
                </c:pt>
                <c:pt idx="3">
                  <c:v>1</c:v>
                </c:pt>
                <c:pt idx="4">
                  <c:v>0</c:v>
                </c:pt>
              </c:numCache>
            </c:numRef>
          </c:val>
          <c:extLst>
            <c:ext xmlns:c16="http://schemas.microsoft.com/office/drawing/2014/chart" uri="{C3380CC4-5D6E-409C-BE32-E72D297353CC}">
              <c16:uniqueId val="{0000000A-4882-45A2-B63C-408FBB530E7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t>Understanding of Fibre and Hydration</a:t>
            </a:r>
            <a:endParaRPr lang="en-GB" b="1"/>
          </a:p>
        </c:rich>
      </c:tx>
      <c:layout>
        <c:manualLayout>
          <c:xMode val="edge"/>
          <c:yMode val="edge"/>
          <c:x val="0.1942290026246719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tx>
            <c:strRef>
              <c:f>Sheet1!$J$1</c:f>
              <c:strCache>
                <c:ptCount val="1"/>
                <c:pt idx="0">
                  <c:v>Count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4E-4285-868E-8AFDCE0721D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4E-4285-868E-8AFDCE0721D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44E-4285-868E-8AFDCE0721D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44E-4285-868E-8AFDCE0721DE}"/>
              </c:ext>
            </c:extLst>
          </c:dPt>
          <c:cat>
            <c:strRef>
              <c:f>Sheet1!$I$2:$I$5</c:f>
              <c:strCache>
                <c:ptCount val="4"/>
                <c:pt idx="0">
                  <c:v>You may become constipated</c:v>
                </c:pt>
                <c:pt idx="1">
                  <c:v>You become more hydrated</c:v>
                </c:pt>
                <c:pt idx="2">
                  <c:v>Nothing changes</c:v>
                </c:pt>
                <c:pt idx="3">
                  <c:v>Not sure</c:v>
                </c:pt>
              </c:strCache>
            </c:strRef>
          </c:cat>
          <c:val>
            <c:numRef>
              <c:f>Sheet1!$J$2:$J$5</c:f>
              <c:numCache>
                <c:formatCode>General</c:formatCode>
                <c:ptCount val="4"/>
                <c:pt idx="0">
                  <c:v>40</c:v>
                </c:pt>
                <c:pt idx="1">
                  <c:v>5</c:v>
                </c:pt>
                <c:pt idx="2">
                  <c:v>0</c:v>
                </c:pt>
                <c:pt idx="3">
                  <c:v>2</c:v>
                </c:pt>
              </c:numCache>
            </c:numRef>
          </c:val>
          <c:extLst>
            <c:ext xmlns:c16="http://schemas.microsoft.com/office/drawing/2014/chart" uri="{C3380CC4-5D6E-409C-BE32-E72D297353CC}">
              <c16:uniqueId val="{00000008-F44E-4285-868E-8AFDCE0721D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t>Knowledge of Hydration (Urine Colour)</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tx>
            <c:strRef>
              <c:f>Sheet1!$L$1</c:f>
              <c:strCache>
                <c:ptCount val="1"/>
                <c:pt idx="0">
                  <c:v>Count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D2-4369-8B2B-DD5606F03BD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D2-4369-8B2B-DD5606F03BD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FD2-4369-8B2B-DD5606F03BD4}"/>
              </c:ext>
            </c:extLst>
          </c:dPt>
          <c:cat>
            <c:strRef>
              <c:f>Sheet1!$K$2:$K$4</c:f>
              <c:strCache>
                <c:ptCount val="3"/>
                <c:pt idx="0">
                  <c:v>Dark yellow</c:v>
                </c:pt>
                <c:pt idx="1">
                  <c:v>Pale yellow</c:v>
                </c:pt>
                <c:pt idx="2">
                  <c:v>Clear</c:v>
                </c:pt>
              </c:strCache>
            </c:strRef>
          </c:cat>
          <c:val>
            <c:numRef>
              <c:f>Sheet1!$L$2:$L$4</c:f>
              <c:numCache>
                <c:formatCode>General</c:formatCode>
                <c:ptCount val="3"/>
                <c:pt idx="0">
                  <c:v>1</c:v>
                </c:pt>
                <c:pt idx="1">
                  <c:v>39</c:v>
                </c:pt>
                <c:pt idx="2">
                  <c:v>7</c:v>
                </c:pt>
              </c:numCache>
            </c:numRef>
          </c:val>
          <c:extLst>
            <c:ext xmlns:c16="http://schemas.microsoft.com/office/drawing/2014/chart" uri="{C3380CC4-5D6E-409C-BE32-E72D297353CC}">
              <c16:uniqueId val="{00000006-0FD2-4369-8B2B-DD5606F03BD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b="1"/>
              <a:t>Identification of Healthy Stool Type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0.20924999999999996"/>
          <c:y val="3.2407407407407406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Sheet1!$N$1</c:f>
              <c:strCache>
                <c:ptCount val="1"/>
                <c:pt idx="0">
                  <c:v>Count</c:v>
                </c:pt>
              </c:strCache>
            </c:strRef>
          </c:tx>
          <c:spPr>
            <a:solidFill>
              <a:schemeClr val="accent1"/>
            </a:solidFill>
            <a:ln>
              <a:noFill/>
            </a:ln>
            <a:effectLst/>
          </c:spPr>
          <c:invertIfNegative val="0"/>
          <c:cat>
            <c:strRef>
              <c:f>Sheet1!$M$2:$M$8</c:f>
              <c:strCache>
                <c:ptCount val="7"/>
                <c:pt idx="0">
                  <c:v>Type 1</c:v>
                </c:pt>
                <c:pt idx="1">
                  <c:v>Type 2</c:v>
                </c:pt>
                <c:pt idx="2">
                  <c:v>Type 3</c:v>
                </c:pt>
                <c:pt idx="3">
                  <c:v>Type 4</c:v>
                </c:pt>
                <c:pt idx="4">
                  <c:v>Type 5</c:v>
                </c:pt>
                <c:pt idx="5">
                  <c:v>Type 6</c:v>
                </c:pt>
                <c:pt idx="6">
                  <c:v>Type 7</c:v>
                </c:pt>
              </c:strCache>
            </c:strRef>
          </c:cat>
          <c:val>
            <c:numRef>
              <c:f>Sheet1!$N$2:$N$8</c:f>
              <c:numCache>
                <c:formatCode>General</c:formatCode>
                <c:ptCount val="7"/>
                <c:pt idx="0">
                  <c:v>0</c:v>
                </c:pt>
                <c:pt idx="1">
                  <c:v>0</c:v>
                </c:pt>
                <c:pt idx="2">
                  <c:v>17</c:v>
                </c:pt>
                <c:pt idx="3">
                  <c:v>27</c:v>
                </c:pt>
                <c:pt idx="4">
                  <c:v>2</c:v>
                </c:pt>
                <c:pt idx="5">
                  <c:v>1</c:v>
                </c:pt>
                <c:pt idx="6">
                  <c:v>0</c:v>
                </c:pt>
              </c:numCache>
            </c:numRef>
          </c:val>
          <c:extLst>
            <c:ext xmlns:c16="http://schemas.microsoft.com/office/drawing/2014/chart" uri="{C3380CC4-5D6E-409C-BE32-E72D297353CC}">
              <c16:uniqueId val="{00000000-055F-409F-A734-24267EC91B2D}"/>
            </c:ext>
          </c:extLst>
        </c:ser>
        <c:dLbls>
          <c:showLegendKey val="0"/>
          <c:showVal val="0"/>
          <c:showCatName val="0"/>
          <c:showSerName val="0"/>
          <c:showPercent val="0"/>
          <c:showBubbleSize val="0"/>
        </c:dLbls>
        <c:gapWidth val="219"/>
        <c:overlap val="-27"/>
        <c:axId val="1457611295"/>
        <c:axId val="1457618495"/>
      </c:barChart>
      <c:catAx>
        <c:axId val="1457611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618495"/>
        <c:crosses val="autoZero"/>
        <c:auto val="1"/>
        <c:lblAlgn val="ctr"/>
        <c:lblOffset val="100"/>
        <c:noMultiLvlLbl val="0"/>
      </c:catAx>
      <c:valAx>
        <c:axId val="145761849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6112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0CAB6-1198-44BE-B57B-B45396269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3843</Words>
  <Characters>21910</Characters>
  <Application>Microsoft Office Word</Application>
  <DocSecurity>0</DocSecurity>
  <Lines>182</Lines>
  <Paragraphs>51</Paragraphs>
  <ScaleCrop>false</ScaleCrop>
  <Company/>
  <LinksUpToDate>false</LinksUpToDate>
  <CharactersWithSpaces>25702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Davies</dc:creator>
  <cp:keywords/>
  <dc:description/>
  <cp:lastModifiedBy>Lindsay Davies</cp:lastModifiedBy>
  <cp:revision>3</cp:revision>
  <dcterms:created xsi:type="dcterms:W3CDTF">2026-04-21T13:07:00Z</dcterms:created>
  <dcterms:modified xsi:type="dcterms:W3CDTF">2026-04-21T13:07:00Z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32384f14-53d8-4c16-bff1-1cf68b5df45c</vt:lpwstr>
  </property>
</Properties>
</file>