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027"/>
        <w:gridCol w:w="1228"/>
        <w:gridCol w:w="2375"/>
      </w:tblGrid>
      <w:tr w:rsidR="00590E9A" w:rsidRPr="002F467C" w14:paraId="07A37C1C" w14:textId="77777777" w:rsidTr="00E655F1">
        <w:trPr>
          <w:trHeight w:val="3972"/>
        </w:trPr>
        <w:tc>
          <w:tcPr>
            <w:tcW w:w="8630" w:type="dxa"/>
            <w:gridSpan w:val="3"/>
          </w:tcPr>
          <w:p w14:paraId="4C21232B" w14:textId="77777777" w:rsidR="00E655F1" w:rsidRDefault="00E655F1" w:rsidP="00E655F1">
            <w:pPr>
              <w:autoSpaceDE w:val="0"/>
              <w:autoSpaceDN w:val="0"/>
              <w:adjustRightInd w:val="0"/>
              <w:rPr>
                <w:rFonts w:ascii="Helvetica Neue" w:hAnsi="Helvetica Neue" w:cs="Helvetica Neue"/>
                <w:sz w:val="26"/>
                <w:szCs w:val="26"/>
                <w:lang w:val="en-US" w:eastAsia="en-US"/>
              </w:rPr>
            </w:pPr>
            <w:r>
              <w:rPr>
                <w:rFonts w:ascii="Helvetica Neue" w:hAnsi="Helvetica Neue" w:cs="Helvetica Neue"/>
                <w:noProof/>
                <w:sz w:val="26"/>
                <w:szCs w:val="26"/>
                <w:lang w:val="en-US" w:eastAsia="en-US"/>
              </w:rPr>
              <w:drawing>
                <wp:inline distT="0" distB="0" distL="0" distR="0" wp14:anchorId="7942D469" wp14:editId="13DBB03E">
                  <wp:extent cx="5486400" cy="64750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6475095"/>
                          </a:xfrm>
                          <a:prstGeom prst="rect">
                            <a:avLst/>
                          </a:prstGeom>
                          <a:noFill/>
                          <a:ln>
                            <a:noFill/>
                          </a:ln>
                        </pic:spPr>
                      </pic:pic>
                    </a:graphicData>
                  </a:graphic>
                </wp:inline>
              </w:drawing>
            </w:r>
          </w:p>
          <w:p w14:paraId="2E4F0203" w14:textId="77777777" w:rsidR="00E655F1" w:rsidRDefault="00E655F1" w:rsidP="002F467C">
            <w:pPr>
              <w:pStyle w:val="NormalWeb"/>
              <w:spacing w:before="0" w:beforeAutospacing="0" w:after="0" w:afterAutospacing="0"/>
              <w:rPr>
                <w:rFonts w:ascii="Calibri" w:hAnsi="Calibri" w:cs="Tahoma"/>
                <w:b/>
                <w:i/>
                <w:sz w:val="24"/>
                <w:szCs w:val="24"/>
              </w:rPr>
            </w:pPr>
          </w:p>
          <w:p w14:paraId="280CFB51" w14:textId="77777777" w:rsidR="00E655F1" w:rsidRDefault="00E655F1" w:rsidP="002F467C">
            <w:pPr>
              <w:pStyle w:val="NormalWeb"/>
              <w:spacing w:before="0" w:beforeAutospacing="0" w:after="0" w:afterAutospacing="0"/>
              <w:rPr>
                <w:rFonts w:ascii="Calibri" w:hAnsi="Calibri" w:cs="Tahoma"/>
                <w:b/>
                <w:i/>
                <w:sz w:val="24"/>
                <w:szCs w:val="24"/>
              </w:rPr>
            </w:pPr>
            <w:r>
              <w:rPr>
                <w:rFonts w:ascii="Calibri" w:hAnsi="Calibri" w:cs="Tahoma"/>
                <w:b/>
                <w:i/>
                <w:sz w:val="24"/>
                <w:szCs w:val="24"/>
              </w:rPr>
              <w:t>_____________________________________________________________________</w:t>
            </w:r>
          </w:p>
          <w:p w14:paraId="15121E2E" w14:textId="77777777" w:rsidR="00590E9A" w:rsidRPr="002F467C" w:rsidRDefault="00590E9A" w:rsidP="002F467C">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For complet</w:t>
            </w:r>
            <w:r w:rsidR="00191A3E">
              <w:rPr>
                <w:rFonts w:ascii="Calibri" w:hAnsi="Calibri" w:cs="Tahoma"/>
                <w:b/>
                <w:i/>
                <w:sz w:val="24"/>
                <w:szCs w:val="24"/>
              </w:rPr>
              <w:t>io</w:t>
            </w:r>
            <w:r w:rsidRPr="002F467C">
              <w:rPr>
                <w:rFonts w:ascii="Calibri" w:hAnsi="Calibri" w:cs="Tahoma"/>
                <w:b/>
                <w:i/>
                <w:sz w:val="24"/>
                <w:szCs w:val="24"/>
              </w:rPr>
              <w:t xml:space="preserve">n by </w:t>
            </w:r>
            <w:r w:rsidR="00C87244">
              <w:rPr>
                <w:rFonts w:ascii="Calibri" w:hAnsi="Calibri" w:cs="Tahoma"/>
                <w:b/>
                <w:i/>
                <w:sz w:val="24"/>
                <w:szCs w:val="24"/>
              </w:rPr>
              <w:t>the first marker</w:t>
            </w:r>
            <w:r w:rsidRPr="002F467C">
              <w:rPr>
                <w:rFonts w:ascii="Calibri" w:hAnsi="Calibri" w:cs="Tahoma"/>
                <w:i/>
                <w:sz w:val="24"/>
                <w:szCs w:val="24"/>
              </w:rPr>
              <w:t>:</w:t>
            </w:r>
          </w:p>
          <w:p w14:paraId="731C96AF" w14:textId="77777777" w:rsidR="00C129C7" w:rsidRDefault="00590E9A" w:rsidP="00043549">
            <w:pPr>
              <w:pStyle w:val="NormalWeb"/>
              <w:rPr>
                <w:rFonts w:ascii="Calibri" w:hAnsi="Calibri" w:cs="Tahoma"/>
                <w:i/>
                <w:sz w:val="24"/>
                <w:szCs w:val="24"/>
              </w:rPr>
            </w:pPr>
            <w:r w:rsidRPr="002F467C">
              <w:rPr>
                <w:rFonts w:ascii="Calibri" w:hAnsi="Calibri" w:cs="Tahoma"/>
                <w:i/>
                <w:sz w:val="24"/>
                <w:szCs w:val="24"/>
              </w:rPr>
              <w:t>Comments:</w:t>
            </w:r>
          </w:p>
          <w:p w14:paraId="161817C0" w14:textId="77777777" w:rsidR="00A54123" w:rsidRPr="00A54123" w:rsidRDefault="00A54123" w:rsidP="00A54123">
            <w:pPr>
              <w:shd w:val="clear" w:color="auto" w:fill="FFFFFF"/>
              <w:rPr>
                <w:rFonts w:ascii="Arial" w:eastAsia="Times New Roman" w:hAnsi="Arial" w:cs="Arial"/>
                <w:color w:val="222222"/>
                <w:lang w:eastAsia="en-GB"/>
              </w:rPr>
            </w:pPr>
            <w:r w:rsidRPr="00A54123">
              <w:rPr>
                <w:rFonts w:ascii="Arial" w:eastAsia="Times New Roman" w:hAnsi="Arial" w:cs="Arial"/>
                <w:color w:val="222222"/>
                <w:lang w:eastAsia="en-GB"/>
              </w:rPr>
              <w:t>This is an extremely well written and clearly structured dissertation, which explores a familiar topic, namely, whether Jung’s psychological theory can be classified as Gnostic, through an examination of the primary sources (</w:t>
            </w:r>
            <w:proofErr w:type="spellStart"/>
            <w:r w:rsidRPr="00A54123">
              <w:rPr>
                <w:rFonts w:ascii="Arial" w:eastAsia="Times New Roman" w:hAnsi="Arial" w:cs="Arial"/>
                <w:color w:val="222222"/>
                <w:lang w:eastAsia="en-GB"/>
              </w:rPr>
              <w:t>i.e</w:t>
            </w:r>
            <w:proofErr w:type="spellEnd"/>
            <w:r w:rsidRPr="00A54123">
              <w:rPr>
                <w:rFonts w:ascii="Arial" w:eastAsia="Times New Roman" w:hAnsi="Arial" w:cs="Arial"/>
                <w:color w:val="222222"/>
                <w:lang w:eastAsia="en-GB"/>
              </w:rPr>
              <w:t>, the Gnostic gospels, and Jungs own writings</w:t>
            </w:r>
            <w:proofErr w:type="gramStart"/>
            <w:r w:rsidRPr="00A54123">
              <w:rPr>
                <w:rFonts w:ascii="Arial" w:eastAsia="Times New Roman" w:hAnsi="Arial" w:cs="Arial"/>
                <w:color w:val="222222"/>
                <w:lang w:eastAsia="en-GB"/>
              </w:rPr>
              <w:t>),and</w:t>
            </w:r>
            <w:proofErr w:type="gramEnd"/>
            <w:r w:rsidRPr="00A54123">
              <w:rPr>
                <w:rFonts w:ascii="Arial" w:eastAsia="Times New Roman" w:hAnsi="Arial" w:cs="Arial"/>
                <w:color w:val="222222"/>
                <w:lang w:eastAsia="en-GB"/>
              </w:rPr>
              <w:t xml:space="preserve"> though a wide selection of secondary sources. The dissertation, examines and critiques of the secondary sources on Jung (such as Liz Greene) and on the Gnostics (such as Hans Jonas), evaluating their conclusions in relation to the secondary sources. The </w:t>
            </w:r>
            <w:r w:rsidRPr="00A54123">
              <w:rPr>
                <w:rFonts w:ascii="Arial" w:eastAsia="Times New Roman" w:hAnsi="Arial" w:cs="Arial"/>
                <w:color w:val="222222"/>
                <w:lang w:eastAsia="en-GB"/>
              </w:rPr>
              <w:lastRenderedPageBreak/>
              <w:t xml:space="preserve">issues explored are quite nuanced and include such questions, as whether </w:t>
            </w:r>
            <w:proofErr w:type="gramStart"/>
            <w:r w:rsidRPr="00A54123">
              <w:rPr>
                <w:rFonts w:ascii="Arial" w:eastAsia="Times New Roman" w:hAnsi="Arial" w:cs="Arial"/>
                <w:color w:val="222222"/>
                <w:lang w:eastAsia="en-GB"/>
              </w:rPr>
              <w:t>Jung  was</w:t>
            </w:r>
            <w:proofErr w:type="gramEnd"/>
            <w:r w:rsidRPr="00A54123">
              <w:rPr>
                <w:rFonts w:ascii="Arial" w:eastAsia="Times New Roman" w:hAnsi="Arial" w:cs="Arial"/>
                <w:color w:val="222222"/>
                <w:lang w:eastAsia="en-GB"/>
              </w:rPr>
              <w:t xml:space="preserve"> correct in framing the Gnostics, as psychologists, or at least as ancestors of his own psychological theory. The debate and conclusions could therefore have gone in either direction, concluding that Jung was not justified in seeing an origin for his homework in the Gnostics, as much as that he was justified. The dissertation considers these issues in considerable detail, discussing primary and secondary sources in relation to each other. For </w:t>
            </w:r>
            <w:proofErr w:type="gramStart"/>
            <w:r w:rsidRPr="00A54123">
              <w:rPr>
                <w:rFonts w:ascii="Arial" w:eastAsia="Times New Roman" w:hAnsi="Arial" w:cs="Arial"/>
                <w:color w:val="222222"/>
                <w:lang w:eastAsia="en-GB"/>
              </w:rPr>
              <w:t>example</w:t>
            </w:r>
            <w:proofErr w:type="gramEnd"/>
            <w:r w:rsidRPr="00A54123">
              <w:rPr>
                <w:rFonts w:ascii="Arial" w:eastAsia="Times New Roman" w:hAnsi="Arial" w:cs="Arial"/>
                <w:color w:val="222222"/>
                <w:lang w:eastAsia="en-GB"/>
              </w:rPr>
              <w:t xml:space="preserve"> on page 46, there is consideration of Jung’s discussion of Origen and Basilides, </w:t>
            </w:r>
            <w:proofErr w:type="spellStart"/>
            <w:r w:rsidRPr="00A54123">
              <w:rPr>
                <w:rFonts w:ascii="Arial" w:eastAsia="Times New Roman" w:hAnsi="Arial" w:cs="Arial"/>
                <w:color w:val="222222"/>
                <w:lang w:eastAsia="en-GB"/>
              </w:rPr>
              <w:t>DeConick’s</w:t>
            </w:r>
            <w:proofErr w:type="spellEnd"/>
            <w:r w:rsidRPr="00A54123">
              <w:rPr>
                <w:rFonts w:ascii="Arial" w:eastAsia="Times New Roman" w:hAnsi="Arial" w:cs="Arial"/>
                <w:color w:val="222222"/>
                <w:lang w:eastAsia="en-GB"/>
              </w:rPr>
              <w:t xml:space="preserve"> secondary commentary on Gnosticism, and Segal’s secondary commentary on Jung. All this makes for a discussion and analysis which is coherent, integrated and considers all points of view. The tone throughout is critical and analytical, weighs up different approaches and reaches a balanced conclusion in line with all the evidence presented. </w:t>
            </w:r>
          </w:p>
          <w:p w14:paraId="3553D86C" w14:textId="77777777" w:rsidR="00A54123" w:rsidRPr="00A54123" w:rsidRDefault="00A54123" w:rsidP="00A54123">
            <w:pPr>
              <w:shd w:val="clear" w:color="auto" w:fill="FFFFFF"/>
              <w:rPr>
                <w:rFonts w:ascii="Arial" w:eastAsia="Times New Roman" w:hAnsi="Arial" w:cs="Arial"/>
                <w:color w:val="222222"/>
                <w:lang w:eastAsia="en-GB"/>
              </w:rPr>
            </w:pPr>
          </w:p>
          <w:p w14:paraId="6CA27F7F" w14:textId="77777777" w:rsidR="00A54123" w:rsidRPr="00A54123" w:rsidRDefault="00A54123" w:rsidP="00A54123">
            <w:pPr>
              <w:shd w:val="clear" w:color="auto" w:fill="FFFFFF"/>
              <w:rPr>
                <w:rFonts w:ascii="Arial" w:eastAsia="Times New Roman" w:hAnsi="Arial" w:cs="Arial"/>
                <w:color w:val="222222"/>
                <w:lang w:eastAsia="en-GB"/>
              </w:rPr>
            </w:pPr>
            <w:r w:rsidRPr="00A54123">
              <w:rPr>
                <w:rFonts w:ascii="Arial" w:eastAsia="Times New Roman" w:hAnsi="Arial" w:cs="Arial"/>
                <w:color w:val="222222"/>
                <w:lang w:eastAsia="en-GB"/>
              </w:rPr>
              <w:t xml:space="preserve">The student clearly understands </w:t>
            </w:r>
            <w:proofErr w:type="gramStart"/>
            <w:r w:rsidRPr="00A54123">
              <w:rPr>
                <w:rFonts w:ascii="Arial" w:eastAsia="Times New Roman" w:hAnsi="Arial" w:cs="Arial"/>
                <w:color w:val="222222"/>
                <w:lang w:eastAsia="en-GB"/>
              </w:rPr>
              <w:t>all of</w:t>
            </w:r>
            <w:proofErr w:type="gramEnd"/>
            <w:r w:rsidRPr="00A54123">
              <w:rPr>
                <w:rFonts w:ascii="Arial" w:eastAsia="Times New Roman" w:hAnsi="Arial" w:cs="Arial"/>
                <w:color w:val="222222"/>
                <w:lang w:eastAsia="en-GB"/>
              </w:rPr>
              <w:t xml:space="preserve"> the issues and has shed new light on the specific question, not just whether Jung’s psychology is all Gnostic, but whether his conception of the Self can be considered gnostic.</w:t>
            </w:r>
          </w:p>
          <w:p w14:paraId="31022A4B" w14:textId="77777777" w:rsidR="00A54123" w:rsidRPr="00A54123" w:rsidRDefault="00A54123" w:rsidP="00A54123">
            <w:pPr>
              <w:shd w:val="clear" w:color="auto" w:fill="FFFFFF"/>
              <w:rPr>
                <w:rFonts w:ascii="Arial" w:eastAsia="Times New Roman" w:hAnsi="Arial" w:cs="Arial"/>
                <w:color w:val="222222"/>
                <w:lang w:eastAsia="en-GB"/>
              </w:rPr>
            </w:pPr>
          </w:p>
          <w:p w14:paraId="3B1D3C2A" w14:textId="759BFC97" w:rsidR="00A54123" w:rsidRPr="00A54123" w:rsidRDefault="00A54123" w:rsidP="00A54123">
            <w:pPr>
              <w:shd w:val="clear" w:color="auto" w:fill="FFFFFF"/>
              <w:rPr>
                <w:rFonts w:ascii="Arial" w:eastAsia="Times New Roman" w:hAnsi="Arial" w:cs="Arial"/>
                <w:color w:val="222222"/>
                <w:lang w:eastAsia="en-GB"/>
              </w:rPr>
            </w:pPr>
            <w:r w:rsidRPr="00A54123">
              <w:rPr>
                <w:rFonts w:ascii="Arial" w:eastAsia="Times New Roman" w:hAnsi="Arial" w:cs="Arial"/>
                <w:color w:val="222222"/>
                <w:lang w:eastAsia="en-GB"/>
              </w:rPr>
              <w:t>One caveat is the issue of translation and whether, for example, what is translated in Jung’s works into English words</w:t>
            </w:r>
            <w:r>
              <w:rPr>
                <w:rFonts w:ascii="Arial" w:eastAsia="Times New Roman" w:hAnsi="Arial" w:cs="Arial"/>
                <w:color w:val="222222"/>
                <w:lang w:eastAsia="en-GB"/>
              </w:rPr>
              <w:t xml:space="preserve"> such as</w:t>
            </w:r>
            <w:r w:rsidRPr="00A54123">
              <w:rPr>
                <w:rFonts w:ascii="Arial" w:eastAsia="Times New Roman" w:hAnsi="Arial" w:cs="Arial"/>
                <w:color w:val="222222"/>
                <w:lang w:eastAsia="en-GB"/>
              </w:rPr>
              <w:t xml:space="preserve"> soul and spirit (also see page 46) represent what Jung himself </w:t>
            </w:r>
            <w:proofErr w:type="gramStart"/>
            <w:r w:rsidRPr="00A54123">
              <w:rPr>
                <w:rFonts w:ascii="Arial" w:eastAsia="Times New Roman" w:hAnsi="Arial" w:cs="Arial"/>
                <w:color w:val="222222"/>
                <w:lang w:eastAsia="en-GB"/>
              </w:rPr>
              <w:t>actually thought</w:t>
            </w:r>
            <w:proofErr w:type="gramEnd"/>
            <w:r w:rsidRPr="00A54123">
              <w:rPr>
                <w:rFonts w:ascii="Arial" w:eastAsia="Times New Roman" w:hAnsi="Arial" w:cs="Arial"/>
                <w:color w:val="222222"/>
                <w:lang w:eastAsia="en-GB"/>
              </w:rPr>
              <w:t>. Given that, at Masters’ level, students work with English translations, there is no requirement to read texts in original languages, yet reference to the potential changes of meaning that can happen in translations would help</w:t>
            </w:r>
            <w:r>
              <w:rPr>
                <w:rFonts w:ascii="Arial" w:eastAsia="Times New Roman" w:hAnsi="Arial" w:cs="Arial"/>
                <w:color w:val="222222"/>
                <w:lang w:eastAsia="en-GB"/>
              </w:rPr>
              <w:t xml:space="preserve"> and could be considered if this work is every extended post-</w:t>
            </w:r>
            <w:proofErr w:type="gramStart"/>
            <w:r>
              <w:rPr>
                <w:rFonts w:ascii="Arial" w:eastAsia="Times New Roman" w:hAnsi="Arial" w:cs="Arial"/>
                <w:color w:val="222222"/>
                <w:lang w:eastAsia="en-GB"/>
              </w:rPr>
              <w:t>MA</w:t>
            </w:r>
            <w:proofErr w:type="gramEnd"/>
          </w:p>
          <w:p w14:paraId="6B99E495" w14:textId="77777777" w:rsidR="00A54123" w:rsidRPr="00A54123" w:rsidRDefault="00A54123" w:rsidP="00A54123">
            <w:pPr>
              <w:shd w:val="clear" w:color="auto" w:fill="FFFFFF"/>
              <w:rPr>
                <w:rFonts w:ascii="Arial" w:eastAsia="Times New Roman" w:hAnsi="Arial" w:cs="Arial"/>
                <w:color w:val="222222"/>
                <w:lang w:eastAsia="en-GB"/>
              </w:rPr>
            </w:pPr>
          </w:p>
          <w:p w14:paraId="09E3135B" w14:textId="77777777" w:rsidR="00A54123" w:rsidRPr="00A54123" w:rsidRDefault="00A54123" w:rsidP="00A54123">
            <w:pPr>
              <w:shd w:val="clear" w:color="auto" w:fill="FFFFFF"/>
              <w:rPr>
                <w:rFonts w:ascii="Arial" w:eastAsia="Times New Roman" w:hAnsi="Arial" w:cs="Arial"/>
                <w:color w:val="222222"/>
                <w:lang w:eastAsia="en-GB"/>
              </w:rPr>
            </w:pPr>
            <w:r w:rsidRPr="00A54123">
              <w:rPr>
                <w:rFonts w:ascii="Arial" w:eastAsia="Times New Roman" w:hAnsi="Arial" w:cs="Arial"/>
                <w:color w:val="222222"/>
                <w:lang w:eastAsia="en-GB"/>
              </w:rPr>
              <w:t xml:space="preserve">In conclusion, to reiterate, the dissertation </w:t>
            </w:r>
            <w:proofErr w:type="gramStart"/>
            <w:r w:rsidRPr="00A54123">
              <w:rPr>
                <w:rFonts w:ascii="Arial" w:eastAsia="Times New Roman" w:hAnsi="Arial" w:cs="Arial"/>
                <w:color w:val="222222"/>
                <w:lang w:eastAsia="en-GB"/>
              </w:rPr>
              <w:t>as a whole is</w:t>
            </w:r>
            <w:proofErr w:type="gramEnd"/>
            <w:r w:rsidRPr="00A54123">
              <w:rPr>
                <w:rFonts w:ascii="Arial" w:eastAsia="Times New Roman" w:hAnsi="Arial" w:cs="Arial"/>
                <w:color w:val="222222"/>
                <w:lang w:eastAsia="en-GB"/>
              </w:rPr>
              <w:t xml:space="preserve"> sound, coherent, well written, clearly structured, critical and analytical and reaches a high standard.</w:t>
            </w:r>
          </w:p>
          <w:p w14:paraId="676A3AD6" w14:textId="77777777" w:rsidR="00A54123" w:rsidRPr="00A54123" w:rsidRDefault="00A54123" w:rsidP="00A54123">
            <w:pPr>
              <w:shd w:val="clear" w:color="auto" w:fill="FFFFFF"/>
              <w:rPr>
                <w:rFonts w:ascii="Arial" w:eastAsia="Times New Roman" w:hAnsi="Arial" w:cs="Arial"/>
                <w:color w:val="222222"/>
                <w:lang w:eastAsia="en-GB"/>
              </w:rPr>
            </w:pPr>
          </w:p>
          <w:p w14:paraId="71600718" w14:textId="77777777" w:rsidR="00A54123" w:rsidRPr="00A54123" w:rsidRDefault="00A54123" w:rsidP="00A54123">
            <w:pPr>
              <w:shd w:val="clear" w:color="auto" w:fill="FFFFFF"/>
              <w:rPr>
                <w:rFonts w:ascii="Arial" w:eastAsia="Times New Roman" w:hAnsi="Arial" w:cs="Arial"/>
                <w:color w:val="222222"/>
                <w:lang w:eastAsia="en-GB"/>
              </w:rPr>
            </w:pPr>
            <w:proofErr w:type="gramStart"/>
            <w:r w:rsidRPr="00A54123">
              <w:rPr>
                <w:rFonts w:ascii="Arial" w:eastAsia="Times New Roman" w:hAnsi="Arial" w:cs="Arial"/>
                <w:color w:val="222222"/>
                <w:lang w:eastAsia="en-GB"/>
              </w:rPr>
              <w:t>Well</w:t>
            </w:r>
            <w:proofErr w:type="gramEnd"/>
            <w:r w:rsidRPr="00A54123">
              <w:rPr>
                <w:rFonts w:ascii="Arial" w:eastAsia="Times New Roman" w:hAnsi="Arial" w:cs="Arial"/>
                <w:color w:val="222222"/>
                <w:lang w:eastAsia="en-GB"/>
              </w:rPr>
              <w:t xml:space="preserve"> done on completing your journey through the program.</w:t>
            </w:r>
          </w:p>
          <w:p w14:paraId="0BFD1E61" w14:textId="77777777" w:rsidR="00A54123" w:rsidRPr="00A54123" w:rsidRDefault="00A54123" w:rsidP="00A54123">
            <w:pPr>
              <w:shd w:val="clear" w:color="auto" w:fill="FFFFFF"/>
              <w:rPr>
                <w:rFonts w:ascii="Arial" w:eastAsia="Times New Roman" w:hAnsi="Arial" w:cs="Arial"/>
                <w:color w:val="222222"/>
                <w:lang w:eastAsia="en-GB"/>
              </w:rPr>
            </w:pPr>
          </w:p>
          <w:p w14:paraId="0883300E" w14:textId="77777777" w:rsidR="00A54123" w:rsidRPr="00A54123" w:rsidRDefault="00A54123" w:rsidP="00A54123">
            <w:pPr>
              <w:shd w:val="clear" w:color="auto" w:fill="FFFFFF"/>
              <w:rPr>
                <w:rFonts w:ascii="Arial" w:eastAsia="Times New Roman" w:hAnsi="Arial" w:cs="Arial"/>
                <w:color w:val="222222"/>
                <w:lang w:eastAsia="en-GB"/>
              </w:rPr>
            </w:pPr>
          </w:p>
          <w:p w14:paraId="1D34A4D0" w14:textId="77777777" w:rsidR="00B12C4F" w:rsidRPr="002F467C" w:rsidRDefault="00B12C4F" w:rsidP="00043549">
            <w:pPr>
              <w:pStyle w:val="NormalWeb"/>
              <w:rPr>
                <w:rFonts w:ascii="Calibri" w:hAnsi="Calibri" w:cs="Tahoma"/>
                <w:i/>
                <w:sz w:val="24"/>
                <w:szCs w:val="24"/>
              </w:rPr>
            </w:pPr>
          </w:p>
        </w:tc>
      </w:tr>
      <w:tr w:rsidR="00EC7546" w:rsidRPr="002F467C" w14:paraId="18540B83" w14:textId="77777777" w:rsidTr="00E655F1">
        <w:trPr>
          <w:trHeight w:val="492"/>
        </w:trPr>
        <w:tc>
          <w:tcPr>
            <w:tcW w:w="6591" w:type="dxa"/>
            <w:gridSpan w:val="2"/>
          </w:tcPr>
          <w:p w14:paraId="25DCE8A8" w14:textId="742A68B7" w:rsidR="00B12C4F" w:rsidRPr="00B12C4F" w:rsidRDefault="00C87244" w:rsidP="00B12C4F">
            <w:pPr>
              <w:pStyle w:val="NormalWeb"/>
              <w:ind w:left="142" w:right="34"/>
              <w:rPr>
                <w:rFonts w:ascii="Calibri" w:hAnsi="Calibri" w:cs="Tahoma"/>
                <w:sz w:val="24"/>
                <w:szCs w:val="24"/>
              </w:rPr>
            </w:pPr>
            <w:r w:rsidRPr="00B12C4F">
              <w:rPr>
                <w:rFonts w:ascii="Calibri" w:hAnsi="Calibri" w:cs="Tahoma"/>
                <w:sz w:val="24"/>
                <w:szCs w:val="24"/>
              </w:rPr>
              <w:lastRenderedPageBreak/>
              <w:t xml:space="preserve">First </w:t>
            </w:r>
            <w:r w:rsidR="00E3766D" w:rsidRPr="00B12C4F">
              <w:rPr>
                <w:rFonts w:ascii="Calibri" w:hAnsi="Calibri" w:cs="Tahoma"/>
                <w:sz w:val="24"/>
                <w:szCs w:val="24"/>
              </w:rPr>
              <w:t>M</w:t>
            </w:r>
            <w:r w:rsidR="00EC7546" w:rsidRPr="00B12C4F">
              <w:rPr>
                <w:rFonts w:ascii="Calibri" w:hAnsi="Calibri" w:cs="Tahoma"/>
                <w:sz w:val="24"/>
                <w:szCs w:val="24"/>
              </w:rPr>
              <w:t>arker</w:t>
            </w:r>
            <w:r w:rsidR="00CE3B79" w:rsidRPr="00B12C4F">
              <w:rPr>
                <w:rFonts w:ascii="Calibri" w:hAnsi="Calibri" w:cs="Tahoma"/>
                <w:sz w:val="24"/>
                <w:szCs w:val="24"/>
              </w:rPr>
              <w:t xml:space="preserve">’s </w:t>
            </w:r>
            <w:r w:rsidR="00B12C4F" w:rsidRPr="00B12C4F">
              <w:rPr>
                <w:rFonts w:ascii="Calibri" w:hAnsi="Calibri" w:cs="Tahoma"/>
                <w:sz w:val="24"/>
                <w:szCs w:val="24"/>
              </w:rPr>
              <w:t>Mark</w:t>
            </w:r>
            <w:r w:rsidR="00EC7546" w:rsidRPr="00B12C4F">
              <w:rPr>
                <w:rFonts w:ascii="Calibri" w:hAnsi="Calibri" w:cs="Tahoma"/>
                <w:sz w:val="24"/>
                <w:szCs w:val="24"/>
              </w:rPr>
              <w:t>:</w:t>
            </w:r>
            <w:r w:rsidR="00A54123">
              <w:rPr>
                <w:rFonts w:ascii="Calibri" w:hAnsi="Calibri" w:cs="Tahoma"/>
                <w:sz w:val="24"/>
                <w:szCs w:val="24"/>
              </w:rPr>
              <w:t xml:space="preserve"> 74%</w:t>
            </w:r>
          </w:p>
          <w:p w14:paraId="26D64E7F" w14:textId="35142FF5" w:rsidR="00B12C4F" w:rsidRPr="002F467C" w:rsidRDefault="00B12C4F" w:rsidP="00B12C4F">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r w:rsidR="00A54123">
              <w:rPr>
                <w:rFonts w:ascii="Calibri" w:hAnsi="Calibri" w:cs="Tahoma"/>
                <w:i/>
                <w:sz w:val="24"/>
                <w:szCs w:val="24"/>
              </w:rPr>
              <w:t xml:space="preserve"> </w:t>
            </w:r>
            <w:r w:rsidR="00A54123" w:rsidRPr="00A54123">
              <w:rPr>
                <w:rFonts w:ascii="Calibri" w:hAnsi="Calibri" w:cs="Tahoma"/>
                <w:iCs/>
                <w:sz w:val="24"/>
                <w:szCs w:val="24"/>
              </w:rPr>
              <w:t>Nick Campion</w:t>
            </w:r>
          </w:p>
        </w:tc>
        <w:tc>
          <w:tcPr>
            <w:tcW w:w="2039" w:type="dxa"/>
          </w:tcPr>
          <w:p w14:paraId="068E3356" w14:textId="6706A341" w:rsidR="00EC7546" w:rsidRPr="002F467C" w:rsidRDefault="0065654E" w:rsidP="002F467C">
            <w:pPr>
              <w:pStyle w:val="NormalWeb"/>
              <w:spacing w:after="0"/>
              <w:ind w:left="142" w:right="34"/>
              <w:rPr>
                <w:rFonts w:ascii="Calibri" w:hAnsi="Calibri" w:cs="Tahoma"/>
                <w:i/>
                <w:sz w:val="24"/>
                <w:szCs w:val="24"/>
              </w:rPr>
            </w:pPr>
            <w:r w:rsidRPr="002F467C">
              <w:rPr>
                <w:rFonts w:ascii="Calibri" w:hAnsi="Calibri" w:cs="Tahoma"/>
                <w:i/>
                <w:sz w:val="24"/>
                <w:szCs w:val="24"/>
              </w:rPr>
              <w:t>D</w:t>
            </w:r>
            <w:r w:rsidR="00EC7546" w:rsidRPr="002F467C">
              <w:rPr>
                <w:rFonts w:ascii="Calibri" w:hAnsi="Calibri" w:cs="Tahoma"/>
                <w:i/>
                <w:sz w:val="24"/>
                <w:szCs w:val="24"/>
              </w:rPr>
              <w:t>ate</w:t>
            </w:r>
            <w:r w:rsidRPr="00A54123">
              <w:rPr>
                <w:rFonts w:ascii="Calibri" w:hAnsi="Calibri" w:cs="Tahoma"/>
                <w:iCs/>
                <w:sz w:val="24"/>
                <w:szCs w:val="24"/>
              </w:rPr>
              <w:t>:</w:t>
            </w:r>
            <w:r w:rsidR="00A54123" w:rsidRPr="00A54123">
              <w:rPr>
                <w:rFonts w:ascii="Calibri" w:hAnsi="Calibri" w:cs="Tahoma"/>
                <w:iCs/>
                <w:sz w:val="24"/>
                <w:szCs w:val="24"/>
              </w:rPr>
              <w:t xml:space="preserve"> 1 Nov 2023</w:t>
            </w:r>
          </w:p>
        </w:tc>
      </w:tr>
      <w:tr w:rsidR="00D67BF8" w:rsidRPr="002F467C" w14:paraId="3EC71F5C" w14:textId="77777777" w:rsidTr="00E655F1">
        <w:tc>
          <w:tcPr>
            <w:tcW w:w="8630" w:type="dxa"/>
            <w:gridSpan w:val="3"/>
          </w:tcPr>
          <w:p w14:paraId="6B4A6CF1" w14:textId="77777777" w:rsidR="00D67BF8" w:rsidRPr="002F467C" w:rsidRDefault="00D67BF8" w:rsidP="00353CCC">
            <w:pPr>
              <w:pStyle w:val="NormalWeb"/>
              <w:spacing w:before="0" w:beforeAutospacing="0" w:after="0" w:afterAutospacing="0"/>
              <w:rPr>
                <w:rFonts w:ascii="Calibri" w:hAnsi="Calibri" w:cs="Tahoma"/>
                <w:bCs/>
                <w:sz w:val="24"/>
                <w:szCs w:val="24"/>
              </w:rPr>
            </w:pPr>
            <w:r w:rsidRPr="002F467C">
              <w:rPr>
                <w:rFonts w:ascii="Calibri" w:hAnsi="Calibri" w:cs="Tahoma"/>
                <w:bCs/>
                <w:i/>
                <w:sz w:val="24"/>
                <w:szCs w:val="24"/>
              </w:rPr>
              <w:t xml:space="preserve">For completion by </w:t>
            </w:r>
            <w:r w:rsidR="00C87244">
              <w:rPr>
                <w:rFonts w:ascii="Calibri" w:hAnsi="Calibri" w:cs="Tahoma"/>
                <w:bCs/>
                <w:i/>
                <w:sz w:val="24"/>
                <w:szCs w:val="24"/>
              </w:rPr>
              <w:t xml:space="preserve">the </w:t>
            </w:r>
            <w:r w:rsidR="0090710A">
              <w:rPr>
                <w:rFonts w:ascii="Calibri" w:hAnsi="Calibri" w:cs="Tahoma"/>
                <w:bCs/>
                <w:i/>
                <w:sz w:val="24"/>
                <w:szCs w:val="24"/>
              </w:rPr>
              <w:t>second marker</w:t>
            </w:r>
            <w:r w:rsidRPr="002F467C">
              <w:rPr>
                <w:rFonts w:ascii="Calibri" w:hAnsi="Calibri" w:cs="Tahoma"/>
                <w:bCs/>
                <w:sz w:val="24"/>
                <w:szCs w:val="24"/>
              </w:rPr>
              <w:t>:</w:t>
            </w:r>
          </w:p>
          <w:p w14:paraId="214236EA" w14:textId="77777777" w:rsidR="00D67BF8" w:rsidRPr="002F467C" w:rsidRDefault="00D67BF8" w:rsidP="00353CCC">
            <w:pPr>
              <w:pStyle w:val="NormalWeb"/>
              <w:spacing w:before="0" w:beforeAutospacing="0" w:after="0" w:afterAutospacing="0"/>
              <w:rPr>
                <w:rFonts w:ascii="Calibri" w:hAnsi="Calibri" w:cs="Tahoma"/>
                <w:bCs/>
                <w:sz w:val="24"/>
                <w:szCs w:val="24"/>
              </w:rPr>
            </w:pPr>
          </w:p>
          <w:p w14:paraId="04416F13" w14:textId="77777777" w:rsidR="00D67BF8" w:rsidRPr="002F467C" w:rsidRDefault="00D67BF8" w:rsidP="00353CCC">
            <w:pPr>
              <w:pStyle w:val="NormalWeb"/>
              <w:spacing w:before="0" w:beforeAutospacing="0" w:after="0" w:afterAutospacing="0"/>
              <w:rPr>
                <w:rFonts w:ascii="Calibri" w:hAnsi="Calibri" w:cs="Tahoma"/>
                <w:bCs/>
                <w:sz w:val="24"/>
                <w:szCs w:val="24"/>
              </w:rPr>
            </w:pPr>
            <w:r w:rsidRPr="002F467C">
              <w:rPr>
                <w:rFonts w:ascii="Calibri" w:hAnsi="Calibri" w:cs="Tahoma"/>
                <w:bCs/>
                <w:sz w:val="24"/>
                <w:szCs w:val="24"/>
              </w:rPr>
              <w:t>Comments:</w:t>
            </w:r>
          </w:p>
          <w:p w14:paraId="5D4EEAFE" w14:textId="77777777" w:rsidR="00D67BF8" w:rsidRPr="002F467C" w:rsidRDefault="00D67BF8" w:rsidP="00353CCC">
            <w:pPr>
              <w:pStyle w:val="NormalWeb"/>
              <w:spacing w:before="0" w:beforeAutospacing="0" w:after="0" w:afterAutospacing="0"/>
              <w:rPr>
                <w:rFonts w:ascii="Calibri" w:hAnsi="Calibri" w:cs="Tahoma"/>
                <w:bCs/>
                <w:sz w:val="24"/>
                <w:szCs w:val="24"/>
              </w:rPr>
            </w:pPr>
          </w:p>
          <w:p w14:paraId="63B883C6" w14:textId="77777777" w:rsidR="00353CCC" w:rsidRDefault="00353CCC" w:rsidP="00353CCC">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This dissertation carefully discusses the specific question of whether Jung’s theories of the Self may be considered Gnostic in nature or origin. </w:t>
            </w:r>
          </w:p>
          <w:p w14:paraId="38A4211E" w14:textId="77777777" w:rsidR="00353CCC" w:rsidRDefault="00353CCC" w:rsidP="00353CCC">
            <w:pPr>
              <w:pStyle w:val="NormalWeb"/>
              <w:spacing w:before="0" w:beforeAutospacing="0" w:after="0" w:afterAutospacing="0"/>
              <w:rPr>
                <w:rFonts w:ascii="Calibri" w:hAnsi="Calibri" w:cs="Tahoma"/>
                <w:bCs/>
                <w:sz w:val="24"/>
                <w:szCs w:val="24"/>
              </w:rPr>
            </w:pPr>
          </w:p>
          <w:p w14:paraId="0B973BBE" w14:textId="5FA92EB8" w:rsidR="00353CCC" w:rsidRDefault="00353CCC" w:rsidP="00353CCC">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The material is well-organised and well-structured, using </w:t>
            </w:r>
            <w:proofErr w:type="spellStart"/>
            <w:r>
              <w:rPr>
                <w:rFonts w:ascii="Calibri" w:hAnsi="Calibri" w:cs="Tahoma"/>
                <w:bCs/>
                <w:sz w:val="24"/>
                <w:szCs w:val="24"/>
              </w:rPr>
              <w:t>Markschies</w:t>
            </w:r>
            <w:proofErr w:type="spellEnd"/>
            <w:r>
              <w:rPr>
                <w:rFonts w:ascii="Calibri" w:hAnsi="Calibri" w:cs="Tahoma"/>
                <w:bCs/>
                <w:sz w:val="24"/>
                <w:szCs w:val="24"/>
              </w:rPr>
              <w:t xml:space="preserve">’ typology </w:t>
            </w:r>
            <w:r w:rsidR="00E46ADE">
              <w:rPr>
                <w:rFonts w:ascii="Calibri" w:hAnsi="Calibri" w:cs="Tahoma"/>
                <w:bCs/>
                <w:sz w:val="24"/>
                <w:szCs w:val="24"/>
              </w:rPr>
              <w:t xml:space="preserve">of </w:t>
            </w:r>
            <w:r>
              <w:rPr>
                <w:rFonts w:ascii="Calibri" w:hAnsi="Calibri" w:cs="Tahoma"/>
                <w:bCs/>
                <w:sz w:val="24"/>
                <w:szCs w:val="24"/>
              </w:rPr>
              <w:t xml:space="preserve">Gnosticism’s key concepts, and using Segal’s critique as a framework for the analysis. It includes a clear discussion of the concepts and beliefs underlying Gnosticism and detailed cross-referencing to Jung’s concept of the self via three core topics of other-worldly divinity, dualism, and salvation. It incorporates a detailed analysis across a </w:t>
            </w:r>
            <w:r>
              <w:rPr>
                <w:rFonts w:ascii="Calibri" w:hAnsi="Calibri" w:cs="Tahoma"/>
                <w:bCs/>
                <w:sz w:val="24"/>
                <w:szCs w:val="24"/>
              </w:rPr>
              <w:lastRenderedPageBreak/>
              <w:t>wide range of key primary and secondary texts, with</w:t>
            </w:r>
            <w:r w:rsidR="00E46ADE">
              <w:rPr>
                <w:rFonts w:ascii="Calibri" w:hAnsi="Calibri" w:cs="Tahoma"/>
                <w:bCs/>
                <w:sz w:val="24"/>
                <w:szCs w:val="24"/>
              </w:rPr>
              <w:t xml:space="preserve"> very good </w:t>
            </w:r>
            <w:r>
              <w:rPr>
                <w:rFonts w:ascii="Calibri" w:hAnsi="Calibri" w:cs="Tahoma"/>
                <w:bCs/>
                <w:sz w:val="24"/>
                <w:szCs w:val="24"/>
              </w:rPr>
              <w:t>critique of both</w:t>
            </w:r>
            <w:r w:rsidR="00E46ADE">
              <w:rPr>
                <w:rFonts w:ascii="Calibri" w:hAnsi="Calibri" w:cs="Tahoma"/>
                <w:bCs/>
                <w:sz w:val="24"/>
                <w:szCs w:val="24"/>
              </w:rPr>
              <w:t xml:space="preserve"> and consideration and cross-analysis of a wide range of perspectives</w:t>
            </w:r>
            <w:r>
              <w:rPr>
                <w:rFonts w:ascii="Calibri" w:hAnsi="Calibri" w:cs="Tahoma"/>
                <w:bCs/>
                <w:sz w:val="24"/>
                <w:szCs w:val="24"/>
              </w:rPr>
              <w:t xml:space="preserve">. It also makes clear what material on Gnosticism was available to Jung </w:t>
            </w:r>
            <w:r w:rsidR="006027FE">
              <w:rPr>
                <w:rFonts w:ascii="Calibri" w:hAnsi="Calibri" w:cs="Tahoma"/>
                <w:bCs/>
                <w:sz w:val="24"/>
                <w:szCs w:val="24"/>
              </w:rPr>
              <w:t>at the time, making a distinction between those sources and texts more recently discovered or deciphered</w:t>
            </w:r>
            <w:r w:rsidR="000F3A14">
              <w:rPr>
                <w:rFonts w:ascii="Calibri" w:hAnsi="Calibri" w:cs="Tahoma"/>
                <w:bCs/>
                <w:sz w:val="24"/>
                <w:szCs w:val="24"/>
              </w:rPr>
              <w:t>.</w:t>
            </w:r>
          </w:p>
          <w:p w14:paraId="43DB9235" w14:textId="77777777" w:rsidR="00353CCC" w:rsidRDefault="00353CCC" w:rsidP="00353CCC">
            <w:pPr>
              <w:pStyle w:val="NormalWeb"/>
              <w:spacing w:before="0" w:beforeAutospacing="0" w:after="0" w:afterAutospacing="0"/>
              <w:rPr>
                <w:rFonts w:ascii="Calibri" w:hAnsi="Calibri" w:cs="Tahoma"/>
                <w:bCs/>
                <w:sz w:val="24"/>
                <w:szCs w:val="24"/>
              </w:rPr>
            </w:pPr>
          </w:p>
          <w:p w14:paraId="5984DF35" w14:textId="77777777" w:rsidR="00353CCC" w:rsidRDefault="00353CCC" w:rsidP="00353CCC">
            <w:pPr>
              <w:pStyle w:val="NormalWeb"/>
              <w:spacing w:before="0" w:beforeAutospacing="0" w:after="0" w:afterAutospacing="0"/>
              <w:rPr>
                <w:rFonts w:ascii="Calibri" w:hAnsi="Calibri" w:cs="Tahoma"/>
                <w:bCs/>
                <w:sz w:val="24"/>
                <w:szCs w:val="24"/>
              </w:rPr>
            </w:pPr>
            <w:r>
              <w:rPr>
                <w:rFonts w:ascii="Calibri" w:hAnsi="Calibri" w:cs="Tahoma"/>
                <w:bCs/>
                <w:sz w:val="24"/>
                <w:szCs w:val="24"/>
              </w:rPr>
              <w:t xml:space="preserve">The writing is clear, fluent, </w:t>
            </w:r>
            <w:proofErr w:type="gramStart"/>
            <w:r>
              <w:rPr>
                <w:rFonts w:ascii="Calibri" w:hAnsi="Calibri" w:cs="Tahoma"/>
                <w:bCs/>
                <w:sz w:val="24"/>
                <w:szCs w:val="24"/>
              </w:rPr>
              <w:t>critical</w:t>
            </w:r>
            <w:proofErr w:type="gramEnd"/>
            <w:r>
              <w:rPr>
                <w:rFonts w:ascii="Calibri" w:hAnsi="Calibri" w:cs="Tahoma"/>
                <w:bCs/>
                <w:sz w:val="24"/>
                <w:szCs w:val="24"/>
              </w:rPr>
              <w:t xml:space="preserve"> and analytical, with excellent referencing and footnoting.</w:t>
            </w:r>
          </w:p>
          <w:p w14:paraId="5973D9EE" w14:textId="77777777" w:rsidR="00353CCC" w:rsidRDefault="00353CCC" w:rsidP="00353CCC">
            <w:pPr>
              <w:pStyle w:val="NormalWeb"/>
              <w:spacing w:before="0" w:beforeAutospacing="0" w:after="0" w:afterAutospacing="0"/>
              <w:rPr>
                <w:rFonts w:ascii="Calibri" w:hAnsi="Calibri" w:cs="Tahoma"/>
                <w:bCs/>
                <w:sz w:val="24"/>
                <w:szCs w:val="24"/>
              </w:rPr>
            </w:pPr>
          </w:p>
          <w:p w14:paraId="4C7C6BF5" w14:textId="0B195505" w:rsidR="00353CCC" w:rsidRPr="002F467C" w:rsidRDefault="00353CCC" w:rsidP="00353CCC">
            <w:pPr>
              <w:pStyle w:val="NormalWeb"/>
              <w:spacing w:before="0" w:beforeAutospacing="0" w:after="0" w:afterAutospacing="0"/>
              <w:rPr>
                <w:rFonts w:ascii="Calibri" w:hAnsi="Calibri" w:cs="Tahoma"/>
                <w:bCs/>
                <w:sz w:val="24"/>
                <w:szCs w:val="24"/>
              </w:rPr>
            </w:pPr>
            <w:r>
              <w:rPr>
                <w:rFonts w:ascii="Calibri" w:hAnsi="Calibri" w:cs="Tahoma"/>
                <w:bCs/>
                <w:sz w:val="24"/>
                <w:szCs w:val="24"/>
              </w:rPr>
              <w:t>T</w:t>
            </w:r>
            <w:r w:rsidR="00E46ADE">
              <w:rPr>
                <w:rFonts w:ascii="Calibri" w:hAnsi="Calibri" w:cs="Tahoma"/>
                <w:bCs/>
                <w:sz w:val="24"/>
                <w:szCs w:val="24"/>
              </w:rPr>
              <w:t>his</w:t>
            </w:r>
            <w:r>
              <w:rPr>
                <w:rFonts w:ascii="Calibri" w:hAnsi="Calibri" w:cs="Tahoma"/>
                <w:bCs/>
                <w:sz w:val="24"/>
                <w:szCs w:val="24"/>
              </w:rPr>
              <w:t xml:space="preserve"> dissertation displays an impressive knowledge and understanding of a complex field of study. It also adds original insight into Jung’s work and contributes to the debate around the influence of Gnosticism on Jung by focusing specifically on the concept of the self. The author stays close to this aim, reaching a conclusion that is well supported by the evidence presented.</w:t>
            </w:r>
            <w:r w:rsidR="00570F60">
              <w:rPr>
                <w:rFonts w:ascii="Calibri" w:hAnsi="Calibri" w:cs="Tahoma"/>
                <w:bCs/>
                <w:sz w:val="24"/>
                <w:szCs w:val="24"/>
              </w:rPr>
              <w:t xml:space="preserve"> It is a satisfying and impressive piece of work.</w:t>
            </w:r>
          </w:p>
          <w:p w14:paraId="1D836A99" w14:textId="77777777" w:rsidR="00D67BF8" w:rsidRPr="002F467C" w:rsidRDefault="00D67BF8" w:rsidP="00353CCC">
            <w:pPr>
              <w:pStyle w:val="NormalWeb"/>
              <w:spacing w:before="0" w:beforeAutospacing="0" w:after="0" w:afterAutospacing="0"/>
              <w:rPr>
                <w:rFonts w:ascii="Calibri" w:hAnsi="Calibri" w:cs="Tahoma"/>
                <w:bCs/>
                <w:sz w:val="24"/>
                <w:szCs w:val="24"/>
              </w:rPr>
            </w:pPr>
          </w:p>
          <w:p w14:paraId="559D22AF" w14:textId="77777777" w:rsidR="00D67BF8" w:rsidRPr="002F467C" w:rsidRDefault="00D67BF8" w:rsidP="00353CCC">
            <w:pPr>
              <w:pStyle w:val="NormalWeb"/>
              <w:spacing w:before="0" w:beforeAutospacing="0" w:after="0" w:afterAutospacing="0"/>
              <w:rPr>
                <w:rFonts w:ascii="Calibri" w:hAnsi="Calibri" w:cs="Tahoma"/>
                <w:bCs/>
                <w:sz w:val="24"/>
                <w:szCs w:val="24"/>
              </w:rPr>
            </w:pPr>
          </w:p>
          <w:p w14:paraId="6EF4C219" w14:textId="77777777" w:rsidR="00D67BF8" w:rsidRPr="002F467C" w:rsidRDefault="00D67BF8" w:rsidP="00353CCC">
            <w:pPr>
              <w:pStyle w:val="NormalWeb"/>
              <w:spacing w:before="0" w:beforeAutospacing="0" w:after="0" w:afterAutospacing="0"/>
              <w:rPr>
                <w:rFonts w:ascii="Calibri" w:hAnsi="Calibri" w:cs="Tahoma"/>
                <w:bCs/>
                <w:sz w:val="24"/>
                <w:szCs w:val="24"/>
              </w:rPr>
            </w:pPr>
          </w:p>
        </w:tc>
      </w:tr>
      <w:tr w:rsidR="00D67BF8" w:rsidRPr="002F467C" w14:paraId="3C8FACD4" w14:textId="77777777" w:rsidTr="00E655F1">
        <w:trPr>
          <w:trHeight w:val="720"/>
        </w:trPr>
        <w:tc>
          <w:tcPr>
            <w:tcW w:w="5068" w:type="dxa"/>
          </w:tcPr>
          <w:p w14:paraId="780AE403" w14:textId="234BBF63" w:rsidR="00D67BF8" w:rsidRDefault="00A05D32"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 xml:space="preserve">Second Marker’s </w:t>
            </w:r>
            <w:r w:rsidR="0090710A">
              <w:rPr>
                <w:rFonts w:ascii="Calibri" w:hAnsi="Calibri" w:cs="Tahoma"/>
                <w:bCs/>
                <w:sz w:val="24"/>
                <w:szCs w:val="24"/>
              </w:rPr>
              <w:t>Mark</w:t>
            </w:r>
            <w:r w:rsidR="00D67BF8" w:rsidRPr="002F467C">
              <w:rPr>
                <w:rFonts w:ascii="Calibri" w:hAnsi="Calibri" w:cs="Tahoma"/>
                <w:bCs/>
                <w:sz w:val="24"/>
                <w:szCs w:val="24"/>
              </w:rPr>
              <w:t>:</w:t>
            </w:r>
            <w:r w:rsidR="00BA6153">
              <w:rPr>
                <w:rFonts w:ascii="Calibri" w:hAnsi="Calibri" w:cs="Tahoma"/>
                <w:bCs/>
                <w:sz w:val="24"/>
                <w:szCs w:val="24"/>
              </w:rPr>
              <w:t xml:space="preserve"> 74%</w:t>
            </w:r>
          </w:p>
          <w:p w14:paraId="307FDF3D" w14:textId="77777777" w:rsidR="00BA6153" w:rsidRDefault="00BA6153" w:rsidP="002F467C">
            <w:pPr>
              <w:pStyle w:val="NormalWeb"/>
              <w:spacing w:before="0" w:beforeAutospacing="0" w:after="0" w:afterAutospacing="0"/>
              <w:ind w:right="-334"/>
              <w:rPr>
                <w:rFonts w:ascii="Calibri" w:hAnsi="Calibri" w:cs="Tahoma"/>
                <w:bCs/>
                <w:sz w:val="24"/>
                <w:szCs w:val="24"/>
              </w:rPr>
            </w:pPr>
          </w:p>
          <w:p w14:paraId="54DA2DE4" w14:textId="7C873275" w:rsidR="0090710A" w:rsidRPr="002F467C" w:rsidRDefault="0090710A"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BA6153">
              <w:rPr>
                <w:rFonts w:ascii="Calibri" w:hAnsi="Calibri" w:cs="Tahoma"/>
                <w:bCs/>
                <w:sz w:val="24"/>
                <w:szCs w:val="24"/>
              </w:rPr>
              <w:t xml:space="preserve"> Carole Taylor</w:t>
            </w:r>
          </w:p>
        </w:tc>
        <w:tc>
          <w:tcPr>
            <w:tcW w:w="3562" w:type="dxa"/>
            <w:gridSpan w:val="2"/>
          </w:tcPr>
          <w:p w14:paraId="511F65C2" w14:textId="4FFE9006" w:rsidR="00D67BF8" w:rsidRPr="002F467C" w:rsidRDefault="00D67BF8" w:rsidP="002F467C">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BA6153">
              <w:rPr>
                <w:rFonts w:ascii="Calibri" w:hAnsi="Calibri" w:cs="Tahoma"/>
                <w:bCs/>
                <w:sz w:val="24"/>
                <w:szCs w:val="24"/>
              </w:rPr>
              <w:t xml:space="preserve"> 8 November 2023</w:t>
            </w:r>
          </w:p>
        </w:tc>
      </w:tr>
      <w:tr w:rsidR="00611C54" w:rsidRPr="002F467C" w14:paraId="645FDC84" w14:textId="77777777" w:rsidTr="00E655F1">
        <w:trPr>
          <w:trHeight w:val="720"/>
        </w:trPr>
        <w:tc>
          <w:tcPr>
            <w:tcW w:w="5068" w:type="dxa"/>
          </w:tcPr>
          <w:p w14:paraId="6EE60353" w14:textId="09FF0382" w:rsidR="00611C54"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Agreed internal mark:</w:t>
            </w:r>
            <w:r w:rsidR="00D311F8">
              <w:rPr>
                <w:rFonts w:ascii="Calibri" w:hAnsi="Calibri" w:cs="Tahoma"/>
                <w:bCs/>
                <w:sz w:val="24"/>
                <w:szCs w:val="24"/>
              </w:rPr>
              <w:t xml:space="preserve"> </w:t>
            </w:r>
            <w:proofErr w:type="gramStart"/>
            <w:r w:rsidR="00D311F8">
              <w:rPr>
                <w:rFonts w:ascii="Calibri" w:hAnsi="Calibri" w:cs="Tahoma"/>
                <w:bCs/>
                <w:sz w:val="24"/>
                <w:szCs w:val="24"/>
              </w:rPr>
              <w:t>74%</w:t>
            </w:r>
            <w:proofErr w:type="gramEnd"/>
          </w:p>
          <w:p w14:paraId="091A7DD8" w14:textId="77777777" w:rsidR="00611C54" w:rsidRDefault="00611C54" w:rsidP="002F467C">
            <w:pPr>
              <w:pStyle w:val="NormalWeb"/>
              <w:spacing w:before="0" w:beforeAutospacing="0" w:after="0" w:afterAutospacing="0"/>
              <w:ind w:right="-334"/>
              <w:rPr>
                <w:rFonts w:ascii="Calibri" w:hAnsi="Calibri" w:cs="Tahoma"/>
                <w:bCs/>
                <w:sz w:val="24"/>
                <w:szCs w:val="24"/>
              </w:rPr>
            </w:pPr>
          </w:p>
          <w:p w14:paraId="585A7027" w14:textId="757E3586" w:rsidR="00611C54"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1</w:t>
            </w:r>
            <w:r w:rsidRPr="00BB1492">
              <w:rPr>
                <w:rFonts w:ascii="Calibri" w:hAnsi="Calibri" w:cs="Tahoma"/>
                <w:bCs/>
                <w:sz w:val="24"/>
                <w:szCs w:val="24"/>
                <w:vertAlign w:val="superscript"/>
              </w:rPr>
              <w:t>st</w:t>
            </w:r>
            <w:r>
              <w:rPr>
                <w:rFonts w:ascii="Calibri" w:hAnsi="Calibri" w:cs="Tahoma"/>
                <w:bCs/>
                <w:sz w:val="24"/>
                <w:szCs w:val="24"/>
              </w:rPr>
              <w:t xml:space="preserve"> marker:</w:t>
            </w:r>
            <w:r w:rsidR="00D311F8">
              <w:rPr>
                <w:rFonts w:ascii="Calibri" w:hAnsi="Calibri" w:cs="Tahoma"/>
                <w:bCs/>
                <w:sz w:val="24"/>
                <w:szCs w:val="24"/>
              </w:rPr>
              <w:t xml:space="preserve"> Nick Campion</w:t>
            </w:r>
          </w:p>
          <w:p w14:paraId="208D7A36" w14:textId="77777777" w:rsidR="00611C54" w:rsidRDefault="00611C54" w:rsidP="002F467C">
            <w:pPr>
              <w:pStyle w:val="NormalWeb"/>
              <w:spacing w:before="0" w:beforeAutospacing="0" w:after="0" w:afterAutospacing="0"/>
              <w:ind w:right="-334"/>
              <w:rPr>
                <w:rFonts w:ascii="Calibri" w:hAnsi="Calibri" w:cs="Tahoma"/>
                <w:bCs/>
                <w:sz w:val="24"/>
                <w:szCs w:val="24"/>
              </w:rPr>
            </w:pPr>
          </w:p>
          <w:p w14:paraId="6E962EA0" w14:textId="2FEBEE72" w:rsidR="00611C54"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2</w:t>
            </w:r>
            <w:r w:rsidRPr="00BB1492">
              <w:rPr>
                <w:rFonts w:ascii="Calibri" w:hAnsi="Calibri" w:cs="Tahoma"/>
                <w:bCs/>
                <w:sz w:val="24"/>
                <w:szCs w:val="24"/>
                <w:vertAlign w:val="superscript"/>
              </w:rPr>
              <w:t>nd</w:t>
            </w:r>
            <w:r>
              <w:rPr>
                <w:rFonts w:ascii="Calibri" w:hAnsi="Calibri" w:cs="Tahoma"/>
                <w:bCs/>
                <w:sz w:val="24"/>
                <w:szCs w:val="24"/>
              </w:rPr>
              <w:t xml:space="preserve"> marker:</w:t>
            </w:r>
            <w:r w:rsidR="00D311F8">
              <w:rPr>
                <w:rFonts w:ascii="Calibri" w:hAnsi="Calibri" w:cs="Tahoma"/>
                <w:bCs/>
                <w:sz w:val="24"/>
                <w:szCs w:val="24"/>
              </w:rPr>
              <w:t xml:space="preserve"> Carole Taylor</w:t>
            </w:r>
          </w:p>
          <w:p w14:paraId="12879522" w14:textId="77777777" w:rsidR="00611C54" w:rsidRDefault="00611C54" w:rsidP="002F467C">
            <w:pPr>
              <w:pStyle w:val="NormalWeb"/>
              <w:spacing w:before="0" w:beforeAutospacing="0" w:after="0" w:afterAutospacing="0"/>
              <w:ind w:right="-334"/>
              <w:rPr>
                <w:rFonts w:ascii="Calibri" w:hAnsi="Calibri" w:cs="Tahoma"/>
                <w:bCs/>
                <w:sz w:val="24"/>
                <w:szCs w:val="24"/>
              </w:rPr>
            </w:pPr>
          </w:p>
        </w:tc>
        <w:tc>
          <w:tcPr>
            <w:tcW w:w="3562" w:type="dxa"/>
            <w:gridSpan w:val="2"/>
          </w:tcPr>
          <w:p w14:paraId="7670E721" w14:textId="392B3514" w:rsidR="00611C54" w:rsidRPr="002F467C" w:rsidRDefault="00611C54"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Date</w:t>
            </w:r>
            <w:r w:rsidR="00D311F8">
              <w:rPr>
                <w:rFonts w:ascii="Calibri" w:hAnsi="Calibri" w:cs="Tahoma"/>
                <w:bCs/>
                <w:sz w:val="24"/>
                <w:szCs w:val="24"/>
              </w:rPr>
              <w:t xml:space="preserve"> 08/11/2023</w:t>
            </w:r>
          </w:p>
        </w:tc>
      </w:tr>
      <w:tr w:rsidR="00B12C4F" w:rsidRPr="002F467C" w14:paraId="4627A8C9" w14:textId="77777777" w:rsidTr="00E655F1">
        <w:trPr>
          <w:trHeight w:val="720"/>
        </w:trPr>
        <w:tc>
          <w:tcPr>
            <w:tcW w:w="8630" w:type="dxa"/>
            <w:gridSpan w:val="3"/>
          </w:tcPr>
          <w:p w14:paraId="4C9B93C9" w14:textId="77777777" w:rsidR="00B12C4F" w:rsidRPr="00BB1492" w:rsidRDefault="00611C54" w:rsidP="00B12C4F">
            <w:pPr>
              <w:pStyle w:val="NormalWeb"/>
              <w:spacing w:before="0" w:beforeAutospacing="0" w:after="0" w:afterAutospacing="0"/>
              <w:ind w:left="142" w:right="34"/>
              <w:rPr>
                <w:rFonts w:ascii="Calibri" w:hAnsi="Calibri" w:cs="Tahoma"/>
                <w:i/>
                <w:sz w:val="24"/>
                <w:szCs w:val="24"/>
              </w:rPr>
            </w:pPr>
            <w:r w:rsidRPr="00BB1492">
              <w:rPr>
                <w:rFonts w:ascii="Calibri" w:hAnsi="Calibri" w:cs="Tahoma"/>
                <w:sz w:val="24"/>
                <w:szCs w:val="24"/>
              </w:rPr>
              <w:t xml:space="preserve">Comments </w:t>
            </w:r>
            <w:r w:rsidRPr="00BB1492">
              <w:rPr>
                <w:rFonts w:ascii="Calibri" w:hAnsi="Calibri" w:cs="Tahoma"/>
                <w:i/>
                <w:sz w:val="24"/>
                <w:szCs w:val="24"/>
              </w:rPr>
              <w:t xml:space="preserve">(for completion by the internal markers which </w:t>
            </w:r>
            <w:r w:rsidR="00030CB5" w:rsidRPr="00030CB5">
              <w:rPr>
                <w:rFonts w:ascii="Calibri" w:hAnsi="Calibri" w:cs="Tahoma"/>
                <w:i/>
                <w:sz w:val="24"/>
                <w:szCs w:val="24"/>
              </w:rPr>
              <w:t>indicate</w:t>
            </w:r>
            <w:r w:rsidRPr="00BB1492">
              <w:rPr>
                <w:rFonts w:ascii="Calibri" w:hAnsi="Calibri" w:cs="Tahoma"/>
                <w:i/>
                <w:sz w:val="24"/>
                <w:szCs w:val="24"/>
              </w:rPr>
              <w:t xml:space="preserve"> how the agreed internal mark has been arrived at):</w:t>
            </w:r>
          </w:p>
          <w:p w14:paraId="07816C13" w14:textId="77777777" w:rsidR="00611C54" w:rsidRPr="00C87244" w:rsidRDefault="00611C54" w:rsidP="00B12C4F">
            <w:pPr>
              <w:pStyle w:val="NormalWeb"/>
              <w:spacing w:before="0" w:beforeAutospacing="0" w:after="0" w:afterAutospacing="0"/>
              <w:ind w:left="142" w:right="34"/>
              <w:rPr>
                <w:rFonts w:ascii="Calibri" w:hAnsi="Calibri" w:cs="Tahoma"/>
                <w:b/>
                <w:i/>
                <w:sz w:val="24"/>
                <w:szCs w:val="24"/>
              </w:rPr>
            </w:pPr>
          </w:p>
          <w:p w14:paraId="0B1BD784" w14:textId="77777777" w:rsidR="00B12C4F" w:rsidRPr="002F467C" w:rsidRDefault="00B12C4F" w:rsidP="002F467C">
            <w:pPr>
              <w:pStyle w:val="NormalWeb"/>
              <w:spacing w:before="0" w:beforeAutospacing="0" w:after="0" w:afterAutospacing="0"/>
              <w:ind w:right="-334"/>
              <w:rPr>
                <w:rFonts w:ascii="Calibri" w:hAnsi="Calibri" w:cs="Tahoma"/>
                <w:bCs/>
                <w:sz w:val="24"/>
                <w:szCs w:val="24"/>
              </w:rPr>
            </w:pPr>
          </w:p>
        </w:tc>
      </w:tr>
      <w:tr w:rsidR="00611C54" w:rsidRPr="002F467C" w14:paraId="6F2BDD93" w14:textId="77777777" w:rsidTr="00E655F1">
        <w:trPr>
          <w:trHeight w:val="720"/>
        </w:trPr>
        <w:tc>
          <w:tcPr>
            <w:tcW w:w="8630" w:type="dxa"/>
            <w:gridSpan w:val="3"/>
          </w:tcPr>
          <w:p w14:paraId="7A830BF2" w14:textId="77777777" w:rsidR="00611C54" w:rsidRPr="00C87244" w:rsidRDefault="00611C54" w:rsidP="00611C54">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106E3675" w14:textId="77777777" w:rsidR="00611C54" w:rsidRPr="002F467C" w:rsidRDefault="00611C54" w:rsidP="00B12C4F">
            <w:pPr>
              <w:pStyle w:val="NormalWeb"/>
              <w:spacing w:before="0" w:beforeAutospacing="0" w:after="0" w:afterAutospacing="0"/>
              <w:ind w:left="142" w:right="34"/>
              <w:rPr>
                <w:rFonts w:ascii="Calibri" w:hAnsi="Calibri" w:cs="Tahoma"/>
                <w:b/>
                <w:i/>
                <w:sz w:val="24"/>
                <w:szCs w:val="24"/>
              </w:rPr>
            </w:pPr>
          </w:p>
        </w:tc>
      </w:tr>
    </w:tbl>
    <w:p w14:paraId="00E03DA7"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35A9DCDA"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p w14:paraId="508A5EFA" w14:textId="77777777" w:rsidR="000653A2" w:rsidRDefault="000653A2" w:rsidP="00FA07E9">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0653A2" w:rsidRPr="002F467C" w14:paraId="2B98CE95" w14:textId="77777777" w:rsidTr="000653A2">
        <w:tc>
          <w:tcPr>
            <w:tcW w:w="8856" w:type="dxa"/>
          </w:tcPr>
          <w:p w14:paraId="676A8292"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14:paraId="7C200E80"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74D9412E"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4DA66524"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0382F16B"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51745975"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7798B132"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37D2C73F"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2C328DEF"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2A7BDFB2"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6D416948"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0170E326"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62C6E32C"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0305FBEF"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179EC2D0"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40A467E0"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7E31E3B3"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5AF9365F"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25A7CD87"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p w14:paraId="318486EA"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443894CD"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49B1557D"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33296E28"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5773D4E3"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11BAF8EF"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4CECB4F3"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2FE6BD19"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41F1345C" w14:textId="77777777" w:rsidR="000653A2" w:rsidRDefault="000653A2" w:rsidP="000653A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5D7283D0" w14:textId="77777777" w:rsidR="000653A2" w:rsidRDefault="000653A2" w:rsidP="000653A2">
            <w:pPr>
              <w:pStyle w:val="NormalWeb"/>
              <w:spacing w:before="0" w:beforeAutospacing="0" w:after="0" w:afterAutospacing="0"/>
              <w:ind w:right="-334"/>
              <w:rPr>
                <w:rFonts w:ascii="Calibri" w:hAnsi="Calibri" w:cs="Tahoma"/>
                <w:bCs/>
                <w:sz w:val="24"/>
                <w:szCs w:val="24"/>
              </w:rPr>
            </w:pPr>
          </w:p>
          <w:p w14:paraId="0D37ACF7"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2BF33083" w14:textId="77777777" w:rsidR="000653A2" w:rsidRPr="002F467C" w:rsidRDefault="000653A2" w:rsidP="000653A2">
            <w:pPr>
              <w:pStyle w:val="NormalWeb"/>
              <w:spacing w:before="0" w:beforeAutospacing="0" w:after="0" w:afterAutospacing="0"/>
              <w:ind w:right="-334"/>
              <w:rPr>
                <w:rFonts w:ascii="Calibri" w:hAnsi="Calibri" w:cs="Tahoma"/>
                <w:bCs/>
                <w:sz w:val="24"/>
                <w:szCs w:val="24"/>
              </w:rPr>
            </w:pPr>
          </w:p>
        </w:tc>
      </w:tr>
      <w:tr w:rsidR="000653A2" w:rsidRPr="002F467C" w14:paraId="6BE25C55" w14:textId="77777777" w:rsidTr="000653A2">
        <w:trPr>
          <w:trHeight w:val="720"/>
        </w:trPr>
        <w:tc>
          <w:tcPr>
            <w:tcW w:w="8856" w:type="dxa"/>
          </w:tcPr>
          <w:p w14:paraId="2039FE6D" w14:textId="77777777" w:rsidR="000653A2" w:rsidRPr="002F467C" w:rsidRDefault="000653A2" w:rsidP="000653A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Final Agreed Mark:</w:t>
            </w:r>
          </w:p>
        </w:tc>
      </w:tr>
      <w:tr w:rsidR="007115BB" w:rsidRPr="002F467C" w14:paraId="3BC1E084" w14:textId="77777777" w:rsidTr="000653A2">
        <w:trPr>
          <w:trHeight w:val="720"/>
        </w:trPr>
        <w:tc>
          <w:tcPr>
            <w:tcW w:w="8856" w:type="dxa"/>
          </w:tcPr>
          <w:p w14:paraId="65FD26AE" w14:textId="77777777" w:rsidR="007115BB" w:rsidRDefault="007115BB" w:rsidP="000653A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Comments (to indicate how the final agreed mark has been arrived at):</w:t>
            </w:r>
          </w:p>
        </w:tc>
      </w:tr>
    </w:tbl>
    <w:p w14:paraId="17CEF2BC" w14:textId="77777777" w:rsidR="000653A2" w:rsidRPr="00D67BF8" w:rsidRDefault="000653A2" w:rsidP="00FA07E9">
      <w:pPr>
        <w:pStyle w:val="NormalWeb"/>
        <w:spacing w:before="0" w:beforeAutospacing="0" w:after="0" w:afterAutospacing="0"/>
        <w:ind w:right="-334"/>
        <w:rPr>
          <w:rFonts w:ascii="Trebuchet MS" w:hAnsi="Trebuchet MS" w:cs="Tahoma"/>
          <w:bCs/>
          <w:sz w:val="24"/>
          <w:szCs w:val="24"/>
        </w:rPr>
      </w:pPr>
    </w:p>
    <w:sectPr w:rsidR="000653A2" w:rsidRPr="00D67BF8" w:rsidSect="00831500">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ADC87" w14:textId="77777777" w:rsidR="00831500" w:rsidRDefault="00831500" w:rsidP="00AD5D5A">
      <w:r>
        <w:separator/>
      </w:r>
    </w:p>
  </w:endnote>
  <w:endnote w:type="continuationSeparator" w:id="0">
    <w:p w14:paraId="544BA78D" w14:textId="77777777" w:rsidR="00831500" w:rsidRDefault="00831500"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Helvetica Neue">
    <w:altName w:val="Times New Roman"/>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3DE3B" w14:textId="77777777" w:rsidR="000653A2" w:rsidRPr="00337A70" w:rsidRDefault="000653A2">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8703B" w14:textId="77777777" w:rsidR="00831500" w:rsidRDefault="00831500" w:rsidP="00AD5D5A">
      <w:r>
        <w:separator/>
      </w:r>
    </w:p>
  </w:footnote>
  <w:footnote w:type="continuationSeparator" w:id="0">
    <w:p w14:paraId="63F71B28" w14:textId="77777777" w:rsidR="00831500" w:rsidRDefault="00831500"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1880240">
    <w:abstractNumId w:val="18"/>
  </w:num>
  <w:num w:numId="2" w16cid:durableId="2034072735">
    <w:abstractNumId w:val="20"/>
  </w:num>
  <w:num w:numId="3" w16cid:durableId="2023049600">
    <w:abstractNumId w:val="9"/>
  </w:num>
  <w:num w:numId="4" w16cid:durableId="95369879">
    <w:abstractNumId w:val="6"/>
  </w:num>
  <w:num w:numId="5" w16cid:durableId="778452604">
    <w:abstractNumId w:val="2"/>
  </w:num>
  <w:num w:numId="6" w16cid:durableId="879249237">
    <w:abstractNumId w:val="4"/>
  </w:num>
  <w:num w:numId="7" w16cid:durableId="436558557">
    <w:abstractNumId w:val="13"/>
  </w:num>
  <w:num w:numId="8" w16cid:durableId="1586571589">
    <w:abstractNumId w:val="21"/>
  </w:num>
  <w:num w:numId="9" w16cid:durableId="537209170">
    <w:abstractNumId w:val="23"/>
  </w:num>
  <w:num w:numId="10" w16cid:durableId="467599600">
    <w:abstractNumId w:val="5"/>
  </w:num>
  <w:num w:numId="11" w16cid:durableId="1833597319">
    <w:abstractNumId w:val="19"/>
  </w:num>
  <w:num w:numId="12" w16cid:durableId="1641032144">
    <w:abstractNumId w:val="22"/>
  </w:num>
  <w:num w:numId="13" w16cid:durableId="112674861">
    <w:abstractNumId w:val="11"/>
  </w:num>
  <w:num w:numId="14" w16cid:durableId="2028869866">
    <w:abstractNumId w:val="14"/>
  </w:num>
  <w:num w:numId="15" w16cid:durableId="1389768938">
    <w:abstractNumId w:val="16"/>
  </w:num>
  <w:num w:numId="16" w16cid:durableId="15218464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55259857">
    <w:abstractNumId w:val="10"/>
  </w:num>
  <w:num w:numId="18" w16cid:durableId="106622715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620234332">
    <w:abstractNumId w:val="12"/>
  </w:num>
  <w:num w:numId="20" w16cid:durableId="1892577069">
    <w:abstractNumId w:val="17"/>
  </w:num>
  <w:num w:numId="21" w16cid:durableId="1115253238">
    <w:abstractNumId w:val="3"/>
  </w:num>
  <w:num w:numId="22" w16cid:durableId="850409841">
    <w:abstractNumId w:val="7"/>
  </w:num>
  <w:num w:numId="23" w16cid:durableId="156388977">
    <w:abstractNumId w:val="15"/>
  </w:num>
  <w:num w:numId="24" w16cid:durableId="227611624">
    <w:abstractNumId w:val="8"/>
  </w:num>
  <w:num w:numId="25" w16cid:durableId="874344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13545"/>
    <w:rsid w:val="00023612"/>
    <w:rsid w:val="00025EE7"/>
    <w:rsid w:val="00026363"/>
    <w:rsid w:val="00030CB5"/>
    <w:rsid w:val="00043549"/>
    <w:rsid w:val="00046A16"/>
    <w:rsid w:val="00047074"/>
    <w:rsid w:val="000653A2"/>
    <w:rsid w:val="00076A0B"/>
    <w:rsid w:val="000854DF"/>
    <w:rsid w:val="000A6D49"/>
    <w:rsid w:val="000C2809"/>
    <w:rsid w:val="000C6989"/>
    <w:rsid w:val="000E3682"/>
    <w:rsid w:val="000E3751"/>
    <w:rsid w:val="000F3A14"/>
    <w:rsid w:val="000F74D0"/>
    <w:rsid w:val="0010199D"/>
    <w:rsid w:val="001070F2"/>
    <w:rsid w:val="00111283"/>
    <w:rsid w:val="0011161A"/>
    <w:rsid w:val="00155BF1"/>
    <w:rsid w:val="00172497"/>
    <w:rsid w:val="00191A3E"/>
    <w:rsid w:val="001C0B52"/>
    <w:rsid w:val="001C118F"/>
    <w:rsid w:val="001C4B2D"/>
    <w:rsid w:val="001E0E06"/>
    <w:rsid w:val="001F4CE1"/>
    <w:rsid w:val="002132DC"/>
    <w:rsid w:val="00216211"/>
    <w:rsid w:val="00217674"/>
    <w:rsid w:val="00224B95"/>
    <w:rsid w:val="002425A1"/>
    <w:rsid w:val="002517EE"/>
    <w:rsid w:val="0025530E"/>
    <w:rsid w:val="002715FA"/>
    <w:rsid w:val="00276002"/>
    <w:rsid w:val="00277421"/>
    <w:rsid w:val="00290783"/>
    <w:rsid w:val="002D2A04"/>
    <w:rsid w:val="002D5300"/>
    <w:rsid w:val="002E2BA0"/>
    <w:rsid w:val="002E67CE"/>
    <w:rsid w:val="002F1475"/>
    <w:rsid w:val="002F467C"/>
    <w:rsid w:val="00305185"/>
    <w:rsid w:val="00307B22"/>
    <w:rsid w:val="003239D8"/>
    <w:rsid w:val="00326631"/>
    <w:rsid w:val="00332D3D"/>
    <w:rsid w:val="00337A70"/>
    <w:rsid w:val="00341D2F"/>
    <w:rsid w:val="00353CCC"/>
    <w:rsid w:val="0038342D"/>
    <w:rsid w:val="003979F9"/>
    <w:rsid w:val="003C3F4F"/>
    <w:rsid w:val="003C7F6F"/>
    <w:rsid w:val="003E08F3"/>
    <w:rsid w:val="003E16ED"/>
    <w:rsid w:val="003E3DDD"/>
    <w:rsid w:val="003F0AD2"/>
    <w:rsid w:val="003F737B"/>
    <w:rsid w:val="0040732D"/>
    <w:rsid w:val="0041451E"/>
    <w:rsid w:val="00415A48"/>
    <w:rsid w:val="004250DD"/>
    <w:rsid w:val="0043758C"/>
    <w:rsid w:val="0044129B"/>
    <w:rsid w:val="00447497"/>
    <w:rsid w:val="00460A5C"/>
    <w:rsid w:val="004627BA"/>
    <w:rsid w:val="00467B87"/>
    <w:rsid w:val="004724D6"/>
    <w:rsid w:val="00475C78"/>
    <w:rsid w:val="004A024B"/>
    <w:rsid w:val="004B73BA"/>
    <w:rsid w:val="004C79CE"/>
    <w:rsid w:val="004E506B"/>
    <w:rsid w:val="00520027"/>
    <w:rsid w:val="00521E0F"/>
    <w:rsid w:val="00522F7A"/>
    <w:rsid w:val="00531109"/>
    <w:rsid w:val="00536483"/>
    <w:rsid w:val="00537B4C"/>
    <w:rsid w:val="005429EF"/>
    <w:rsid w:val="005627D4"/>
    <w:rsid w:val="00570F60"/>
    <w:rsid w:val="00580AC9"/>
    <w:rsid w:val="0058726A"/>
    <w:rsid w:val="00590E9A"/>
    <w:rsid w:val="005942E9"/>
    <w:rsid w:val="0059597C"/>
    <w:rsid w:val="005A7B21"/>
    <w:rsid w:val="005B53A2"/>
    <w:rsid w:val="005C6560"/>
    <w:rsid w:val="006027FE"/>
    <w:rsid w:val="00610318"/>
    <w:rsid w:val="00611C54"/>
    <w:rsid w:val="0063236E"/>
    <w:rsid w:val="00632937"/>
    <w:rsid w:val="0065654E"/>
    <w:rsid w:val="00662A40"/>
    <w:rsid w:val="0066670A"/>
    <w:rsid w:val="006805EC"/>
    <w:rsid w:val="00691819"/>
    <w:rsid w:val="00693C4D"/>
    <w:rsid w:val="006A205D"/>
    <w:rsid w:val="006A47C4"/>
    <w:rsid w:val="006A65E9"/>
    <w:rsid w:val="006B68E7"/>
    <w:rsid w:val="006C0A3A"/>
    <w:rsid w:val="006C5E96"/>
    <w:rsid w:val="007115BB"/>
    <w:rsid w:val="00716C88"/>
    <w:rsid w:val="007454B8"/>
    <w:rsid w:val="00751BE2"/>
    <w:rsid w:val="00754445"/>
    <w:rsid w:val="00765417"/>
    <w:rsid w:val="00765D22"/>
    <w:rsid w:val="00770733"/>
    <w:rsid w:val="00773D0E"/>
    <w:rsid w:val="00782C3A"/>
    <w:rsid w:val="00783FEF"/>
    <w:rsid w:val="007860D1"/>
    <w:rsid w:val="00790E2F"/>
    <w:rsid w:val="007B721A"/>
    <w:rsid w:val="007C098A"/>
    <w:rsid w:val="007C6F33"/>
    <w:rsid w:val="007D7715"/>
    <w:rsid w:val="00823895"/>
    <w:rsid w:val="008308CD"/>
    <w:rsid w:val="00831500"/>
    <w:rsid w:val="0083442E"/>
    <w:rsid w:val="00840B95"/>
    <w:rsid w:val="0084272E"/>
    <w:rsid w:val="00843DE9"/>
    <w:rsid w:val="00860711"/>
    <w:rsid w:val="00882983"/>
    <w:rsid w:val="0089447F"/>
    <w:rsid w:val="008A4DCC"/>
    <w:rsid w:val="008B3A97"/>
    <w:rsid w:val="008D03F0"/>
    <w:rsid w:val="008D674F"/>
    <w:rsid w:val="008E525C"/>
    <w:rsid w:val="00901157"/>
    <w:rsid w:val="0090710A"/>
    <w:rsid w:val="00911414"/>
    <w:rsid w:val="00914769"/>
    <w:rsid w:val="009721B4"/>
    <w:rsid w:val="00973B44"/>
    <w:rsid w:val="009801D3"/>
    <w:rsid w:val="00995FE9"/>
    <w:rsid w:val="009972D9"/>
    <w:rsid w:val="009A3D0A"/>
    <w:rsid w:val="009A4CA7"/>
    <w:rsid w:val="009B2D10"/>
    <w:rsid w:val="009C01A3"/>
    <w:rsid w:val="009C396A"/>
    <w:rsid w:val="00A00C58"/>
    <w:rsid w:val="00A02C62"/>
    <w:rsid w:val="00A05D32"/>
    <w:rsid w:val="00A06B94"/>
    <w:rsid w:val="00A2073F"/>
    <w:rsid w:val="00A303FE"/>
    <w:rsid w:val="00A41032"/>
    <w:rsid w:val="00A41AF9"/>
    <w:rsid w:val="00A507E4"/>
    <w:rsid w:val="00A534E4"/>
    <w:rsid w:val="00A54123"/>
    <w:rsid w:val="00A62E68"/>
    <w:rsid w:val="00A72B9E"/>
    <w:rsid w:val="00A86B83"/>
    <w:rsid w:val="00A91DD6"/>
    <w:rsid w:val="00A972E4"/>
    <w:rsid w:val="00A9744A"/>
    <w:rsid w:val="00AA10E7"/>
    <w:rsid w:val="00AC36E3"/>
    <w:rsid w:val="00AC6213"/>
    <w:rsid w:val="00AD0948"/>
    <w:rsid w:val="00AD5D5A"/>
    <w:rsid w:val="00AE3217"/>
    <w:rsid w:val="00B11E29"/>
    <w:rsid w:val="00B12C4F"/>
    <w:rsid w:val="00B35691"/>
    <w:rsid w:val="00B36F4A"/>
    <w:rsid w:val="00B42501"/>
    <w:rsid w:val="00B45FEF"/>
    <w:rsid w:val="00B72F46"/>
    <w:rsid w:val="00B76A15"/>
    <w:rsid w:val="00B81E5D"/>
    <w:rsid w:val="00B856B3"/>
    <w:rsid w:val="00B96983"/>
    <w:rsid w:val="00B9724B"/>
    <w:rsid w:val="00BA6153"/>
    <w:rsid w:val="00BB1492"/>
    <w:rsid w:val="00BC17F1"/>
    <w:rsid w:val="00BC5F43"/>
    <w:rsid w:val="00BE7B7A"/>
    <w:rsid w:val="00BF22DC"/>
    <w:rsid w:val="00BF3D29"/>
    <w:rsid w:val="00BF6291"/>
    <w:rsid w:val="00C129C7"/>
    <w:rsid w:val="00C22A88"/>
    <w:rsid w:val="00C338E6"/>
    <w:rsid w:val="00C65E7F"/>
    <w:rsid w:val="00C87244"/>
    <w:rsid w:val="00C93CD4"/>
    <w:rsid w:val="00CA77FF"/>
    <w:rsid w:val="00CC52A3"/>
    <w:rsid w:val="00CE3B79"/>
    <w:rsid w:val="00D0754F"/>
    <w:rsid w:val="00D311F8"/>
    <w:rsid w:val="00D328AB"/>
    <w:rsid w:val="00D429CC"/>
    <w:rsid w:val="00D459DC"/>
    <w:rsid w:val="00D56EFA"/>
    <w:rsid w:val="00D67BF8"/>
    <w:rsid w:val="00D77E58"/>
    <w:rsid w:val="00DA3217"/>
    <w:rsid w:val="00DA3E0F"/>
    <w:rsid w:val="00DB185F"/>
    <w:rsid w:val="00DB43BB"/>
    <w:rsid w:val="00DD363B"/>
    <w:rsid w:val="00DE54B1"/>
    <w:rsid w:val="00E3766D"/>
    <w:rsid w:val="00E46ADE"/>
    <w:rsid w:val="00E52511"/>
    <w:rsid w:val="00E57529"/>
    <w:rsid w:val="00E655F1"/>
    <w:rsid w:val="00E84F5D"/>
    <w:rsid w:val="00EC7546"/>
    <w:rsid w:val="00ED6CD2"/>
    <w:rsid w:val="00EE6780"/>
    <w:rsid w:val="00F1661E"/>
    <w:rsid w:val="00F2453C"/>
    <w:rsid w:val="00F34605"/>
    <w:rsid w:val="00F346BE"/>
    <w:rsid w:val="00F64E48"/>
    <w:rsid w:val="00F73533"/>
    <w:rsid w:val="00F76C18"/>
    <w:rsid w:val="00FA07E9"/>
    <w:rsid w:val="00FA2A4C"/>
    <w:rsid w:val="00FD1F07"/>
    <w:rsid w:val="00FE1F4E"/>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CF7B74"/>
  <w15:chartTrackingRefBased/>
  <w15:docId w15:val="{A34E2427-3ABE-524F-A582-926F6CDDA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Revision">
    <w:name w:val="Revision"/>
    <w:hidden/>
    <w:uiPriority w:val="99"/>
    <w:semiHidden/>
    <w:rsid w:val="00467B87"/>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8CB24D-B13F-D648-BE16-36AA0EA60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705</Words>
  <Characters>4024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Frances Clynes</cp:lastModifiedBy>
  <cp:revision>2</cp:revision>
  <cp:lastPrinted>2023-09-16T11:44:00Z</cp:lastPrinted>
  <dcterms:created xsi:type="dcterms:W3CDTF">2024-04-27T15:25:00Z</dcterms:created>
  <dcterms:modified xsi:type="dcterms:W3CDTF">2024-04-27T15:25:00Z</dcterms:modified>
</cp:coreProperties>
</file>