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4FE" w:rsidRDefault="00AB14FE" w:rsidP="00AB14FE">
      <w:pPr>
        <w:ind w:left="720"/>
        <w:jc w:val="center"/>
        <w:rPr>
          <w:b/>
          <w:sz w:val="24"/>
          <w:szCs w:val="24"/>
        </w:rPr>
      </w:pPr>
      <w:r>
        <w:rPr>
          <w:b/>
          <w:sz w:val="24"/>
          <w:szCs w:val="24"/>
        </w:rPr>
        <w:t xml:space="preserve">Section 4 </w:t>
      </w:r>
    </w:p>
    <w:p w:rsidR="00AB14FE" w:rsidRDefault="00AB14FE" w:rsidP="00AB14FE">
      <w:pPr>
        <w:rPr>
          <w:b/>
          <w:sz w:val="24"/>
          <w:szCs w:val="24"/>
        </w:rPr>
      </w:pPr>
    </w:p>
    <w:p w:rsidR="00AB14FE" w:rsidRPr="00E559CE" w:rsidRDefault="00AB14FE" w:rsidP="00AB14FE">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AB14FE" w:rsidRDefault="00AB14FE" w:rsidP="00AB14FE">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B14FE" w:rsidRPr="008B28E7" w:rsidTr="00521BEE">
        <w:tc>
          <w:tcPr>
            <w:tcW w:w="10188" w:type="dxa"/>
            <w:shd w:val="clear" w:color="auto" w:fill="auto"/>
          </w:tcPr>
          <w:p w:rsidR="00AB14FE" w:rsidRDefault="00AB14FE" w:rsidP="00521BEE">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AB14FE" w:rsidRDefault="00AB14FE" w:rsidP="00521BEE">
            <w:pPr>
              <w:jc w:val="both"/>
              <w:rPr>
                <w:sz w:val="24"/>
                <w:szCs w:val="24"/>
              </w:rPr>
            </w:pPr>
          </w:p>
          <w:p w:rsidR="00AB14FE" w:rsidRPr="008B28E7" w:rsidRDefault="00AB14FE" w:rsidP="00521BEE">
            <w:pPr>
              <w:jc w:val="both"/>
              <w:rPr>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tc>
      </w:tr>
    </w:tbl>
    <w:p w:rsidR="00AB14FE" w:rsidRDefault="00AB14FE" w:rsidP="00AB14FE">
      <w:pPr>
        <w:jc w:val="both"/>
        <w:rPr>
          <w:sz w:val="24"/>
          <w:szCs w:val="24"/>
        </w:rPr>
      </w:pPr>
    </w:p>
    <w:p w:rsidR="00AB14FE" w:rsidRPr="008B28E7" w:rsidRDefault="00AB14FE" w:rsidP="00AB14FE">
      <w:pPr>
        <w:jc w:val="both"/>
        <w:rPr>
          <w:b/>
          <w:sz w:val="24"/>
          <w:szCs w:val="24"/>
        </w:rPr>
      </w:pPr>
    </w:p>
    <w:p w:rsidR="00AB14FE" w:rsidRPr="008A092E" w:rsidRDefault="00AB14FE" w:rsidP="00AB14FE">
      <w:pPr>
        <w:textAlignment w:val="auto"/>
        <w:rPr>
          <w:sz w:val="24"/>
          <w:szCs w:val="24"/>
        </w:rPr>
      </w:pPr>
      <w:r w:rsidRPr="008A092E">
        <w:rPr>
          <w:sz w:val="24"/>
          <w:szCs w:val="24"/>
        </w:rPr>
        <w:t>In this essay I will critically reflect upon a case study in relation to Safeguarding in which I was professionally involved. I will begin by giving a brief descriptive background to the case and geographical context. I will then discuss and reflect upon areas within safeguarding legislations that governs and guides my practice, including some discussion around social service provision within European Convention on Human Rights</w:t>
      </w:r>
      <w:r w:rsidR="00E70A8F">
        <w:rPr>
          <w:sz w:val="24"/>
          <w:szCs w:val="24"/>
        </w:rPr>
        <w:t xml:space="preserve"> 1998</w:t>
      </w:r>
      <w:r w:rsidRPr="008A092E">
        <w:rPr>
          <w:sz w:val="24"/>
          <w:szCs w:val="24"/>
        </w:rPr>
        <w:t>. I will go on to discuss policies, strategies and procedures and how legislation relates to the case through looking at the codes of professional practice</w:t>
      </w:r>
      <w:r w:rsidR="00EB7A1D">
        <w:rPr>
          <w:sz w:val="24"/>
          <w:szCs w:val="24"/>
        </w:rPr>
        <w:t xml:space="preserve"> 2015</w:t>
      </w:r>
      <w:r w:rsidRPr="008A092E">
        <w:rPr>
          <w:sz w:val="24"/>
          <w:szCs w:val="24"/>
        </w:rPr>
        <w:t xml:space="preserve"> and national occupational standards</w:t>
      </w:r>
      <w:r w:rsidR="00EB7A1D">
        <w:rPr>
          <w:sz w:val="24"/>
          <w:szCs w:val="24"/>
        </w:rPr>
        <w:t xml:space="preserve"> (2014) Social Care Wales, 2017</w:t>
      </w:r>
      <w:r w:rsidRPr="008A092E">
        <w:rPr>
          <w:sz w:val="24"/>
          <w:szCs w:val="24"/>
        </w:rPr>
        <w:t xml:space="preserve">. I will also reflect upon conflicting issues between family and professionals and between professionals, by reflecting on complexity and professional judgement and how working collaboratively can become difficult in these situations and thereafter. Theories will be discussed throughout the essay as will the Welsh context and how this matters to the case. I will also reflect upon my own role within this case by following </w:t>
      </w:r>
      <w:proofErr w:type="spellStart"/>
      <w:r w:rsidRPr="008A092E">
        <w:rPr>
          <w:sz w:val="24"/>
          <w:szCs w:val="24"/>
        </w:rPr>
        <w:t>Borton</w:t>
      </w:r>
      <w:proofErr w:type="spellEnd"/>
      <w:r w:rsidRPr="008A092E">
        <w:rPr>
          <w:sz w:val="24"/>
          <w:szCs w:val="24"/>
        </w:rPr>
        <w:t xml:space="preserve"> (Maclean, 2010, 99) model of reflection, which I hope will assist me in producing a good critically reflective essay with regards to safeguarding. </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Pr>
          <w:sz w:val="24"/>
          <w:szCs w:val="24"/>
        </w:rPr>
        <w:t>The type of abuse investigated</w:t>
      </w:r>
      <w:r w:rsidRPr="008A092E">
        <w:rPr>
          <w:sz w:val="24"/>
          <w:szCs w:val="24"/>
        </w:rPr>
        <w:t xml:space="preserve"> in the case is neglect. The case in which this essay will be based upon is in relation to a relatively healthy and communicative 87 year old lady whose first language is Welsh. This lady lives with her adult son and his family in a small village on the outskirts of a seaside town. For the purpose of the essay I will refer to the lady as Individual 1. Individual 1 had lived with her son and his family for a number of years and although having a number of health issues, they were being well managed by the family through medication, ointments and a visit from the district nurse once a week and a carer once daily in the morning to assist with personal care. Individual 1 mostly stayed at home, unless the family were able to take her out in the car. She had declined local services such as day centre and socialisation and had the capacity to make these decisions</w:t>
      </w:r>
      <w:r w:rsidR="003C7199">
        <w:rPr>
          <w:sz w:val="24"/>
          <w:szCs w:val="24"/>
        </w:rPr>
        <w:t>;</w:t>
      </w:r>
      <w:r w:rsidR="00226AA9">
        <w:rPr>
          <w:sz w:val="24"/>
          <w:szCs w:val="24"/>
        </w:rPr>
        <w:t xml:space="preserve"> I will go on to discuss capacity later.</w:t>
      </w:r>
    </w:p>
    <w:p w:rsidR="00AB14FE" w:rsidRPr="008A092E" w:rsidRDefault="00AB14FE" w:rsidP="00AB14FE">
      <w:pPr>
        <w:textAlignment w:val="auto"/>
        <w:rPr>
          <w:sz w:val="24"/>
          <w:szCs w:val="24"/>
        </w:rPr>
      </w:pPr>
      <w:r w:rsidRPr="008A092E">
        <w:rPr>
          <w:sz w:val="24"/>
          <w:szCs w:val="24"/>
        </w:rPr>
        <w:t>The family had booked a holiday for one week and respite care was arranged for Individual 1 in a residential care home where her assessed needs would be well managed. During the assessment, following guidelines within the Social Services and Well-being (Wales) Act 2014 where there is a duty to assess a cared for individual (Part 3, 19), (legislation.gov.uk) I made a professional judgement with the agreement of Individual 1 and her family that she had a</w:t>
      </w:r>
      <w:r w:rsidR="00226AA9">
        <w:rPr>
          <w:sz w:val="24"/>
          <w:szCs w:val="24"/>
        </w:rPr>
        <w:t>n</w:t>
      </w:r>
      <w:r w:rsidRPr="008A092E">
        <w:rPr>
          <w:sz w:val="24"/>
          <w:szCs w:val="24"/>
        </w:rPr>
        <w:t xml:space="preserve"> eligible need and to meet </w:t>
      </w:r>
      <w:r w:rsidRPr="008A092E">
        <w:rPr>
          <w:sz w:val="24"/>
          <w:szCs w:val="24"/>
        </w:rPr>
        <w:lastRenderedPageBreak/>
        <w:t xml:space="preserve">those needs (Part 4, 32) a residential setting would be requested for the week the family were away. The assessment and care plan contained all the relevant information with regard to personal care and health routines and the chosen residential home agreed to meet those needs. Individual 1 agreed to her confidential information being shared with the relevant individuals in order that her care </w:t>
      </w:r>
      <w:proofErr w:type="gramStart"/>
      <w:r w:rsidRPr="008A092E">
        <w:rPr>
          <w:sz w:val="24"/>
          <w:szCs w:val="24"/>
        </w:rPr>
        <w:t>be</w:t>
      </w:r>
      <w:proofErr w:type="gramEnd"/>
      <w:r w:rsidRPr="008A092E">
        <w:rPr>
          <w:sz w:val="24"/>
          <w:szCs w:val="24"/>
        </w:rPr>
        <w:t xml:space="preserve"> carried out accordingly. The information was shared using General Data Protection Regulation (2016) (replaced the Data Protection Act 1998). </w:t>
      </w:r>
    </w:p>
    <w:p w:rsidR="00AB14FE" w:rsidRPr="008A092E" w:rsidRDefault="00AB14FE" w:rsidP="00AB14FE">
      <w:pPr>
        <w:textAlignment w:val="auto"/>
        <w:rPr>
          <w:sz w:val="24"/>
          <w:szCs w:val="24"/>
        </w:rPr>
      </w:pPr>
      <w:r w:rsidRPr="008A092E">
        <w:rPr>
          <w:sz w:val="24"/>
          <w:szCs w:val="24"/>
        </w:rPr>
        <w:t>Within two days of being in respite, Individual 1 had become very unwell with fluid built up in the legs to a point they were weeping and she had a very high temperature. Upon looking at the medication chart, I could see that she had not regularly had the medication prescribed to her, unknowing of the reason. I discussed the matter with the Manager and they were unaware of the issues and could therefore not give an explanation of why this error had occurred. At this point I asked that a Doctor be called, the family informed and explained that I would be making a Safeguarding referral as I felt neglect had happened here. I also shared this information with Individual 1.</w:t>
      </w:r>
    </w:p>
    <w:p w:rsidR="00AB14FE" w:rsidRPr="008A092E" w:rsidRDefault="00AB14FE" w:rsidP="00AB14FE">
      <w:pPr>
        <w:textAlignment w:val="auto"/>
        <w:rPr>
          <w:sz w:val="24"/>
          <w:szCs w:val="24"/>
        </w:rPr>
      </w:pPr>
      <w:r w:rsidRPr="008A092E">
        <w:rPr>
          <w:sz w:val="24"/>
          <w:szCs w:val="24"/>
        </w:rPr>
        <w:t>By day 3 Individual 1 was in hospital.</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I decided that this required a Safeguarding referral due to the potential neglectful actions of care staff and the manager being unaware of the errors. I also felt that as Individual 1 had become so unwell during such a short stay, matters should have been noticed sooner to prevent the hospital admission. The Social Services and Wellbeing (Wales) Act 2014</w:t>
      </w:r>
      <w:r w:rsidR="00D141C6">
        <w:rPr>
          <w:sz w:val="24"/>
          <w:szCs w:val="24"/>
        </w:rPr>
        <w:t>, section 7,</w:t>
      </w:r>
      <w:r w:rsidRPr="008A092E">
        <w:rPr>
          <w:sz w:val="24"/>
          <w:szCs w:val="24"/>
        </w:rPr>
        <w:t xml:space="preserve"> defines an ‘adult at risk’ as ‘an adult who is experiencing or is at risk of abuse or neglect, had </w:t>
      </w:r>
      <w:r>
        <w:rPr>
          <w:sz w:val="24"/>
          <w:szCs w:val="24"/>
        </w:rPr>
        <w:t>needs for care and support (</w:t>
      </w:r>
      <w:r w:rsidRPr="008A092E">
        <w:rPr>
          <w:sz w:val="24"/>
          <w:szCs w:val="24"/>
        </w:rPr>
        <w:t xml:space="preserve">whether or not the authority is meeting those needs) and as a result of those needs is unable to protect himself or herself against the abuse or neglect or the risk of it’ (legislation.gov.uk). </w:t>
      </w:r>
      <w:r>
        <w:rPr>
          <w:sz w:val="24"/>
          <w:szCs w:val="24"/>
        </w:rPr>
        <w:t>Given this definition, in my professional opinion, Individual 1 could be defined as an ‘adult at risk’.</w:t>
      </w:r>
      <w:r w:rsidRPr="008A092E">
        <w:rPr>
          <w:sz w:val="24"/>
          <w:szCs w:val="24"/>
        </w:rPr>
        <w:t xml:space="preserve"> The Act also puts a duty to report adults at risk upon any person suspecting that an ‘adult at risk’ is experiencing abuse or neglect. Abuse is defined as ‘physical, sexual, psychological, emotional or financial abuse (and includes abuse taking place in any setting, whether in a private dwelling, an institution or any other place), and financial abuse includes theft, fraud, pressure ab</w:t>
      </w:r>
      <w:r w:rsidR="00D141C6">
        <w:rPr>
          <w:sz w:val="24"/>
          <w:szCs w:val="24"/>
        </w:rPr>
        <w:t>out money or misuse of money’ (S</w:t>
      </w:r>
      <w:r w:rsidRPr="008A092E">
        <w:rPr>
          <w:sz w:val="24"/>
          <w:szCs w:val="24"/>
        </w:rPr>
        <w:t>ocial</w:t>
      </w:r>
      <w:r w:rsidR="00D141C6">
        <w:rPr>
          <w:sz w:val="24"/>
          <w:szCs w:val="24"/>
        </w:rPr>
        <w:t xml:space="preserve"> C</w:t>
      </w:r>
      <w:r w:rsidRPr="008A092E">
        <w:rPr>
          <w:sz w:val="24"/>
          <w:szCs w:val="24"/>
        </w:rPr>
        <w:t>are</w:t>
      </w:r>
      <w:r w:rsidR="00D141C6">
        <w:rPr>
          <w:sz w:val="24"/>
          <w:szCs w:val="24"/>
        </w:rPr>
        <w:t xml:space="preserve"> W</w:t>
      </w:r>
      <w:r w:rsidRPr="008A092E">
        <w:rPr>
          <w:sz w:val="24"/>
          <w:szCs w:val="24"/>
        </w:rPr>
        <w:t>ales</w:t>
      </w:r>
      <w:r w:rsidR="00D141C6">
        <w:rPr>
          <w:sz w:val="24"/>
          <w:szCs w:val="24"/>
        </w:rPr>
        <w:t>, (2017)</w:t>
      </w:r>
      <w:r w:rsidRPr="008A092E">
        <w:rPr>
          <w:sz w:val="24"/>
          <w:szCs w:val="24"/>
        </w:rPr>
        <w:t xml:space="preserve">). ‘Neglect means a failure to meet a person’s basic physical, emotional, social or psychological needs, which is likely to result in an impairment of the person’s well-being (for example, an impairment in the person’s health) </w:t>
      </w:r>
      <w:r w:rsidR="00D141C6">
        <w:rPr>
          <w:sz w:val="24"/>
          <w:szCs w:val="24"/>
        </w:rPr>
        <w:t>(S</w:t>
      </w:r>
      <w:r w:rsidR="00D141C6" w:rsidRPr="008A092E">
        <w:rPr>
          <w:sz w:val="24"/>
          <w:szCs w:val="24"/>
        </w:rPr>
        <w:t>ocial</w:t>
      </w:r>
      <w:r w:rsidR="00D141C6">
        <w:rPr>
          <w:sz w:val="24"/>
          <w:szCs w:val="24"/>
        </w:rPr>
        <w:t xml:space="preserve"> C</w:t>
      </w:r>
      <w:r w:rsidR="00D141C6" w:rsidRPr="008A092E">
        <w:rPr>
          <w:sz w:val="24"/>
          <w:szCs w:val="24"/>
        </w:rPr>
        <w:t>are</w:t>
      </w:r>
      <w:r w:rsidR="00D141C6">
        <w:rPr>
          <w:sz w:val="24"/>
          <w:szCs w:val="24"/>
        </w:rPr>
        <w:t xml:space="preserve"> W</w:t>
      </w:r>
      <w:r w:rsidR="00D141C6" w:rsidRPr="008A092E">
        <w:rPr>
          <w:sz w:val="24"/>
          <w:szCs w:val="24"/>
        </w:rPr>
        <w:t>ales</w:t>
      </w:r>
      <w:r w:rsidR="00D141C6">
        <w:rPr>
          <w:sz w:val="24"/>
          <w:szCs w:val="24"/>
        </w:rPr>
        <w:t>, (2017)</w:t>
      </w:r>
      <w:r w:rsidR="00D141C6" w:rsidRPr="008A092E">
        <w:rPr>
          <w:sz w:val="24"/>
          <w:szCs w:val="24"/>
        </w:rPr>
        <w:t xml:space="preserve">). </w:t>
      </w:r>
      <w:r w:rsidRPr="008A092E">
        <w:rPr>
          <w:sz w:val="24"/>
          <w:szCs w:val="24"/>
        </w:rPr>
        <w:t>Abuse and/or neglect may constitute a criminal offence; but in the case above the matter did not reach the criminal offence stature. Differences in what constitutes abuse can be seen in the differing legislations in neighbouring Countries – Wales and England. The above abuse and neglect descriptions come from the Social Services and Well-being (Wales) Act 2015, but in English legislation, Care Act 2014 (legislation.gov.uk) self-neglect is also considered as a form of abuse.</w:t>
      </w:r>
    </w:p>
    <w:p w:rsidR="00AB14FE" w:rsidRPr="008A092E" w:rsidRDefault="00AB14FE" w:rsidP="00AB14FE">
      <w:pPr>
        <w:textAlignment w:val="auto"/>
        <w:rPr>
          <w:sz w:val="24"/>
          <w:szCs w:val="24"/>
        </w:rPr>
      </w:pPr>
    </w:p>
    <w:p w:rsidR="00AB14FE" w:rsidRDefault="00AB14FE" w:rsidP="00AB14FE">
      <w:pPr>
        <w:textAlignment w:val="auto"/>
        <w:rPr>
          <w:sz w:val="24"/>
          <w:szCs w:val="24"/>
        </w:rPr>
      </w:pPr>
      <w:r w:rsidRPr="008A092E">
        <w:rPr>
          <w:sz w:val="24"/>
          <w:szCs w:val="24"/>
        </w:rPr>
        <w:t xml:space="preserve">There are a number of legislations that cover safeguarding and the work of a practitioner in relation to safeguarding. The most obvious and prevalent is the Social Services and Well-being (Wales) Act 2014 (The Act) which states ‘well-being in relation to a </w:t>
      </w:r>
      <w:r w:rsidR="003C7199" w:rsidRPr="008A092E">
        <w:rPr>
          <w:sz w:val="24"/>
          <w:szCs w:val="24"/>
        </w:rPr>
        <w:t>person</w:t>
      </w:r>
      <w:r w:rsidRPr="008A092E">
        <w:rPr>
          <w:sz w:val="24"/>
          <w:szCs w:val="24"/>
        </w:rPr>
        <w:t xml:space="preserve"> means well-being in relation to… protection from abuse and neglect’ (legislation.gov.uk)</w:t>
      </w:r>
      <w:r w:rsidR="000D5272">
        <w:rPr>
          <w:sz w:val="24"/>
          <w:szCs w:val="24"/>
        </w:rPr>
        <w:t>. Individual 1 in this case had not been protected from neglect.</w:t>
      </w:r>
      <w:r w:rsidRPr="008A092E">
        <w:rPr>
          <w:sz w:val="24"/>
          <w:szCs w:val="24"/>
        </w:rPr>
        <w:t xml:space="preserve"> The Act also stipulates that ‘if a local authority has reasonable cause to suspect that a person within its area (whether or not ordinarily resident there) is an </w:t>
      </w:r>
      <w:r w:rsidRPr="008A092E">
        <w:rPr>
          <w:sz w:val="24"/>
          <w:szCs w:val="24"/>
        </w:rPr>
        <w:lastRenderedPageBreak/>
        <w:t>adult at risk, it must – (a) make (or cause to be made) whatever enquiries it thinks necessary to enable it to decide whether any action should be taken (whether under the Act or otherwise) and, if so, what and by whom, and (b) decide whether any such action should be taken’ (legislation.gov.uk). By following this I came to the conclusion that Individual 1’s well-being required protection from neglect and by sharing the information with the Safeguarding Team I felt I had made my decision that my concerns were of such that I believed that action should be taken but this was now down to the Safeguarding Team. Through following General Data Protection Regulation</w:t>
      </w:r>
      <w:r w:rsidR="00EB7A1D">
        <w:rPr>
          <w:sz w:val="24"/>
          <w:szCs w:val="24"/>
        </w:rPr>
        <w:t xml:space="preserve"> 2016</w:t>
      </w:r>
      <w:r w:rsidRPr="008A092E">
        <w:rPr>
          <w:sz w:val="24"/>
          <w:szCs w:val="24"/>
        </w:rPr>
        <w:t xml:space="preserve"> (GDPR), I shared only relevant information and in a confidential manner with the relevant individuals with the consent of the individual.</w:t>
      </w:r>
    </w:p>
    <w:p w:rsidR="000D5272" w:rsidRDefault="000D5272" w:rsidP="00AB14FE">
      <w:pPr>
        <w:textAlignment w:val="auto"/>
        <w:rPr>
          <w:sz w:val="24"/>
          <w:szCs w:val="24"/>
        </w:rPr>
      </w:pPr>
    </w:p>
    <w:p w:rsidR="000D5272" w:rsidRDefault="000D5272" w:rsidP="00AB14FE">
      <w:pPr>
        <w:textAlignment w:val="auto"/>
        <w:rPr>
          <w:sz w:val="24"/>
          <w:szCs w:val="24"/>
        </w:rPr>
      </w:pPr>
      <w:r>
        <w:rPr>
          <w:sz w:val="24"/>
          <w:szCs w:val="24"/>
        </w:rPr>
        <w:t>By making enquiries through discussing the matter with the individual, care staff, manager and district nurse, I felt Individual 1 had been neglected and a Safeguarding referral was required. I discussed this with my line manager, giving the evidence I had collated, and she agreed that the case constituted a safeguarding referral due to the neglectful manner in which Individual 1 had been cared for</w:t>
      </w:r>
      <w:r w:rsidR="003C7199">
        <w:rPr>
          <w:sz w:val="24"/>
          <w:szCs w:val="24"/>
        </w:rPr>
        <w:t>.</w:t>
      </w:r>
    </w:p>
    <w:p w:rsidR="002F71B2" w:rsidRDefault="002F71B2" w:rsidP="00AB14FE">
      <w:pPr>
        <w:textAlignment w:val="auto"/>
        <w:rPr>
          <w:sz w:val="24"/>
          <w:szCs w:val="24"/>
        </w:rPr>
      </w:pPr>
    </w:p>
    <w:p w:rsidR="00694C17" w:rsidRDefault="002F71B2" w:rsidP="00AB14FE">
      <w:pPr>
        <w:textAlignment w:val="auto"/>
        <w:rPr>
          <w:sz w:val="24"/>
          <w:szCs w:val="24"/>
        </w:rPr>
      </w:pPr>
      <w:r>
        <w:rPr>
          <w:sz w:val="24"/>
          <w:szCs w:val="24"/>
        </w:rPr>
        <w:t>The local Authority’s policy and procedure states that the first step is to inform a designated safeguarding officer immediately, which is what I did following the discussion with my line manager. I first made a phone</w:t>
      </w:r>
      <w:r w:rsidR="003C7199">
        <w:rPr>
          <w:sz w:val="24"/>
          <w:szCs w:val="24"/>
        </w:rPr>
        <w:t xml:space="preserve"> </w:t>
      </w:r>
      <w:r>
        <w:rPr>
          <w:sz w:val="24"/>
          <w:szCs w:val="24"/>
        </w:rPr>
        <w:t>call which was followed up by the relevant paperwork. The purpose of the phone</w:t>
      </w:r>
      <w:r w:rsidR="003C7199">
        <w:rPr>
          <w:sz w:val="24"/>
          <w:szCs w:val="24"/>
        </w:rPr>
        <w:t xml:space="preserve"> </w:t>
      </w:r>
      <w:r>
        <w:rPr>
          <w:sz w:val="24"/>
          <w:szCs w:val="24"/>
        </w:rPr>
        <w:t xml:space="preserve">call was to inform the team of the nature of this incident and for them to decide how quickly they acted upon the </w:t>
      </w:r>
      <w:r w:rsidRPr="00F907C4">
        <w:rPr>
          <w:sz w:val="24"/>
          <w:szCs w:val="24"/>
        </w:rPr>
        <w:t xml:space="preserve">information. </w:t>
      </w:r>
    </w:p>
    <w:p w:rsidR="003C7199" w:rsidRDefault="003C7199" w:rsidP="00AB14FE">
      <w:pPr>
        <w:textAlignment w:val="auto"/>
        <w:rPr>
          <w:sz w:val="24"/>
          <w:szCs w:val="24"/>
        </w:rPr>
      </w:pPr>
    </w:p>
    <w:p w:rsidR="00226AA9" w:rsidRDefault="00694C17" w:rsidP="00AB14FE">
      <w:pPr>
        <w:textAlignment w:val="auto"/>
        <w:rPr>
          <w:sz w:val="24"/>
          <w:szCs w:val="24"/>
        </w:rPr>
      </w:pPr>
      <w:r>
        <w:rPr>
          <w:sz w:val="24"/>
          <w:szCs w:val="24"/>
        </w:rPr>
        <w:t>The All Wales Interim Policies and Procedures explain the Ten Stages and Timescales in the Adult Protection Process. The first being identifying the concern which was obvious in this case, the second is to refer to the Safeguarding Team which I did through a phone call and the relevant paperwork. This would initiate the Initial Evaluation (Stage 3) and lead on to Stage 4, a Strategy discussion. In the case of Individual 1, adult protection procedures did apply and an Individual and General Protection Plan was started. A Strategy Meeting (Stage 5) was then held to discuss if an investigation was needed and if so, who would lead it</w:t>
      </w:r>
      <w:r w:rsidR="00226AA9">
        <w:rPr>
          <w:sz w:val="24"/>
          <w:szCs w:val="24"/>
        </w:rPr>
        <w:t>. In order to progress with this matter is was required to ensure that Individual 1 had capacity to make the decision to agree to the investigation</w:t>
      </w:r>
      <w:r w:rsidR="0034242A">
        <w:rPr>
          <w:sz w:val="24"/>
          <w:szCs w:val="24"/>
        </w:rPr>
        <w:t xml:space="preserve"> (Social Care Wales, (2017))</w:t>
      </w:r>
      <w:r w:rsidR="00226AA9">
        <w:rPr>
          <w:sz w:val="24"/>
          <w:szCs w:val="24"/>
        </w:rPr>
        <w:t>.</w:t>
      </w:r>
    </w:p>
    <w:p w:rsidR="003C7199" w:rsidRDefault="003C7199" w:rsidP="00AB14FE">
      <w:pPr>
        <w:textAlignment w:val="auto"/>
        <w:rPr>
          <w:sz w:val="24"/>
          <w:szCs w:val="24"/>
        </w:rPr>
      </w:pPr>
    </w:p>
    <w:p w:rsidR="0034242A" w:rsidRDefault="0034242A" w:rsidP="00AB14FE">
      <w:pPr>
        <w:textAlignment w:val="auto"/>
        <w:rPr>
          <w:sz w:val="24"/>
          <w:szCs w:val="24"/>
        </w:rPr>
      </w:pPr>
      <w:r>
        <w:rPr>
          <w:sz w:val="24"/>
          <w:szCs w:val="24"/>
        </w:rPr>
        <w:t xml:space="preserve">Individual 1 was deemed to have capacity to make decisions bearing in mind the Mental Capacity Act 2005. There was no impairment of or disturbance in the functioning of the mind or brain and it was initially presumed that Individual 1 had capacity. Although each assessment is time and decision specific, from previous discussions with Individual 1, I would deem her to have capacity for most decisions if not all. For this decision, Individual 1 could retain information and reiterate </w:t>
      </w:r>
      <w:r w:rsidR="003C7199">
        <w:rPr>
          <w:sz w:val="24"/>
          <w:szCs w:val="24"/>
        </w:rPr>
        <w:t>it and in turn cons</w:t>
      </w:r>
      <w:r>
        <w:rPr>
          <w:sz w:val="24"/>
          <w:szCs w:val="24"/>
        </w:rPr>
        <w:t xml:space="preserve">ent to an investigation going ahead. From the 5 Stages of Mental Capacity Act 2005, there was no need to proceed </w:t>
      </w:r>
      <w:r w:rsidR="003C7199">
        <w:rPr>
          <w:sz w:val="24"/>
          <w:szCs w:val="24"/>
        </w:rPr>
        <w:t xml:space="preserve">from </w:t>
      </w:r>
      <w:r>
        <w:rPr>
          <w:sz w:val="24"/>
          <w:szCs w:val="24"/>
        </w:rPr>
        <w:t>Stage 1 with Individual 1.</w:t>
      </w:r>
    </w:p>
    <w:p w:rsidR="0034242A" w:rsidRDefault="0034242A" w:rsidP="00AB14FE">
      <w:pPr>
        <w:textAlignment w:val="auto"/>
        <w:rPr>
          <w:sz w:val="24"/>
          <w:szCs w:val="24"/>
        </w:rPr>
      </w:pPr>
    </w:p>
    <w:p w:rsidR="00226AA9" w:rsidRDefault="0034242A" w:rsidP="00AB14FE">
      <w:pPr>
        <w:textAlignment w:val="auto"/>
        <w:rPr>
          <w:sz w:val="24"/>
          <w:szCs w:val="24"/>
        </w:rPr>
      </w:pPr>
      <w:r>
        <w:rPr>
          <w:sz w:val="24"/>
          <w:szCs w:val="24"/>
        </w:rPr>
        <w:t xml:space="preserve">This takes the case on to Stage 6, the Investigation, where the information I had already collated was included along with further information sought by the Safeguarding officer. Stage 7 consists of further Strategy Meetings and the Final Strategy meeting where the investigation report is received and the status of the allegation is agreed. Stage 8 is the Case Conference which confirms the actions required. In this case the outcome was to place the home under escalating concern </w:t>
      </w:r>
      <w:r>
        <w:rPr>
          <w:sz w:val="24"/>
          <w:szCs w:val="24"/>
        </w:rPr>
        <w:lastRenderedPageBreak/>
        <w:t>and to find alternative respite for Individual 1 in the future.</w:t>
      </w:r>
      <w:r w:rsidR="004A2F2E" w:rsidRPr="004A2F2E">
        <w:rPr>
          <w:sz w:val="24"/>
          <w:szCs w:val="24"/>
        </w:rPr>
        <w:t xml:space="preserve"> </w:t>
      </w:r>
      <w:r w:rsidR="004A2F2E">
        <w:rPr>
          <w:sz w:val="24"/>
          <w:szCs w:val="24"/>
        </w:rPr>
        <w:t>Although it was decided this case would not go to court</w:t>
      </w:r>
      <w:r w:rsidR="004A2F2E">
        <w:rPr>
          <w:sz w:val="24"/>
          <w:szCs w:val="24"/>
        </w:rPr>
        <w:t xml:space="preserve">, the individual and her family did receive a financial settlement from the Local Authority following a complaint made. </w:t>
      </w:r>
      <w:r w:rsidR="004A2F2E" w:rsidRPr="008A092E">
        <w:rPr>
          <w:sz w:val="24"/>
          <w:szCs w:val="24"/>
        </w:rPr>
        <w:t>Had this case have gone to court, my role would have been to give my initial findings and this is where detailed case notes and information is vital.</w:t>
      </w:r>
      <w:r w:rsidR="004A2F2E">
        <w:rPr>
          <w:sz w:val="24"/>
          <w:szCs w:val="24"/>
        </w:rPr>
        <w:t xml:space="preserve"> The Protection P</w:t>
      </w:r>
      <w:r>
        <w:rPr>
          <w:sz w:val="24"/>
          <w:szCs w:val="24"/>
        </w:rPr>
        <w:t>lans are reviewed within 6 weeks and then as necessary</w:t>
      </w:r>
      <w:r w:rsidR="004A2F2E">
        <w:rPr>
          <w:sz w:val="24"/>
          <w:szCs w:val="24"/>
        </w:rPr>
        <w:t xml:space="preserve"> (stage 9)</w:t>
      </w:r>
      <w:r>
        <w:rPr>
          <w:sz w:val="24"/>
          <w:szCs w:val="24"/>
        </w:rPr>
        <w:t>.</w:t>
      </w:r>
      <w:r w:rsidR="004A2F2E">
        <w:rPr>
          <w:sz w:val="24"/>
          <w:szCs w:val="24"/>
        </w:rPr>
        <w:t xml:space="preserve"> </w:t>
      </w:r>
      <w:r>
        <w:rPr>
          <w:sz w:val="24"/>
          <w:szCs w:val="24"/>
        </w:rPr>
        <w:t>Stage 10 is closure</w:t>
      </w:r>
      <w:r w:rsidR="004A2F2E">
        <w:rPr>
          <w:sz w:val="24"/>
          <w:szCs w:val="24"/>
        </w:rPr>
        <w:t xml:space="preserve"> (Social Care Wales (2017)).</w:t>
      </w:r>
    </w:p>
    <w:p w:rsidR="004A2F2E" w:rsidRDefault="004A2F2E" w:rsidP="00AB14FE">
      <w:pPr>
        <w:textAlignment w:val="auto"/>
        <w:rPr>
          <w:sz w:val="24"/>
          <w:szCs w:val="24"/>
        </w:rPr>
      </w:pPr>
    </w:p>
    <w:p w:rsidR="004A2F2E" w:rsidRPr="008A092E" w:rsidRDefault="004A2F2E" w:rsidP="004A2F2E">
      <w:pPr>
        <w:textAlignment w:val="auto"/>
        <w:rPr>
          <w:sz w:val="24"/>
          <w:szCs w:val="24"/>
        </w:rPr>
      </w:pPr>
      <w:r>
        <w:rPr>
          <w:sz w:val="24"/>
          <w:szCs w:val="24"/>
        </w:rPr>
        <w:t xml:space="preserve">Although this is closure for this particular case, my involvement in working with the care staff, Manager and District Nurses will continue. </w:t>
      </w:r>
      <w:r w:rsidRPr="008A092E">
        <w:rPr>
          <w:sz w:val="24"/>
          <w:szCs w:val="24"/>
        </w:rPr>
        <w:t xml:space="preserve">Whilst managing this situation, and taking ownership of my referral to Safeguarding, not hesitating to share my concerns to ensure the wellbeing of Individual 1, I did recognise that the situation could have put me in a precarious situation in working with the staff and manager at the care home in the future. </w:t>
      </w:r>
      <w:r>
        <w:rPr>
          <w:sz w:val="24"/>
          <w:szCs w:val="24"/>
        </w:rPr>
        <w:t xml:space="preserve">I was open and honest with the Care Home Manager, explaining my reason for making a referral to Safeguarding. </w:t>
      </w:r>
      <w:r w:rsidRPr="008A092E">
        <w:rPr>
          <w:sz w:val="24"/>
          <w:szCs w:val="24"/>
        </w:rPr>
        <w:t xml:space="preserve">Having worked this case from the initial referral, I feel I had a good working relationship with Individual 1 and her family. I also had a good professional working relationship with staff at the care home and with the local District Nurses. Although potentially putting this working relationship at risk, I used Professional Judgement to make the decision to Safeguard Individual 1 in relation to the neglect I had witnessed. My professional judgement came from the relevant training I have undertaken, my knowledge of my role and the responsibility and duty placed upon me, experience, my ethical standards under the circumstance and making an informed decision. Had I chosen to not refer to safeguarding in order to not potentially make the situation of working with these professionals in the future complex, I would have been working against the Codes of </w:t>
      </w:r>
      <w:r w:rsidR="003C7199">
        <w:rPr>
          <w:sz w:val="24"/>
          <w:szCs w:val="24"/>
        </w:rPr>
        <w:t xml:space="preserve">Professional </w:t>
      </w:r>
      <w:r w:rsidRPr="008A092E">
        <w:rPr>
          <w:sz w:val="24"/>
          <w:szCs w:val="24"/>
        </w:rPr>
        <w:t>Practice</w:t>
      </w:r>
      <w:r>
        <w:rPr>
          <w:sz w:val="24"/>
          <w:szCs w:val="24"/>
        </w:rPr>
        <w:t xml:space="preserve"> 2015</w:t>
      </w:r>
      <w:r w:rsidRPr="008A092E">
        <w:rPr>
          <w:sz w:val="24"/>
          <w:szCs w:val="24"/>
        </w:rPr>
        <w:t xml:space="preserve">. </w:t>
      </w:r>
    </w:p>
    <w:p w:rsidR="004A2F2E" w:rsidRPr="008A092E" w:rsidRDefault="004A2F2E" w:rsidP="004A2F2E">
      <w:pPr>
        <w:textAlignment w:val="auto"/>
        <w:rPr>
          <w:sz w:val="24"/>
          <w:szCs w:val="24"/>
        </w:rPr>
      </w:pPr>
    </w:p>
    <w:p w:rsidR="004A2F2E" w:rsidRDefault="004A2F2E" w:rsidP="004A2F2E">
      <w:pPr>
        <w:textAlignment w:val="auto"/>
        <w:rPr>
          <w:sz w:val="24"/>
          <w:szCs w:val="24"/>
        </w:rPr>
      </w:pPr>
      <w:r w:rsidRPr="008A092E">
        <w:rPr>
          <w:sz w:val="24"/>
          <w:szCs w:val="24"/>
        </w:rPr>
        <w:t>The sections of the Code</w:t>
      </w:r>
      <w:r>
        <w:rPr>
          <w:sz w:val="24"/>
          <w:szCs w:val="24"/>
        </w:rPr>
        <w:t xml:space="preserve"> of Professional Practice 2015</w:t>
      </w:r>
      <w:r w:rsidRPr="008A092E">
        <w:rPr>
          <w:sz w:val="24"/>
          <w:szCs w:val="24"/>
        </w:rPr>
        <w:t xml:space="preserve"> I feel most important in this case are ‘strive to establish and maintain the trust and confidence of individuals and carers’, ‘Promote the well-being, voice and control of individuals and carers while supporting them to stay safe’, ‘Act with integrity and uphold public trust and confidence in the social care profession’ and ‘Be accountable for the quality of your work and take responsibility for maintaining and developing knowledge and skills’ </w:t>
      </w:r>
      <w:r>
        <w:rPr>
          <w:sz w:val="24"/>
          <w:szCs w:val="24"/>
        </w:rPr>
        <w:t>(Social Care Wales, (2017))</w:t>
      </w:r>
      <w:r w:rsidRPr="008A092E">
        <w:rPr>
          <w:sz w:val="24"/>
          <w:szCs w:val="24"/>
        </w:rPr>
        <w:t>.</w:t>
      </w:r>
    </w:p>
    <w:p w:rsidR="009C286C" w:rsidRDefault="009C286C" w:rsidP="004A2F2E">
      <w:pPr>
        <w:textAlignment w:val="auto"/>
        <w:rPr>
          <w:sz w:val="24"/>
          <w:szCs w:val="24"/>
        </w:rPr>
      </w:pPr>
    </w:p>
    <w:p w:rsidR="009C286C" w:rsidRPr="008A092E" w:rsidRDefault="009C286C" w:rsidP="009C286C">
      <w:pPr>
        <w:textAlignment w:val="auto"/>
        <w:rPr>
          <w:sz w:val="24"/>
          <w:szCs w:val="24"/>
        </w:rPr>
      </w:pPr>
      <w:r w:rsidRPr="008A092E">
        <w:rPr>
          <w:sz w:val="24"/>
          <w:szCs w:val="24"/>
        </w:rPr>
        <w:t>Whilst undertaking this piece of work I also took into consideration the National Occupational Standards</w:t>
      </w:r>
      <w:r>
        <w:rPr>
          <w:sz w:val="24"/>
          <w:szCs w:val="24"/>
        </w:rPr>
        <w:t xml:space="preserve"> 2014</w:t>
      </w:r>
      <w:r w:rsidRPr="008A092E">
        <w:rPr>
          <w:sz w:val="24"/>
          <w:szCs w:val="24"/>
        </w:rPr>
        <w:t xml:space="preserve"> </w:t>
      </w:r>
      <w:r>
        <w:rPr>
          <w:sz w:val="24"/>
          <w:szCs w:val="24"/>
        </w:rPr>
        <w:t xml:space="preserve">(Social Care Wales (2017)) </w:t>
      </w:r>
      <w:r w:rsidRPr="008A092E">
        <w:rPr>
          <w:sz w:val="24"/>
          <w:szCs w:val="24"/>
        </w:rPr>
        <w:t>which are an essential tool that contribute to the delivery of high quality services for social care, early years and childcare. These Standards are what as a social worker; I follow to promote high standards of conduct and practice.</w:t>
      </w:r>
    </w:p>
    <w:p w:rsidR="004A2F2E" w:rsidRPr="008A092E" w:rsidRDefault="004A2F2E" w:rsidP="004A2F2E">
      <w:pPr>
        <w:textAlignment w:val="auto"/>
        <w:rPr>
          <w:sz w:val="24"/>
          <w:szCs w:val="24"/>
        </w:rPr>
      </w:pPr>
      <w:r w:rsidRPr="008A092E">
        <w:rPr>
          <w:sz w:val="24"/>
          <w:szCs w:val="24"/>
        </w:rPr>
        <w:t xml:space="preserve">  </w:t>
      </w:r>
    </w:p>
    <w:p w:rsidR="004A2F2E" w:rsidRDefault="004A2F2E" w:rsidP="004A2F2E">
      <w:pPr>
        <w:textAlignment w:val="auto"/>
        <w:rPr>
          <w:sz w:val="24"/>
          <w:szCs w:val="24"/>
        </w:rPr>
      </w:pPr>
      <w:r w:rsidRPr="008A092E">
        <w:rPr>
          <w:sz w:val="24"/>
          <w:szCs w:val="24"/>
        </w:rPr>
        <w:t xml:space="preserve">By being open and honest with all parties involved, I was upholding their trust and confidence in me and by sharing the information with </w:t>
      </w:r>
      <w:r w:rsidR="003C7199" w:rsidRPr="008A092E">
        <w:rPr>
          <w:sz w:val="24"/>
          <w:szCs w:val="24"/>
        </w:rPr>
        <w:t>Safeguarding;</w:t>
      </w:r>
      <w:r w:rsidRPr="008A092E">
        <w:rPr>
          <w:sz w:val="24"/>
          <w:szCs w:val="24"/>
        </w:rPr>
        <w:t xml:space="preserve"> I believe I showed that I was promoting the wellbeing, voice and control of Individual 1and her family. With them being away at the time, Individual 1 would have felt vulnerable and alone, by working in her best interest, I believe she felt less alone and felt that someone she knew was caring for her welfare. By making the safeguarding referral, in the best interest of Individual 1 and possibly others for the future, this shows my integrity and hope it would lead to public trust and confidence in the social care profession. I took full responsibility for the referral and discussed this in supervision. </w:t>
      </w:r>
      <w:r w:rsidRPr="008A092E">
        <w:rPr>
          <w:sz w:val="24"/>
          <w:szCs w:val="24"/>
        </w:rPr>
        <w:lastRenderedPageBreak/>
        <w:t>‘Supervision is an accountable, two-way process, which supports, motivates and enables the development of good practice for individual social care workers. As a result, this improves the quality of the service provided by the organisation. Supervision is a vital part of individual performan</w:t>
      </w:r>
      <w:r>
        <w:rPr>
          <w:sz w:val="24"/>
          <w:szCs w:val="24"/>
        </w:rPr>
        <w:t>ce management’ (Social Care Wales, (2017)</w:t>
      </w:r>
      <w:r w:rsidRPr="008A092E">
        <w:rPr>
          <w:sz w:val="24"/>
          <w:szCs w:val="24"/>
        </w:rPr>
        <w:t xml:space="preserve">). I found supervision especially useful in this case as I was able to not only </w:t>
      </w:r>
      <w:proofErr w:type="gramStart"/>
      <w:r w:rsidRPr="008A092E">
        <w:rPr>
          <w:sz w:val="24"/>
          <w:szCs w:val="24"/>
        </w:rPr>
        <w:t>discuss</w:t>
      </w:r>
      <w:proofErr w:type="gramEnd"/>
      <w:r w:rsidRPr="008A092E">
        <w:rPr>
          <w:sz w:val="24"/>
          <w:szCs w:val="24"/>
        </w:rPr>
        <w:t xml:space="preserve"> the case but also the </w:t>
      </w:r>
      <w:r w:rsidR="00B97A3E">
        <w:rPr>
          <w:sz w:val="24"/>
          <w:szCs w:val="24"/>
        </w:rPr>
        <w:t xml:space="preserve">emotional </w:t>
      </w:r>
      <w:r w:rsidRPr="008A092E">
        <w:rPr>
          <w:sz w:val="24"/>
          <w:szCs w:val="24"/>
        </w:rPr>
        <w:t xml:space="preserve">dilemma’s I may face from making the referral. </w:t>
      </w:r>
      <w:r w:rsidR="00EE7810">
        <w:rPr>
          <w:sz w:val="24"/>
          <w:szCs w:val="24"/>
        </w:rPr>
        <w:t>Professional decision making is a core practice for all social workers, making decisions about welfare, interventions and professional relationships. In this case I felt it was my duty to report the Safeguarding incident without initially being concerned on how it would affect my professional relationships with the care staff.</w:t>
      </w:r>
      <w:r w:rsidR="0073786A">
        <w:rPr>
          <w:sz w:val="24"/>
          <w:szCs w:val="24"/>
        </w:rPr>
        <w:t xml:space="preserve"> ‘A professional is service user centred rather than focussed on themselves’ (Maclean, 2010, 23). </w:t>
      </w:r>
      <w:r w:rsidR="00EE7810">
        <w:rPr>
          <w:sz w:val="24"/>
          <w:szCs w:val="24"/>
        </w:rPr>
        <w:t>I prioritised the individual’s needs and was able to later professionally discuss the matter with other staff in order to continue having that professional relationship for future meetings.</w:t>
      </w:r>
    </w:p>
    <w:p w:rsidR="004050EF" w:rsidRDefault="004050EF" w:rsidP="004A2F2E">
      <w:pPr>
        <w:textAlignment w:val="auto"/>
        <w:rPr>
          <w:sz w:val="24"/>
          <w:szCs w:val="24"/>
        </w:rPr>
      </w:pPr>
    </w:p>
    <w:p w:rsidR="004050EF" w:rsidRPr="008A092E" w:rsidRDefault="004050EF" w:rsidP="004A2F2E">
      <w:pPr>
        <w:textAlignment w:val="auto"/>
        <w:rPr>
          <w:sz w:val="24"/>
          <w:szCs w:val="24"/>
        </w:rPr>
      </w:pPr>
      <w:r>
        <w:rPr>
          <w:sz w:val="24"/>
          <w:szCs w:val="24"/>
        </w:rPr>
        <w:t xml:space="preserve">By looking at </w:t>
      </w:r>
      <w:proofErr w:type="spellStart"/>
      <w:r>
        <w:rPr>
          <w:sz w:val="24"/>
          <w:szCs w:val="24"/>
        </w:rPr>
        <w:t>Borton’s</w:t>
      </w:r>
      <w:proofErr w:type="spellEnd"/>
      <w:r>
        <w:rPr>
          <w:sz w:val="24"/>
          <w:szCs w:val="24"/>
        </w:rPr>
        <w:t xml:space="preserve"> (1970) reflective practice framework, the ‘What?’ is that I made a professional decision being service user centred. The ‘So What?’ is the importance of being able to and recognising the need of support of an individual when they require it, having the knowledge and professional power to be in that situation to assist when they are in need. I have clarified for myself the importance of prioritising an individual’s needs over professional relationships. </w:t>
      </w:r>
      <w:proofErr w:type="spellStart"/>
      <w:r>
        <w:rPr>
          <w:sz w:val="24"/>
          <w:szCs w:val="24"/>
        </w:rPr>
        <w:t>Borton’s</w:t>
      </w:r>
      <w:proofErr w:type="spellEnd"/>
      <w:r>
        <w:rPr>
          <w:sz w:val="24"/>
          <w:szCs w:val="24"/>
        </w:rPr>
        <w:t xml:space="preserve"> ‘What now?’ makes me reflect upon the referral and realise the importance of this for Individual 1 and also to the other professionals who have also been able to take learning opportunities from this.</w:t>
      </w:r>
    </w:p>
    <w:p w:rsidR="004A2F2E" w:rsidRPr="008A092E" w:rsidRDefault="004A2F2E" w:rsidP="004A2F2E">
      <w:pPr>
        <w:textAlignment w:val="auto"/>
        <w:rPr>
          <w:sz w:val="24"/>
          <w:szCs w:val="24"/>
        </w:rPr>
      </w:pPr>
    </w:p>
    <w:p w:rsidR="004A2F2E" w:rsidRPr="008A092E" w:rsidRDefault="004A2F2E" w:rsidP="004A2F2E">
      <w:pPr>
        <w:textAlignment w:val="auto"/>
        <w:rPr>
          <w:sz w:val="24"/>
          <w:szCs w:val="24"/>
        </w:rPr>
      </w:pPr>
      <w:r w:rsidRPr="008A092E">
        <w:rPr>
          <w:sz w:val="24"/>
          <w:szCs w:val="24"/>
        </w:rPr>
        <w:t>Working collaboratively with other professionals and families along with the individual is vital to social work in my opinion. Without being able to rely upon colleagues and other professionals, it would not be possible to reach the best outcomes for an individual. In this case, for reasons unknown, the outcome for Individual 1 did not turn out as it should have. Her needs were neglected, although the care plan was detailed, some of her needs were not met resulting in her requiring intensive hospital treatment. Having worked collaboratively leading up to this respite stay, I believed all aspects of care, needs and wellbeing were covered and understood. During and following the incident, I continued to work collaboratively with the care staff and manager in assessing what the reason behind the neglect was</w:t>
      </w:r>
      <w:r w:rsidR="003C7199">
        <w:rPr>
          <w:sz w:val="24"/>
          <w:szCs w:val="24"/>
        </w:rPr>
        <w:t xml:space="preserve"> always taking into account their values and beliefs</w:t>
      </w:r>
      <w:r w:rsidRPr="008A092E">
        <w:rPr>
          <w:sz w:val="24"/>
          <w:szCs w:val="24"/>
        </w:rPr>
        <w:t>. It was important to not only discuss the issues that had arisen but also to discuss the future and how such inciden</w:t>
      </w:r>
      <w:r w:rsidR="004050EF">
        <w:rPr>
          <w:sz w:val="24"/>
          <w:szCs w:val="24"/>
        </w:rPr>
        <w:t>ces can be avoided</w:t>
      </w:r>
      <w:r w:rsidRPr="008A092E">
        <w:rPr>
          <w:sz w:val="24"/>
          <w:szCs w:val="24"/>
        </w:rPr>
        <w:t>. Although the issues were complex at</w:t>
      </w:r>
      <w:r w:rsidR="004050EF">
        <w:rPr>
          <w:sz w:val="24"/>
          <w:szCs w:val="24"/>
        </w:rPr>
        <w:t xml:space="preserve"> the time which had an effect on</w:t>
      </w:r>
      <w:r w:rsidRPr="008A092E">
        <w:rPr>
          <w:sz w:val="24"/>
          <w:szCs w:val="24"/>
        </w:rPr>
        <w:t xml:space="preserve"> professional working relationships, I had a duty to report my findings under the Act. I believe in this case, I also used my Power as a professional to make the decision to refer to safeguarding. </w:t>
      </w:r>
      <w:proofErr w:type="spellStart"/>
      <w:r w:rsidRPr="008A092E">
        <w:rPr>
          <w:sz w:val="24"/>
          <w:szCs w:val="24"/>
        </w:rPr>
        <w:t>Akister</w:t>
      </w:r>
      <w:proofErr w:type="spellEnd"/>
      <w:r w:rsidRPr="008A092E">
        <w:rPr>
          <w:sz w:val="24"/>
          <w:szCs w:val="24"/>
        </w:rPr>
        <w:t xml:space="preserve"> (1996) defines power as the ability to bring about change which can take many forms and be measured in many ways. As </w:t>
      </w:r>
      <w:proofErr w:type="spellStart"/>
      <w:r w:rsidRPr="008A092E">
        <w:rPr>
          <w:sz w:val="24"/>
          <w:szCs w:val="24"/>
        </w:rPr>
        <w:t>Akister</w:t>
      </w:r>
      <w:proofErr w:type="spellEnd"/>
      <w:r w:rsidRPr="008A092E">
        <w:rPr>
          <w:sz w:val="24"/>
          <w:szCs w:val="24"/>
        </w:rPr>
        <w:t xml:space="preserve"> suggests, the power I used here was to bring about change to ensure the issues do not happen again. </w:t>
      </w:r>
    </w:p>
    <w:p w:rsidR="00AB14FE" w:rsidRPr="008A092E" w:rsidRDefault="00AB14FE" w:rsidP="00AB14FE">
      <w:pPr>
        <w:textAlignment w:val="auto"/>
        <w:rPr>
          <w:sz w:val="24"/>
          <w:szCs w:val="24"/>
        </w:rPr>
      </w:pPr>
    </w:p>
    <w:p w:rsidR="00B97A3E" w:rsidRPr="008A092E" w:rsidRDefault="00AB14FE" w:rsidP="00B97A3E">
      <w:pPr>
        <w:textAlignment w:val="auto"/>
        <w:rPr>
          <w:sz w:val="24"/>
          <w:szCs w:val="24"/>
        </w:rPr>
      </w:pPr>
      <w:r w:rsidRPr="008A092E">
        <w:rPr>
          <w:sz w:val="24"/>
          <w:szCs w:val="24"/>
        </w:rPr>
        <w:t>The National Independent Safeguarding Board duties include providing support and advice to safeguarding boards with a view to ensuring that they are effective, report on the adequacy and effectiveness of arrangements to safeguard children and adults in Wales and to make recommendations to the Welsh Minister as to how those arrangements could be improved.</w:t>
      </w:r>
      <w:r w:rsidR="00B97A3E">
        <w:rPr>
          <w:sz w:val="24"/>
          <w:szCs w:val="24"/>
        </w:rPr>
        <w:t xml:space="preserve"> </w:t>
      </w:r>
      <w:r w:rsidR="00B97A3E" w:rsidRPr="00F907C4">
        <w:rPr>
          <w:sz w:val="24"/>
          <w:szCs w:val="24"/>
        </w:rPr>
        <w:t xml:space="preserve">The </w:t>
      </w:r>
      <w:r w:rsidR="00B97A3E">
        <w:rPr>
          <w:sz w:val="24"/>
          <w:szCs w:val="24"/>
        </w:rPr>
        <w:t xml:space="preserve">Local Authority </w:t>
      </w:r>
      <w:r w:rsidR="00B97A3E" w:rsidRPr="00F907C4">
        <w:rPr>
          <w:sz w:val="24"/>
          <w:szCs w:val="24"/>
        </w:rPr>
        <w:t xml:space="preserve">Strategic Safeguarding Board </w:t>
      </w:r>
      <w:r w:rsidR="00B97A3E" w:rsidRPr="00F907C4">
        <w:rPr>
          <w:sz w:val="24"/>
          <w:szCs w:val="24"/>
        </w:rPr>
        <w:lastRenderedPageBreak/>
        <w:t>is scrutinised and challenged by local Overview &amp; Scrutiny Co-ordinating Committee</w:t>
      </w:r>
      <w:r w:rsidR="00B97A3E">
        <w:rPr>
          <w:sz w:val="24"/>
          <w:szCs w:val="24"/>
        </w:rPr>
        <w:t xml:space="preserve"> to ensure that Safeguarding issues are dealt with appropriately and timely.</w:t>
      </w:r>
      <w:r w:rsidR="00B97A3E">
        <w:rPr>
          <w:sz w:val="24"/>
          <w:szCs w:val="24"/>
        </w:rPr>
        <w:t xml:space="preserve"> All of these Boards ensure that when a Safeguarding referral such as Individual 1’s is made, that the process is clear and undertaken professionally and as urgently as it is required.</w:t>
      </w:r>
      <w:r w:rsidR="001F6A90">
        <w:rPr>
          <w:sz w:val="24"/>
          <w:szCs w:val="24"/>
        </w:rPr>
        <w:t xml:space="preserve"> Such scrutiny has stemmed from the serious case review of Winterbourne View Hospital.</w:t>
      </w:r>
    </w:p>
    <w:p w:rsidR="007F14A7" w:rsidRDefault="007F14A7"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The European Convention on Human Rights is a treaty that was drafted in 1950 and has a number of ‘articles’ that each protects a human right. They allow people to lead a free and dignified life. The UK is one of 47 countries that have signed up to this legislation and if a person’s rights are being breached, and they can’t get a remedy in the UK through Human Rights Act</w:t>
      </w:r>
      <w:r w:rsidR="001355D2">
        <w:rPr>
          <w:sz w:val="24"/>
          <w:szCs w:val="24"/>
        </w:rPr>
        <w:t xml:space="preserve"> 1998</w:t>
      </w:r>
      <w:r w:rsidRPr="008A092E">
        <w:rPr>
          <w:sz w:val="24"/>
          <w:szCs w:val="24"/>
        </w:rPr>
        <w:t xml:space="preserve">, the Convention lets them take their case to the European Court of Human Rights. </w:t>
      </w:r>
      <w:r>
        <w:rPr>
          <w:sz w:val="24"/>
          <w:szCs w:val="24"/>
        </w:rPr>
        <w:t>These give the clear guidelines to Safeguarding in this county whic</w:t>
      </w:r>
      <w:r w:rsidR="009C286C">
        <w:rPr>
          <w:sz w:val="24"/>
          <w:szCs w:val="24"/>
        </w:rPr>
        <w:t>h allow Individual 1 to lead her</w:t>
      </w:r>
      <w:r>
        <w:rPr>
          <w:sz w:val="24"/>
          <w:szCs w:val="24"/>
        </w:rPr>
        <w:t xml:space="preserve"> free and dignified life.</w:t>
      </w:r>
      <w:r w:rsidR="001355D2">
        <w:rPr>
          <w:sz w:val="24"/>
          <w:szCs w:val="24"/>
        </w:rPr>
        <w:t xml:space="preserve"> The UK’s 16 rights are formed from the European Convention on Human Rights, and give us all, including Individual 1 rights such as the right to life, to liberty and to family life. Through the neglectful practice during respite, Individual 1 could have lost her Rights due to having to access hospital.</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The United Nations Principles for Older Persons were adopted by the UN General A</w:t>
      </w:r>
      <w:r w:rsidR="00B97A3E">
        <w:rPr>
          <w:sz w:val="24"/>
          <w:szCs w:val="24"/>
        </w:rPr>
        <w:t>ssembly in 1991</w:t>
      </w:r>
      <w:r w:rsidRPr="008A092E">
        <w:rPr>
          <w:sz w:val="24"/>
          <w:szCs w:val="24"/>
        </w:rPr>
        <w:t>, there are 18 Principles but the one most prevalent to this case is ‘Care’. ‘Older persons should benefit from family and community care and protection in accordance with each society’s system of cultural values’ and ‘Older persons should be able to utilize appropriate levels of institutional care providing protection, rehabilitation and social and mental stimulation in a humane and secure en</w:t>
      </w:r>
      <w:r w:rsidR="00B97A3E">
        <w:rPr>
          <w:sz w:val="24"/>
          <w:szCs w:val="24"/>
        </w:rPr>
        <w:t>vironment</w:t>
      </w:r>
      <w:r w:rsidRPr="008A092E">
        <w:rPr>
          <w:sz w:val="24"/>
          <w:szCs w:val="24"/>
        </w:rPr>
        <w:t xml:space="preserve">. This is what respite should have provided for Individual 1, in a registered local authority home, she should have been provided with ‘protection and social and mental stimulation’, which the care home was and is more than capable of providing to individuals. It is unfortunate for Individual 1 that she did not receive such care during her stay. </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 xml:space="preserve">The UN Principles mention ‘society’s system of cultural values’ and to Individual 1 her values stemmed from her Welsh heritage, including her choice of language. The Welsh Language (Wales) Measure 2011 stipulates ‘promoting and facilitating use of Welsh and treating Welsh no less favourably than English’ (legislation.gov.uk). I acknowledged this Principle when looking at potential respite venues to ensure Individual 1 was comfortable and confident in her stay. The Home has many Welsh speaking staff and a Welsh culture which we felt would have met Individual 1’s cultural needs. The Welsh Language Strategic Framework ‘More than just words….’ Focuses on providing a framework to strengthen Welsh language services within health, social services and social care </w:t>
      </w:r>
      <w:r w:rsidRPr="00B97A3E">
        <w:rPr>
          <w:color w:val="auto"/>
          <w:sz w:val="24"/>
          <w:szCs w:val="24"/>
        </w:rPr>
        <w:t>(</w:t>
      </w:r>
      <w:hyperlink r:id="rId6" w:history="1">
        <w:r w:rsidRPr="00B97A3E">
          <w:rPr>
            <w:color w:val="auto"/>
            <w:sz w:val="24"/>
            <w:szCs w:val="24"/>
          </w:rPr>
          <w:t>www.gov.wales</w:t>
        </w:r>
      </w:hyperlink>
      <w:r w:rsidRPr="008A092E">
        <w:rPr>
          <w:sz w:val="24"/>
          <w:szCs w:val="24"/>
        </w:rPr>
        <w:t>), this is known as the ‘active offer’. An ‘active offer’ means simply, providing a service in Welsh without someone having to ask for it. The Welsh language should be as visible as the English language. It is vital for people such as Individual 1 to be able to speak the language they choose as it can ma</w:t>
      </w:r>
      <w:r>
        <w:rPr>
          <w:sz w:val="24"/>
          <w:szCs w:val="24"/>
        </w:rPr>
        <w:t>ke the whole experience a clearer</w:t>
      </w:r>
      <w:r w:rsidRPr="008A092E">
        <w:rPr>
          <w:sz w:val="24"/>
          <w:szCs w:val="24"/>
        </w:rPr>
        <w:t xml:space="preserve"> one for them. Being a Welsh speaker I am fortunate enough to be able to provide a choice for any individual. Being in such a small county, the choice of homes is limited and with also ideally having Welsh speakers within the home the choice is less. The Well-being of Future Generations (Wales) Act 2015 places well-being duty on public services boards and explains that ‘each public services board must improve the economic, </w:t>
      </w:r>
      <w:r w:rsidRPr="008A092E">
        <w:rPr>
          <w:sz w:val="24"/>
          <w:szCs w:val="24"/>
        </w:rPr>
        <w:lastRenderedPageBreak/>
        <w:t xml:space="preserve">social, environmental and cultural well-being of its area by contributing to the achievement of the well-being goals’ (legislation.gov.uk) It goes on to say ‘The Act will make the public </w:t>
      </w:r>
      <w:r>
        <w:rPr>
          <w:sz w:val="24"/>
          <w:szCs w:val="24"/>
        </w:rPr>
        <w:t>bodies listed in the Act think m</w:t>
      </w:r>
      <w:r w:rsidRPr="008A092E">
        <w:rPr>
          <w:sz w:val="24"/>
          <w:szCs w:val="24"/>
        </w:rPr>
        <w:t>ore about the long term, work better with people and communities and each other, look to prevent problems and take a joined up approach’ (legislation.gov.uk)</w:t>
      </w:r>
      <w:r>
        <w:rPr>
          <w:sz w:val="24"/>
          <w:szCs w:val="24"/>
        </w:rPr>
        <w:t>. This in the long term could provide more opportunities or options for Individual 1 in him having access and more choice to his future living and care arrangements.</w:t>
      </w:r>
    </w:p>
    <w:p w:rsidR="00AB14FE" w:rsidRPr="008A092E" w:rsidRDefault="00AB14FE" w:rsidP="00AB14FE">
      <w:pPr>
        <w:textAlignment w:val="auto"/>
        <w:rPr>
          <w:sz w:val="24"/>
          <w:szCs w:val="24"/>
        </w:rPr>
      </w:pPr>
    </w:p>
    <w:p w:rsidR="00AB14FE" w:rsidRDefault="00AB14FE" w:rsidP="00AB14FE">
      <w:pPr>
        <w:textAlignment w:val="auto"/>
        <w:rPr>
          <w:sz w:val="24"/>
          <w:szCs w:val="24"/>
        </w:rPr>
      </w:pPr>
      <w:r w:rsidRPr="008A092E">
        <w:rPr>
          <w:sz w:val="24"/>
          <w:szCs w:val="24"/>
        </w:rPr>
        <w:t>‘In Safe Hands’ provides guidance as to how adult protection arrangements are proposed to be implemented in Wales and sets out government policy and the framework for a comprehensive strategy in Wales. It lays down standards for interagency working a</w:t>
      </w:r>
      <w:r w:rsidR="00D141C6">
        <w:rPr>
          <w:sz w:val="24"/>
          <w:szCs w:val="24"/>
        </w:rPr>
        <w:t>nd an effective service culture (In Safe Hands, 2000).</w:t>
      </w:r>
      <w:r w:rsidR="001355D2">
        <w:rPr>
          <w:sz w:val="24"/>
          <w:szCs w:val="24"/>
        </w:rPr>
        <w:t xml:space="preserve"> It goes on to describe appropriate procedures for handling cases, information sharing, monitoring and prevention. The National Assembly for Wales endorses the importance of inter-agency working and the co-ordination in the protection of vulnerable adults</w:t>
      </w:r>
      <w:r w:rsidR="00121B95">
        <w:rPr>
          <w:sz w:val="24"/>
          <w:szCs w:val="24"/>
        </w:rPr>
        <w:t>. In Safe Hands, 2000 also sets out the protocol for sharing information, stating that where necessary, information can be shared without consent of the individual if they or others are deemed to be at risk. In the case of Individual 1, she was able and willing to give consent to the investigation.</w:t>
      </w:r>
    </w:p>
    <w:p w:rsidR="00D141C6" w:rsidRPr="008A092E" w:rsidRDefault="00D141C6" w:rsidP="00AB14FE">
      <w:pPr>
        <w:textAlignment w:val="auto"/>
        <w:rPr>
          <w:sz w:val="24"/>
          <w:szCs w:val="24"/>
        </w:rPr>
      </w:pPr>
    </w:p>
    <w:p w:rsidR="00AB14FE" w:rsidRPr="008A092E" w:rsidRDefault="00AB14FE" w:rsidP="00AB14FE">
      <w:pPr>
        <w:textAlignment w:val="auto"/>
        <w:rPr>
          <w:sz w:val="24"/>
          <w:szCs w:val="24"/>
        </w:rPr>
      </w:pPr>
      <w:r>
        <w:rPr>
          <w:sz w:val="24"/>
          <w:szCs w:val="24"/>
        </w:rPr>
        <w:t>Through knowledge,</w:t>
      </w:r>
      <w:r w:rsidRPr="008A092E">
        <w:rPr>
          <w:sz w:val="24"/>
          <w:szCs w:val="24"/>
        </w:rPr>
        <w:t xml:space="preserve"> experience and supervision, I was able to identify the theories that had informed my practice and actions whilst working with Individual 1 and her family. I began with the theory of being task-centred with Individual 1, hoping that short term intervention would suffice, establishing a specific, measurable goal. We did this by collaborating together to create specific strategies and steps to begin reaching the goal. This goal was to have respite in a safe and caring environment to allow Individual 1’s family to go on holiday and be relaxed knowing Individual 1 was safe and for them to come home refreshed and ready to care for Individual 1 again. I did this through Empowering Individual 1 to make choices on what mattered to her when looking at a care home – although the choice was minimal, it was important that she felt empowered to make some choices. </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I then quickly went on to the crisis intervention model when I noticed that Individual 1’s health was at risk althou</w:t>
      </w:r>
      <w:r>
        <w:rPr>
          <w:sz w:val="24"/>
          <w:szCs w:val="24"/>
        </w:rPr>
        <w:t>gh be it not from her own doing; this is managing one crisis event at a time.</w:t>
      </w:r>
      <w:r w:rsidR="00EA26CB">
        <w:rPr>
          <w:sz w:val="24"/>
          <w:szCs w:val="24"/>
        </w:rPr>
        <w:t xml:space="preserve"> Crisis Intervention deals with an immediate issue and can be based on ego-psychology and cognitive-behavioural models – serious events have an impact on the way people think about themselves and their emotional reactions. How unwell and how quickly it occurred, put a lot of emotional stress on Individual 1 and from the working relationship I had with her, I was able to assist her at this crisis </w:t>
      </w:r>
      <w:r w:rsidR="00D90C6C">
        <w:rPr>
          <w:sz w:val="24"/>
          <w:szCs w:val="24"/>
        </w:rPr>
        <w:t>point (Maclean and Harrison, (2008)) This lead on to being solution-</w:t>
      </w:r>
      <w:r w:rsidRPr="008A092E">
        <w:rPr>
          <w:sz w:val="24"/>
          <w:szCs w:val="24"/>
        </w:rPr>
        <w:t xml:space="preserve"> focussed, </w:t>
      </w:r>
      <w:r w:rsidR="00D90C6C">
        <w:rPr>
          <w:sz w:val="24"/>
          <w:szCs w:val="24"/>
        </w:rPr>
        <w:t>focussing on understanding solutions rather than on problems, uses knowledge of service users, can be empowering, optimistic and is time limited</w:t>
      </w:r>
      <w:r w:rsidRPr="008A092E">
        <w:rPr>
          <w:sz w:val="24"/>
          <w:szCs w:val="24"/>
        </w:rPr>
        <w:t>.</w:t>
      </w:r>
      <w:r w:rsidR="00D90C6C">
        <w:rPr>
          <w:sz w:val="24"/>
          <w:szCs w:val="24"/>
        </w:rPr>
        <w:t xml:space="preserve"> This would assist Individual 1 in overcoming the difficult time she had experienced and allow me to continue working positively with her in the future.</w:t>
      </w:r>
      <w:r w:rsidR="00D90C6C" w:rsidRPr="00D90C6C">
        <w:rPr>
          <w:sz w:val="24"/>
          <w:szCs w:val="24"/>
        </w:rPr>
        <w:t xml:space="preserve"> </w:t>
      </w:r>
      <w:r w:rsidR="00D90C6C">
        <w:rPr>
          <w:sz w:val="24"/>
          <w:szCs w:val="24"/>
        </w:rPr>
        <w:t>(Maclean and Harrison, (2008))</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 xml:space="preserve"> </w:t>
      </w:r>
      <w:r w:rsidR="000F58F4">
        <w:rPr>
          <w:sz w:val="24"/>
          <w:szCs w:val="24"/>
        </w:rPr>
        <w:t>A Signs of Safety (</w:t>
      </w:r>
      <w:proofErr w:type="spellStart"/>
      <w:r w:rsidR="000F58F4">
        <w:rPr>
          <w:sz w:val="24"/>
          <w:szCs w:val="24"/>
        </w:rPr>
        <w:t>Turnell</w:t>
      </w:r>
      <w:proofErr w:type="spellEnd"/>
      <w:r w:rsidR="000F58F4">
        <w:rPr>
          <w:sz w:val="24"/>
          <w:szCs w:val="24"/>
        </w:rPr>
        <w:t xml:space="preserve"> and Edwards, 1999)</w:t>
      </w:r>
      <w:r w:rsidRPr="008A092E">
        <w:rPr>
          <w:sz w:val="24"/>
          <w:szCs w:val="24"/>
        </w:rPr>
        <w:t xml:space="preserve"> approach was also considered during this assessment, looking at all aspects of Individual 1</w:t>
      </w:r>
      <w:r w:rsidR="000F58F4">
        <w:rPr>
          <w:sz w:val="24"/>
          <w:szCs w:val="24"/>
        </w:rPr>
        <w:t>’s life and support mechanisms.</w:t>
      </w:r>
      <w:r w:rsidRPr="008A092E">
        <w:rPr>
          <w:sz w:val="24"/>
          <w:szCs w:val="24"/>
        </w:rPr>
        <w:t xml:space="preserve"> Although this is an approach to child protection casework, it can and is being adapted to meet the needs of adults. </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lastRenderedPageBreak/>
        <w:t xml:space="preserve">I have mentioned above the ‘Signs of Safety’ approach. Although I considered this during my initial assessment with Individual 1, </w:t>
      </w:r>
      <w:r w:rsidR="000F58F4">
        <w:rPr>
          <w:sz w:val="24"/>
          <w:szCs w:val="24"/>
        </w:rPr>
        <w:t xml:space="preserve">initially </w:t>
      </w:r>
      <w:r w:rsidRPr="008A092E">
        <w:rPr>
          <w:sz w:val="24"/>
          <w:szCs w:val="24"/>
        </w:rPr>
        <w:t xml:space="preserve">I </w:t>
      </w:r>
      <w:r w:rsidR="000F58F4">
        <w:rPr>
          <w:sz w:val="24"/>
          <w:szCs w:val="24"/>
        </w:rPr>
        <w:t>was</w:t>
      </w:r>
      <w:r w:rsidRPr="008A092E">
        <w:rPr>
          <w:sz w:val="24"/>
          <w:szCs w:val="24"/>
        </w:rPr>
        <w:t xml:space="preserve"> unsure as to its actual role within Adult Safeguarding in its current form. The process is evidently working in the safeguarding of children – this being the focus of the approach, evidence shows that more and more counties/countries are using the approach. It is shown to ‘increase worker’s morale, increase practitioner clarity and decision-making, improves and focuses relationships between practitioner and families, improves collaboration between child protection and other professionals, reduces rates of child removal and reduces the duration cases are open to the agency’ (</w:t>
      </w:r>
      <w:proofErr w:type="spellStart"/>
      <w:r w:rsidR="000F58F4">
        <w:rPr>
          <w:sz w:val="24"/>
          <w:szCs w:val="24"/>
        </w:rPr>
        <w:t>Turnell</w:t>
      </w:r>
      <w:proofErr w:type="spellEnd"/>
      <w:r w:rsidR="000F58F4">
        <w:rPr>
          <w:sz w:val="24"/>
          <w:szCs w:val="24"/>
        </w:rPr>
        <w:t xml:space="preserve"> and Edwards, 1999</w:t>
      </w:r>
      <w:r w:rsidRPr="008A092E">
        <w:rPr>
          <w:sz w:val="24"/>
          <w:szCs w:val="24"/>
        </w:rPr>
        <w:t>). All of this shows how well the approach works. But, for me in</w:t>
      </w:r>
      <w:r w:rsidR="000F58F4">
        <w:rPr>
          <w:sz w:val="24"/>
          <w:szCs w:val="24"/>
        </w:rPr>
        <w:t xml:space="preserve"> my professional opinion, I can</w:t>
      </w:r>
      <w:r w:rsidRPr="008A092E">
        <w:rPr>
          <w:sz w:val="24"/>
          <w:szCs w:val="24"/>
        </w:rPr>
        <w:t>not yet see the full impact on this working within an adult setting. Although I understand and appreciate the approach in children’s settings, I am yet to completely understand the way of it working within the adult setting. I see Signs of Safety being similar to working holistically – using all the methods of social work in coming up with lasting solutions to the problems and solutions of individuals. Working holistically to me is looking at the person’s bigger picture, the support, the queries, the wider family and friends, the needs of the Individual and what support they already have. I see these two being similar and working holistically has been an integral part of social work for many years. Perhaps when the documentation is adapted and</w:t>
      </w:r>
      <w:r w:rsidR="00220FB7">
        <w:rPr>
          <w:sz w:val="24"/>
          <w:szCs w:val="24"/>
        </w:rPr>
        <w:t xml:space="preserve"> I have undertaken more work under Signs of Safety, I will feel more co</w:t>
      </w:r>
      <w:r w:rsidRPr="008A092E">
        <w:rPr>
          <w:sz w:val="24"/>
          <w:szCs w:val="24"/>
        </w:rPr>
        <w:t>mfortable in using the approach, but for now I will continue working holistically with adults.</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r w:rsidRPr="008A092E">
        <w:rPr>
          <w:sz w:val="24"/>
          <w:szCs w:val="24"/>
        </w:rPr>
        <w:t xml:space="preserve">Overall, in reflection I feel I have learnt a great deal from this experience in referring to Safeguarding. It is always something that needs to be considered and if the situation is not straightforward, I would always consider contacting the Safeguarding team to have an informal discussion to gain advice. By having the ability to give Individual 1 preferred choice of language, I feel I was enabling her to share her wishes and feelings which allowed me to complete comprehensive assessments of need. All safety measures were in place and were assessed as being manageable within the chosen home. Family had put their trust in me and the care staff at the home, but had been badly let down which left me using all communication skills possible to regain the trust of Individual 1 and her family as I felt I had let them down also. I respected their views and opinions at the time and shared with them what information I could in a clear and professional way, whilst working in collaboration with other professionals and colleagues. As I have said previously, I would not hesitate in making a safeguarding referral in the future to ensure an individual’s well-being.    </w:t>
      </w:r>
    </w:p>
    <w:p w:rsidR="00AB14FE" w:rsidRPr="008A092E" w:rsidRDefault="00AB14FE" w:rsidP="00AB14FE">
      <w:pPr>
        <w:textAlignment w:val="auto"/>
        <w:rPr>
          <w:sz w:val="24"/>
          <w:szCs w:val="24"/>
        </w:rPr>
      </w:pPr>
      <w:r w:rsidRPr="008A092E">
        <w:rPr>
          <w:sz w:val="24"/>
          <w:szCs w:val="24"/>
        </w:rPr>
        <w:t xml:space="preserve">   </w:t>
      </w:r>
    </w:p>
    <w:p w:rsidR="00AB14FE" w:rsidRPr="008A092E" w:rsidRDefault="00AB14FE" w:rsidP="00AB14FE">
      <w:pPr>
        <w:textAlignment w:val="auto"/>
        <w:rPr>
          <w:sz w:val="24"/>
          <w:szCs w:val="24"/>
        </w:rPr>
      </w:pPr>
    </w:p>
    <w:p w:rsidR="00AB14FE" w:rsidRPr="008A092E" w:rsidRDefault="00AB14FE" w:rsidP="00AB14FE">
      <w:pPr>
        <w:textAlignment w:val="auto"/>
        <w:rPr>
          <w:sz w:val="24"/>
          <w:szCs w:val="24"/>
        </w:rPr>
      </w:pPr>
    </w:p>
    <w:p w:rsidR="00AB14FE" w:rsidRPr="008A092E" w:rsidRDefault="000924D0" w:rsidP="00AB14FE">
      <w:pPr>
        <w:textAlignment w:val="auto"/>
        <w:rPr>
          <w:sz w:val="24"/>
          <w:szCs w:val="24"/>
        </w:rPr>
      </w:pPr>
      <w:r>
        <w:rPr>
          <w:sz w:val="24"/>
          <w:szCs w:val="24"/>
        </w:rPr>
        <w:t>Word Count 4552</w:t>
      </w:r>
    </w:p>
    <w:p w:rsidR="00FC043A" w:rsidRDefault="003B4C4B"/>
    <w:p w:rsidR="00D141C6" w:rsidRDefault="00D141C6"/>
    <w:p w:rsidR="000924D0" w:rsidRDefault="000924D0" w:rsidP="004F6ECB">
      <w:pPr>
        <w:rPr>
          <w:sz w:val="24"/>
          <w:szCs w:val="24"/>
        </w:rPr>
      </w:pPr>
    </w:p>
    <w:p w:rsidR="000924D0" w:rsidRDefault="000924D0" w:rsidP="004F6ECB">
      <w:pPr>
        <w:rPr>
          <w:sz w:val="24"/>
          <w:szCs w:val="24"/>
        </w:rPr>
      </w:pPr>
    </w:p>
    <w:p w:rsidR="000924D0" w:rsidRDefault="000924D0" w:rsidP="004F6ECB">
      <w:pPr>
        <w:rPr>
          <w:sz w:val="24"/>
          <w:szCs w:val="24"/>
        </w:rPr>
      </w:pPr>
    </w:p>
    <w:p w:rsidR="000924D0" w:rsidRDefault="000924D0" w:rsidP="004F6ECB">
      <w:pPr>
        <w:rPr>
          <w:sz w:val="24"/>
          <w:szCs w:val="24"/>
        </w:rPr>
      </w:pPr>
    </w:p>
    <w:p w:rsidR="000924D0" w:rsidRDefault="000924D0" w:rsidP="004F6ECB">
      <w:pPr>
        <w:rPr>
          <w:sz w:val="24"/>
          <w:szCs w:val="24"/>
        </w:rPr>
      </w:pPr>
    </w:p>
    <w:p w:rsidR="000924D0" w:rsidRDefault="000924D0" w:rsidP="004F6ECB">
      <w:pPr>
        <w:rPr>
          <w:sz w:val="24"/>
          <w:szCs w:val="24"/>
        </w:rPr>
      </w:pPr>
    </w:p>
    <w:p w:rsidR="00DD4D83" w:rsidRPr="000924D0" w:rsidRDefault="00DD4D83" w:rsidP="004F6ECB">
      <w:pPr>
        <w:rPr>
          <w:sz w:val="24"/>
          <w:szCs w:val="24"/>
          <w:u w:val="single"/>
        </w:rPr>
      </w:pPr>
      <w:r w:rsidRPr="000924D0">
        <w:rPr>
          <w:sz w:val="24"/>
          <w:szCs w:val="24"/>
          <w:u w:val="single"/>
        </w:rPr>
        <w:lastRenderedPageBreak/>
        <w:t>Bibliography</w:t>
      </w:r>
    </w:p>
    <w:p w:rsidR="00DD4D83" w:rsidRPr="00B94D63" w:rsidRDefault="00DD4D83" w:rsidP="00DD4D83">
      <w:pPr>
        <w:jc w:val="both"/>
        <w:rPr>
          <w:b/>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Cardinet.ceredigion.gov.uk (accessed 15.12.2018)</w:t>
      </w:r>
    </w:p>
    <w:p w:rsidR="00DD4D83" w:rsidRPr="00B94D63" w:rsidRDefault="00DD4D83" w:rsidP="00DD4D83">
      <w:pPr>
        <w:jc w:val="both"/>
        <w:textAlignment w:val="auto"/>
        <w:rPr>
          <w:b/>
          <w:color w:val="auto"/>
          <w:sz w:val="24"/>
          <w:szCs w:val="24"/>
        </w:rPr>
      </w:pPr>
    </w:p>
    <w:p w:rsidR="006902EF" w:rsidRDefault="00DD4D83" w:rsidP="004F6ECB">
      <w:pPr>
        <w:jc w:val="both"/>
        <w:textAlignment w:val="auto"/>
        <w:rPr>
          <w:color w:val="auto"/>
          <w:sz w:val="24"/>
          <w:szCs w:val="24"/>
        </w:rPr>
      </w:pPr>
      <w:proofErr w:type="spellStart"/>
      <w:r w:rsidRPr="00B94D63">
        <w:rPr>
          <w:color w:val="auto"/>
          <w:sz w:val="24"/>
          <w:szCs w:val="24"/>
        </w:rPr>
        <w:t>careinspectorate.wales</w:t>
      </w:r>
      <w:proofErr w:type="spellEnd"/>
      <w:r w:rsidRPr="00B94D63">
        <w:rPr>
          <w:color w:val="auto"/>
          <w:sz w:val="24"/>
          <w:szCs w:val="24"/>
        </w:rPr>
        <w:t xml:space="preserve"> (Accessed 13 May 2018)</w:t>
      </w:r>
    </w:p>
    <w:p w:rsidR="00DD4D83" w:rsidRPr="00B94D63" w:rsidRDefault="00DD4D83" w:rsidP="00DD4D83">
      <w:pPr>
        <w:jc w:val="both"/>
        <w:textAlignment w:val="auto"/>
        <w:rPr>
          <w:color w:val="auto"/>
          <w:sz w:val="24"/>
          <w:szCs w:val="24"/>
        </w:rPr>
      </w:pPr>
    </w:p>
    <w:p w:rsidR="00DD4D83" w:rsidRPr="00B94D63" w:rsidRDefault="00DD4D83" w:rsidP="004F6ECB">
      <w:pPr>
        <w:jc w:val="both"/>
        <w:textAlignment w:val="auto"/>
        <w:rPr>
          <w:color w:val="auto"/>
          <w:sz w:val="24"/>
          <w:szCs w:val="24"/>
        </w:rPr>
      </w:pPr>
      <w:r w:rsidRPr="00B94D63">
        <w:rPr>
          <w:color w:val="auto"/>
          <w:sz w:val="24"/>
          <w:szCs w:val="24"/>
        </w:rPr>
        <w:t xml:space="preserve">Getting in on the Act (2018) accessed via </w:t>
      </w:r>
      <w:proofErr w:type="spellStart"/>
      <w:r w:rsidRPr="00B94D63">
        <w:rPr>
          <w:color w:val="auto"/>
          <w:sz w:val="24"/>
          <w:szCs w:val="24"/>
        </w:rPr>
        <w:t>socialcare.wales</w:t>
      </w:r>
      <w:proofErr w:type="spellEnd"/>
      <w:r w:rsidRPr="00B94D63">
        <w:rPr>
          <w:color w:val="auto"/>
          <w:sz w:val="24"/>
          <w:szCs w:val="24"/>
        </w:rPr>
        <w:t>/hub/home (Accessed 04/11/2</w:t>
      </w:r>
      <w:r w:rsidR="004F6ECB">
        <w:rPr>
          <w:color w:val="auto"/>
          <w:sz w:val="24"/>
          <w:szCs w:val="24"/>
        </w:rPr>
        <w:t>018)</w:t>
      </w:r>
    </w:p>
    <w:p w:rsidR="00DD4D83" w:rsidRPr="00B94D63" w:rsidRDefault="00DD4D83" w:rsidP="00DD4D83">
      <w:pPr>
        <w:jc w:val="both"/>
        <w:rPr>
          <w:color w:val="auto"/>
          <w:sz w:val="24"/>
          <w:szCs w:val="24"/>
        </w:rPr>
      </w:pPr>
    </w:p>
    <w:p w:rsidR="00DD4D83" w:rsidRPr="00B94D63" w:rsidRDefault="00DD4D83" w:rsidP="00DD4D83">
      <w:pPr>
        <w:jc w:val="both"/>
        <w:textAlignment w:val="auto"/>
        <w:rPr>
          <w:color w:val="auto"/>
          <w:sz w:val="24"/>
          <w:szCs w:val="24"/>
        </w:rPr>
      </w:pPr>
      <w:hyperlink r:id="rId7" w:history="1">
        <w:r w:rsidRPr="00B94D63">
          <w:rPr>
            <w:color w:val="auto"/>
            <w:sz w:val="24"/>
            <w:szCs w:val="24"/>
          </w:rPr>
          <w:t>https://gov.wales/docs/dhss/publications/150928activeoffersocialservicesen.pdf</w:t>
        </w:r>
      </w:hyperlink>
    </w:p>
    <w:p w:rsidR="00DD4D83" w:rsidRPr="00B94D63" w:rsidRDefault="00DD4D83" w:rsidP="00DD4D83">
      <w:pPr>
        <w:jc w:val="both"/>
        <w:textAlignment w:val="auto"/>
        <w:rPr>
          <w:color w:val="auto"/>
          <w:sz w:val="24"/>
          <w:szCs w:val="24"/>
        </w:rPr>
      </w:pPr>
    </w:p>
    <w:p w:rsidR="00DD4D83" w:rsidRPr="00B94D63" w:rsidRDefault="00DD4D83" w:rsidP="00DD4D83">
      <w:pPr>
        <w:jc w:val="both"/>
        <w:rPr>
          <w:color w:val="auto"/>
          <w:sz w:val="24"/>
          <w:szCs w:val="24"/>
        </w:rPr>
      </w:pPr>
      <w:r w:rsidRPr="00B94D63">
        <w:rPr>
          <w:color w:val="auto"/>
          <w:sz w:val="24"/>
          <w:szCs w:val="24"/>
        </w:rPr>
        <w:t>http://gov.wales/topics/health/socialcare/safeguarding/?lang+en (Accessed 04/11/2018)</w:t>
      </w:r>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hyperlink r:id="rId8" w:history="1">
        <w:r w:rsidRPr="00B94D63">
          <w:rPr>
            <w:color w:val="auto"/>
            <w:sz w:val="24"/>
            <w:szCs w:val="24"/>
          </w:rPr>
          <w:t>https://journals.sagepub.com/doi/abs/</w:t>
        </w:r>
      </w:hyperlink>
    </w:p>
    <w:p w:rsidR="00DD4D83" w:rsidRPr="00B94D63" w:rsidRDefault="00DD4D83" w:rsidP="00DD4D83">
      <w:pPr>
        <w:jc w:val="both"/>
        <w:textAlignment w:val="auto"/>
        <w:rPr>
          <w:color w:val="auto"/>
          <w:sz w:val="24"/>
          <w:szCs w:val="24"/>
        </w:rPr>
      </w:pPr>
    </w:p>
    <w:p w:rsidR="00DD4D83" w:rsidRPr="004F6ECB" w:rsidRDefault="00DD4D83" w:rsidP="00DD4D83">
      <w:pPr>
        <w:jc w:val="both"/>
        <w:textAlignment w:val="auto"/>
        <w:rPr>
          <w:color w:val="auto"/>
          <w:sz w:val="24"/>
          <w:szCs w:val="24"/>
        </w:rPr>
      </w:pPr>
      <w:hyperlink r:id="rId9" w:history="1">
        <w:r w:rsidRPr="004F6ECB">
          <w:rPr>
            <w:rStyle w:val="Hyperlink"/>
            <w:color w:val="auto"/>
            <w:sz w:val="24"/>
            <w:szCs w:val="24"/>
            <w:u w:val="none"/>
          </w:rPr>
          <w:t>https://socialcare.wales/cms_assets/file-uploads/Code-of-Professional-Practice-for-Social-Care-web-version.pdf</w:t>
        </w:r>
      </w:hyperlink>
    </w:p>
    <w:p w:rsidR="00DD4D83" w:rsidRPr="00B94D63" w:rsidRDefault="00DD4D83" w:rsidP="00DD4D83">
      <w:pPr>
        <w:jc w:val="both"/>
        <w:textAlignment w:val="auto"/>
        <w:rPr>
          <w:color w:val="auto"/>
          <w:sz w:val="24"/>
          <w:szCs w:val="24"/>
        </w:rPr>
      </w:pPr>
    </w:p>
    <w:p w:rsidR="00DD4D83" w:rsidRPr="004F6ECB" w:rsidRDefault="00DD4D83" w:rsidP="00DD4D83">
      <w:pPr>
        <w:jc w:val="both"/>
        <w:textAlignment w:val="auto"/>
        <w:rPr>
          <w:color w:val="auto"/>
          <w:sz w:val="24"/>
          <w:szCs w:val="24"/>
        </w:rPr>
      </w:pPr>
      <w:hyperlink r:id="rId10" w:history="1">
        <w:r w:rsidRPr="004F6ECB">
          <w:rPr>
            <w:rStyle w:val="Hyperlink"/>
            <w:color w:val="auto"/>
            <w:sz w:val="24"/>
            <w:szCs w:val="24"/>
            <w:u w:val="none"/>
          </w:rPr>
          <w:t>https://socialcare.wales/</w:t>
        </w:r>
      </w:hyperlink>
      <w:r w:rsidRPr="004F6ECB">
        <w:rPr>
          <w:color w:val="auto"/>
          <w:sz w:val="24"/>
          <w:szCs w:val="24"/>
        </w:rPr>
        <w:t>learning-and-development/browse-national-occupational-standards-nos</w:t>
      </w:r>
    </w:p>
    <w:p w:rsidR="00DD4D83" w:rsidRPr="004F6ECB" w:rsidRDefault="00DD4D83" w:rsidP="00DD4D83">
      <w:pPr>
        <w:jc w:val="both"/>
        <w:textAlignment w:val="auto"/>
        <w:rPr>
          <w:color w:val="auto"/>
          <w:sz w:val="24"/>
          <w:szCs w:val="24"/>
        </w:rPr>
      </w:pPr>
    </w:p>
    <w:p w:rsidR="00DD4D83" w:rsidRPr="004F6ECB" w:rsidRDefault="00DD4D83" w:rsidP="00DD4D83">
      <w:pPr>
        <w:jc w:val="both"/>
        <w:textAlignment w:val="auto"/>
        <w:rPr>
          <w:color w:val="auto"/>
          <w:sz w:val="24"/>
          <w:szCs w:val="24"/>
        </w:rPr>
      </w:pPr>
      <w:hyperlink r:id="rId11" w:history="1">
        <w:r w:rsidRPr="004F6ECB">
          <w:rPr>
            <w:rStyle w:val="Hyperlink"/>
            <w:color w:val="auto"/>
            <w:sz w:val="24"/>
            <w:szCs w:val="24"/>
            <w:u w:val="none"/>
          </w:rPr>
          <w:t>https://socialcare.wales/cms_assets/file-uploads/Supervising-and-appraising-well-social-care.pdf</w:t>
        </w:r>
      </w:hyperlink>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 xml:space="preserve">https://socialcare.wales/cms_assets/file-uploads/23-All-Wales-Basic-Safeguarding-Awareness-Training-Adult-at-Risk-taken-from-the-Social-Services -and-Well-being-Wales-Act-2014.pdf  </w:t>
      </w:r>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 xml:space="preserve">https://socialcare.wales/cms_assets/file-uploads/23-All-Wales-Basic-Safeguarding-Awareness-Training-Adult-at-Risk-taken-from-the-Social-Services -and-Well-being-Wales-Act-2014.pdf </w:t>
      </w:r>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https://www.legislation.gov.uk/ukpga/2005/9/contents (Accessed 16 January 2019)</w:t>
      </w:r>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hyperlink r:id="rId12" w:history="1">
        <w:r w:rsidRPr="00B94D63">
          <w:rPr>
            <w:color w:val="auto"/>
            <w:sz w:val="24"/>
            <w:szCs w:val="24"/>
          </w:rPr>
          <w:t>http://www.legislation.gov.uk/anaw/2014/4/section/2</w:t>
        </w:r>
      </w:hyperlink>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http://www.legislation.gov.uk</w:t>
      </w:r>
      <w:r w:rsidR="000924D0">
        <w:rPr>
          <w:color w:val="auto"/>
          <w:sz w:val="24"/>
          <w:szCs w:val="24"/>
        </w:rPr>
        <w:t>/anaw/2015/2/section/36/enacted</w:t>
      </w:r>
      <w:bookmarkStart w:id="0" w:name="_GoBack"/>
      <w:bookmarkEnd w:id="0"/>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hyperlink r:id="rId13" w:history="1">
        <w:r w:rsidRPr="00B94D63">
          <w:rPr>
            <w:color w:val="auto"/>
            <w:sz w:val="24"/>
            <w:szCs w:val="24"/>
          </w:rPr>
          <w:t>http://www.olderpeoplewales.com/en/about/un-principles.aspx</w:t>
        </w:r>
      </w:hyperlink>
    </w:p>
    <w:p w:rsidR="00DD4D83" w:rsidRPr="00B94D63" w:rsidRDefault="004F6ECB" w:rsidP="004F6ECB">
      <w:pPr>
        <w:tabs>
          <w:tab w:val="left" w:pos="6555"/>
        </w:tabs>
        <w:jc w:val="both"/>
        <w:textAlignment w:val="auto"/>
        <w:rPr>
          <w:color w:val="auto"/>
          <w:sz w:val="24"/>
          <w:szCs w:val="24"/>
        </w:rPr>
      </w:pPr>
      <w:r>
        <w:rPr>
          <w:color w:val="auto"/>
          <w:sz w:val="24"/>
          <w:szCs w:val="24"/>
        </w:rPr>
        <w:tab/>
      </w:r>
    </w:p>
    <w:p w:rsidR="00DD4D83" w:rsidRPr="00B94D63" w:rsidRDefault="00DD4D83" w:rsidP="00DD4D83">
      <w:pPr>
        <w:jc w:val="both"/>
        <w:rPr>
          <w:color w:val="auto"/>
          <w:sz w:val="24"/>
          <w:szCs w:val="24"/>
        </w:rPr>
      </w:pPr>
      <w:hyperlink r:id="rId14" w:history="1">
        <w:r w:rsidRPr="00B94D63">
          <w:rPr>
            <w:rStyle w:val="Hyperlink"/>
            <w:color w:val="auto"/>
            <w:sz w:val="24"/>
            <w:szCs w:val="24"/>
          </w:rPr>
          <w:t>https://www.scie.org.uk/mca/dols/at-a-glance</w:t>
        </w:r>
      </w:hyperlink>
      <w:r w:rsidRPr="00B94D63">
        <w:rPr>
          <w:color w:val="auto"/>
          <w:sz w:val="24"/>
          <w:szCs w:val="24"/>
        </w:rPr>
        <w:t xml:space="preserve"> (Accessed 20.01.2018)</w:t>
      </w:r>
    </w:p>
    <w:p w:rsidR="00DD4D83" w:rsidRPr="00B94D63" w:rsidRDefault="00DD4D83"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hyperlink r:id="rId15" w:history="1">
        <w:r w:rsidRPr="00B94D63">
          <w:rPr>
            <w:color w:val="auto"/>
            <w:sz w:val="24"/>
            <w:szCs w:val="24"/>
          </w:rPr>
          <w:t>http://www.scie-socialcareonline.org.uk/in-safe-hands-protection-of-vulnerable-adults-in-wales/r/</w:t>
        </w:r>
      </w:hyperlink>
    </w:p>
    <w:p w:rsidR="00DD4D83" w:rsidRPr="00B94D63" w:rsidRDefault="00DD4D83" w:rsidP="00DD4D83">
      <w:pPr>
        <w:jc w:val="both"/>
        <w:textAlignment w:val="auto"/>
        <w:rPr>
          <w:color w:val="auto"/>
          <w:sz w:val="24"/>
          <w:szCs w:val="24"/>
        </w:rPr>
      </w:pPr>
    </w:p>
    <w:p w:rsidR="000924D0" w:rsidRDefault="00DD4D83" w:rsidP="00DD4D83">
      <w:pPr>
        <w:jc w:val="both"/>
        <w:textAlignment w:val="auto"/>
        <w:rPr>
          <w:color w:val="auto"/>
          <w:sz w:val="24"/>
          <w:szCs w:val="24"/>
        </w:rPr>
      </w:pPr>
      <w:hyperlink r:id="rId16" w:history="1">
        <w:r w:rsidRPr="00B94D63">
          <w:rPr>
            <w:rStyle w:val="Hyperlink"/>
            <w:color w:val="auto"/>
            <w:sz w:val="24"/>
            <w:szCs w:val="24"/>
          </w:rPr>
          <w:t>https://www.signsofsafety.net/signs-of-safety/</w:t>
        </w:r>
      </w:hyperlink>
    </w:p>
    <w:p w:rsidR="00DD4D83" w:rsidRDefault="00DD4D83" w:rsidP="00DD4D83">
      <w:pPr>
        <w:jc w:val="both"/>
        <w:textAlignment w:val="auto"/>
        <w:rPr>
          <w:color w:val="auto"/>
          <w:sz w:val="24"/>
          <w:szCs w:val="24"/>
        </w:rPr>
      </w:pPr>
      <w:hyperlink r:id="rId17" w:history="1">
        <w:r w:rsidRPr="00B94D63">
          <w:rPr>
            <w:rStyle w:val="Hyperlink"/>
            <w:color w:val="auto"/>
            <w:sz w:val="24"/>
            <w:szCs w:val="24"/>
          </w:rPr>
          <w:t>https://www.basw.co.uk/resources/basw-uk-supervision-policy</w:t>
        </w:r>
      </w:hyperlink>
      <w:r w:rsidRPr="00B94D63">
        <w:rPr>
          <w:color w:val="auto"/>
          <w:sz w:val="24"/>
          <w:szCs w:val="24"/>
        </w:rPr>
        <w:t xml:space="preserve"> (Accessed 20.01.2018)</w:t>
      </w:r>
    </w:p>
    <w:p w:rsidR="006902EF" w:rsidRDefault="006902EF" w:rsidP="00DD4D83">
      <w:pPr>
        <w:jc w:val="both"/>
        <w:textAlignment w:val="auto"/>
        <w:rPr>
          <w:color w:val="auto"/>
          <w:sz w:val="24"/>
          <w:szCs w:val="24"/>
        </w:rPr>
      </w:pPr>
    </w:p>
    <w:p w:rsidR="006902EF" w:rsidRPr="00B94D63" w:rsidRDefault="006902EF" w:rsidP="00DD4D83">
      <w:pPr>
        <w:jc w:val="both"/>
        <w:textAlignment w:val="auto"/>
        <w:rPr>
          <w:color w:val="auto"/>
          <w:sz w:val="24"/>
          <w:szCs w:val="24"/>
        </w:rPr>
      </w:pPr>
      <w:r>
        <w:rPr>
          <w:color w:val="auto"/>
          <w:sz w:val="24"/>
          <w:szCs w:val="24"/>
        </w:rPr>
        <w:lastRenderedPageBreak/>
        <w:t xml:space="preserve">Lindsay, T., (2009) </w:t>
      </w:r>
      <w:r w:rsidRPr="006902EF">
        <w:rPr>
          <w:i/>
          <w:color w:val="auto"/>
          <w:sz w:val="24"/>
          <w:szCs w:val="24"/>
        </w:rPr>
        <w:t>Social Work Intervention</w:t>
      </w:r>
      <w:r>
        <w:rPr>
          <w:color w:val="auto"/>
          <w:sz w:val="24"/>
          <w:szCs w:val="24"/>
        </w:rPr>
        <w:t>, Exeter, Learning Matters Ltd</w:t>
      </w:r>
    </w:p>
    <w:p w:rsidR="00DD4D83" w:rsidRPr="00B94D63" w:rsidRDefault="00DD4D83" w:rsidP="00DD4D83">
      <w:pPr>
        <w:jc w:val="both"/>
        <w:textAlignment w:val="auto"/>
        <w:rPr>
          <w:color w:val="auto"/>
          <w:sz w:val="24"/>
          <w:szCs w:val="24"/>
        </w:rPr>
      </w:pPr>
      <w:r w:rsidRPr="00B94D63">
        <w:rPr>
          <w:color w:val="auto"/>
          <w:sz w:val="24"/>
          <w:szCs w:val="24"/>
        </w:rPr>
        <w:t xml:space="preserve"> </w:t>
      </w:r>
    </w:p>
    <w:p w:rsidR="00DD4D83" w:rsidRDefault="00DD4D83" w:rsidP="00DD4D83">
      <w:pPr>
        <w:jc w:val="both"/>
        <w:textAlignment w:val="auto"/>
        <w:rPr>
          <w:color w:val="auto"/>
          <w:sz w:val="24"/>
          <w:szCs w:val="24"/>
        </w:rPr>
      </w:pPr>
      <w:r w:rsidRPr="00B94D63">
        <w:rPr>
          <w:color w:val="auto"/>
          <w:sz w:val="24"/>
          <w:szCs w:val="24"/>
        </w:rPr>
        <w:t xml:space="preserve">Maclean, S., (2010) </w:t>
      </w:r>
      <w:proofErr w:type="gramStart"/>
      <w:r w:rsidRPr="00B94D63">
        <w:rPr>
          <w:i/>
          <w:color w:val="auto"/>
          <w:sz w:val="24"/>
          <w:szCs w:val="24"/>
        </w:rPr>
        <w:t>The</w:t>
      </w:r>
      <w:proofErr w:type="gramEnd"/>
      <w:r w:rsidRPr="00B94D63">
        <w:rPr>
          <w:i/>
          <w:color w:val="auto"/>
          <w:sz w:val="24"/>
          <w:szCs w:val="24"/>
        </w:rPr>
        <w:t xml:space="preserve"> Social Work Pocket Guide to…Reflective Practice</w:t>
      </w:r>
      <w:r w:rsidR="006902EF">
        <w:rPr>
          <w:color w:val="auto"/>
          <w:sz w:val="24"/>
          <w:szCs w:val="24"/>
        </w:rPr>
        <w:t>, Staffs, Kirwa</w:t>
      </w:r>
      <w:r w:rsidRPr="00B94D63">
        <w:rPr>
          <w:color w:val="auto"/>
          <w:sz w:val="24"/>
          <w:szCs w:val="24"/>
        </w:rPr>
        <w:t>n Maclean Associates Ltd</w:t>
      </w:r>
    </w:p>
    <w:p w:rsidR="006902EF" w:rsidRDefault="006902EF" w:rsidP="00DD4D83">
      <w:pPr>
        <w:jc w:val="both"/>
        <w:textAlignment w:val="auto"/>
        <w:rPr>
          <w:color w:val="auto"/>
          <w:sz w:val="24"/>
          <w:szCs w:val="24"/>
        </w:rPr>
      </w:pPr>
    </w:p>
    <w:p w:rsidR="006902EF" w:rsidRPr="00B94D63" w:rsidRDefault="006902EF" w:rsidP="006902EF">
      <w:pPr>
        <w:jc w:val="both"/>
        <w:textAlignment w:val="auto"/>
        <w:rPr>
          <w:color w:val="auto"/>
          <w:sz w:val="24"/>
          <w:szCs w:val="24"/>
        </w:rPr>
      </w:pPr>
      <w:r w:rsidRPr="00B94D63">
        <w:rPr>
          <w:color w:val="auto"/>
          <w:sz w:val="24"/>
          <w:szCs w:val="24"/>
        </w:rPr>
        <w:t>Maclean, S.,</w:t>
      </w:r>
      <w:r>
        <w:rPr>
          <w:color w:val="auto"/>
          <w:sz w:val="24"/>
          <w:szCs w:val="24"/>
        </w:rPr>
        <w:t xml:space="preserve"> and Harrison, R., (2008</w:t>
      </w:r>
      <w:r w:rsidRPr="00B94D63">
        <w:rPr>
          <w:color w:val="auto"/>
          <w:sz w:val="24"/>
          <w:szCs w:val="24"/>
        </w:rPr>
        <w:t xml:space="preserve">) </w:t>
      </w:r>
      <w:r>
        <w:rPr>
          <w:color w:val="auto"/>
          <w:sz w:val="24"/>
          <w:szCs w:val="24"/>
        </w:rPr>
        <w:t>Social Work Theory, Staffs, Kirwa</w:t>
      </w:r>
      <w:r w:rsidRPr="00B94D63">
        <w:rPr>
          <w:color w:val="auto"/>
          <w:sz w:val="24"/>
          <w:szCs w:val="24"/>
        </w:rPr>
        <w:t>n Maclean Associates Ltd</w:t>
      </w:r>
    </w:p>
    <w:p w:rsidR="00DD4D83" w:rsidRDefault="00DD4D83" w:rsidP="00DD4D83">
      <w:pPr>
        <w:jc w:val="both"/>
        <w:textAlignment w:val="auto"/>
        <w:rPr>
          <w:color w:val="auto"/>
          <w:sz w:val="24"/>
          <w:szCs w:val="24"/>
        </w:rPr>
      </w:pPr>
    </w:p>
    <w:p w:rsidR="004F6ECB" w:rsidRPr="00B94D63" w:rsidRDefault="004F6ECB" w:rsidP="004F6ECB">
      <w:pPr>
        <w:jc w:val="both"/>
        <w:textAlignment w:val="auto"/>
        <w:rPr>
          <w:color w:val="auto"/>
          <w:sz w:val="24"/>
          <w:szCs w:val="24"/>
        </w:rPr>
      </w:pPr>
      <w:proofErr w:type="spellStart"/>
      <w:r>
        <w:rPr>
          <w:color w:val="auto"/>
          <w:sz w:val="24"/>
          <w:szCs w:val="24"/>
        </w:rPr>
        <w:t>Mantell</w:t>
      </w:r>
      <w:proofErr w:type="spellEnd"/>
      <w:r>
        <w:rPr>
          <w:color w:val="auto"/>
          <w:sz w:val="24"/>
          <w:szCs w:val="24"/>
        </w:rPr>
        <w:t xml:space="preserve">, A., </w:t>
      </w:r>
      <w:proofErr w:type="spellStart"/>
      <w:r w:rsidR="00E039C6">
        <w:rPr>
          <w:color w:val="auto"/>
          <w:sz w:val="24"/>
          <w:szCs w:val="24"/>
        </w:rPr>
        <w:t>Scragg</w:t>
      </w:r>
      <w:proofErr w:type="spellEnd"/>
      <w:r w:rsidR="00E039C6">
        <w:rPr>
          <w:color w:val="auto"/>
          <w:sz w:val="24"/>
          <w:szCs w:val="24"/>
        </w:rPr>
        <w:t xml:space="preserve">, T., </w:t>
      </w:r>
      <w:r>
        <w:rPr>
          <w:color w:val="auto"/>
          <w:sz w:val="24"/>
          <w:szCs w:val="24"/>
        </w:rPr>
        <w:t xml:space="preserve">(2008) </w:t>
      </w:r>
      <w:r w:rsidRPr="00E039C6">
        <w:rPr>
          <w:i/>
          <w:color w:val="auto"/>
          <w:sz w:val="24"/>
          <w:szCs w:val="24"/>
        </w:rPr>
        <w:t>Safeguarding Adults in Social Work</w:t>
      </w:r>
      <w:r w:rsidR="00E039C6">
        <w:rPr>
          <w:color w:val="auto"/>
          <w:sz w:val="24"/>
          <w:szCs w:val="24"/>
        </w:rPr>
        <w:t>, Exeter England, Learning Matters</w:t>
      </w:r>
    </w:p>
    <w:p w:rsidR="004F6ECB" w:rsidRPr="00B94D63" w:rsidRDefault="004F6ECB" w:rsidP="00DD4D83">
      <w:pPr>
        <w:jc w:val="both"/>
        <w:textAlignment w:val="auto"/>
        <w:rPr>
          <w:color w:val="auto"/>
          <w:sz w:val="24"/>
          <w:szCs w:val="24"/>
        </w:rPr>
      </w:pPr>
    </w:p>
    <w:p w:rsidR="00DD4D83" w:rsidRPr="00B94D63" w:rsidRDefault="00DD4D83" w:rsidP="00DD4D83">
      <w:pPr>
        <w:overflowPunct/>
        <w:autoSpaceDE/>
        <w:autoSpaceDN/>
        <w:adjustRightInd/>
        <w:jc w:val="both"/>
        <w:textAlignment w:val="auto"/>
        <w:rPr>
          <w:color w:val="auto"/>
          <w:sz w:val="24"/>
          <w:szCs w:val="24"/>
        </w:rPr>
      </w:pPr>
      <w:proofErr w:type="spellStart"/>
      <w:r w:rsidRPr="00B94D63">
        <w:rPr>
          <w:color w:val="auto"/>
          <w:sz w:val="24"/>
          <w:szCs w:val="24"/>
        </w:rPr>
        <w:t>Mantell</w:t>
      </w:r>
      <w:proofErr w:type="spellEnd"/>
      <w:r w:rsidRPr="00B94D63">
        <w:rPr>
          <w:color w:val="auto"/>
          <w:sz w:val="24"/>
          <w:szCs w:val="24"/>
        </w:rPr>
        <w:t xml:space="preserve">, A., (2010) </w:t>
      </w:r>
      <w:r w:rsidRPr="00B94D63">
        <w:rPr>
          <w:i/>
          <w:color w:val="auto"/>
          <w:sz w:val="24"/>
          <w:szCs w:val="24"/>
        </w:rPr>
        <w:t>Social Work Skills with Adults</w:t>
      </w:r>
      <w:r w:rsidRPr="00B94D63">
        <w:rPr>
          <w:color w:val="auto"/>
          <w:sz w:val="24"/>
          <w:szCs w:val="24"/>
        </w:rPr>
        <w:t>, Exeter, Learning Matters</w:t>
      </w:r>
    </w:p>
    <w:p w:rsidR="00DD4D83" w:rsidRPr="00B94D63" w:rsidRDefault="00DD4D83" w:rsidP="00DD4D83">
      <w:pPr>
        <w:overflowPunct/>
        <w:autoSpaceDE/>
        <w:autoSpaceDN/>
        <w:adjustRightInd/>
        <w:jc w:val="both"/>
        <w:textAlignment w:val="auto"/>
        <w:rPr>
          <w:color w:val="auto"/>
          <w:sz w:val="24"/>
          <w:szCs w:val="24"/>
        </w:rPr>
      </w:pPr>
    </w:p>
    <w:p w:rsidR="00DD4D83" w:rsidRDefault="00DD4D83" w:rsidP="00DD4D83">
      <w:pPr>
        <w:overflowPunct/>
        <w:autoSpaceDE/>
        <w:autoSpaceDN/>
        <w:adjustRightInd/>
        <w:jc w:val="both"/>
        <w:textAlignment w:val="auto"/>
        <w:rPr>
          <w:color w:val="auto"/>
          <w:sz w:val="24"/>
          <w:szCs w:val="24"/>
        </w:rPr>
      </w:pPr>
      <w:r w:rsidRPr="00B94D63">
        <w:rPr>
          <w:color w:val="auto"/>
          <w:sz w:val="24"/>
          <w:szCs w:val="24"/>
        </w:rPr>
        <w:t>Mental Capacity Act 2005 code of practice (2007) London, Stationary Office</w:t>
      </w:r>
    </w:p>
    <w:p w:rsidR="006902EF" w:rsidRDefault="006902EF" w:rsidP="00DD4D83">
      <w:pPr>
        <w:overflowPunct/>
        <w:autoSpaceDE/>
        <w:autoSpaceDN/>
        <w:adjustRightInd/>
        <w:jc w:val="both"/>
        <w:textAlignment w:val="auto"/>
        <w:rPr>
          <w:color w:val="auto"/>
          <w:sz w:val="24"/>
          <w:szCs w:val="24"/>
        </w:rPr>
      </w:pPr>
    </w:p>
    <w:p w:rsidR="006902EF" w:rsidRDefault="006902EF" w:rsidP="00DD4D83">
      <w:pPr>
        <w:overflowPunct/>
        <w:autoSpaceDE/>
        <w:autoSpaceDN/>
        <w:adjustRightInd/>
        <w:jc w:val="both"/>
        <w:textAlignment w:val="auto"/>
        <w:rPr>
          <w:color w:val="auto"/>
          <w:sz w:val="24"/>
          <w:szCs w:val="24"/>
        </w:rPr>
      </w:pPr>
      <w:r>
        <w:rPr>
          <w:color w:val="auto"/>
          <w:sz w:val="24"/>
          <w:szCs w:val="24"/>
        </w:rPr>
        <w:t xml:space="preserve">Milner, J. and O’Byrne, P., (1998), </w:t>
      </w:r>
      <w:r w:rsidRPr="006902EF">
        <w:rPr>
          <w:i/>
          <w:color w:val="auto"/>
          <w:sz w:val="24"/>
          <w:szCs w:val="24"/>
        </w:rPr>
        <w:t>Assessment in Social Work</w:t>
      </w:r>
      <w:r>
        <w:rPr>
          <w:color w:val="auto"/>
          <w:sz w:val="24"/>
          <w:szCs w:val="24"/>
        </w:rPr>
        <w:t>, London, Macmillan</w:t>
      </w:r>
    </w:p>
    <w:p w:rsidR="004F6ECB" w:rsidRPr="00B94D63" w:rsidRDefault="004F6ECB" w:rsidP="00DD4D83">
      <w:pPr>
        <w:overflowPunct/>
        <w:autoSpaceDE/>
        <w:autoSpaceDN/>
        <w:adjustRightInd/>
        <w:jc w:val="both"/>
        <w:textAlignment w:val="auto"/>
        <w:rPr>
          <w:color w:val="auto"/>
          <w:sz w:val="24"/>
          <w:szCs w:val="24"/>
        </w:rPr>
      </w:pPr>
    </w:p>
    <w:p w:rsidR="00DD4D83" w:rsidRDefault="00DD4D83" w:rsidP="00DD4D83">
      <w:pPr>
        <w:jc w:val="both"/>
        <w:textAlignment w:val="auto"/>
        <w:rPr>
          <w:color w:val="auto"/>
          <w:sz w:val="24"/>
          <w:szCs w:val="24"/>
        </w:rPr>
      </w:pPr>
      <w:r w:rsidRPr="00B94D63">
        <w:rPr>
          <w:color w:val="auto"/>
          <w:sz w:val="24"/>
          <w:szCs w:val="24"/>
        </w:rPr>
        <w:t>Moodle.uwtsd.ac.uk (Accessed 16 January 2019)</w:t>
      </w:r>
    </w:p>
    <w:p w:rsidR="004F6ECB" w:rsidRDefault="004F6ECB" w:rsidP="00DD4D83">
      <w:pPr>
        <w:jc w:val="both"/>
        <w:textAlignment w:val="auto"/>
        <w:rPr>
          <w:color w:val="auto"/>
          <w:sz w:val="24"/>
          <w:szCs w:val="24"/>
        </w:rPr>
      </w:pPr>
    </w:p>
    <w:p w:rsidR="00E039C6" w:rsidRDefault="00E039C6" w:rsidP="00DD4D83">
      <w:pPr>
        <w:jc w:val="both"/>
        <w:textAlignment w:val="auto"/>
        <w:rPr>
          <w:color w:val="auto"/>
          <w:sz w:val="24"/>
          <w:szCs w:val="24"/>
        </w:rPr>
      </w:pPr>
      <w:r>
        <w:rPr>
          <w:color w:val="auto"/>
          <w:sz w:val="24"/>
          <w:szCs w:val="24"/>
        </w:rPr>
        <w:t xml:space="preserve">Norrie, C., Stevens, M., Graham, K., Moriarty, J., Hussein, S., </w:t>
      </w:r>
      <w:proofErr w:type="spellStart"/>
      <w:r>
        <w:rPr>
          <w:color w:val="auto"/>
          <w:sz w:val="24"/>
          <w:szCs w:val="24"/>
        </w:rPr>
        <w:t>Manthorpe</w:t>
      </w:r>
      <w:proofErr w:type="spellEnd"/>
      <w:r>
        <w:rPr>
          <w:color w:val="auto"/>
          <w:sz w:val="24"/>
          <w:szCs w:val="24"/>
        </w:rPr>
        <w:t xml:space="preserve">, J., (2017), </w:t>
      </w:r>
      <w:proofErr w:type="gramStart"/>
      <w:r>
        <w:rPr>
          <w:i/>
          <w:color w:val="auto"/>
          <w:sz w:val="24"/>
          <w:szCs w:val="24"/>
        </w:rPr>
        <w:t>The</w:t>
      </w:r>
      <w:proofErr w:type="gramEnd"/>
      <w:r>
        <w:rPr>
          <w:i/>
          <w:color w:val="auto"/>
          <w:sz w:val="24"/>
          <w:szCs w:val="24"/>
        </w:rPr>
        <w:t xml:space="preserve"> </w:t>
      </w:r>
      <w:r w:rsidRPr="00E039C6">
        <w:rPr>
          <w:i/>
          <w:color w:val="auto"/>
          <w:sz w:val="24"/>
          <w:szCs w:val="24"/>
        </w:rPr>
        <w:t>Advantages and Disadvantages of Different Models of Organising Adult Safeguarding</w:t>
      </w:r>
      <w:r>
        <w:rPr>
          <w:color w:val="auto"/>
          <w:sz w:val="24"/>
          <w:szCs w:val="24"/>
        </w:rPr>
        <w:t>, British Journal of Social Work, Vol.47 (4) p.p. 1205-1223</w:t>
      </w:r>
    </w:p>
    <w:p w:rsidR="006902EF" w:rsidRDefault="006902EF" w:rsidP="00DD4D83">
      <w:pPr>
        <w:jc w:val="both"/>
        <w:textAlignment w:val="auto"/>
        <w:rPr>
          <w:color w:val="auto"/>
          <w:sz w:val="24"/>
          <w:szCs w:val="24"/>
        </w:rPr>
      </w:pPr>
    </w:p>
    <w:p w:rsidR="006902EF" w:rsidRDefault="006902EF" w:rsidP="00DD4D83">
      <w:pPr>
        <w:jc w:val="both"/>
        <w:textAlignment w:val="auto"/>
        <w:rPr>
          <w:color w:val="auto"/>
          <w:sz w:val="24"/>
          <w:szCs w:val="24"/>
        </w:rPr>
      </w:pPr>
      <w:r>
        <w:rPr>
          <w:color w:val="auto"/>
          <w:sz w:val="24"/>
          <w:szCs w:val="24"/>
        </w:rPr>
        <w:t xml:space="preserve">Payne, M., (2005), </w:t>
      </w:r>
      <w:r w:rsidRPr="006902EF">
        <w:rPr>
          <w:i/>
          <w:color w:val="auto"/>
          <w:sz w:val="24"/>
          <w:szCs w:val="24"/>
        </w:rPr>
        <w:t>Modern Social Work Theory</w:t>
      </w:r>
      <w:r>
        <w:rPr>
          <w:color w:val="auto"/>
          <w:sz w:val="24"/>
          <w:szCs w:val="24"/>
        </w:rPr>
        <w:t>, 3</w:t>
      </w:r>
      <w:r w:rsidRPr="006902EF">
        <w:rPr>
          <w:color w:val="auto"/>
          <w:sz w:val="24"/>
          <w:szCs w:val="24"/>
          <w:vertAlign w:val="superscript"/>
        </w:rPr>
        <w:t>rd</w:t>
      </w:r>
      <w:r>
        <w:rPr>
          <w:color w:val="auto"/>
          <w:sz w:val="24"/>
          <w:szCs w:val="24"/>
        </w:rPr>
        <w:t xml:space="preserve"> </w:t>
      </w:r>
      <w:proofErr w:type="spellStart"/>
      <w:proofErr w:type="gramStart"/>
      <w:r>
        <w:rPr>
          <w:color w:val="auto"/>
          <w:sz w:val="24"/>
          <w:szCs w:val="24"/>
        </w:rPr>
        <w:t>ed</w:t>
      </w:r>
      <w:proofErr w:type="spellEnd"/>
      <w:proofErr w:type="gramEnd"/>
      <w:r>
        <w:rPr>
          <w:color w:val="auto"/>
          <w:sz w:val="24"/>
          <w:szCs w:val="24"/>
        </w:rPr>
        <w:t>, Basingstoke, Palgrave Macmillan</w:t>
      </w:r>
    </w:p>
    <w:p w:rsidR="006902EF" w:rsidRDefault="006902EF" w:rsidP="00DD4D83">
      <w:pPr>
        <w:jc w:val="both"/>
        <w:textAlignment w:val="auto"/>
        <w:rPr>
          <w:color w:val="auto"/>
          <w:sz w:val="24"/>
          <w:szCs w:val="24"/>
        </w:rPr>
      </w:pPr>
    </w:p>
    <w:p w:rsidR="006902EF" w:rsidRPr="00B94D63" w:rsidRDefault="006902EF" w:rsidP="006902EF">
      <w:pPr>
        <w:jc w:val="both"/>
        <w:textAlignment w:val="auto"/>
        <w:rPr>
          <w:color w:val="auto"/>
          <w:sz w:val="24"/>
          <w:szCs w:val="24"/>
        </w:rPr>
      </w:pPr>
      <w:r w:rsidRPr="00B94D63">
        <w:rPr>
          <w:color w:val="auto"/>
          <w:sz w:val="24"/>
          <w:szCs w:val="24"/>
        </w:rPr>
        <w:t xml:space="preserve">Porth </w:t>
      </w:r>
      <w:proofErr w:type="spellStart"/>
      <w:r w:rsidRPr="00B94D63">
        <w:rPr>
          <w:color w:val="auto"/>
          <w:sz w:val="24"/>
          <w:szCs w:val="24"/>
        </w:rPr>
        <w:t>Agored</w:t>
      </w:r>
      <w:proofErr w:type="spellEnd"/>
      <w:r w:rsidRPr="00B94D63">
        <w:rPr>
          <w:color w:val="auto"/>
          <w:sz w:val="24"/>
          <w:szCs w:val="24"/>
        </w:rPr>
        <w:t xml:space="preserve"> Graduate Certificate Consolidation Programme Workshop 2 (04/06/2018)</w:t>
      </w:r>
    </w:p>
    <w:p w:rsidR="00E039C6" w:rsidRDefault="00E039C6" w:rsidP="00DD4D83">
      <w:pPr>
        <w:jc w:val="both"/>
        <w:textAlignment w:val="auto"/>
        <w:rPr>
          <w:color w:val="auto"/>
          <w:sz w:val="24"/>
          <w:szCs w:val="24"/>
        </w:rPr>
      </w:pPr>
    </w:p>
    <w:p w:rsidR="00E039C6" w:rsidRDefault="00E039C6" w:rsidP="00DD4D83">
      <w:pPr>
        <w:jc w:val="both"/>
        <w:textAlignment w:val="auto"/>
        <w:rPr>
          <w:color w:val="auto"/>
          <w:sz w:val="24"/>
          <w:szCs w:val="24"/>
        </w:rPr>
      </w:pPr>
      <w:r>
        <w:rPr>
          <w:color w:val="auto"/>
          <w:sz w:val="24"/>
          <w:szCs w:val="24"/>
        </w:rPr>
        <w:t xml:space="preserve">Phillips, C., (2016), </w:t>
      </w:r>
      <w:r w:rsidRPr="00E039C6">
        <w:rPr>
          <w:i/>
          <w:color w:val="auto"/>
          <w:sz w:val="24"/>
          <w:szCs w:val="24"/>
        </w:rPr>
        <w:t>Wales Safeguarding Policy and Practice: a Critical Analysis</w:t>
      </w:r>
      <w:r>
        <w:rPr>
          <w:color w:val="auto"/>
          <w:sz w:val="24"/>
          <w:szCs w:val="24"/>
        </w:rPr>
        <w:t xml:space="preserve">, </w:t>
      </w:r>
      <w:proofErr w:type="gramStart"/>
      <w:r>
        <w:rPr>
          <w:color w:val="auto"/>
          <w:sz w:val="24"/>
          <w:szCs w:val="24"/>
        </w:rPr>
        <w:t>The</w:t>
      </w:r>
      <w:proofErr w:type="gramEnd"/>
      <w:r>
        <w:rPr>
          <w:color w:val="auto"/>
          <w:sz w:val="24"/>
          <w:szCs w:val="24"/>
        </w:rPr>
        <w:t xml:space="preserve"> Journal of Adult Protection, Vol.18 (1), p.p. 14-27 </w:t>
      </w:r>
    </w:p>
    <w:p w:rsidR="00E039C6" w:rsidRDefault="00E039C6" w:rsidP="00DD4D83">
      <w:pPr>
        <w:jc w:val="both"/>
        <w:textAlignment w:val="auto"/>
        <w:rPr>
          <w:color w:val="auto"/>
          <w:sz w:val="24"/>
          <w:szCs w:val="24"/>
        </w:rPr>
      </w:pPr>
    </w:p>
    <w:p w:rsidR="00E039C6" w:rsidRDefault="00E039C6" w:rsidP="00DD4D83">
      <w:pPr>
        <w:jc w:val="both"/>
        <w:textAlignment w:val="auto"/>
        <w:rPr>
          <w:color w:val="auto"/>
          <w:sz w:val="24"/>
          <w:szCs w:val="24"/>
        </w:rPr>
      </w:pPr>
      <w:r>
        <w:rPr>
          <w:color w:val="auto"/>
          <w:sz w:val="24"/>
          <w:szCs w:val="24"/>
        </w:rPr>
        <w:t xml:space="preserve">Pritchard, J., (2008), </w:t>
      </w:r>
      <w:r w:rsidRPr="006902EF">
        <w:rPr>
          <w:i/>
          <w:color w:val="auto"/>
          <w:sz w:val="24"/>
          <w:szCs w:val="24"/>
        </w:rPr>
        <w:t>Good Practice in Safeguarding Adults: Working Effectively in Adult Protection</w:t>
      </w:r>
      <w:r>
        <w:rPr>
          <w:color w:val="auto"/>
          <w:sz w:val="24"/>
          <w:szCs w:val="24"/>
        </w:rPr>
        <w:t>, London, Jessie Kingsley</w:t>
      </w:r>
    </w:p>
    <w:p w:rsidR="00E039C6" w:rsidRDefault="00E039C6" w:rsidP="00DD4D83">
      <w:pPr>
        <w:jc w:val="both"/>
        <w:textAlignment w:val="auto"/>
        <w:rPr>
          <w:color w:val="auto"/>
          <w:sz w:val="24"/>
          <w:szCs w:val="24"/>
        </w:rPr>
      </w:pPr>
    </w:p>
    <w:p w:rsidR="00DD4D83" w:rsidRDefault="00DD4D83" w:rsidP="00DD4D83">
      <w:pPr>
        <w:jc w:val="both"/>
        <w:textAlignment w:val="auto"/>
        <w:rPr>
          <w:color w:val="auto"/>
          <w:sz w:val="24"/>
          <w:szCs w:val="24"/>
        </w:rPr>
      </w:pPr>
      <w:r w:rsidRPr="00B94D63">
        <w:rPr>
          <w:color w:val="auto"/>
          <w:sz w:val="24"/>
          <w:szCs w:val="24"/>
        </w:rPr>
        <w:t>signsofsafety.net (Accessed 13 May 2018)</w:t>
      </w:r>
    </w:p>
    <w:p w:rsidR="006902EF" w:rsidRDefault="006902EF" w:rsidP="00DD4D83">
      <w:pPr>
        <w:jc w:val="both"/>
        <w:textAlignment w:val="auto"/>
        <w:rPr>
          <w:color w:val="auto"/>
          <w:sz w:val="24"/>
          <w:szCs w:val="24"/>
        </w:rPr>
      </w:pPr>
    </w:p>
    <w:p w:rsidR="006902EF" w:rsidRPr="00B94D63" w:rsidRDefault="006902EF" w:rsidP="00DD4D83">
      <w:pPr>
        <w:jc w:val="both"/>
        <w:textAlignment w:val="auto"/>
        <w:rPr>
          <w:color w:val="auto"/>
          <w:sz w:val="24"/>
          <w:szCs w:val="24"/>
        </w:rPr>
      </w:pPr>
      <w:r>
        <w:rPr>
          <w:color w:val="auto"/>
          <w:sz w:val="24"/>
          <w:szCs w:val="24"/>
        </w:rPr>
        <w:t xml:space="preserve">Trevithick, P., (2000), </w:t>
      </w:r>
      <w:r w:rsidR="00B7533E" w:rsidRPr="00B7533E">
        <w:rPr>
          <w:i/>
          <w:color w:val="auto"/>
          <w:sz w:val="24"/>
          <w:szCs w:val="24"/>
        </w:rPr>
        <w:t>Social Work Skills, A Practice Handbook</w:t>
      </w:r>
      <w:r w:rsidR="00B7533E">
        <w:rPr>
          <w:color w:val="auto"/>
          <w:sz w:val="24"/>
          <w:szCs w:val="24"/>
        </w:rPr>
        <w:t>, Buckingham, OU Press</w:t>
      </w:r>
    </w:p>
    <w:p w:rsidR="00DD4D83" w:rsidRDefault="00DD4D83" w:rsidP="00DD4D83">
      <w:pPr>
        <w:jc w:val="both"/>
        <w:textAlignment w:val="auto"/>
        <w:rPr>
          <w:color w:val="auto"/>
          <w:sz w:val="24"/>
          <w:szCs w:val="24"/>
        </w:rPr>
      </w:pPr>
    </w:p>
    <w:p w:rsidR="00E039C6" w:rsidRDefault="00E039C6" w:rsidP="00DD4D83">
      <w:pPr>
        <w:jc w:val="both"/>
        <w:textAlignment w:val="auto"/>
        <w:rPr>
          <w:color w:val="auto"/>
          <w:sz w:val="24"/>
          <w:szCs w:val="24"/>
        </w:rPr>
      </w:pPr>
      <w:proofErr w:type="spellStart"/>
      <w:r>
        <w:rPr>
          <w:color w:val="auto"/>
          <w:sz w:val="24"/>
          <w:szCs w:val="24"/>
        </w:rPr>
        <w:t>Turnell</w:t>
      </w:r>
      <w:proofErr w:type="spellEnd"/>
      <w:r>
        <w:rPr>
          <w:color w:val="auto"/>
          <w:sz w:val="24"/>
          <w:szCs w:val="24"/>
        </w:rPr>
        <w:t xml:space="preserve">, A., Edwards, S., (1999), </w:t>
      </w:r>
      <w:r w:rsidRPr="006902EF">
        <w:rPr>
          <w:i/>
          <w:color w:val="auto"/>
          <w:sz w:val="24"/>
          <w:szCs w:val="24"/>
        </w:rPr>
        <w:t>Signs of Safety: A Solution and Safety Oriented Approach to Child Protection Casework</w:t>
      </w:r>
      <w:r>
        <w:rPr>
          <w:color w:val="auto"/>
          <w:sz w:val="24"/>
          <w:szCs w:val="24"/>
        </w:rPr>
        <w:t xml:space="preserve">, </w:t>
      </w:r>
      <w:r w:rsidR="006902EF">
        <w:rPr>
          <w:color w:val="auto"/>
          <w:sz w:val="24"/>
          <w:szCs w:val="24"/>
        </w:rPr>
        <w:t xml:space="preserve">London, </w:t>
      </w:r>
      <w:r>
        <w:rPr>
          <w:color w:val="auto"/>
          <w:sz w:val="24"/>
          <w:szCs w:val="24"/>
        </w:rPr>
        <w:t>W.W. Norton and Company</w:t>
      </w:r>
    </w:p>
    <w:p w:rsidR="006902EF" w:rsidRPr="00B94D63" w:rsidRDefault="006902EF" w:rsidP="00DD4D83">
      <w:pPr>
        <w:jc w:val="both"/>
        <w:textAlignment w:val="auto"/>
        <w:rPr>
          <w:color w:val="auto"/>
          <w:sz w:val="24"/>
          <w:szCs w:val="24"/>
        </w:rPr>
      </w:pPr>
    </w:p>
    <w:p w:rsidR="00DD4D83" w:rsidRPr="00B94D63" w:rsidRDefault="00DD4D83" w:rsidP="00DD4D83">
      <w:pPr>
        <w:jc w:val="both"/>
        <w:textAlignment w:val="auto"/>
        <w:rPr>
          <w:color w:val="auto"/>
          <w:sz w:val="24"/>
          <w:szCs w:val="24"/>
        </w:rPr>
      </w:pPr>
      <w:r w:rsidRPr="00B94D63">
        <w:rPr>
          <w:color w:val="auto"/>
          <w:sz w:val="24"/>
          <w:szCs w:val="24"/>
        </w:rPr>
        <w:t>wales.nhs.uk (accessed 12.12.2018)</w:t>
      </w:r>
    </w:p>
    <w:p w:rsidR="00DD4D83" w:rsidRPr="00B94D63" w:rsidRDefault="00DD4D83" w:rsidP="00DD4D83">
      <w:pPr>
        <w:jc w:val="both"/>
        <w:textAlignment w:val="auto"/>
        <w:rPr>
          <w:color w:val="auto"/>
          <w:sz w:val="24"/>
          <w:szCs w:val="24"/>
        </w:rPr>
      </w:pPr>
    </w:p>
    <w:p w:rsidR="00DD4D83" w:rsidRDefault="00DD4D83" w:rsidP="00DD4D83">
      <w:pPr>
        <w:jc w:val="both"/>
        <w:textAlignment w:val="auto"/>
        <w:rPr>
          <w:color w:val="auto"/>
          <w:sz w:val="24"/>
          <w:szCs w:val="24"/>
        </w:rPr>
      </w:pPr>
      <w:hyperlink r:id="rId18" w:history="1">
        <w:r w:rsidRPr="00B94D63">
          <w:rPr>
            <w:color w:val="auto"/>
            <w:sz w:val="24"/>
            <w:szCs w:val="24"/>
          </w:rPr>
          <w:t>www.legislation.gov.uk</w:t>
        </w:r>
      </w:hyperlink>
      <w:r w:rsidRPr="00B94D63">
        <w:rPr>
          <w:color w:val="auto"/>
          <w:sz w:val="24"/>
          <w:szCs w:val="24"/>
        </w:rPr>
        <w:t xml:space="preserve"> (Accessed 13 May 2018)</w:t>
      </w:r>
    </w:p>
    <w:p w:rsidR="004F6ECB" w:rsidRPr="00B94D63" w:rsidRDefault="004F6ECB" w:rsidP="00DD4D83">
      <w:pPr>
        <w:jc w:val="both"/>
        <w:textAlignment w:val="auto"/>
        <w:rPr>
          <w:color w:val="auto"/>
          <w:sz w:val="24"/>
          <w:szCs w:val="24"/>
        </w:rPr>
      </w:pPr>
    </w:p>
    <w:p w:rsidR="00D141C6" w:rsidRPr="008A092E" w:rsidRDefault="007F14A7" w:rsidP="00D141C6">
      <w:pPr>
        <w:textAlignment w:val="auto"/>
        <w:rPr>
          <w:sz w:val="24"/>
          <w:szCs w:val="24"/>
        </w:rPr>
      </w:pPr>
      <w:r>
        <w:rPr>
          <w:sz w:val="24"/>
          <w:szCs w:val="24"/>
        </w:rPr>
        <w:t>www.scie-socialcareonline.org</w:t>
      </w:r>
    </w:p>
    <w:p w:rsidR="00D141C6" w:rsidRDefault="00D141C6"/>
    <w:sectPr w:rsidR="00D141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51153"/>
    <w:multiLevelType w:val="hybridMultilevel"/>
    <w:tmpl w:val="BF42E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4FE"/>
    <w:rsid w:val="000924D0"/>
    <w:rsid w:val="000D5272"/>
    <w:rsid w:val="000F58F4"/>
    <w:rsid w:val="00121B95"/>
    <w:rsid w:val="001355D2"/>
    <w:rsid w:val="00140765"/>
    <w:rsid w:val="001F6A90"/>
    <w:rsid w:val="00220FB7"/>
    <w:rsid w:val="00226AA9"/>
    <w:rsid w:val="002F71B2"/>
    <w:rsid w:val="0034242A"/>
    <w:rsid w:val="003C6413"/>
    <w:rsid w:val="003C7199"/>
    <w:rsid w:val="004050EF"/>
    <w:rsid w:val="004A2F2E"/>
    <w:rsid w:val="004F6ECB"/>
    <w:rsid w:val="006902EF"/>
    <w:rsid w:val="00694C17"/>
    <w:rsid w:val="0073786A"/>
    <w:rsid w:val="007F14A7"/>
    <w:rsid w:val="009C286C"/>
    <w:rsid w:val="00AB14FE"/>
    <w:rsid w:val="00B7533E"/>
    <w:rsid w:val="00B97A3E"/>
    <w:rsid w:val="00D141C6"/>
    <w:rsid w:val="00D36C5A"/>
    <w:rsid w:val="00D90C6C"/>
    <w:rsid w:val="00DD4D83"/>
    <w:rsid w:val="00E039C6"/>
    <w:rsid w:val="00E70A8F"/>
    <w:rsid w:val="00EA26CB"/>
    <w:rsid w:val="00EB7A1D"/>
    <w:rsid w:val="00EE7810"/>
    <w:rsid w:val="00F907C4"/>
    <w:rsid w:val="00FD0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FE"/>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6C"/>
    <w:pPr>
      <w:ind w:left="720"/>
      <w:contextualSpacing/>
    </w:pPr>
  </w:style>
  <w:style w:type="character" w:styleId="Hyperlink">
    <w:name w:val="Hyperlink"/>
    <w:rsid w:val="00DD4D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FE"/>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6C"/>
    <w:pPr>
      <w:ind w:left="720"/>
      <w:contextualSpacing/>
    </w:pPr>
  </w:style>
  <w:style w:type="character" w:styleId="Hyperlink">
    <w:name w:val="Hyperlink"/>
    <w:rsid w:val="00DD4D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 TargetMode="External"/><Relationship Id="rId13" Type="http://schemas.openxmlformats.org/officeDocument/2006/relationships/hyperlink" Target="http://www.olderpeoplewales.com/en/about/un-principles.aspx" TargetMode="External"/><Relationship Id="rId18" Type="http://schemas.openxmlformats.org/officeDocument/2006/relationships/hyperlink" Target="http://www.legislation.gov.uk" TargetMode="External"/><Relationship Id="rId3" Type="http://schemas.microsoft.com/office/2007/relationships/stylesWithEffects" Target="stylesWithEffects.xml"/><Relationship Id="rId7" Type="http://schemas.openxmlformats.org/officeDocument/2006/relationships/hyperlink" Target="https://gov.wales/docs/dhss/publications/150928activeoffersocialservicesen.pdf" TargetMode="External"/><Relationship Id="rId12" Type="http://schemas.openxmlformats.org/officeDocument/2006/relationships/hyperlink" Target="http://www.legislation.gov.uk/anaw/2014/4/section/2" TargetMode="External"/><Relationship Id="rId17" Type="http://schemas.openxmlformats.org/officeDocument/2006/relationships/hyperlink" Target="https://www.basw.co.uk/resources/basw-uk-supervision-policy" TargetMode="External"/><Relationship Id="rId2" Type="http://schemas.openxmlformats.org/officeDocument/2006/relationships/styles" Target="styles.xml"/><Relationship Id="rId16" Type="http://schemas.openxmlformats.org/officeDocument/2006/relationships/hyperlink" Target="https://www.signsofsafety.net/signs-of-safet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gov.wales" TargetMode="External"/><Relationship Id="rId11" Type="http://schemas.openxmlformats.org/officeDocument/2006/relationships/hyperlink" Target="https://socialcare.wales/cms_assets/file-uploads/Supervising-and-appraising-well-social-care.pdf" TargetMode="External"/><Relationship Id="rId5" Type="http://schemas.openxmlformats.org/officeDocument/2006/relationships/webSettings" Target="webSettings.xml"/><Relationship Id="rId15" Type="http://schemas.openxmlformats.org/officeDocument/2006/relationships/hyperlink" Target="http://www.scie-socialcareonline.org.uk/in-safe-hands-protection-of-vulnerable-adults-in-wales/r/" TargetMode="External"/><Relationship Id="rId10" Type="http://schemas.openxmlformats.org/officeDocument/2006/relationships/hyperlink" Target="https://socialcare.wa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ocialcare.wales/cms_assets/file-uploads/Code-of-Professional-Practice-for-Social-Care-web-version.pdf" TargetMode="External"/><Relationship Id="rId14" Type="http://schemas.openxmlformats.org/officeDocument/2006/relationships/hyperlink" Target="https://www.scie.org.uk/mca/dols/at-a-g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4888</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Glenda Hunt</dc:creator>
  <cp:lastModifiedBy>Glenda Hunt</cp:lastModifiedBy>
  <cp:revision>2</cp:revision>
  <dcterms:created xsi:type="dcterms:W3CDTF">2019-06-12T20:55:00Z</dcterms:created>
  <dcterms:modified xsi:type="dcterms:W3CDTF">2019-06-12T20:55:00Z</dcterms:modified>
</cp:coreProperties>
</file>