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eastAsia="等线" w:cs="Times New Roman"/>
          <w:b/>
          <w:bCs/>
          <w:sz w:val="28"/>
          <w:szCs w:val="28"/>
          <w:lang w:val="en-US" w:eastAsia="zh-CN"/>
        </w:rPr>
      </w:pPr>
      <w:r>
        <w:rPr>
          <w:rFonts w:hint="eastAsia" w:ascii="Times New Roman" w:hAnsi="Times New Roman" w:eastAsia="等线" w:cs="Times New Roman"/>
          <w:b/>
          <w:bCs/>
          <w:sz w:val="28"/>
          <w:szCs w:val="28"/>
          <w:lang w:val="en-US" w:eastAsia="zh-CN"/>
        </w:rPr>
        <w:t>Task-Based Learning Teaching and its Implications for Syllabus Design in Adult Writing Instruction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eastAsia="等线" w:cs="Times New Roman"/>
          <w:b/>
          <w:bCs/>
          <w:sz w:val="28"/>
          <w:szCs w:val="28"/>
          <w:lang w:val="en-US" w:eastAsia="zh-CN"/>
        </w:rPr>
      </w:pPr>
      <w:r>
        <w:rPr>
          <w:rFonts w:hint="eastAsia" w:ascii="Times New Roman" w:hAnsi="Times New Roman" w:eastAsia="等线" w:cs="Times New Roman"/>
          <w:b/>
          <w:bCs/>
          <w:sz w:val="28"/>
          <w:szCs w:val="28"/>
          <w:lang w:val="en-US" w:eastAsia="zh-CN"/>
        </w:rPr>
        <w:t>Jingfan Jiang</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eastAsia="等线" w:cs="Times New Roman"/>
          <w:b/>
          <w:bCs/>
          <w:sz w:val="28"/>
          <w:szCs w:val="28"/>
          <w:lang w:val="en-US" w:eastAsia="zh-CN"/>
        </w:rPr>
      </w:pPr>
      <w:r>
        <w:rPr>
          <w:rFonts w:hint="eastAsia" w:ascii="Times New Roman" w:hAnsi="Times New Roman" w:cs="Times New Roman"/>
          <w:b/>
          <w:bCs/>
          <w:sz w:val="28"/>
          <w:szCs w:val="28"/>
          <w:lang w:val="en-US" w:eastAsia="zh-CN"/>
        </w:rPr>
        <w:t>Student number: 2227387</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b/>
          <w:bCs/>
          <w:sz w:val="28"/>
          <w:szCs w:val="28"/>
          <w:lang w:val="en-US" w:eastAsia="zh-CN"/>
        </w:rPr>
      </w:pPr>
      <w:r>
        <w:rPr>
          <w:rFonts w:hint="default" w:ascii="Times New Roman" w:hAnsi="Times New Roman" w:eastAsia="等线" w:cs="Times New Roman"/>
          <w:b/>
          <w:bCs/>
          <w:sz w:val="28"/>
          <w:szCs w:val="28"/>
          <w:lang w:val="en-US" w:eastAsia="zh-CN"/>
        </w:rPr>
        <w:t xml:space="preserve"> HPEN7005</w:t>
      </w:r>
      <w:r>
        <w:rPr>
          <w:rFonts w:hint="eastAsia" w:ascii="Times New Roman" w:hAnsi="Times New Roman" w:eastAsia="等线" w:cs="Times New Roman"/>
          <w:b/>
          <w:bCs/>
          <w:sz w:val="28"/>
          <w:szCs w:val="28"/>
          <w:lang w:val="en-US" w:eastAsia="zh-CN"/>
        </w:rPr>
        <w:t>：</w:t>
      </w:r>
      <w:r>
        <w:rPr>
          <w:rFonts w:hint="default" w:ascii="Times New Roman" w:hAnsi="Times New Roman" w:eastAsia="等线" w:cs="Times New Roman"/>
          <w:b/>
          <w:bCs/>
          <w:sz w:val="28"/>
          <w:szCs w:val="28"/>
          <w:lang w:val="en-US" w:eastAsia="zh-CN"/>
        </w:rPr>
        <w:t>English Language Teacher Education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eastAsia="等线" w:cs="Times New Roman"/>
          <w:b/>
          <w:bCs/>
          <w:sz w:val="28"/>
          <w:szCs w:val="28"/>
          <w:lang w:val="en-US" w:eastAsia="zh-CN"/>
        </w:rPr>
      </w:pPr>
      <w:r>
        <w:rPr>
          <w:rFonts w:hint="eastAsia" w:ascii="Times New Roman" w:hAnsi="Times New Roman" w:eastAsia="等线" w:cs="Times New Roman"/>
          <w:b/>
          <w:bCs/>
          <w:sz w:val="28"/>
          <w:szCs w:val="28"/>
          <w:lang w:val="en-US" w:eastAsia="zh-CN"/>
        </w:rPr>
        <w:t>Dr. Jessica Clapham</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b/>
          <w:bCs/>
          <w:sz w:val="28"/>
          <w:szCs w:val="28"/>
          <w:lang w:val="en-US"/>
        </w:rPr>
        <w:sectPr>
          <w:headerReference r:id="rId3" w:type="default"/>
          <w:pgSz w:w="11906" w:h="16838"/>
          <w:pgMar w:top="1440" w:right="1440" w:bottom="1440" w:left="1440" w:header="851" w:footer="992" w:gutter="0"/>
          <w:cols w:space="0" w:num="1"/>
          <w:rtlGutter w:val="0"/>
          <w:docGrid w:type="lines" w:linePitch="312" w:charSpace="0"/>
        </w:sectPr>
      </w:pPr>
      <w:r>
        <w:rPr>
          <w:rFonts w:hint="eastAsia" w:ascii="Times New Roman" w:hAnsi="Times New Roman" w:eastAsia="等线" w:cs="Times New Roman"/>
          <w:b/>
          <w:bCs/>
          <w:sz w:val="28"/>
          <w:szCs w:val="28"/>
          <w:lang w:val="en-US" w:eastAsia="zh-CN"/>
        </w:rPr>
        <w:t>21</w:t>
      </w:r>
      <w:r>
        <w:rPr>
          <w:rFonts w:hint="eastAsia" w:ascii="Times New Roman" w:hAnsi="Times New Roman" w:eastAsia="等线" w:cs="Times New Roman"/>
          <w:b/>
          <w:bCs/>
          <w:sz w:val="28"/>
          <w:szCs w:val="28"/>
          <w:vertAlign w:val="superscript"/>
          <w:lang w:val="en-US" w:eastAsia="zh-CN"/>
        </w:rPr>
        <w:t>st</w:t>
      </w:r>
      <w:r>
        <w:rPr>
          <w:rFonts w:hint="eastAsia" w:ascii="Times New Roman" w:hAnsi="Times New Roman" w:eastAsia="等线" w:cs="Times New Roman"/>
          <w:b/>
          <w:bCs/>
          <w:sz w:val="28"/>
          <w:szCs w:val="28"/>
          <w:lang w:val="en-US" w:eastAsia="zh-CN"/>
        </w:rPr>
        <w:t xml:space="preserve"> April,</w:t>
      </w:r>
      <w:r>
        <w:rPr>
          <w:rFonts w:hint="default" w:ascii="Times New Roman" w:hAnsi="Times New Roman" w:eastAsia="等线" w:cs="Times New Roman"/>
          <w:b/>
          <w:bCs/>
          <w:sz w:val="28"/>
          <w:szCs w:val="28"/>
          <w:lang w:val="en-US" w:eastAsia="zh-CN"/>
        </w:rPr>
        <w:t xml:space="preserve"> 202</w:t>
      </w:r>
      <w:r>
        <w:rPr>
          <w:rFonts w:hint="eastAsia" w:ascii="Times New Roman" w:hAnsi="Times New Roman" w:eastAsia="等线" w:cs="Times New Roman"/>
          <w:b/>
          <w:bCs/>
          <w:sz w:val="28"/>
          <w:szCs w:val="28"/>
          <w:lang w:val="en-US" w:eastAsia="zh-CN"/>
        </w:rPr>
        <w:t>3</w:t>
      </w:r>
    </w:p>
    <w:p>
      <w:pPr>
        <w:jc w:val="left"/>
        <w:rPr>
          <w:rFonts w:hint="eastAsia"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 xml:space="preserve">Ⅰ Aims of the </w:t>
      </w:r>
      <w:r>
        <w:rPr>
          <w:rFonts w:hint="eastAsia" w:ascii="Times New Roman" w:hAnsi="Times New Roman" w:cs="Times New Roman"/>
          <w:b/>
          <w:bCs/>
          <w:sz w:val="28"/>
          <w:szCs w:val="28"/>
          <w:lang w:val="en-US" w:eastAsia="zh-CN"/>
        </w:rPr>
        <w:t>I</w:t>
      </w:r>
      <w:r>
        <w:rPr>
          <w:rFonts w:hint="default" w:ascii="Times New Roman" w:hAnsi="Times New Roman" w:cs="Times New Roman"/>
          <w:b/>
          <w:bCs/>
          <w:sz w:val="28"/>
          <w:szCs w:val="28"/>
          <w:lang w:val="en-US" w:eastAsia="zh-CN"/>
        </w:rPr>
        <w:t>nvestigation</w:t>
      </w:r>
    </w:p>
    <w:p>
      <w:pPr>
        <w:keepNext w:val="0"/>
        <w:keepLines w:val="0"/>
        <w:pageBreakBefore w:val="0"/>
        <w:widowControl w:val="0"/>
        <w:kinsoku/>
        <w:wordWrap/>
        <w:overflowPunct/>
        <w:topLinePunct w:val="0"/>
        <w:autoSpaceDE/>
        <w:autoSpaceDN/>
        <w:bidi w:val="0"/>
        <w:adjustRightInd/>
        <w:snapToGrid/>
        <w:ind w:left="0" w:firstLine="720"/>
        <w:jc w:val="both"/>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Drawing on personal experience as both a teacher and student of the traditional English writing teaching, the author aims to investigate how to improve students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communicative abilities by exploring alternative teaching roles and implementing meaningful writing tasks. As writing is central to achieving many educational goals at higher levels of learning (Ni Nyoman Riyana Sari, Dewa Komang Tantra, &amp; Santosa, 2018), relying solely on rigid and conventional teaching methods such as presentation, practice and production (PPP) may lead to the ineffectiveness of writing teaching. Motivated by this and previous research, the author has studied student-oriented Task-Based Language Teaching (TBLT) practices to enhance teaching efficiency through a thoughtfully designed syllabus. Tasks, the key component of TBLT, play a significant role in syllabus design, classroom teaching, and learner assessment, and are linked to communicative language teaching (Nunan, 2004, p.1). East (2012) also noted the feasibility of TBLT in improving communicative proficiency. </w:t>
      </w:r>
    </w:p>
    <w:p>
      <w:pPr>
        <w:keepNext w:val="0"/>
        <w:keepLines w:val="0"/>
        <w:pageBreakBefore w:val="0"/>
        <w:widowControl w:val="0"/>
        <w:kinsoku/>
        <w:wordWrap/>
        <w:overflowPunct/>
        <w:topLinePunct w:val="0"/>
        <w:autoSpaceDE/>
        <w:autoSpaceDN/>
        <w:bidi w:val="0"/>
        <w:adjustRightInd/>
        <w:snapToGrid/>
        <w:ind w:left="0" w:firstLine="720"/>
        <w:jc w:val="both"/>
        <w:textAlignment w:val="auto"/>
        <w:rPr>
          <w:rFonts w:hint="eastAsia"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 xml:space="preserve">This </w:t>
      </w:r>
      <w:r>
        <w:rPr>
          <w:rFonts w:hint="eastAsia" w:ascii="Times New Roman" w:hAnsi="Times New Roman" w:cs="Times New Roman"/>
          <w:b w:val="0"/>
          <w:bCs w:val="0"/>
          <w:sz w:val="28"/>
          <w:szCs w:val="28"/>
          <w:lang w:val="en-US" w:eastAsia="zh-CN"/>
        </w:rPr>
        <w:t>research</w:t>
      </w:r>
      <w:r>
        <w:rPr>
          <w:rFonts w:hint="default" w:ascii="Times New Roman" w:hAnsi="Times New Roman" w:cs="Times New Roman"/>
          <w:b w:val="0"/>
          <w:bCs w:val="0"/>
          <w:sz w:val="28"/>
          <w:szCs w:val="28"/>
          <w:lang w:val="en-US" w:eastAsia="zh-CN"/>
        </w:rPr>
        <w:t xml:space="preserve"> </w:t>
      </w:r>
      <w:r>
        <w:rPr>
          <w:rFonts w:hint="eastAsia" w:ascii="Times New Roman" w:hAnsi="Times New Roman" w:cs="Times New Roman"/>
          <w:b w:val="0"/>
          <w:bCs w:val="0"/>
          <w:sz w:val="28"/>
          <w:szCs w:val="28"/>
          <w:lang w:val="en-US" w:eastAsia="zh-CN"/>
        </w:rPr>
        <w:t xml:space="preserve">will </w:t>
      </w:r>
      <w:r>
        <w:rPr>
          <w:rFonts w:hint="default" w:ascii="Times New Roman" w:hAnsi="Times New Roman" w:cs="Times New Roman"/>
          <w:b w:val="0"/>
          <w:bCs w:val="0"/>
          <w:sz w:val="28"/>
          <w:szCs w:val="28"/>
          <w:lang w:val="en-US" w:eastAsia="zh-CN"/>
        </w:rPr>
        <w:t xml:space="preserve">focus on the writing activities of adult learners </w:t>
      </w:r>
      <w:r>
        <w:rPr>
          <w:rFonts w:hint="eastAsia" w:ascii="Times New Roman" w:hAnsi="Times New Roman" w:cs="Times New Roman"/>
          <w:b w:val="0"/>
          <w:bCs w:val="0"/>
          <w:sz w:val="28"/>
          <w:szCs w:val="28"/>
          <w:lang w:val="en-US" w:eastAsia="zh-CN"/>
        </w:rPr>
        <w:t>in a Chinese education center</w:t>
      </w:r>
      <w:r>
        <w:rPr>
          <w:rFonts w:hint="default" w:ascii="Times New Roman" w:hAnsi="Times New Roman" w:cs="Times New Roman"/>
          <w:b w:val="0"/>
          <w:bCs w:val="0"/>
          <w:sz w:val="28"/>
          <w:szCs w:val="28"/>
          <w:lang w:val="en-US" w:eastAsia="zh-CN"/>
        </w:rPr>
        <w:t xml:space="preserve"> and examine how task-based language teaching (TBLT) principles can be applied to the design of a writing syllabus that improves students’ communicative proficiency</w:t>
      </w:r>
      <w:r>
        <w:rPr>
          <w:rFonts w:hint="eastAsia" w:ascii="Times New Roman" w:hAnsi="Times New Roman" w:cs="Times New Roman"/>
          <w:b w:val="0"/>
          <w:bCs w:val="0"/>
          <w:sz w:val="28"/>
          <w:szCs w:val="28"/>
          <w:lang w:val="en-US" w:eastAsia="zh-CN"/>
        </w:rPr>
        <w:t>. Specifically, the study aims to answer three main questions and achieve the following objectives:</w:t>
      </w:r>
      <w:r>
        <w:rPr>
          <w:rFonts w:hint="eastAsia" w:ascii="Times New Roman" w:hAnsi="Times New Roman" w:cs="Times New Roman"/>
          <w:b w:val="0"/>
          <w:bCs w:val="0"/>
          <w:sz w:val="28"/>
          <w:szCs w:val="28"/>
          <w:lang w:val="en-US" w:eastAsia="zh-CN"/>
        </w:rPr>
        <w:br w:type="page"/>
      </w:r>
    </w:p>
    <w:p>
      <w:pPr>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1.1 Research Questions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 Does the application of the TBLT method have a positive impact on the learning outcomes of adult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writing skills?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iii) How does TBLT affect adult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motivation in writing? </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ii) What are the implications of syllabus design in TBLT teaching? </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bCs/>
          <w:sz w:val="28"/>
          <w:szCs w:val="28"/>
          <w:lang w:val="en-US" w:eastAsia="zh-CN"/>
        </w:rPr>
        <w:t>1.2 Research Objectives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 Investigating the effectiveness of TBLT in promoting writing skills in adult learners.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ii) Focusing on the use of TBLT to design engaging and relevant writing activities for adult learners.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iii) Analyzing the implications of TBLT for syllabus design in adult writing instruction.</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default" w:ascii="Times New Roman" w:hAnsi="Times New Roman" w:cs="Times New Roman"/>
          <w:b w:val="0"/>
          <w:bCs w:val="0"/>
          <w:sz w:val="28"/>
          <w:szCs w:val="28"/>
          <w:lang w:val="en-US" w:eastAsia="zh-CN"/>
        </w:rPr>
      </w:pPr>
    </w:p>
    <w:p>
      <w:pPr>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br w:type="page"/>
      </w:r>
    </w:p>
    <w:p>
      <w:pPr>
        <w:jc w:val="both"/>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Ⅱ The </w:t>
      </w:r>
      <w:r>
        <w:rPr>
          <w:rFonts w:hint="eastAsia" w:ascii="Times New Roman" w:hAnsi="Times New Roman" w:cs="Times New Roman"/>
          <w:b/>
          <w:bCs/>
          <w:sz w:val="28"/>
          <w:szCs w:val="28"/>
          <w:lang w:val="en-US" w:eastAsia="zh-CN"/>
        </w:rPr>
        <w:t>R</w:t>
      </w:r>
      <w:r>
        <w:rPr>
          <w:rFonts w:hint="default" w:ascii="Times New Roman" w:hAnsi="Times New Roman" w:cs="Times New Roman"/>
          <w:b/>
          <w:bCs/>
          <w:sz w:val="28"/>
          <w:szCs w:val="28"/>
          <w:lang w:val="en-US" w:eastAsia="zh-CN"/>
        </w:rPr>
        <w:t xml:space="preserve">ationale and </w:t>
      </w:r>
      <w:r>
        <w:rPr>
          <w:rFonts w:hint="eastAsia" w:ascii="Times New Roman" w:hAnsi="Times New Roman" w:cs="Times New Roman"/>
          <w:b/>
          <w:bCs/>
          <w:sz w:val="28"/>
          <w:szCs w:val="28"/>
          <w:lang w:val="en-US" w:eastAsia="zh-CN"/>
        </w:rPr>
        <w:t>M</w:t>
      </w:r>
      <w:r>
        <w:rPr>
          <w:rFonts w:hint="default" w:ascii="Times New Roman" w:hAnsi="Times New Roman" w:cs="Times New Roman"/>
          <w:b/>
          <w:bCs/>
          <w:sz w:val="28"/>
          <w:szCs w:val="28"/>
          <w:lang w:val="en-US" w:eastAsia="zh-CN"/>
        </w:rPr>
        <w:t xml:space="preserve">ain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lang w:val="en-US" w:eastAsia="zh-CN"/>
        </w:rPr>
        <w:t xml:space="preserve">onceptual </w:t>
      </w:r>
      <w:r>
        <w:rPr>
          <w:rFonts w:hint="eastAsia" w:ascii="Times New Roman" w:hAnsi="Times New Roman" w:cs="Times New Roman"/>
          <w:b/>
          <w:bCs/>
          <w:sz w:val="28"/>
          <w:szCs w:val="28"/>
          <w:lang w:val="en-US" w:eastAsia="zh-CN"/>
        </w:rPr>
        <w:t>T</w:t>
      </w:r>
      <w:r>
        <w:rPr>
          <w:rFonts w:hint="default" w:ascii="Times New Roman" w:hAnsi="Times New Roman" w:cs="Times New Roman"/>
          <w:b/>
          <w:bCs/>
          <w:sz w:val="28"/>
          <w:szCs w:val="28"/>
          <w:lang w:val="en-US" w:eastAsia="zh-CN"/>
        </w:rPr>
        <w:t xml:space="preserve">hemes for the </w:t>
      </w:r>
      <w:r>
        <w:rPr>
          <w:rFonts w:hint="eastAsia" w:ascii="Times New Roman" w:hAnsi="Times New Roman" w:cs="Times New Roman"/>
          <w:b/>
          <w:bCs/>
          <w:sz w:val="28"/>
          <w:szCs w:val="28"/>
          <w:lang w:val="en-US" w:eastAsia="zh-CN"/>
        </w:rPr>
        <w:t>I</w:t>
      </w:r>
      <w:r>
        <w:rPr>
          <w:rFonts w:hint="default" w:ascii="Times New Roman" w:hAnsi="Times New Roman" w:cs="Times New Roman"/>
          <w:b/>
          <w:bCs/>
          <w:sz w:val="28"/>
          <w:szCs w:val="28"/>
          <w:lang w:val="en-US" w:eastAsia="zh-CN"/>
        </w:rPr>
        <w:t>nvestigation</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Constructivism in education emphasizesthe role of learners in constructing new knowledge through experiences and social interactions, integrating new information with their prior knowledge (Piaget, 1968). Vygotsky (1978), a prominent Soviet psychologist and social constructivist, argued that learning is a social process that occurs through interactions with more knowledgeable others. In the context of English language teaching, learners can construct their own knowledge through social interaction and collaborative learning activities, such as group work. Therefore, the importance of social interaction and communication in teaching cannot be overstated, as it helps learners transfer what they learn in class to real-life situations.</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Researchers have investigated how to incorporate tasks into language instruction and syllabus design. TBLT has been described in various ways, with some advocating for a strong version called task-based teaching (Willis, 2005) and others proposing a weaker version known as task-supported teaching (Ellis, 2003). Ellis (2003) also draw a distinction between two crucial types of TBLT: the weak version and the strong version. These versions differ in their approach to incorporating tasks into language instruction and syllabus design. The strong version emphasizes tasks as the central organizing principle of language instruction, whereas the weak version uses tasks as a supplementary teaching method. This distinction is similar to the classification of strong and weak version of CLT (Howatt, 1984), which emphasizes the development of communicative competence through authentic communication situations where learners utilize the target language to convey information. Unlike traditional language learning approaches that emphasize the memorization of grammar rules and vocabulary, CLT encourages learners to express themselves in pairs or small groups, which enhance their communicative skills. However, in Asia countries, many English teachers consider CLT as an oral teaching method and overlook grammar instruction and language use accuracy (Butler, 2011). The goal of CLT is to facilitate meaningful communication, while TBLT goes further, expecting learners to communicate to accomplish or complete a meaningful task (Yasmine, 2021). The shift in terminology to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task</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occurred in the 1980s (Skehan, 2003) as language learning moved away from focusing solely on language form and structure towards a focus on language meaning and usage in authentic contexts. </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Nunan (2004) distinguishes between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real-world</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or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target</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tasks and pedagogical tasks, with the former referring to language usage outside the classroom and the latter taking place within the classroom. When transferring tasks from the real world into the classroom, tasks are imbued with a pedagogical purpose. In the context of adult writing instruction, TBLT has been found to enhance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writing skills due to the communicative nature of the approach. Derakhshan</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s (2018) study investigating the effects of tasks on text accuracy and complexity found that participants performed better in all types of texts with the intervention of TBLT. Other studies have also shown improvements in writing skills through the incorporation of TBLT into the classroom (Kafipour, Mahmoudi, and Khojasteh, 2018; Madera González &amp; López Pinzón, 2019). However, limited research exists on the implications of TBLT for syllabus design in adult writing instruction. </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As Nunan (2004) suggested, a task-based program may potentially contain a seemingly arbitrary set of tasks with noting to a unifying theme. Ellis (2006) has divided the TBLT methodology into two fundamental types of procedures. The first type involves designing lessons that are aligned with the goals and activities outlined in the syllabus; The second type of procedure involves specifying how the teacher and learners should participate in the lessons. </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This study aims to apply action research to integrate theoretical and practical perspectives to explore the ways in which a task-based learning approach can improve students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English learning motivation. To obtain first-hand information, this study will adopt action research, and thus employing the cyclical process proposed by Kemmis and McTaggart (1992), which involved planning, taking action, observing, and reflecting.</w:t>
      </w:r>
    </w:p>
    <w:p>
      <w:pPr>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br w:type="page"/>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Ⅲ A </w:t>
      </w:r>
      <w:r>
        <w:rPr>
          <w:rFonts w:hint="eastAsia" w:ascii="Times New Roman" w:hAnsi="Times New Roman" w:cs="Times New Roman"/>
          <w:b/>
          <w:bCs/>
          <w:sz w:val="28"/>
          <w:szCs w:val="28"/>
          <w:lang w:val="en-US" w:eastAsia="zh-CN"/>
        </w:rPr>
        <w:t>D</w:t>
      </w:r>
      <w:r>
        <w:rPr>
          <w:rFonts w:hint="default" w:ascii="Times New Roman" w:hAnsi="Times New Roman" w:cs="Times New Roman"/>
          <w:b/>
          <w:bCs/>
          <w:sz w:val="28"/>
          <w:szCs w:val="28"/>
          <w:lang w:val="en-US" w:eastAsia="zh-CN"/>
        </w:rPr>
        <w:t xml:space="preserve">escription of the </w:t>
      </w:r>
      <w:r>
        <w:rPr>
          <w:rFonts w:hint="eastAsia" w:ascii="Times New Roman" w:hAnsi="Times New Roman" w:cs="Times New Roman"/>
          <w:b/>
          <w:bCs/>
          <w:sz w:val="28"/>
          <w:szCs w:val="28"/>
          <w:lang w:val="en-US" w:eastAsia="zh-CN"/>
        </w:rPr>
        <w:t>E</w:t>
      </w:r>
      <w:r>
        <w:rPr>
          <w:rFonts w:hint="default" w:ascii="Times New Roman" w:hAnsi="Times New Roman" w:cs="Times New Roman"/>
          <w:b/>
          <w:bCs/>
          <w:sz w:val="28"/>
          <w:szCs w:val="28"/>
          <w:lang w:val="en-US" w:eastAsia="zh-CN"/>
        </w:rPr>
        <w:t xml:space="preserve">vidence to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lang w:val="en-US" w:eastAsia="zh-CN"/>
        </w:rPr>
        <w:t>ollect</w:t>
      </w:r>
    </w:p>
    <w:p>
      <w:pPr>
        <w:keepNext w:val="0"/>
        <w:keepLines w:val="0"/>
        <w:pageBreakBefore w:val="0"/>
        <w:widowControl w:val="0"/>
        <w:numPr>
          <w:ilvl w:val="0"/>
          <w:numId w:val="1"/>
        </w:numPr>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The previous studies have focused on the language teaching and application of TBLT in writing activities for adults</w:t>
      </w:r>
    </w:p>
    <w:p>
      <w:pPr>
        <w:keepNext w:val="0"/>
        <w:keepLines w:val="0"/>
        <w:pageBreakBefore w:val="0"/>
        <w:widowControl w:val="0"/>
        <w:numPr>
          <w:ilvl w:val="0"/>
          <w:numId w:val="1"/>
        </w:numPr>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Field notes </w:t>
      </w:r>
    </w:p>
    <w:p>
      <w:pPr>
        <w:keepNext w:val="0"/>
        <w:keepLines w:val="0"/>
        <w:pageBreakBefore w:val="0"/>
        <w:widowControl w:val="0"/>
        <w:numPr>
          <w:ilvl w:val="0"/>
          <w:numId w:val="1"/>
        </w:numPr>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progress through the results of pretest and post test</w:t>
      </w:r>
    </w:p>
    <w:p>
      <w:pPr>
        <w:keepNext w:val="0"/>
        <w:keepLines w:val="0"/>
        <w:pageBreakBefore w:val="0"/>
        <w:widowControl w:val="0"/>
        <w:numPr>
          <w:ilvl w:val="0"/>
          <w:numId w:val="1"/>
        </w:numPr>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The change of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motivation in writing activities by using questionnaire</w:t>
      </w:r>
    </w:p>
    <w:p>
      <w:pPr>
        <w:numPr>
          <w:ilvl w:val="0"/>
          <w:numId w:val="1"/>
        </w:numPr>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br w:type="page"/>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Ⅳ The </w:t>
      </w:r>
      <w:r>
        <w:rPr>
          <w:rFonts w:hint="eastAsia" w:ascii="Times New Roman" w:hAnsi="Times New Roman" w:cs="Times New Roman"/>
          <w:b/>
          <w:bCs/>
          <w:sz w:val="28"/>
          <w:szCs w:val="28"/>
          <w:lang w:val="en-US" w:eastAsia="zh-CN"/>
        </w:rPr>
        <w:t>M</w:t>
      </w:r>
      <w:r>
        <w:rPr>
          <w:rFonts w:hint="default" w:ascii="Times New Roman" w:hAnsi="Times New Roman" w:cs="Times New Roman"/>
          <w:b/>
          <w:bCs/>
          <w:sz w:val="28"/>
          <w:szCs w:val="28"/>
          <w:lang w:val="en-US" w:eastAsia="zh-CN"/>
        </w:rPr>
        <w:t xml:space="preserve">ethods </w:t>
      </w:r>
      <w:r>
        <w:rPr>
          <w:rFonts w:hint="eastAsia" w:ascii="Times New Roman" w:hAnsi="Times New Roman" w:cs="Times New Roman"/>
          <w:b/>
          <w:bCs/>
          <w:sz w:val="28"/>
          <w:szCs w:val="28"/>
          <w:lang w:val="en-US" w:eastAsia="zh-CN"/>
        </w:rPr>
        <w:t>U</w:t>
      </w:r>
      <w:r>
        <w:rPr>
          <w:rFonts w:hint="default" w:ascii="Times New Roman" w:hAnsi="Times New Roman" w:cs="Times New Roman"/>
          <w:b/>
          <w:bCs/>
          <w:sz w:val="28"/>
          <w:szCs w:val="28"/>
          <w:lang w:val="en-US" w:eastAsia="zh-CN"/>
        </w:rPr>
        <w:t>se</w:t>
      </w:r>
      <w:r>
        <w:rPr>
          <w:rFonts w:hint="eastAsia" w:ascii="Times New Roman" w:hAnsi="Times New Roman" w:cs="Times New Roman"/>
          <w:b/>
          <w:bCs/>
          <w:sz w:val="28"/>
          <w:szCs w:val="28"/>
          <w:lang w:val="en-US" w:eastAsia="zh-CN"/>
        </w:rPr>
        <w:t>d</w:t>
      </w:r>
      <w:r>
        <w:rPr>
          <w:rFonts w:hint="default" w:ascii="Times New Roman" w:hAnsi="Times New Roman" w:cs="Times New Roman"/>
          <w:b/>
          <w:bCs/>
          <w:sz w:val="28"/>
          <w:szCs w:val="28"/>
          <w:lang w:val="en-US" w:eastAsia="zh-CN"/>
        </w:rPr>
        <w:t xml:space="preserve"> to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lang w:val="en-US" w:eastAsia="zh-CN"/>
        </w:rPr>
        <w:t xml:space="preserve">ollect </w:t>
      </w:r>
      <w:r>
        <w:rPr>
          <w:rFonts w:hint="eastAsia" w:ascii="Times New Roman" w:hAnsi="Times New Roman" w:cs="Times New Roman"/>
          <w:b/>
          <w:bCs/>
          <w:sz w:val="28"/>
          <w:szCs w:val="28"/>
          <w:lang w:val="en-US" w:eastAsia="zh-CN"/>
        </w:rPr>
        <w:t>E</w:t>
      </w:r>
      <w:r>
        <w:rPr>
          <w:rFonts w:hint="default" w:ascii="Times New Roman" w:hAnsi="Times New Roman" w:cs="Times New Roman"/>
          <w:b/>
          <w:bCs/>
          <w:sz w:val="28"/>
          <w:szCs w:val="28"/>
          <w:lang w:val="en-US" w:eastAsia="zh-CN"/>
        </w:rPr>
        <w:t>vidence</w:t>
      </w:r>
    </w:p>
    <w:p>
      <w:pPr>
        <w:keepNext w:val="0"/>
        <w:keepLines w:val="0"/>
        <w:pageBreakBefore w:val="0"/>
        <w:widowControl w:val="0"/>
        <w:numPr>
          <w:ilvl w:val="0"/>
          <w:numId w:val="2"/>
        </w:numPr>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bCs/>
          <w:sz w:val="28"/>
          <w:szCs w:val="28"/>
          <w:lang w:val="en-US" w:eastAsia="zh-CN"/>
        </w:rPr>
        <w:t>Literature review:</w:t>
      </w:r>
      <w:r>
        <w:rPr>
          <w:rFonts w:hint="eastAsia" w:ascii="Times New Roman" w:hAnsi="Times New Roman" w:cs="Times New Roman"/>
          <w:b w:val="0"/>
          <w:bCs w:val="0"/>
          <w:sz w:val="28"/>
          <w:szCs w:val="28"/>
          <w:lang w:val="en-US" w:eastAsia="zh-CN"/>
        </w:rPr>
        <w:t xml:space="preserve"> To identify the current state of knowledge on this topic and highlight gaps in the literature that can be addressed, the author will conduct a comprehensive review of relevant literature on social constrcutivism, syllabus design, and TBLT as well as its effectiveness in promoting writing skills in adult learners. Sources will be gathered from online databases such as JSTOR, Google Scholar, and academic journals in the field of language teaching and learning.</w:t>
      </w:r>
    </w:p>
    <w:p>
      <w:pPr>
        <w:keepNext w:val="0"/>
        <w:keepLines w:val="0"/>
        <w:pageBreakBefore w:val="0"/>
        <w:widowControl w:val="0"/>
        <w:numPr>
          <w:ilvl w:val="0"/>
          <w:numId w:val="2"/>
        </w:numPr>
        <w:kinsoku/>
        <w:wordWrap/>
        <w:overflowPunct/>
        <w:topLinePunct w:val="0"/>
        <w:autoSpaceDE/>
        <w:autoSpaceDN/>
        <w:bidi w:val="0"/>
        <w:adjustRightInd/>
        <w:snapToGrid/>
        <w:ind w:left="0" w:leftChars="0" w:firstLine="720" w:firstLineChars="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bCs/>
          <w:sz w:val="28"/>
          <w:szCs w:val="28"/>
          <w:lang w:val="en-US" w:eastAsia="zh-CN"/>
        </w:rPr>
        <w:t>Field notes:</w:t>
      </w:r>
      <w:r>
        <w:rPr>
          <w:rFonts w:hint="eastAsia" w:ascii="Times New Roman" w:hAnsi="Times New Roman" w:cs="Times New Roman"/>
          <w:b w:val="0"/>
          <w:bCs w:val="0"/>
          <w:sz w:val="28"/>
          <w:szCs w:val="28"/>
          <w:lang w:val="en-US" w:eastAsia="zh-CN"/>
        </w:rPr>
        <w:t xml:space="preserve"> One of the important resource of data collected for qualitative analysis in TBLT research is the field-notes through observations, experiences and reflections. Besides, the field-notes should be instantly recorded after class. They necessarily include: students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interaction with teacher, their reactions towards different tasks, and unexpected problems in the class. By analyzing the field notes together with the results of students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pretests and posttests, as well as follow-up questionnaires, the researcher will be able to gain a more complete picture of the effectiveness of the teaching tasks and syllabus being used in the classroom. </w:t>
      </w:r>
    </w:p>
    <w:p>
      <w:pPr>
        <w:keepNext w:val="0"/>
        <w:keepLines w:val="0"/>
        <w:pageBreakBefore w:val="0"/>
        <w:widowControl w:val="0"/>
        <w:numPr>
          <w:ilvl w:val="0"/>
          <w:numId w:val="2"/>
        </w:numPr>
        <w:kinsoku/>
        <w:wordWrap/>
        <w:overflowPunct/>
        <w:topLinePunct w:val="0"/>
        <w:autoSpaceDE/>
        <w:autoSpaceDN/>
        <w:bidi w:val="0"/>
        <w:adjustRightInd/>
        <w:snapToGrid/>
        <w:ind w:left="0" w:leftChars="0" w:firstLine="720" w:firstLineChars="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bCs/>
          <w:sz w:val="28"/>
          <w:szCs w:val="28"/>
          <w:lang w:val="en-US" w:eastAsia="zh-CN"/>
        </w:rPr>
        <w:t xml:space="preserve">Pre- and post- tests: </w:t>
      </w:r>
      <w:r>
        <w:rPr>
          <w:rFonts w:hint="eastAsia" w:ascii="Times New Roman" w:hAnsi="Times New Roman" w:cs="Times New Roman"/>
          <w:b w:val="0"/>
          <w:bCs w:val="0"/>
          <w:sz w:val="28"/>
          <w:szCs w:val="28"/>
          <w:lang w:val="en-US" w:eastAsia="zh-CN"/>
        </w:rPr>
        <w:t>Prior to the implementation of TBLT, a pretest will be administered in the writing class to establish a baseline measure of students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knowledge and to identify those with similar levels of proficiency. </w:t>
      </w:r>
    </w:p>
    <w:p>
      <w:pPr>
        <w:keepNext w:val="0"/>
        <w:keepLines w:val="0"/>
        <w:pageBreakBefore w:val="0"/>
        <w:widowControl w:val="0"/>
        <w:numPr>
          <w:ilvl w:val="0"/>
          <w:numId w:val="0"/>
        </w:numPr>
        <w:kinsoku/>
        <w:wordWrap/>
        <w:overflowPunct/>
        <w:topLinePunct w:val="0"/>
        <w:autoSpaceDE/>
        <w:autoSpaceDN/>
        <w:bidi w:val="0"/>
        <w:adjustRightInd/>
        <w:snapToGrid/>
        <w:ind w:leftChars="0"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Following the completion of the TBLT intervention, a posttest will be conducted to measure the impact of TBLT on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learning outcomes. To evaluate students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writing skills, the Analytic Marking Scale adopted from Hughey et al. (1983) will be used. This scale consists of five dimensions: content, organization, grammar, vocabulary, and mechanics. Each dimension will be evaluated separately, and a mark will be given based on the level of performance in each dimension.</w:t>
      </w:r>
    </w:p>
    <w:p>
      <w:pPr>
        <w:keepNext w:val="0"/>
        <w:keepLines w:val="0"/>
        <w:pageBreakBefore w:val="0"/>
        <w:widowControl w:val="0"/>
        <w:numPr>
          <w:ilvl w:val="0"/>
          <w:numId w:val="2"/>
        </w:numPr>
        <w:kinsoku/>
        <w:wordWrap/>
        <w:overflowPunct/>
        <w:topLinePunct w:val="0"/>
        <w:autoSpaceDE/>
        <w:autoSpaceDN/>
        <w:bidi w:val="0"/>
        <w:adjustRightInd/>
        <w:snapToGrid/>
        <w:ind w:left="0" w:leftChars="0" w:firstLine="720" w:firstLineChars="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bCs/>
          <w:sz w:val="28"/>
          <w:szCs w:val="28"/>
          <w:lang w:val="en-US" w:eastAsia="zh-CN"/>
        </w:rPr>
        <w:t>Pre- and post- questionnaire:</w:t>
      </w:r>
      <w:r>
        <w:rPr>
          <w:rFonts w:hint="eastAsia" w:ascii="Times New Roman" w:hAnsi="Times New Roman" w:cs="Times New Roman"/>
          <w:b w:val="0"/>
          <w:bCs w:val="0"/>
          <w:sz w:val="28"/>
          <w:szCs w:val="28"/>
          <w:lang w:val="en-US" w:eastAsia="zh-CN"/>
        </w:rPr>
        <w:t xml:space="preserve"> According to Seliger and Shohamy (1989), questionnaires are commonly employed to gather data on phenomena that are not easily observed, such as attitudes, motivations, and concepts. In this study, the similarities and differences in the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writing motivation before and after the research will be measured through questionnaires. Brown (2002) has claimed that motivation has a significant impact on language learning, so I will use the data to evaluate the participants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motivation for using the TBLT approach and its effectiveness in promoting their writing skills. </w:t>
      </w:r>
    </w:p>
    <w:p>
      <w:pPr>
        <w:keepNext w:val="0"/>
        <w:keepLines w:val="0"/>
        <w:pageBreakBefore w:val="0"/>
        <w:widowControl w:val="0"/>
        <w:numPr>
          <w:ilvl w:val="0"/>
          <w:numId w:val="0"/>
        </w:numPr>
        <w:kinsoku/>
        <w:wordWrap/>
        <w:overflowPunct/>
        <w:topLinePunct w:val="0"/>
        <w:autoSpaceDE/>
        <w:autoSpaceDN/>
        <w:bidi w:val="0"/>
        <w:adjustRightInd/>
        <w:snapToGrid/>
        <w:ind w:leftChars="0"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Both pre- and post- questionnaires will be open-ended ones. The pre-questionnaire will consist of 20 items, with the first section asking about participants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personal background and the second section of 10 items focusing on their motivation, including intrinsic and extrinsic factors. The post-questionnaire will only contain 10 items related to motivation. All the questionnaires will be translated into Chinese to make sure that it is easy for the respondents to understand. The Chinese versions then were refined by two translation experts and converted back into English to check the equivalence between the original and the translated versions.</w:t>
      </w:r>
    </w:p>
    <w:p>
      <w:pPr>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Ⅴ A description of the settings in wish you plan to collect your evidence </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This study will recruit participants from an adult education center in China, where learners are highly motivated and have a specific purpose for their studies. The writing instruction will be delivered in a dedicated classroom equipped with appropriate instructional materials, such as writing handbooks, writing prompts, and writing software. The classroom will also be equipped with computers and an internet connection to support online research and writing activities.</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To select participants, the Preliminary English Test (PET) will be used to select homogeneous participants and measure their proficiency level. The participants must be above 18 years old, if possible, I will aim to recruit participants with an average age range.</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Participants will be randomly assigned into three groups of equal size: the control group (CG, using traditional teaching method) , and the experimental group one (EG1, using strong version TBLT) and the experimental group two (EG2, using weak version TBLT). To ensure the validity of the tests, they will be sent to two experts in Teaching English to Speakers of Other Languages (TESOL) for consideration before they are delivered to participants.</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Importantly, all groups will use the same textbook and participate in the research within the same period. This will help to ensure that any differences in writing skills between the two groups can be attributed to the teaching method rather than the materials or time frame used.</w:t>
      </w:r>
      <w:r>
        <w:rPr>
          <w:rFonts w:hint="eastAsia" w:ascii="Times New Roman" w:hAnsi="Times New Roman" w:cs="Times New Roman"/>
          <w:b w:val="0"/>
          <w:bCs w:val="0"/>
          <w:sz w:val="28"/>
          <w:szCs w:val="28"/>
          <w:lang w:val="en-US" w:eastAsia="zh-CN"/>
        </w:rPr>
        <w:br w:type="page"/>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Ⅵ The </w:t>
      </w:r>
      <w:r>
        <w:rPr>
          <w:rFonts w:hint="eastAsia" w:ascii="Times New Roman" w:hAnsi="Times New Roman" w:cs="Times New Roman"/>
          <w:b/>
          <w:bCs/>
          <w:sz w:val="28"/>
          <w:szCs w:val="28"/>
          <w:lang w:val="en-US" w:eastAsia="zh-CN"/>
        </w:rPr>
        <w:t>E</w:t>
      </w:r>
      <w:r>
        <w:rPr>
          <w:rFonts w:hint="default" w:ascii="Times New Roman" w:hAnsi="Times New Roman" w:cs="Times New Roman"/>
          <w:b/>
          <w:bCs/>
          <w:sz w:val="28"/>
          <w:szCs w:val="28"/>
          <w:lang w:val="en-US" w:eastAsia="zh-CN"/>
        </w:rPr>
        <w:t xml:space="preserve">thical </w:t>
      </w:r>
      <w:r>
        <w:rPr>
          <w:rFonts w:hint="eastAsia" w:ascii="Times New Roman" w:hAnsi="Times New Roman" w:cs="Times New Roman"/>
          <w:b/>
          <w:bCs/>
          <w:sz w:val="28"/>
          <w:szCs w:val="28"/>
          <w:lang w:val="en-US" w:eastAsia="zh-CN"/>
        </w:rPr>
        <w:t>I</w:t>
      </w:r>
      <w:r>
        <w:rPr>
          <w:rFonts w:hint="default" w:ascii="Times New Roman" w:hAnsi="Times New Roman" w:cs="Times New Roman"/>
          <w:b/>
          <w:bCs/>
          <w:sz w:val="28"/>
          <w:szCs w:val="28"/>
          <w:lang w:val="en-US" w:eastAsia="zh-CN"/>
        </w:rPr>
        <w:t xml:space="preserve">ssues to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lang w:val="en-US" w:eastAsia="zh-CN"/>
        </w:rPr>
        <w:t>onsider</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In this study, I will serve both as the instructor and the researcher, which means that I need to be aware of potential bias and ethical concerns. Dual-role research can present several ethical issues, including conflicts of interest, informed consent, and privacy. To minimize bias, it is important to maintain objectivity and impartiality throughout the research process. To fully utilize the advantages of dual-role research and avoid potential risks, it is essential to take several measures:</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Informed consent:</w:t>
      </w:r>
      <w:r>
        <w:rPr>
          <w:rFonts w:hint="default" w:ascii="Times New Roman" w:hAnsi="Times New Roman" w:cs="Times New Roman"/>
          <w:b w:val="0"/>
          <w:bCs w:val="0"/>
          <w:sz w:val="28"/>
          <w:szCs w:val="28"/>
          <w:lang w:val="en-US" w:eastAsia="zh-CN"/>
        </w:rPr>
        <w:t xml:space="preserve"> </w:t>
      </w:r>
      <w:r>
        <w:rPr>
          <w:rFonts w:hint="eastAsia" w:ascii="Times New Roman" w:hAnsi="Times New Roman" w:cs="Times New Roman"/>
          <w:b w:val="0"/>
          <w:bCs w:val="0"/>
          <w:sz w:val="28"/>
          <w:szCs w:val="28"/>
          <w:lang w:val="en-US" w:eastAsia="zh-CN"/>
        </w:rPr>
        <w:t>All a</w:t>
      </w:r>
      <w:r>
        <w:rPr>
          <w:rFonts w:hint="default" w:ascii="Times New Roman" w:hAnsi="Times New Roman" w:cs="Times New Roman"/>
          <w:b w:val="0"/>
          <w:bCs w:val="0"/>
          <w:sz w:val="28"/>
          <w:szCs w:val="28"/>
          <w:lang w:val="en-US" w:eastAsia="zh-CN"/>
        </w:rPr>
        <w:t>dult learners should be fully informed about the nature and purpose of the research, and their voluntary participation should be obtained through informed consent.</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Confidentiality:</w:t>
      </w:r>
      <w:r>
        <w:rPr>
          <w:rFonts w:hint="default" w:ascii="Times New Roman" w:hAnsi="Times New Roman" w:cs="Times New Roman"/>
          <w:b w:val="0"/>
          <w:bCs w:val="0"/>
          <w:sz w:val="28"/>
          <w:szCs w:val="28"/>
          <w:lang w:val="en-US" w:eastAsia="zh-CN"/>
        </w:rPr>
        <w:t xml:space="preserve"> The privacy of the participants should be protected, and any identifying information should be kept confidential</w:t>
      </w:r>
      <w:r>
        <w:rPr>
          <w:rFonts w:hint="eastAsia" w:ascii="Times New Roman" w:hAnsi="Times New Roman" w:cs="Times New Roman"/>
          <w:b w:val="0"/>
          <w:bCs w:val="0"/>
          <w:sz w:val="28"/>
          <w:szCs w:val="28"/>
          <w:lang w:val="en-US" w:eastAsia="zh-CN"/>
        </w:rPr>
        <w:t>. Meanwhile, participants should be informed of the data collection process and data protection measures.</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Deception:</w:t>
      </w:r>
      <w:r>
        <w:rPr>
          <w:rFonts w:hint="default" w:ascii="Times New Roman" w:hAnsi="Times New Roman" w:cs="Times New Roman"/>
          <w:b w:val="0"/>
          <w:bCs w:val="0"/>
          <w:sz w:val="28"/>
          <w:szCs w:val="28"/>
          <w:lang w:val="en-US" w:eastAsia="zh-CN"/>
        </w:rPr>
        <w:t xml:space="preserve"> Any form of deception should be avoided </w:t>
      </w:r>
      <w:r>
        <w:rPr>
          <w:rFonts w:hint="eastAsia" w:ascii="Times New Roman" w:hAnsi="Times New Roman" w:cs="Times New Roman"/>
          <w:b w:val="0"/>
          <w:bCs w:val="0"/>
          <w:sz w:val="28"/>
          <w:szCs w:val="28"/>
          <w:lang w:val="en-US" w:eastAsia="zh-CN"/>
        </w:rPr>
        <w:t xml:space="preserve">and unacceptable </w:t>
      </w:r>
      <w:r>
        <w:rPr>
          <w:rFonts w:hint="default" w:ascii="Times New Roman" w:hAnsi="Times New Roman" w:cs="Times New Roman"/>
          <w:b w:val="0"/>
          <w:bCs w:val="0"/>
          <w:sz w:val="28"/>
          <w:szCs w:val="28"/>
          <w:lang w:val="en-US" w:eastAsia="zh-CN"/>
        </w:rPr>
        <w:t xml:space="preserve">in the research study. </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Respect for cultural and linguistic diversity:</w:t>
      </w:r>
      <w:r>
        <w:rPr>
          <w:rFonts w:hint="default" w:ascii="Times New Roman" w:hAnsi="Times New Roman" w:cs="Times New Roman"/>
          <w:b w:val="0"/>
          <w:bCs w:val="0"/>
          <w:sz w:val="28"/>
          <w:szCs w:val="28"/>
          <w:lang w:val="en-US" w:eastAsia="zh-CN"/>
        </w:rPr>
        <w:t xml:space="preserve"> The research should be conducted in a manner that respects the cultural and linguistic diversity of the participants. The research </w:t>
      </w:r>
      <w:r>
        <w:rPr>
          <w:rFonts w:hint="eastAsia" w:ascii="Times New Roman" w:hAnsi="Times New Roman" w:cs="Times New Roman"/>
          <w:b w:val="0"/>
          <w:bCs w:val="0"/>
          <w:sz w:val="28"/>
          <w:szCs w:val="28"/>
          <w:lang w:val="en-US" w:eastAsia="zh-CN"/>
        </w:rPr>
        <w:t>won</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t</w:t>
      </w:r>
      <w:r>
        <w:rPr>
          <w:rFonts w:hint="default" w:ascii="Times New Roman" w:hAnsi="Times New Roman" w:cs="Times New Roman"/>
          <w:b w:val="0"/>
          <w:bCs w:val="0"/>
          <w:sz w:val="28"/>
          <w:szCs w:val="28"/>
          <w:lang w:val="en-US" w:eastAsia="zh-CN"/>
        </w:rPr>
        <w:t xml:space="preserve"> discriminate against or marginalize </w:t>
      </w:r>
      <w:r>
        <w:rPr>
          <w:rFonts w:hint="eastAsia" w:ascii="Times New Roman" w:hAnsi="Times New Roman" w:cs="Times New Roman"/>
          <w:b w:val="0"/>
          <w:bCs w:val="0"/>
          <w:sz w:val="28"/>
          <w:szCs w:val="28"/>
          <w:lang w:val="en-US" w:eastAsia="zh-CN"/>
        </w:rPr>
        <w:t>either CG or EGs.</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Institutional review:</w:t>
      </w:r>
      <w:r>
        <w:rPr>
          <w:rFonts w:hint="default" w:ascii="Times New Roman" w:hAnsi="Times New Roman" w:cs="Times New Roman"/>
          <w:b w:val="0"/>
          <w:bCs w:val="0"/>
          <w:sz w:val="28"/>
          <w:szCs w:val="28"/>
          <w:lang w:val="en-US" w:eastAsia="zh-CN"/>
        </w:rPr>
        <w:t xml:space="preserve"> The research study should be approved by an institutional review board or ethics committee to ensure that it meets ethical guidelines and standards.</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bCs/>
          <w:sz w:val="28"/>
          <w:szCs w:val="28"/>
          <w:lang w:val="en-US" w:eastAsia="zh-CN"/>
        </w:rPr>
        <w:t xml:space="preserve">Data protection: </w:t>
      </w:r>
      <w:r>
        <w:rPr>
          <w:rFonts w:hint="default" w:ascii="Times New Roman" w:hAnsi="Times New Roman" w:cs="Times New Roman"/>
          <w:b w:val="0"/>
          <w:bCs w:val="0"/>
          <w:sz w:val="28"/>
          <w:szCs w:val="28"/>
          <w:lang w:val="en-US" w:eastAsia="zh-CN"/>
        </w:rPr>
        <w:t>Any data collected from participants should be stored securely, and only used for the purposes of the research.</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val="0"/>
          <w:bCs w:val="0"/>
          <w:sz w:val="28"/>
          <w:szCs w:val="28"/>
          <w:lang w:val="en-US" w:eastAsia="zh-CN"/>
        </w:rPr>
        <w:sectPr>
          <w:headerReference r:id="rId4" w:type="default"/>
          <w:pgSz w:w="11906" w:h="16838"/>
          <w:pgMar w:top="1440" w:right="1440" w:bottom="1440" w:left="1440" w:header="851" w:footer="992" w:gutter="0"/>
          <w:pgNumType w:fmt="decimal" w:start="1"/>
          <w:cols w:space="0" w:num="1"/>
          <w:rtlGutter w:val="0"/>
          <w:docGrid w:type="lines" w:linePitch="312" w:charSpace="0"/>
        </w:sectPr>
      </w:pPr>
      <w:r>
        <w:rPr>
          <w:rFonts w:hint="eastAsia" w:ascii="Times New Roman" w:hAnsi="Times New Roman" w:cs="Times New Roman"/>
          <w:b/>
          <w:bCs/>
          <w:sz w:val="28"/>
          <w:szCs w:val="28"/>
          <w:lang w:val="en-US" w:eastAsia="zh-CN"/>
        </w:rPr>
        <w:t>The right of withdraw:</w:t>
      </w:r>
      <w:r>
        <w:rPr>
          <w:rFonts w:hint="eastAsia" w:ascii="Times New Roman" w:hAnsi="Times New Roman" w:cs="Times New Roman"/>
          <w:b w:val="0"/>
          <w:bCs w:val="0"/>
          <w:sz w:val="28"/>
          <w:szCs w:val="28"/>
          <w:lang w:val="en-US" w:eastAsia="zh-CN"/>
        </w:rPr>
        <w:t xml:space="preserve"> The participants will be given the rights to withdraw from the research at any stage and can make a complaint regarding to their involvement in the research.</w:t>
      </w:r>
    </w:p>
    <w:p>
      <w:pPr>
        <w:jc w:val="both"/>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Ⅶ</w:t>
      </w:r>
      <w:r>
        <w:rPr>
          <w:rFonts w:hint="eastAsia" w:ascii="Times New Roman" w:hAnsi="Times New Roman" w:cs="Times New Roman"/>
          <w:b/>
          <w:bCs/>
          <w:sz w:val="28"/>
          <w:szCs w:val="28"/>
          <w:lang w:val="en-US" w:eastAsia="zh-CN"/>
        </w:rPr>
        <w:t xml:space="preserve"> </w:t>
      </w:r>
      <w:r>
        <w:rPr>
          <w:rFonts w:hint="default" w:ascii="Times New Roman" w:hAnsi="Times New Roman" w:cs="Times New Roman"/>
          <w:b/>
          <w:bCs/>
          <w:sz w:val="28"/>
          <w:szCs w:val="28"/>
          <w:lang w:val="en-US" w:eastAsia="zh-CN"/>
        </w:rPr>
        <w:t xml:space="preserve">The </w:t>
      </w:r>
      <w:r>
        <w:rPr>
          <w:rFonts w:hint="eastAsia" w:ascii="Times New Roman" w:hAnsi="Times New Roman" w:cs="Times New Roman"/>
          <w:b/>
          <w:bCs/>
          <w:sz w:val="28"/>
          <w:szCs w:val="28"/>
          <w:lang w:val="en-US" w:eastAsia="zh-CN"/>
        </w:rPr>
        <w:t>M</w:t>
      </w:r>
      <w:r>
        <w:rPr>
          <w:rFonts w:hint="default" w:ascii="Times New Roman" w:hAnsi="Times New Roman" w:cs="Times New Roman"/>
          <w:b/>
          <w:bCs/>
          <w:sz w:val="28"/>
          <w:szCs w:val="28"/>
          <w:lang w:val="en-US" w:eastAsia="zh-CN"/>
        </w:rPr>
        <w:t xml:space="preserve">ethods to </w:t>
      </w:r>
      <w:r>
        <w:rPr>
          <w:rFonts w:hint="eastAsia" w:ascii="Times New Roman" w:hAnsi="Times New Roman" w:cs="Times New Roman"/>
          <w:b/>
          <w:bCs/>
          <w:sz w:val="28"/>
          <w:szCs w:val="28"/>
          <w:lang w:val="en-US" w:eastAsia="zh-CN"/>
        </w:rPr>
        <w:t>U</w:t>
      </w:r>
      <w:r>
        <w:rPr>
          <w:rFonts w:hint="default" w:ascii="Times New Roman" w:hAnsi="Times New Roman" w:cs="Times New Roman"/>
          <w:b/>
          <w:bCs/>
          <w:sz w:val="28"/>
          <w:szCs w:val="28"/>
          <w:lang w:val="en-US" w:eastAsia="zh-CN"/>
        </w:rPr>
        <w:t xml:space="preserve">se to </w:t>
      </w:r>
      <w:r>
        <w:rPr>
          <w:rFonts w:hint="eastAsia" w:ascii="Times New Roman" w:hAnsi="Times New Roman" w:cs="Times New Roman"/>
          <w:b/>
          <w:bCs/>
          <w:sz w:val="28"/>
          <w:szCs w:val="28"/>
          <w:lang w:val="en-US" w:eastAsia="zh-CN"/>
        </w:rPr>
        <w:t>A</w:t>
      </w:r>
      <w:r>
        <w:rPr>
          <w:rFonts w:hint="default" w:ascii="Times New Roman" w:hAnsi="Times New Roman" w:cs="Times New Roman"/>
          <w:b/>
          <w:bCs/>
          <w:sz w:val="28"/>
          <w:szCs w:val="28"/>
          <w:lang w:val="en-US" w:eastAsia="zh-CN"/>
        </w:rPr>
        <w:t xml:space="preserve">nalyse the </w:t>
      </w:r>
      <w:r>
        <w:rPr>
          <w:rFonts w:hint="eastAsia" w:ascii="Times New Roman" w:hAnsi="Times New Roman" w:cs="Times New Roman"/>
          <w:b/>
          <w:bCs/>
          <w:sz w:val="28"/>
          <w:szCs w:val="28"/>
          <w:lang w:val="en-US" w:eastAsia="zh-CN"/>
        </w:rPr>
        <w:t>E</w:t>
      </w:r>
      <w:r>
        <w:rPr>
          <w:rFonts w:hint="default" w:ascii="Times New Roman" w:hAnsi="Times New Roman" w:cs="Times New Roman"/>
          <w:b/>
          <w:bCs/>
          <w:sz w:val="28"/>
          <w:szCs w:val="28"/>
          <w:lang w:val="en-US" w:eastAsia="zh-CN"/>
        </w:rPr>
        <w:t>vidence</w:t>
      </w:r>
    </w:p>
    <w:p>
      <w:pPr>
        <w:keepNext w:val="0"/>
        <w:keepLines w:val="0"/>
        <w:pageBreakBefore w:val="0"/>
        <w:widowControl w:val="0"/>
        <w:numPr>
          <w:ilvl w:val="0"/>
          <w:numId w:val="0"/>
        </w:numPr>
        <w:kinsoku/>
        <w:wordWrap/>
        <w:overflowPunct/>
        <w:topLinePunct w:val="0"/>
        <w:autoSpaceDE/>
        <w:autoSpaceDN/>
        <w:bidi w:val="0"/>
        <w:adjustRightInd/>
        <w:snapToGrid/>
        <w:ind w:firstLine="720" w:firstLineChars="0"/>
        <w:jc w:val="both"/>
        <w:textAlignment w:val="auto"/>
        <w:rPr>
          <w:rFonts w:hint="default" w:ascii="Times New Roman" w:hAnsi="Times New Roman" w:cs="Times New Roman"/>
          <w:b w:val="0"/>
          <w:bCs w:val="0"/>
          <w:sz w:val="28"/>
          <w:szCs w:val="28"/>
          <w:highlight w:val="none"/>
          <w:lang w:val="en-US" w:eastAsia="zh-CN"/>
        </w:rPr>
      </w:pPr>
      <w:r>
        <w:rPr>
          <w:rFonts w:hint="default" w:ascii="Times New Roman" w:hAnsi="Times New Roman" w:cs="Times New Roman"/>
          <w:b w:val="0"/>
          <w:bCs w:val="0"/>
          <w:sz w:val="28"/>
          <w:szCs w:val="28"/>
          <w:highlight w:val="none"/>
          <w:lang w:val="en-US" w:eastAsia="zh-CN"/>
        </w:rPr>
        <w:t>This research adopts a pre-experimental-qualitative-interpretive approach, following Grotjahn’s (1987) research paradigms and Nunan’s (1992) distinctions among pre-experiments, quasi-experiments, and true experiments</w:t>
      </w:r>
      <w:r>
        <w:rPr>
          <w:rFonts w:hint="eastAsia" w:ascii="Times New Roman" w:hAnsi="Times New Roman" w:cs="Times New Roman"/>
          <w:b w:val="0"/>
          <w:bCs w:val="0"/>
          <w:sz w:val="28"/>
          <w:szCs w:val="28"/>
          <w:highlight w:val="none"/>
          <w:lang w:val="en-US" w:eastAsia="zh-CN"/>
        </w:rPr>
        <w:t>. Qualitative methods are used to gain in-depth insights into learner personal constructs, while quantitative methods provide a general understanding. This approach allows for a nuanced interpretation of the data and a comprehensive exploration of the research questions.</w:t>
      </w:r>
    </w:p>
    <w:p>
      <w:pPr>
        <w:widowControl w:val="0"/>
        <w:numPr>
          <w:ilvl w:val="0"/>
          <w:numId w:val="0"/>
        </w:numPr>
        <w:jc w:val="both"/>
        <w:rPr>
          <w:rFonts w:hint="default" w:ascii="Times New Roman" w:hAnsi="Times New Roman" w:cs="Times New Roman"/>
          <w:b w:val="0"/>
          <w:bCs w:val="0"/>
          <w:sz w:val="28"/>
          <w:szCs w:val="28"/>
          <w:highlight w:val="none"/>
          <w:lang w:val="en-US" w:eastAsia="zh-CN"/>
        </w:rPr>
      </w:pPr>
      <w:r>
        <w:rPr>
          <w:rFonts w:hint="default" w:ascii="Times New Roman" w:hAnsi="Times New Roman" w:cs="Times New Roman"/>
          <w:b w:val="0"/>
          <w:bCs w:val="0"/>
          <w:sz w:val="28"/>
          <w:szCs w:val="28"/>
          <w:highlight w:val="none"/>
          <w:lang w:val="en-US" w:eastAsia="zh-CN"/>
        </w:rPr>
        <w:drawing>
          <wp:inline distT="0" distB="0" distL="114300" distR="114300">
            <wp:extent cx="5268595" cy="1505585"/>
            <wp:effectExtent l="0" t="0" r="1905" b="5715"/>
            <wp:docPr id="1" name="图片 1" descr="1680378020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680378020466"/>
                    <pic:cNvPicPr>
                      <a:picLocks noChangeAspect="1"/>
                    </pic:cNvPicPr>
                  </pic:nvPicPr>
                  <pic:blipFill>
                    <a:blip r:embed="rId8"/>
                    <a:stretch>
                      <a:fillRect/>
                    </a:stretch>
                  </pic:blipFill>
                  <pic:spPr>
                    <a:xfrm>
                      <a:off x="0" y="0"/>
                      <a:ext cx="5268595" cy="1505585"/>
                    </a:xfrm>
                    <a:prstGeom prst="rect">
                      <a:avLst/>
                    </a:prstGeom>
                  </pic:spPr>
                </pic:pic>
              </a:graphicData>
            </a:graphic>
          </wp:inline>
        </w:drawing>
      </w:r>
    </w:p>
    <w:p>
      <w:pPr>
        <w:keepNext w:val="0"/>
        <w:keepLines w:val="0"/>
        <w:pageBreakBefore w:val="0"/>
        <w:widowControl w:val="0"/>
        <w:numPr>
          <w:ilvl w:val="0"/>
          <w:numId w:val="3"/>
        </w:numPr>
        <w:kinsoku/>
        <w:wordWrap/>
        <w:overflowPunct/>
        <w:topLinePunct w:val="0"/>
        <w:autoSpaceDE/>
        <w:autoSpaceDN/>
        <w:bidi w:val="0"/>
        <w:adjustRightInd/>
        <w:snapToGrid/>
        <w:ind w:firstLine="720"/>
        <w:jc w:val="both"/>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To analyze the quantitative data</w:t>
      </w:r>
    </w:p>
    <w:p>
      <w:pPr>
        <w:keepNext w:val="0"/>
        <w:keepLines w:val="0"/>
        <w:pageBreakBefore w:val="0"/>
        <w:widowControl w:val="0"/>
        <w:numPr>
          <w:ilvl w:val="0"/>
          <w:numId w:val="0"/>
        </w:numPr>
        <w:kinsoku/>
        <w:wordWrap/>
        <w:overflowPunct/>
        <w:topLinePunct w:val="0"/>
        <w:autoSpaceDE/>
        <w:autoSpaceDN/>
        <w:bidi w:val="0"/>
        <w:adjustRightInd/>
        <w:snapToGrid/>
        <w:ind w:firstLine="720"/>
        <w:jc w:val="both"/>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bCs/>
          <w:sz w:val="28"/>
          <w:szCs w:val="28"/>
          <w:lang w:val="en-US" w:eastAsia="zh-CN"/>
        </w:rPr>
        <w:t>Q</w:t>
      </w:r>
      <w:r>
        <w:rPr>
          <w:rFonts w:hint="default" w:ascii="Times New Roman" w:hAnsi="Times New Roman" w:cs="Times New Roman"/>
          <w:b/>
          <w:bCs/>
          <w:sz w:val="28"/>
          <w:szCs w:val="28"/>
          <w:lang w:val="en-US" w:eastAsia="zh-CN"/>
        </w:rPr>
        <w:t>uantitative analysis</w:t>
      </w:r>
      <w:r>
        <w:rPr>
          <w:rFonts w:hint="default" w:ascii="Times New Roman" w:hAnsi="Times New Roman" w:cs="Times New Roman"/>
          <w:b w:val="0"/>
          <w:bCs w:val="0"/>
          <w:sz w:val="28"/>
          <w:szCs w:val="28"/>
          <w:lang w:val="en-US" w:eastAsia="zh-CN"/>
        </w:rPr>
        <w:t xml:space="preserve"> will be applied, which involves analyzing numerical data using statistical methods</w:t>
      </w:r>
      <w:r>
        <w:rPr>
          <w:rFonts w:hint="eastAsia" w:ascii="Times New Roman" w:hAnsi="Times New Roman" w:cs="Times New Roman"/>
          <w:b w:val="0"/>
          <w:bCs w:val="0"/>
          <w:sz w:val="28"/>
          <w:szCs w:val="28"/>
          <w:lang w:val="en-US" w:eastAsia="zh-CN"/>
        </w:rPr>
        <w:t xml:space="preserve"> collected from the results of pre- and post- tests</w:t>
      </w:r>
      <w:r>
        <w:rPr>
          <w:rFonts w:hint="default" w:ascii="Times New Roman" w:hAnsi="Times New Roman" w:cs="Times New Roman"/>
          <w:b w:val="0"/>
          <w:bCs w:val="0"/>
          <w:sz w:val="28"/>
          <w:szCs w:val="28"/>
          <w:lang w:val="en-US" w:eastAsia="zh-CN"/>
        </w:rPr>
        <w:t xml:space="preserve">, </w:t>
      </w:r>
      <w:r>
        <w:rPr>
          <w:rFonts w:hint="eastAsia" w:ascii="Times New Roman" w:hAnsi="Times New Roman" w:cs="Times New Roman"/>
          <w:b w:val="0"/>
          <w:bCs w:val="0"/>
          <w:sz w:val="28"/>
          <w:szCs w:val="28"/>
          <w:lang w:val="en-US" w:eastAsia="zh-CN"/>
        </w:rPr>
        <w:t>Independent samples t-test will be used to identify differences and draw conclusions according to the results of these two tests. And correlation coefficient (r) will be applied to reflect the correlation between learners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writing motivation and test results through questionnaires.</w:t>
      </w:r>
    </w:p>
    <w:p>
      <w:pPr>
        <w:keepNext w:val="0"/>
        <w:keepLines w:val="0"/>
        <w:pageBreakBefore w:val="0"/>
        <w:widowControl w:val="0"/>
        <w:numPr>
          <w:ilvl w:val="0"/>
          <w:numId w:val="3"/>
        </w:numPr>
        <w:kinsoku/>
        <w:wordWrap/>
        <w:overflowPunct/>
        <w:topLinePunct w:val="0"/>
        <w:autoSpaceDE/>
        <w:autoSpaceDN/>
        <w:bidi w:val="0"/>
        <w:adjustRightInd/>
        <w:snapToGrid/>
        <w:ind w:firstLine="720"/>
        <w:jc w:val="both"/>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To analyze the qualitative data </w:t>
      </w:r>
    </w:p>
    <w:p>
      <w:pPr>
        <w:keepNext w:val="0"/>
        <w:keepLines w:val="0"/>
        <w:pageBreakBefore w:val="0"/>
        <w:widowControl w:val="0"/>
        <w:kinsoku/>
        <w:wordWrap/>
        <w:overflowPunct/>
        <w:topLinePunct w:val="0"/>
        <w:autoSpaceDE/>
        <w:autoSpaceDN/>
        <w:bidi w:val="0"/>
        <w:adjustRightInd/>
        <w:snapToGrid/>
        <w:ind w:firstLine="720"/>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val="0"/>
          <w:bCs w:val="0"/>
          <w:sz w:val="28"/>
          <w:szCs w:val="28"/>
          <w:lang w:val="en-US" w:eastAsia="zh-CN"/>
        </w:rPr>
        <w:t>The qualitative data, including pre- and post- questionnaires and field notes, will be analyzed with NVIVO. First, all the data will be coded and categorized into two themes: a) motivation towards TBLT; b) TBLT. The qualitative data will help to explore the reasons behind the changes in writing motivation observed in the study. Additionally, it will provide insights into which version of TBLT, the strong or weak version, is preferred by the learners.</w:t>
      </w:r>
      <w:r>
        <w:rPr>
          <w:rFonts w:hint="default" w:ascii="Times New Roman" w:hAnsi="Times New Roman" w:cs="Times New Roman"/>
          <w:b/>
          <w:bCs/>
          <w:sz w:val="28"/>
          <w:szCs w:val="28"/>
          <w:lang w:val="en-US" w:eastAsia="zh-CN"/>
        </w:rPr>
        <w:br w:type="page"/>
      </w:r>
    </w:p>
    <w:p>
      <w:pPr>
        <w:jc w:val="both"/>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 xml:space="preserve">Ⅷ The </w:t>
      </w:r>
      <w:r>
        <w:rPr>
          <w:rFonts w:hint="eastAsia" w:ascii="Times New Roman" w:hAnsi="Times New Roman" w:cs="Times New Roman"/>
          <w:b/>
          <w:bCs/>
          <w:sz w:val="28"/>
          <w:szCs w:val="28"/>
          <w:lang w:val="en-US" w:eastAsia="zh-CN"/>
        </w:rPr>
        <w:t>T</w:t>
      </w:r>
      <w:r>
        <w:rPr>
          <w:rFonts w:hint="default" w:ascii="Times New Roman" w:hAnsi="Times New Roman" w:cs="Times New Roman"/>
          <w:b/>
          <w:bCs/>
          <w:sz w:val="28"/>
          <w:szCs w:val="28"/>
          <w:lang w:val="en-US" w:eastAsia="zh-CN"/>
        </w:rPr>
        <w:t xml:space="preserve">imetable for the </w:t>
      </w:r>
      <w:r>
        <w:rPr>
          <w:rFonts w:hint="eastAsia" w:ascii="Times New Roman" w:hAnsi="Times New Roman" w:cs="Times New Roman"/>
          <w:b/>
          <w:bCs/>
          <w:sz w:val="28"/>
          <w:szCs w:val="28"/>
          <w:lang w:val="en-US" w:eastAsia="zh-CN"/>
        </w:rPr>
        <w:t>P</w:t>
      </w:r>
      <w:r>
        <w:rPr>
          <w:rFonts w:hint="default" w:ascii="Times New Roman" w:hAnsi="Times New Roman" w:cs="Times New Roman"/>
          <w:b/>
          <w:bCs/>
          <w:sz w:val="28"/>
          <w:szCs w:val="28"/>
          <w:lang w:val="en-US" w:eastAsia="zh-CN"/>
        </w:rPr>
        <w:t xml:space="preserve">roposed </w:t>
      </w:r>
      <w:r>
        <w:rPr>
          <w:rFonts w:hint="eastAsia" w:ascii="Times New Roman" w:hAnsi="Times New Roman" w:cs="Times New Roman"/>
          <w:b/>
          <w:bCs/>
          <w:sz w:val="28"/>
          <w:szCs w:val="28"/>
          <w:lang w:val="en-US" w:eastAsia="zh-CN"/>
        </w:rPr>
        <w:t>P</w:t>
      </w:r>
      <w:r>
        <w:rPr>
          <w:rFonts w:hint="default" w:ascii="Times New Roman" w:hAnsi="Times New Roman" w:cs="Times New Roman"/>
          <w:b/>
          <w:bCs/>
          <w:sz w:val="28"/>
          <w:szCs w:val="28"/>
          <w:lang w:val="en-US" w:eastAsia="zh-CN"/>
        </w:rPr>
        <w:t>roject.</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default"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 xml:space="preserve">This investigation is expected to take approximately </w:t>
      </w:r>
      <w:r>
        <w:rPr>
          <w:rFonts w:hint="eastAsia" w:ascii="Times New Roman" w:hAnsi="Times New Roman" w:cs="Times New Roman"/>
          <w:b w:val="0"/>
          <w:bCs w:val="0"/>
          <w:sz w:val="28"/>
          <w:szCs w:val="28"/>
          <w:lang w:val="en-US" w:eastAsia="zh-CN"/>
        </w:rPr>
        <w:t>7</w:t>
      </w:r>
      <w:r>
        <w:rPr>
          <w:rFonts w:hint="default" w:ascii="Times New Roman" w:hAnsi="Times New Roman" w:cs="Times New Roman"/>
          <w:b w:val="0"/>
          <w:bCs w:val="0"/>
          <w:sz w:val="28"/>
          <w:szCs w:val="28"/>
          <w:lang w:val="en-US" w:eastAsia="zh-CN"/>
        </w:rPr>
        <w:t xml:space="preserve"> months to complete. The proposed timetable is as follows:</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396"/>
        <w:gridCol w:w="1455"/>
        <w:gridCol w:w="567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6" w:type="dxa"/>
          </w:tcPr>
          <w:p>
            <w:pPr>
              <w:numPr>
                <w:ilvl w:val="0"/>
                <w:numId w:val="0"/>
              </w:numPr>
              <w:jc w:val="center"/>
              <w:rPr>
                <w:rFonts w:hint="default" w:ascii="Times New Roman" w:hAnsi="Times New Roman" w:cs="Times New Roman"/>
                <w:b/>
                <w:bCs/>
                <w:sz w:val="28"/>
                <w:szCs w:val="28"/>
                <w:vertAlign w:val="baseline"/>
                <w:lang w:val="en-US" w:eastAsia="zh-CN"/>
              </w:rPr>
            </w:pPr>
            <w:r>
              <w:rPr>
                <w:rFonts w:hint="eastAsia" w:ascii="Times New Roman" w:hAnsi="Times New Roman" w:cs="Times New Roman"/>
                <w:b/>
                <w:bCs/>
                <w:sz w:val="28"/>
                <w:szCs w:val="28"/>
                <w:vertAlign w:val="baseline"/>
                <w:lang w:val="en-US" w:eastAsia="zh-CN"/>
              </w:rPr>
              <w:t>Duration(week)</w:t>
            </w:r>
          </w:p>
        </w:tc>
        <w:tc>
          <w:tcPr>
            <w:tcW w:w="1455" w:type="dxa"/>
          </w:tcPr>
          <w:p>
            <w:pPr>
              <w:numPr>
                <w:ilvl w:val="0"/>
                <w:numId w:val="0"/>
              </w:numPr>
              <w:jc w:val="center"/>
              <w:rPr>
                <w:rFonts w:hint="default" w:ascii="Times New Roman" w:hAnsi="Times New Roman" w:cs="Times New Roman"/>
                <w:b/>
                <w:bCs/>
                <w:sz w:val="28"/>
                <w:szCs w:val="28"/>
                <w:vertAlign w:val="baseline"/>
                <w:lang w:val="en-US" w:eastAsia="zh-CN"/>
              </w:rPr>
            </w:pPr>
            <w:r>
              <w:rPr>
                <w:rFonts w:hint="eastAsia" w:ascii="Times New Roman" w:hAnsi="Times New Roman" w:cs="Times New Roman"/>
                <w:b/>
                <w:bCs/>
                <w:sz w:val="28"/>
                <w:szCs w:val="28"/>
                <w:vertAlign w:val="baseline"/>
                <w:lang w:val="en-US" w:eastAsia="zh-CN"/>
              </w:rPr>
              <w:t>Date</w:t>
            </w:r>
          </w:p>
        </w:tc>
        <w:tc>
          <w:tcPr>
            <w:tcW w:w="5671" w:type="dxa"/>
          </w:tcPr>
          <w:p>
            <w:pPr>
              <w:numPr>
                <w:ilvl w:val="0"/>
                <w:numId w:val="0"/>
              </w:numPr>
              <w:jc w:val="center"/>
              <w:rPr>
                <w:rFonts w:hint="default" w:ascii="Times New Roman" w:hAnsi="Times New Roman" w:cs="Times New Roman"/>
                <w:b/>
                <w:bCs/>
                <w:sz w:val="28"/>
                <w:szCs w:val="28"/>
                <w:vertAlign w:val="baseline"/>
                <w:lang w:val="en-US" w:eastAsia="zh-CN"/>
              </w:rPr>
            </w:pPr>
            <w:r>
              <w:rPr>
                <w:rFonts w:hint="eastAsia" w:ascii="Times New Roman" w:hAnsi="Times New Roman" w:cs="Times New Roman"/>
                <w:b/>
                <w:bCs/>
                <w:sz w:val="28"/>
                <w:szCs w:val="28"/>
                <w:vertAlign w:val="baseline"/>
                <w:lang w:val="en-US" w:eastAsia="zh-CN"/>
              </w:rPr>
              <w:t>Events and Research Instruments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3"/>
          </w:tcPr>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bCs/>
                <w:sz w:val="28"/>
                <w:szCs w:val="28"/>
                <w:vertAlign w:val="baseline"/>
                <w:lang w:val="en-US" w:eastAsia="zh-CN"/>
              </w:rPr>
              <w:t>Before the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6" w:type="dxa"/>
          </w:tcPr>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1</w:t>
            </w:r>
          </w:p>
        </w:tc>
        <w:tc>
          <w:tcPr>
            <w:tcW w:w="1455" w:type="dxa"/>
          </w:tcPr>
          <w:p>
            <w:pPr>
              <w:numPr>
                <w:ilvl w:val="0"/>
                <w:numId w:val="0"/>
              </w:numPr>
              <w:jc w:val="center"/>
              <w:rPr>
                <w:rFonts w:hint="eastAsia"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26/02/24</w:t>
            </w:r>
          </w:p>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03/03/24</w:t>
            </w:r>
          </w:p>
        </w:tc>
        <w:tc>
          <w:tcPr>
            <w:tcW w:w="5671" w:type="dxa"/>
          </w:tcPr>
          <w:p>
            <w:pPr>
              <w:numPr>
                <w:ilvl w:val="0"/>
                <w:numId w:val="0"/>
              </w:numPr>
              <w:jc w:val="left"/>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①Participants recruitment</w:t>
            </w:r>
          </w:p>
          <w:p>
            <w:pPr>
              <w:numPr>
                <w:ilvl w:val="0"/>
                <w:numId w:val="0"/>
              </w:numPr>
              <w:jc w:val="left"/>
              <w:rPr>
                <w:rFonts w:hint="eastAsia"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②Research Introduction</w:t>
            </w:r>
          </w:p>
          <w:p>
            <w:pPr>
              <w:numPr>
                <w:ilvl w:val="0"/>
                <w:numId w:val="0"/>
              </w:numPr>
              <w:jc w:val="left"/>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③Pre-test and pre-questionnaire collecting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3"/>
          </w:tcPr>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bCs/>
                <w:sz w:val="28"/>
                <w:szCs w:val="28"/>
                <w:vertAlign w:val="baseline"/>
                <w:lang w:val="en-US" w:eastAsia="zh-CN"/>
              </w:rPr>
              <w:t>During the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6" w:type="dxa"/>
          </w:tcPr>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14</w:t>
            </w:r>
          </w:p>
        </w:tc>
        <w:tc>
          <w:tcPr>
            <w:tcW w:w="1455" w:type="dxa"/>
          </w:tcPr>
          <w:p>
            <w:pPr>
              <w:numPr>
                <w:ilvl w:val="0"/>
                <w:numId w:val="0"/>
              </w:numPr>
              <w:jc w:val="center"/>
              <w:rPr>
                <w:rFonts w:hint="eastAsia"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04/03/24</w:t>
            </w:r>
          </w:p>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01/06/24</w:t>
            </w:r>
          </w:p>
        </w:tc>
        <w:tc>
          <w:tcPr>
            <w:tcW w:w="5671" w:type="dxa"/>
          </w:tcPr>
          <w:p>
            <w:pPr>
              <w:numPr>
                <w:ilvl w:val="0"/>
                <w:numId w:val="0"/>
              </w:numPr>
              <w:jc w:val="left"/>
              <w:rPr>
                <w:rFonts w:hint="eastAsia"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①Research conducting</w:t>
            </w:r>
          </w:p>
          <w:p>
            <w:pPr>
              <w:numPr>
                <w:ilvl w:val="0"/>
                <w:numId w:val="0"/>
              </w:numPr>
              <w:jc w:val="left"/>
              <w:rPr>
                <w:rFonts w:hint="eastAsia"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②Recording field notes</w:t>
            </w:r>
          </w:p>
          <w:p>
            <w:pPr>
              <w:numPr>
                <w:ilvl w:val="0"/>
                <w:numId w:val="0"/>
              </w:numPr>
              <w:jc w:val="left"/>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③Post-test and post-questionnaire collecting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22" w:type="dxa"/>
            <w:gridSpan w:val="3"/>
          </w:tcPr>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bCs/>
                <w:sz w:val="28"/>
                <w:szCs w:val="28"/>
                <w:vertAlign w:val="baseline"/>
                <w:lang w:val="en-US" w:eastAsia="zh-CN"/>
              </w:rPr>
              <w:t>After the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6" w:type="dxa"/>
          </w:tcPr>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4</w:t>
            </w:r>
          </w:p>
        </w:tc>
        <w:tc>
          <w:tcPr>
            <w:tcW w:w="1455" w:type="dxa"/>
          </w:tcPr>
          <w:p>
            <w:pPr>
              <w:numPr>
                <w:ilvl w:val="0"/>
                <w:numId w:val="0"/>
              </w:numPr>
              <w:jc w:val="center"/>
              <w:rPr>
                <w:rFonts w:hint="eastAsia"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03/06/24</w:t>
            </w:r>
          </w:p>
          <w:p>
            <w:pPr>
              <w:numPr>
                <w:ilvl w:val="0"/>
                <w:numId w:val="0"/>
              </w:numPr>
              <w:jc w:val="center"/>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03/08/24</w:t>
            </w:r>
          </w:p>
        </w:tc>
        <w:tc>
          <w:tcPr>
            <w:tcW w:w="5671" w:type="dxa"/>
          </w:tcPr>
          <w:p>
            <w:pPr>
              <w:numPr>
                <w:ilvl w:val="0"/>
                <w:numId w:val="0"/>
              </w:numPr>
              <w:jc w:val="left"/>
              <w:rPr>
                <w:rFonts w:hint="default" w:ascii="Times New Roman" w:hAnsi="Times New Roman" w:cs="Times New Roman"/>
                <w:b w:val="0"/>
                <w:bCs w:val="0"/>
                <w:sz w:val="28"/>
                <w:szCs w:val="28"/>
                <w:vertAlign w:val="baseline"/>
                <w:lang w:val="en-US" w:eastAsia="zh-CN"/>
              </w:rPr>
            </w:pPr>
            <w:r>
              <w:rPr>
                <w:rFonts w:hint="eastAsia" w:ascii="Times New Roman" w:hAnsi="Times New Roman" w:cs="Times New Roman"/>
                <w:b w:val="0"/>
                <w:bCs w:val="0"/>
                <w:sz w:val="28"/>
                <w:szCs w:val="28"/>
                <w:vertAlign w:val="baseline"/>
                <w:lang w:val="en-US" w:eastAsia="zh-CN"/>
              </w:rPr>
              <w:t>①Analyzing the data</w:t>
            </w:r>
          </w:p>
        </w:tc>
      </w:tr>
    </w:tbl>
    <w:p>
      <w:pPr>
        <w:numPr>
          <w:ilvl w:val="0"/>
          <w:numId w:val="0"/>
        </w:numPr>
        <w:ind w:leftChars="0"/>
        <w:jc w:val="both"/>
        <w:rPr>
          <w:rFonts w:hint="default" w:ascii="Times New Roman" w:hAnsi="Times New Roman" w:cs="Times New Roman"/>
          <w:b w:val="0"/>
          <w:bCs w:val="0"/>
          <w:sz w:val="28"/>
          <w:szCs w:val="28"/>
          <w:lang w:val="en-US" w:eastAsia="zh-CN"/>
        </w:rPr>
        <w:sectPr>
          <w:pgSz w:w="11906" w:h="16838"/>
          <w:pgMar w:top="1440" w:right="1800" w:bottom="1440" w:left="1800" w:header="851" w:footer="992" w:gutter="0"/>
          <w:pgNumType w:fmt="decimal"/>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eastAsiaTheme="minorEastAsia"/>
          <w:b/>
          <w:bCs/>
          <w:sz w:val="28"/>
          <w:szCs w:val="28"/>
          <w:lang w:val="en-US" w:eastAsia="zh-CN"/>
        </w:rPr>
      </w:pPr>
      <w:r>
        <w:rPr>
          <w:rFonts w:hint="eastAsia" w:ascii="Times New Roman" w:hAnsi="Times New Roman" w:cs="Times New Roman"/>
          <w:b/>
          <w:bCs/>
          <w:sz w:val="28"/>
          <w:szCs w:val="28"/>
          <w:lang w:val="en-US" w:eastAsia="zh-CN"/>
        </w:rPr>
        <w:t>References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sz w:val="28"/>
          <w:szCs w:val="28"/>
        </w:rPr>
      </w:pPr>
      <w:r>
        <w:rPr>
          <w:rFonts w:hint="default" w:ascii="Times New Roman" w:hAnsi="Times New Roman" w:cs="Times New Roman"/>
          <w:sz w:val="28"/>
          <w:szCs w:val="28"/>
        </w:rPr>
        <w:t xml:space="preserve">Abdelhamid, Y. (2021). Communicative language teaching versus task-based language teaching. </w:t>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"https://doi.org/10.13140/RG.2.2.11196.77446" </w:instrText>
      </w:r>
      <w:r>
        <w:rPr>
          <w:rFonts w:hint="default" w:ascii="Times New Roman" w:hAnsi="Times New Roman" w:cs="Times New Roman"/>
          <w:sz w:val="28"/>
          <w:szCs w:val="28"/>
        </w:rPr>
        <w:fldChar w:fldCharType="separate"/>
      </w:r>
      <w:r>
        <w:rPr>
          <w:rStyle w:val="7"/>
          <w:rFonts w:hint="default" w:ascii="Times New Roman" w:hAnsi="Times New Roman" w:eastAsia="宋体" w:cs="Times New Roman"/>
          <w:sz w:val="28"/>
          <w:szCs w:val="28"/>
        </w:rPr>
        <w:t>https://doi.org/10.13140/RG.2.2.11196.77446</w:t>
      </w:r>
      <w:r>
        <w:rPr>
          <w:rFonts w:hint="default" w:ascii="Times New Roman" w:hAnsi="Times New Roman" w:cs="Times New Roman"/>
          <w:sz w:val="28"/>
          <w:szCs w:val="28"/>
        </w:rPr>
        <w:fldChar w:fldCharType="end"/>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Butler, Y. G. (2011). The implementation of communicative and task-based language teaching in the Asia-Pacific region. Annual Review of Applied Linguistics, 31, 36–57. </w:t>
      </w:r>
      <w:r>
        <w:rPr>
          <w:rFonts w:hint="default" w:ascii="Times New Roman" w:hAnsi="Times New Roman" w:eastAsia="宋体" w:cs="Times New Roman"/>
          <w:sz w:val="28"/>
          <w:szCs w:val="28"/>
        </w:rPr>
        <w:fldChar w:fldCharType="begin"/>
      </w:r>
      <w:r>
        <w:rPr>
          <w:rFonts w:hint="default" w:ascii="Times New Roman" w:hAnsi="Times New Roman" w:eastAsia="宋体" w:cs="Times New Roman"/>
          <w:sz w:val="28"/>
          <w:szCs w:val="28"/>
        </w:rPr>
        <w:instrText xml:space="preserve"> HYPERLINK "https://doi.org/10.1017/S0267190511000122" </w:instrText>
      </w:r>
      <w:r>
        <w:rPr>
          <w:rFonts w:hint="default" w:ascii="Times New Roman" w:hAnsi="Times New Roman" w:eastAsia="宋体" w:cs="Times New Roman"/>
          <w:sz w:val="28"/>
          <w:szCs w:val="28"/>
        </w:rPr>
        <w:fldChar w:fldCharType="separate"/>
      </w:r>
      <w:r>
        <w:rPr>
          <w:rStyle w:val="7"/>
          <w:rFonts w:hint="default" w:ascii="Times New Roman" w:hAnsi="Times New Roman" w:eastAsia="宋体" w:cs="Times New Roman"/>
          <w:sz w:val="28"/>
          <w:szCs w:val="28"/>
        </w:rPr>
        <w:t>https://doi.org/10.1017/S0267190511000122</w:t>
      </w:r>
      <w:r>
        <w:rPr>
          <w:rFonts w:hint="default" w:ascii="Times New Roman" w:hAnsi="Times New Roman" w:eastAsia="宋体" w:cs="Times New Roman"/>
          <w:sz w:val="28"/>
          <w:szCs w:val="28"/>
        </w:rPr>
        <w:fldChar w:fldCharType="end"/>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sz w:val="28"/>
          <w:szCs w:val="28"/>
        </w:rPr>
      </w:pPr>
      <w:r>
        <w:rPr>
          <w:rFonts w:hint="default" w:ascii="Times New Roman" w:hAnsi="Times New Roman" w:cs="Times New Roman"/>
          <w:sz w:val="28"/>
          <w:szCs w:val="28"/>
        </w:rPr>
        <w:t xml:space="preserve">Derakhshan, A. (2018). The effect of task-based language teaching instruction on the Iranian intermediate EFL learners’ writing performance. International Journal of Instruction, 11(4), 527–544. </w:t>
      </w: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"https://doi.org/10.12973/iji.2018.11433a" </w:instrText>
      </w:r>
      <w:r>
        <w:rPr>
          <w:rFonts w:hint="default" w:ascii="Times New Roman" w:hAnsi="Times New Roman" w:cs="Times New Roman"/>
          <w:sz w:val="28"/>
          <w:szCs w:val="28"/>
        </w:rPr>
        <w:fldChar w:fldCharType="separate"/>
      </w:r>
      <w:r>
        <w:rPr>
          <w:rStyle w:val="7"/>
          <w:rFonts w:hint="default" w:ascii="Times New Roman" w:hAnsi="Times New Roman" w:eastAsia="宋体" w:cs="Times New Roman"/>
          <w:sz w:val="28"/>
          <w:szCs w:val="28"/>
        </w:rPr>
        <w:t>https://doi.org/10.12973/iji.2018.11433a</w:t>
      </w:r>
      <w:r>
        <w:rPr>
          <w:rFonts w:hint="default" w:ascii="Times New Roman" w:hAnsi="Times New Roman" w:cs="Times New Roman"/>
          <w:sz w:val="28"/>
          <w:szCs w:val="28"/>
        </w:rPr>
        <w:fldChar w:fldCharType="end"/>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sz w:val="28"/>
          <w:szCs w:val="28"/>
        </w:rPr>
      </w:pPr>
      <w:r>
        <w:rPr>
          <w:rFonts w:hint="default" w:ascii="Times New Roman" w:hAnsi="Times New Roman" w:cs="Times New Roman"/>
          <w:sz w:val="28"/>
          <w:szCs w:val="28"/>
        </w:rPr>
        <w:t>East, M. (2012). Task-based language teaching from the teachers’ perspective: Insights from New Zealand. John Benjamins Publishing Company.</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Ellis, R. (2003). Task-based language learning and teaching. Oxford University Press.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Grotjahn, R. (1987). On the methodological basis of introspective methods. In C. Faerch &amp; G. Kasper (Eds.), Introspection in second language research (pp. 49-66). Clevedon, England: Multilingual Matters.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sectPr>
          <w:headerReference r:id="rId5" w:type="default"/>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eastAsia="宋体" w:cs="Times New Roman"/>
          <w:sz w:val="28"/>
          <w:szCs w:val="28"/>
        </w:rPr>
        <w:t xml:space="preserve">Howatt, A. P. R. (1984). A history of English language teaching. Oxford, </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UK: Oxford University Press.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Hughey, J. B. (1983). Teaching ESL composition: Principles and techniques. Newbury House Publishers.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Kafipour, R., Mahmoudi, E., &amp; Khojasteh, L. (2018). The effect of task-based language teaching on analytic writing in EFL classrooms. Cogent Education, 5(1). </w:t>
      </w:r>
      <w:r>
        <w:rPr>
          <w:rFonts w:hint="default" w:ascii="Times New Roman" w:hAnsi="Times New Roman" w:eastAsia="宋体" w:cs="Times New Roman"/>
          <w:sz w:val="28"/>
          <w:szCs w:val="28"/>
        </w:rPr>
        <w:fldChar w:fldCharType="begin"/>
      </w:r>
      <w:r>
        <w:rPr>
          <w:rFonts w:hint="default" w:ascii="Times New Roman" w:hAnsi="Times New Roman" w:eastAsia="宋体" w:cs="Times New Roman"/>
          <w:sz w:val="28"/>
          <w:szCs w:val="28"/>
        </w:rPr>
        <w:instrText xml:space="preserve"> HYPERLINK "https://doi.org/10.1080/2331186X.2018.1496627" </w:instrText>
      </w:r>
      <w:r>
        <w:rPr>
          <w:rFonts w:hint="default" w:ascii="Times New Roman" w:hAnsi="Times New Roman" w:eastAsia="宋体" w:cs="Times New Roman"/>
          <w:sz w:val="28"/>
          <w:szCs w:val="28"/>
        </w:rPr>
        <w:fldChar w:fldCharType="separate"/>
      </w:r>
      <w:r>
        <w:rPr>
          <w:rStyle w:val="7"/>
          <w:rFonts w:hint="default" w:ascii="Times New Roman" w:hAnsi="Times New Roman" w:eastAsia="宋体" w:cs="Times New Roman"/>
          <w:sz w:val="28"/>
          <w:szCs w:val="28"/>
        </w:rPr>
        <w:t>https://doi.org/10.1080/2331186X.2018.1496627</w:t>
      </w:r>
      <w:r>
        <w:rPr>
          <w:rFonts w:hint="default" w:ascii="Times New Roman" w:hAnsi="Times New Roman" w:eastAsia="宋体" w:cs="Times New Roman"/>
          <w:sz w:val="28"/>
          <w:szCs w:val="28"/>
        </w:rPr>
        <w:fldChar w:fldCharType="end"/>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Kemmis, S., McTaggart, R., &amp; Nixon, R. (2013). The action research planner: Doing critical participatory action research. Springer Science &amp; Business Media.</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b w:val="0"/>
          <w:bCs w:val="0"/>
          <w:color w:val="000000"/>
          <w:sz w:val="28"/>
          <w:szCs w:val="28"/>
        </w:rPr>
      </w:pPr>
      <w:r>
        <w:rPr>
          <w:rFonts w:hint="default" w:ascii="Times New Roman" w:hAnsi="Times New Roman" w:eastAsia="宋体" w:cs="Times New Roman"/>
          <w:b w:val="0"/>
          <w:bCs w:val="0"/>
          <w:color w:val="000000"/>
          <w:sz w:val="28"/>
          <w:szCs w:val="28"/>
        </w:rPr>
        <w:t>Kroll, B. (2003). Exploring the dynamics of second language writing. Cambridge University Press.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sz w:val="28"/>
          <w:szCs w:val="28"/>
        </w:rPr>
      </w:pPr>
      <w:r>
        <w:rPr>
          <w:rFonts w:hint="default" w:ascii="Times New Roman" w:hAnsi="Times New Roman" w:cs="Times New Roman"/>
          <w:sz w:val="28"/>
          <w:szCs w:val="28"/>
        </w:rPr>
        <w:t>Madera González, L. E., &amp; López Pinzón, M. M. (2019). The impact of task-based language teaching on learners’ writing skills. Indonesian EFL Journal, 5(2), 41–48.</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rPr>
        <w:t>https://doi.org/10.25134/ieflj.v5i2.1820</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sz w:val="28"/>
          <w:szCs w:val="28"/>
        </w:rPr>
      </w:pPr>
      <w:r>
        <w:rPr>
          <w:rFonts w:hint="default" w:ascii="Times New Roman" w:hAnsi="Times New Roman" w:cs="Times New Roman"/>
          <w:sz w:val="28"/>
          <w:szCs w:val="28"/>
        </w:rPr>
        <w:t>Riyana Sari, N. N., Tantra, D. K., &amp; Santosa, M. H. (2018). Task-based language teaching and text types in teaching writing using communicative approach. SHS Web of Conferences, 42, 00064. https://doi.org/10.1051/shsconf/20184200064</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cs="Times New Roman"/>
          <w:sz w:val="28"/>
          <w:szCs w:val="28"/>
        </w:rPr>
      </w:pPr>
      <w:r>
        <w:rPr>
          <w:rFonts w:hint="default" w:ascii="Times New Roman" w:hAnsi="Times New Roman" w:cs="Times New Roman"/>
          <w:sz w:val="28"/>
          <w:szCs w:val="28"/>
        </w:rPr>
        <w:t>Nunan, D. (2004). Task-based language teaching. Cambridge University Press.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Nunan, D., &amp; Nunan, P. D. (1992). Research methods in language learning. Cambridge University Press.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Piaget, Jean (1968). Six Psychological Studies. Anita Tenzer (Trans.), New York: Vintage Books.</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Arial" w:cs="Times New Roman"/>
          <w:i w:val="0"/>
          <w:iCs w:val="0"/>
          <w:caps w:val="0"/>
          <w:color w:val="333333"/>
          <w:spacing w:val="0"/>
          <w:sz w:val="28"/>
          <w:szCs w:val="28"/>
          <w:shd w:val="clear" w:fill="FFFFFF"/>
        </w:rPr>
      </w:pPr>
      <w:r>
        <w:rPr>
          <w:rFonts w:hint="default" w:ascii="Times New Roman" w:hAnsi="Times New Roman" w:eastAsia="Arial" w:cs="Times New Roman"/>
          <w:i w:val="0"/>
          <w:iCs w:val="0"/>
          <w:caps w:val="0"/>
          <w:color w:val="333333"/>
          <w:spacing w:val="0"/>
          <w:sz w:val="28"/>
          <w:szCs w:val="28"/>
          <w:shd w:val="clear" w:fill="FFFFFF"/>
        </w:rPr>
        <w:t xml:space="preserve">Vygotsky, L. S. (1978). Mind in society: The development of higher psychological processes. Harvard University Press. </w:t>
      </w:r>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sectPr>
          <w:headerReference r:id="rId6" w:type="default"/>
          <w:pgSz w:w="11906" w:h="16838"/>
          <w:pgMar w:top="1440" w:right="1800" w:bottom="1440" w:left="1800" w:header="851" w:footer="992" w:gutter="0"/>
          <w:pgNumType w:fmt="decimal"/>
          <w:cols w:space="425" w:num="1"/>
          <w:docGrid w:type="lines" w:linePitch="312" w:charSpace="0"/>
        </w:sectPr>
      </w:pPr>
      <w:r>
        <w:rPr>
          <w:rFonts w:hint="default" w:ascii="Times New Roman" w:hAnsi="Times New Roman" w:eastAsia="宋体" w:cs="Times New Roman"/>
          <w:sz w:val="28"/>
          <w:szCs w:val="28"/>
        </w:rPr>
        <w:t xml:space="preserve">Willis, J. (2005). A framework for task-based learning. Pearson Education.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32"/>
          <w:szCs w:val="40"/>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The Native-Non-Native Divide in English: Understanding the Differences and the Importance of the Non-Native Teacher’s Position</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Jingfan Jiang</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Student number: 2227387</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HPEN7006</w:t>
      </w:r>
      <w:r>
        <w:rPr>
          <w:rFonts w:hint="eastAsia" w:ascii="Times New Roman" w:hAnsi="Times New Roman" w:cs="Times New Roman"/>
          <w:b/>
          <w:bCs/>
          <w:sz w:val="24"/>
          <w:szCs w:val="24"/>
          <w:lang w:eastAsia="zh-CN"/>
        </w:rPr>
        <w:t>：</w:t>
      </w:r>
      <w:r>
        <w:rPr>
          <w:rFonts w:hint="default" w:ascii="Times New Roman" w:hAnsi="Times New Roman" w:cs="Times New Roman"/>
          <w:b/>
          <w:bCs/>
          <w:sz w:val="24"/>
          <w:szCs w:val="24"/>
        </w:rPr>
        <w:t xml:space="preserve">Current Theories of Second Language Acquisition </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Dr. Jessica Clapham</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eastAsiaTheme="minorEastAsia"/>
          <w:b/>
          <w:bCs/>
          <w:sz w:val="24"/>
          <w:szCs w:val="24"/>
          <w:lang w:val="en-US" w:eastAsia="zh-CN"/>
        </w:rPr>
        <w:sectPr>
          <w:pgSz w:w="11906" w:h="16838"/>
          <w:pgMar w:top="1440" w:right="1440" w:bottom="1440" w:left="1440" w:header="851" w:footer="992" w:gutter="0"/>
          <w:cols w:space="425" w:num="1"/>
          <w:docGrid w:type="lines" w:linePitch="312" w:charSpace="0"/>
        </w:sectPr>
      </w:pPr>
      <w:r>
        <w:rPr>
          <w:rFonts w:hint="eastAsia" w:ascii="Times New Roman" w:hAnsi="Times New Roman" w:cs="Times New Roman"/>
          <w:b/>
          <w:bCs/>
          <w:sz w:val="24"/>
          <w:szCs w:val="24"/>
          <w:lang w:val="en-US" w:eastAsia="zh-CN"/>
        </w:rPr>
        <w:t>18</w:t>
      </w:r>
      <w:r>
        <w:rPr>
          <w:rFonts w:hint="eastAsia" w:ascii="Times New Roman" w:hAnsi="Times New Roman" w:cs="Times New Roman"/>
          <w:b/>
          <w:bCs/>
          <w:sz w:val="24"/>
          <w:szCs w:val="24"/>
          <w:vertAlign w:val="superscript"/>
          <w:lang w:val="en-US" w:eastAsia="zh-CN"/>
        </w:rPr>
        <w:t>th</w:t>
      </w:r>
      <w:r>
        <w:rPr>
          <w:rFonts w:hint="eastAsia" w:ascii="Times New Roman" w:hAnsi="Times New Roman" w:cs="Times New Roman"/>
          <w:b/>
          <w:bCs/>
          <w:sz w:val="24"/>
          <w:szCs w:val="24"/>
          <w:lang w:val="en-US" w:eastAsia="zh-CN"/>
        </w:rPr>
        <w:t xml:space="preserve"> April</w:t>
      </w:r>
      <w:r>
        <w:rPr>
          <w:rFonts w:hint="default" w:ascii="Times New Roman" w:hAnsi="Times New Roman" w:cs="Times New Roman"/>
          <w:b/>
          <w:bCs/>
          <w:sz w:val="24"/>
          <w:szCs w:val="24"/>
        </w:rPr>
        <w:t>, 202</w:t>
      </w:r>
      <w:r>
        <w:rPr>
          <w:rFonts w:hint="eastAsia" w:ascii="Times New Roman" w:hAnsi="Times New Roman" w:cs="Times New Roman"/>
          <w:b/>
          <w:bCs/>
          <w:sz w:val="24"/>
          <w:szCs w:val="24"/>
          <w:lang w:val="en-US" w:eastAsia="zh-CN"/>
        </w:rPr>
        <w:t>3</w:t>
      </w:r>
    </w:p>
    <w:p>
      <w:pPr>
        <w:jc w:val="both"/>
        <w:rPr>
          <w:rFonts w:hint="default" w:ascii="Times New Roman" w:hAnsi="Times New Roman" w:cs="Times New Roman"/>
          <w:b/>
          <w:bCs/>
          <w:sz w:val="32"/>
          <w:szCs w:val="40"/>
        </w:rPr>
      </w:pPr>
      <w:r>
        <w:rPr>
          <w:rFonts w:hint="default" w:ascii="Times New Roman" w:hAnsi="Times New Roman" w:cs="Times New Roman"/>
          <w:b/>
          <w:bCs/>
          <w:sz w:val="32"/>
          <w:szCs w:val="40"/>
        </w:rPr>
        <w:t xml:space="preserve">I. Introduction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b w:val="0"/>
          <w:bCs w:val="0"/>
          <w:sz w:val="28"/>
          <w:szCs w:val="36"/>
          <w:highlight w:val="none"/>
          <w:lang w:val="en-US" w:eastAsia="zh-CN"/>
        </w:rPr>
      </w:pPr>
      <w:r>
        <w:rPr>
          <w:rFonts w:hint="eastAsia" w:ascii="Times New Roman" w:hAnsi="Times New Roman" w:cs="Times New Roman"/>
          <w:b w:val="0"/>
          <w:bCs w:val="0"/>
          <w:sz w:val="28"/>
          <w:szCs w:val="36"/>
          <w:highlight w:val="none"/>
          <w:lang w:val="en-US" w:eastAsia="zh-CN"/>
        </w:rPr>
        <w:t xml:space="preserve">English, as a global language spoken by approximately 1.5 billion people worldwide, has been the subject of extensive study regarding the distinctions between native English-speaking teachers (NESTs) and non-native English-speaking teachers (NNESTs). Educational institutions in non-native English-speaking nations have a long debated whether NEST is superior to NNEST regarding second language teaching, but this issue remains a point of contention with arguments on both sides. The linguist Braj Kachru (1985) allocated the present World English (WE) into three concenrtic circles: The Inner Circle, the Outer Circle and the Expanding Circle, implicitly establishing a hierarchy of Englishes. The Inner Circle, comprising countries where English is the primary language and used for political, economic and political purposes, such as the USA, the UK, Australia and New Zealand; the Outer Circle, containing former British colonies where English is an official language and used in education, government, and commerce, such as Singapore, Malaysia, and Nigeria; and the Expanding Circle including countries where English is a foreign language but widely taught and used as a lingua franca, such as China, Korea, and Saudi Arabia. While this model has been influential in describing the diversity of English in global contexts, it has also been criticized for its perceived hierarchical and colonial underpinnings. Holliday (2005) indicated the socially-constructed labels based on race, ethnicity, accent, and nationality would result in conflicts among educators and researchers. While this model highlights the diversity of English as a global language and has been regarded as an valuable contribution to its development. However, these influential labels can have negative effects on way English teachers are perceived, especially in the Expanding Circle. </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b w:val="0"/>
          <w:bCs w:val="0"/>
          <w:sz w:val="28"/>
          <w:szCs w:val="36"/>
          <w:highlight w:val="none"/>
          <w:lang w:val="en-US" w:eastAsia="zh-CN"/>
        </w:rPr>
      </w:pPr>
      <w:r>
        <w:rPr>
          <w:rFonts w:hint="eastAsia" w:ascii="Times New Roman" w:hAnsi="Times New Roman" w:cs="Times New Roman"/>
          <w:b w:val="0"/>
          <w:bCs w:val="0"/>
          <w:sz w:val="28"/>
          <w:szCs w:val="36"/>
          <w:highlight w:val="none"/>
          <w:lang w:val="en-US" w:eastAsia="zh-CN"/>
        </w:rPr>
        <w:t xml:space="preserve">Ultimately, the ultimate goal of this essay is to demonstrate the differences between NESTs and NNESTs for effective language teaching. Through an exploration of relative literature, this essay seeks to provide valuable insights into the strengths and challenges of NNESTs, and to identify ways in which they can be better supported in their roles as language educators. </w:t>
      </w:r>
    </w:p>
    <w:p>
      <w:pPr>
        <w:keepNext w:val="0"/>
        <w:keepLines w:val="0"/>
        <w:pageBreakBefore w:val="0"/>
        <w:widowControl w:val="0"/>
        <w:kinsoku/>
        <w:wordWrap/>
        <w:overflowPunct/>
        <w:topLinePunct w:val="0"/>
        <w:autoSpaceDE/>
        <w:autoSpaceDN/>
        <w:bidi w:val="0"/>
        <w:adjustRightInd/>
        <w:snapToGrid/>
        <w:ind w:firstLine="720" w:firstLineChars="0"/>
        <w:textAlignment w:val="auto"/>
        <w:rPr>
          <w:rFonts w:hint="eastAsia" w:ascii="Times New Roman" w:hAnsi="Times New Roman" w:cs="Times New Roman"/>
          <w:b w:val="0"/>
          <w:bCs w:val="0"/>
          <w:sz w:val="28"/>
          <w:szCs w:val="36"/>
          <w:highlight w:val="none"/>
          <w:lang w:val="en-US" w:eastAsia="zh-CN"/>
        </w:rPr>
      </w:pPr>
      <w:r>
        <w:rPr>
          <w:rFonts w:hint="eastAsia" w:ascii="Times New Roman" w:hAnsi="Times New Roman" w:cs="Times New Roman"/>
          <w:b w:val="0"/>
          <w:bCs w:val="0"/>
          <w:sz w:val="28"/>
          <w:szCs w:val="36"/>
          <w:highlight w:val="none"/>
          <w:lang w:val="en-US" w:eastAsia="zh-CN"/>
        </w:rPr>
        <w:br w:type="page"/>
      </w:r>
    </w:p>
    <w:p>
      <w:pPr>
        <w:jc w:val="both"/>
        <w:rPr>
          <w:rFonts w:hint="default" w:ascii="Times New Roman" w:hAnsi="Times New Roman" w:cs="Times New Roman"/>
          <w:b w:val="0"/>
          <w:bCs w:val="0"/>
          <w:sz w:val="32"/>
          <w:szCs w:val="32"/>
        </w:rPr>
      </w:pPr>
      <w:r>
        <w:rPr>
          <w:rFonts w:hint="default" w:ascii="Times New Roman" w:hAnsi="Times New Roman" w:cs="Times New Roman"/>
          <w:b/>
          <w:bCs/>
          <w:sz w:val="32"/>
          <w:szCs w:val="32"/>
        </w:rPr>
        <w:t xml:space="preserve">II. Differences between </w:t>
      </w:r>
      <w:r>
        <w:rPr>
          <w:rFonts w:hint="eastAsia" w:ascii="Times New Roman" w:hAnsi="Times New Roman" w:cs="Times New Roman"/>
          <w:b/>
          <w:bCs/>
          <w:sz w:val="32"/>
          <w:szCs w:val="32"/>
          <w:lang w:val="en-US" w:eastAsia="zh-CN"/>
        </w:rPr>
        <w:t>NESTs and NNESTs</w:t>
      </w:r>
      <w:r>
        <w:rPr>
          <w:rFonts w:hint="default" w:ascii="Times New Roman" w:hAnsi="Times New Roman" w:cs="Times New Roman"/>
          <w:b/>
          <w:bCs/>
          <w:sz w:val="32"/>
          <w:szCs w:val="32"/>
        </w:rPr>
        <w:t xml:space="preserve"> </w:t>
      </w:r>
    </w:p>
    <w:p>
      <w:pPr>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2.1 The Definition of NESTs and NNESTs </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The term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native speaker</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refers to a person who speaks their first language, while a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non-native speaker</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is someone who learns a foreign or second language (Braine, 2010). Linguistics have elaborated on this concept,defining a native speaker as an idealized speaker-listener who resides in a perfectly uniform speech community, as described by Noam Chomsky (1965). These concepts have significant implications in the field of English language teaching, where being a native speaker is often equated with privilege, fluency, and competence (Braine, 2010, p.9) while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non-native speakers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may face doubts and suspicions regarding their language abilities (p.9).</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In the field of English Language Teaching (ELT), there has historically been a perception that NESTs are more reliable and have gained widespread acceptance, particularly in non-English-speaking countries.  This attitude is known as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Native-speakerism,</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a term coined by Holliday (2005) to describe the belief that native speakers are inherently better in terms of language proficiency, cultural knowledge, and teaching ability than non-native speakers in ELT. This attitude remains prevalent among many English teachers and learners, which can trigger discriminatory treatment of NNESTs and negatively impact the learning outcomes of English language learners. </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default" w:ascii="Times New Roman" w:hAnsi="Times New Roman" w:cs="Times New Roman"/>
          <w:b w:val="0"/>
          <w:bCs w:val="0"/>
          <w:sz w:val="28"/>
          <w:szCs w:val="28"/>
          <w:lang w:val="en-US" w:eastAsia="zh-CN"/>
        </w:rPr>
        <w:t>For instance, Medgyes (1994) suggested that the main differences between NESTs and</w:t>
      </w:r>
      <w:r>
        <w:rPr>
          <w:rFonts w:hint="eastAsia" w:ascii="Times New Roman" w:hAnsi="Times New Roman" w:cs="Times New Roman"/>
          <w:b w:val="0"/>
          <w:bCs w:val="0"/>
          <w:sz w:val="28"/>
          <w:szCs w:val="28"/>
          <w:lang w:val="en-US" w:eastAsia="zh-CN"/>
        </w:rPr>
        <w:t xml:space="preserve"> </w:t>
      </w:r>
      <w:r>
        <w:rPr>
          <w:rFonts w:hint="default" w:ascii="Times New Roman" w:hAnsi="Times New Roman" w:cs="Times New Roman"/>
          <w:b w:val="0"/>
          <w:bCs w:val="0"/>
          <w:sz w:val="28"/>
          <w:szCs w:val="28"/>
          <w:lang w:val="en-US" w:eastAsia="zh-CN"/>
        </w:rPr>
        <w:t xml:space="preserve">NNESTs </w:t>
      </w:r>
      <w:r>
        <w:rPr>
          <w:rFonts w:hint="eastAsia" w:ascii="Times New Roman" w:hAnsi="Times New Roman" w:cs="Times New Roman"/>
          <w:b w:val="0"/>
          <w:bCs w:val="0"/>
          <w:sz w:val="28"/>
          <w:szCs w:val="28"/>
          <w:lang w:val="en-US" w:eastAsia="zh-CN"/>
        </w:rPr>
        <w:t>exist</w:t>
      </w:r>
      <w:r>
        <w:rPr>
          <w:rFonts w:hint="default" w:ascii="Times New Roman" w:hAnsi="Times New Roman" w:cs="Times New Roman"/>
          <w:b w:val="0"/>
          <w:bCs w:val="0"/>
          <w:sz w:val="28"/>
          <w:szCs w:val="28"/>
          <w:lang w:val="en-US" w:eastAsia="zh-CN"/>
        </w:rPr>
        <w:t xml:space="preserve"> in their language proficiency and teaching behavior. However, he also argued that both NESTs and NNESTs can be </w:t>
      </w:r>
      <w:r>
        <w:rPr>
          <w:rFonts w:hint="eastAsia" w:ascii="Times New Roman" w:hAnsi="Times New Roman" w:cs="Times New Roman"/>
          <w:b w:val="0"/>
          <w:bCs w:val="0"/>
          <w:sz w:val="28"/>
          <w:szCs w:val="28"/>
          <w:lang w:val="en-US" w:eastAsia="zh-CN"/>
        </w:rPr>
        <w:t>equally qualified</w:t>
      </w:r>
      <w:r>
        <w:rPr>
          <w:rFonts w:hint="default" w:ascii="Times New Roman" w:hAnsi="Times New Roman" w:cs="Times New Roman"/>
          <w:b w:val="0"/>
          <w:bCs w:val="0"/>
          <w:sz w:val="28"/>
          <w:szCs w:val="28"/>
          <w:lang w:val="en-US" w:eastAsia="zh-CN"/>
        </w:rPr>
        <w:t xml:space="preserve"> as language teachers (p. 27).</w:t>
      </w:r>
      <w:r>
        <w:rPr>
          <w:rFonts w:hint="eastAsia" w:ascii="Times New Roman" w:hAnsi="Times New Roman" w:cs="Times New Roman"/>
          <w:b w:val="0"/>
          <w:bCs w:val="0"/>
          <w:sz w:val="28"/>
          <w:szCs w:val="28"/>
          <w:lang w:val="en-US" w:eastAsia="zh-CN"/>
        </w:rPr>
        <w:t xml:space="preserve"> In other words, it suggests that being a NEST does not automatically indicate some one superior to a NNEST, and vice versa. </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Given to the current trend of globalization, the favored status of NESTs in ELT needs to be re-evaluated, and the dichotomy between NESTs and NNESTs based solely on their linguistic identities should be further discussed (Wang &amp; Fang, 2020, p.4). Instead, a more inclusive approach should be adopted to evaluate the diverse background, experiences, and abilities of both NESTs and NNESTs.</w:t>
      </w:r>
    </w:p>
    <w:p>
      <w:pPr>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2.2 Linguistic Background and Cultural Experience Differences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One of the most notable differences between NESTs and NNESTs lies in their linguistic backgrounds. NESTs, as native English speakers, naturally acquire language skills, whereas NNESTs learn English as bilinguals or multilinguals. This difference can affect not only their pronunciation and grammar but also their vocabulary and expressions. </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Cultural experience differences also exist between NESTs and NNESTs.  NESTs have grown up and been educated in an English-using community, where they gain an innate understanding of the language and cultural nuances. In contrast, NNESTs have learned English later in their life and may not have the same depth of language knowledge and exposure to English cultures.</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However, the distinction between NESTs and NNESTs is not fixed or absolute. NNESTs can still achieve a high level of proficiency in English and develop a deep understanding of English-speaking cultures through dedicated study and practice. As NNESTs continue to improve their language skills and cultural awareness, the line of cultural and linguistic differences between these two groups is likely to become increasingly blurred.</w:t>
      </w:r>
    </w:p>
    <w:p>
      <w:pPr>
        <w:keepNext w:val="0"/>
        <w:keepLines w:val="0"/>
        <w:pageBreakBefore w:val="0"/>
        <w:widowControl w:val="0"/>
        <w:kinsoku/>
        <w:wordWrap/>
        <w:overflowPunct/>
        <w:topLinePunct w:val="0"/>
        <w:autoSpaceDE/>
        <w:autoSpaceDN/>
        <w:bidi w:val="0"/>
        <w:adjustRightInd/>
        <w:snapToGrid/>
        <w:ind w:firstLine="720"/>
        <w:jc w:val="both"/>
        <w:textAlignment w:val="auto"/>
        <w:rPr>
          <w:rFonts w:hint="default"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Additionally, as bilinguals, NNESTs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are constantly switching between two languages. This frequent cognitive switching may strengthen their ability to link corresponding cultural and linguistic information within and between the two languages, enabling them to have a more nuanced and flexible understanding of language and culture. Reversely, NESTs, as monolinguals, may be constrained by the lack of exposure to a second language learning process (Walkinshaw &amp; Oanh, 2014). This can result in inability to make cross-linguistic and cross-cultural connections, especially in the classroom context that involves with different cultures and languages.</w:t>
      </w:r>
    </w:p>
    <w:p>
      <w:pPr>
        <w:jc w:val="both"/>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2.3 Pedagogical Differences in the Classroom</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In an ideal scenario, learners tend to seek out experienced and skilled teachers who can meet their learning needs and help them study more effectively. Previous research has identified  teaching styles used by NESTs and NNESTs to increase student awareness and monitor classroom activities (Phothongsunan, 2017; Aslan &amp; Thompson, 2017). According to Walkinshaw and Oanh (2014), NESTs are often considered as models of authentic, fluent, and standard pronunciation, while NNESTs excel in areas such as interpreting grammar and communicating with students in their native language. </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Indeed, the impact of differences between NESTs and NNESTs, including their language backgrounds, qualifications, and individual experiences, on language teaching can be ambiguous and may vary depending on various factors. However, it is clear that these differences can affect their teaching methods and approaches. </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Regarding the use of materials, it is true that some NESTs may prefer to use materials related to daily life rather than relying solely on grammar textbooks (Wong, 2009). However, this is not always the case, and many NNESTs also use authentic materials to make language learning more relevant and engaging for their learners.</w:t>
      </w:r>
    </w:p>
    <w:p>
      <w:pPr>
        <w:keepNext w:val="0"/>
        <w:keepLines w:val="0"/>
        <w:pageBreakBefore w:val="0"/>
        <w:widowControl w:val="0"/>
        <w:kinsoku/>
        <w:wordWrap/>
        <w:overflowPunct/>
        <w:topLinePunct w:val="0"/>
        <w:autoSpaceDE/>
        <w:autoSpaceDN/>
        <w:bidi w:val="0"/>
        <w:adjustRightInd/>
        <w:snapToGrid/>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Both NESTs and NNESTs can be effective in teaching grammar and in using interactive teaching approaches. While it may be commonly perceived that NNESTs are more skilled in teaching grammar, NESTs may use more interactive teaching methods but may lack effective grammar teaching methods (Sung, 2014).</w:t>
      </w:r>
    </w:p>
    <w:p>
      <w:pPr>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br w:type="page"/>
      </w:r>
    </w:p>
    <w:p>
      <w:pPr>
        <w:keepNext w:val="0"/>
        <w:keepLines w:val="0"/>
        <w:pageBreakBefore w:val="0"/>
        <w:widowControl w:val="0"/>
        <w:kinsoku/>
        <w:wordWrap/>
        <w:overflowPunct/>
        <w:topLinePunct w:val="0"/>
        <w:autoSpaceDE/>
        <w:autoSpaceDN/>
        <w:bidi w:val="0"/>
        <w:adjustRightInd/>
        <w:snapToGrid/>
        <w:textAlignment w:val="auto"/>
        <w:rPr>
          <w:rFonts w:hint="eastAsia"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 xml:space="preserve">III. Advantages of NNESTs </w:t>
      </w:r>
    </w:p>
    <w:p>
      <w:pP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3.1 </w:t>
      </w:r>
      <w:r>
        <w:rPr>
          <w:rFonts w:hint="default" w:ascii="Times New Roman" w:hAnsi="Times New Roman" w:cs="Times New Roman"/>
          <w:b/>
          <w:bCs/>
          <w:sz w:val="28"/>
          <w:szCs w:val="28"/>
        </w:rPr>
        <w:t xml:space="preserve">Understanding of the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rPr>
        <w:t xml:space="preserve">hallenges and </w:t>
      </w:r>
      <w:r>
        <w:rPr>
          <w:rFonts w:hint="eastAsia" w:ascii="Times New Roman" w:hAnsi="Times New Roman" w:cs="Times New Roman"/>
          <w:b/>
          <w:bCs/>
          <w:sz w:val="28"/>
          <w:szCs w:val="28"/>
          <w:lang w:val="en-US" w:eastAsia="zh-CN"/>
        </w:rPr>
        <w:t>S</w:t>
      </w:r>
      <w:r>
        <w:rPr>
          <w:rFonts w:hint="default" w:ascii="Times New Roman" w:hAnsi="Times New Roman" w:cs="Times New Roman"/>
          <w:b/>
          <w:bCs/>
          <w:sz w:val="28"/>
          <w:szCs w:val="28"/>
        </w:rPr>
        <w:t xml:space="preserve">trategies </w:t>
      </w:r>
      <w:r>
        <w:rPr>
          <w:rFonts w:hint="eastAsia" w:ascii="Times New Roman" w:hAnsi="Times New Roman" w:cs="Times New Roman"/>
          <w:b/>
          <w:bCs/>
          <w:sz w:val="28"/>
          <w:szCs w:val="28"/>
          <w:lang w:val="en-US" w:eastAsia="zh-CN"/>
        </w:rPr>
        <w:t>I</w:t>
      </w:r>
      <w:r>
        <w:rPr>
          <w:rFonts w:hint="default" w:ascii="Times New Roman" w:hAnsi="Times New Roman" w:cs="Times New Roman"/>
          <w:b/>
          <w:bCs/>
          <w:sz w:val="28"/>
          <w:szCs w:val="28"/>
        </w:rPr>
        <w:t xml:space="preserve">nvolved in </w:t>
      </w:r>
      <w:r>
        <w:rPr>
          <w:rFonts w:hint="eastAsia" w:ascii="Times New Roman" w:hAnsi="Times New Roman" w:cs="Times New Roman"/>
          <w:b/>
          <w:bCs/>
          <w:sz w:val="28"/>
          <w:szCs w:val="28"/>
          <w:lang w:val="en-US" w:eastAsia="zh-CN"/>
        </w:rPr>
        <w:t>L</w:t>
      </w:r>
      <w:r>
        <w:rPr>
          <w:rFonts w:hint="default" w:ascii="Times New Roman" w:hAnsi="Times New Roman" w:cs="Times New Roman"/>
          <w:b/>
          <w:bCs/>
          <w:sz w:val="28"/>
          <w:szCs w:val="28"/>
        </w:rPr>
        <w:t xml:space="preserve">anguage </w:t>
      </w:r>
      <w:r>
        <w:rPr>
          <w:rFonts w:hint="eastAsia" w:ascii="Times New Roman" w:hAnsi="Times New Roman" w:cs="Times New Roman"/>
          <w:b/>
          <w:bCs/>
          <w:sz w:val="28"/>
          <w:szCs w:val="28"/>
          <w:lang w:val="en-US" w:eastAsia="zh-CN"/>
        </w:rPr>
        <w:t>L</w:t>
      </w:r>
      <w:r>
        <w:rPr>
          <w:rFonts w:hint="default" w:ascii="Times New Roman" w:hAnsi="Times New Roman" w:cs="Times New Roman"/>
          <w:b/>
          <w:bCs/>
          <w:sz w:val="28"/>
          <w:szCs w:val="28"/>
        </w:rPr>
        <w:t>earning</w:t>
      </w:r>
      <w:r>
        <w:rPr>
          <w:rFonts w:hint="eastAsia" w:ascii="Times New Roman" w:hAnsi="Times New Roman" w:cs="Times New Roman"/>
          <w:b/>
          <w:bCs/>
          <w:sz w:val="28"/>
          <w:szCs w:val="28"/>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 xml:space="preserve">It should be noted that NNESTs come into the classroom with a wealth of experience studying English extensively. Their quality of language education, proficiency level, and understanding of English grammar may vary widely. However, NNESTs may have an advantage in clarifying English grammar rules and exceptions for language learners, particularly those who speak the same native language as the teacher. This is because NNESTs have likely encountered similar challenges in learning English as a foreign language and have developed effective strategies to overcome them.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t>Additionally, NNESTs</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 xml:space="preserve"> experiences as second language learners can be beneficial in the wider teaching process beyond just grammatical instruction. Through their own language learning experiences, NNESTs have acquired valuable skills and insights that can help them anticipate and address potential difficulties that their students may encounter. NNESTs often bring a unique perspective and approach to language teaching that can complement and enhance the traditional methods. Tudor (2001, p.9) took an </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ecological perspective</w:t>
      </w:r>
      <w:r>
        <w:rPr>
          <w:rFonts w:hint="default" w:ascii="Times New Roman" w:hAnsi="Times New Roman" w:cs="Times New Roman"/>
          <w:b w:val="0"/>
          <w:bCs w:val="0"/>
          <w:sz w:val="28"/>
          <w:szCs w:val="28"/>
          <w:lang w:val="en-US" w:eastAsia="zh-CN"/>
        </w:rPr>
        <w:t>”</w:t>
      </w:r>
      <w:r>
        <w:rPr>
          <w:rFonts w:hint="eastAsia" w:ascii="Times New Roman" w:hAnsi="Times New Roman" w:cs="Times New Roman"/>
          <w:b w:val="0"/>
          <w:bCs w:val="0"/>
          <w:sz w:val="28"/>
          <w:szCs w:val="28"/>
          <w:lang w:val="en-US" w:eastAsia="zh-CN"/>
        </w:rPr>
        <w:t>on language teaching, which recognizes the significant of understanding the perspectives and experiences of all individuals involved in the teaching process, including students, teachers, and others who influence classroom practices. By identifying and understanding the various meanings that language teaching holds for learners, a more holistic view of language teaching of NNESTs can be enhanced.</w:t>
      </w:r>
    </w:p>
    <w:p>
      <w:pP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3.2</w:t>
      </w:r>
      <w:r>
        <w:rPr>
          <w:rFonts w:hint="eastAsia" w:ascii="Times New Roman" w:hAnsi="Times New Roman" w:cs="Times New Roman"/>
          <w:b/>
          <w:bCs/>
          <w:sz w:val="28"/>
          <w:szCs w:val="28"/>
          <w:highlight w:val="none"/>
          <w:lang w:val="en-US" w:eastAsia="zh-CN"/>
        </w:rPr>
        <w:t xml:space="preserve"> The Growing Accessibility of NNESTs in Language Teaching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The globalization of both the economic and educational sectors has contributed to the widespread use and importance of the English language (Alfarhan, 2016). In many countries, English is taught as a compulsory course, and specialized English classes are also becoming more common.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It is worth noting that NNESTs are often more accessible to learners in many countries, particularly in those where English is taught as a foreign language in the Outer Circle and Expanding Circle.  Studies conducted by Canagarajah (1999) and Prodromou (2003) found that NESTs working in educational institutes were outnumbered by the NNESTs. Additionally, due to greater demand for English teachers, there is a growing trend of employing more NNESTs in language teaching positions, which may further promote the accessibility of NNESTs to learners.</w:t>
      </w:r>
    </w:p>
    <w:p>
      <w:pPr>
        <w:rPr>
          <w:rFonts w:hint="default" w:ascii="Times New Roman" w:hAnsi="Times New Roman" w:cs="Times New Roman"/>
          <w:b/>
          <w:bCs/>
          <w:sz w:val="28"/>
          <w:szCs w:val="28"/>
          <w:highlight w:val="none"/>
        </w:rPr>
      </w:pPr>
      <w:r>
        <w:rPr>
          <w:rFonts w:hint="eastAsia" w:ascii="Times New Roman" w:hAnsi="Times New Roman" w:cs="Times New Roman"/>
          <w:b/>
          <w:bCs/>
          <w:sz w:val="28"/>
          <w:szCs w:val="28"/>
          <w:lang w:val="en-US" w:eastAsia="zh-CN"/>
        </w:rPr>
        <w:t>3.2</w:t>
      </w:r>
      <w:r>
        <w:rPr>
          <w:rFonts w:hint="eastAsia" w:ascii="Times New Roman" w:hAnsi="Times New Roman" w:cs="Times New Roman"/>
          <w:b/>
          <w:bCs/>
          <w:sz w:val="28"/>
          <w:szCs w:val="28"/>
          <w:highlight w:val="none"/>
          <w:lang w:val="en-US" w:eastAsia="zh-CN"/>
        </w:rPr>
        <w:t xml:space="preserve"> The Dedication of </w:t>
      </w:r>
      <w:r>
        <w:rPr>
          <w:rFonts w:hint="default" w:ascii="Times New Roman" w:hAnsi="Times New Roman" w:cs="Times New Roman"/>
          <w:b/>
          <w:bCs/>
          <w:sz w:val="28"/>
          <w:szCs w:val="28"/>
          <w:highlight w:val="none"/>
        </w:rPr>
        <w:t>NNESTs in Language Learning</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The interview conducted by Hayes (2008, p.7) sheds light on the strong commitment and dedication of many NNESTs towards their profession. This deep belief in the value of their work is often rooted in a desire to help their students achieve their language learning goals and make a positive impact on society. This commitment is often based on their own experiences as language learners, as well as their desire to help others overcome similar linguistic challenges.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It is worth noting that while English teaching is often considered a global profession, many NNESTs primarily work within their own societies and have a range of social responsibilities as career teachers. Unlike NS teachers, NNESTs tend to have lower mobility. For example, in China, for example, many English teachers are employed by the local Department of Education and must pass rigorous examinations to be fully enrolled. As a result, these NNESTs are less likely to quit their jobs casually.</w:t>
      </w:r>
    </w:p>
    <w:p>
      <w:pPr>
        <w:rPr>
          <w:rFonts w:hint="eastAsia" w:ascii="Times New Roman" w:hAnsi="Times New Roman" w:cs="Times New Roman"/>
          <w:b w:val="0"/>
          <w:bCs w:val="0"/>
          <w:sz w:val="28"/>
          <w:szCs w:val="28"/>
          <w:lang w:val="en-US" w:eastAsia="zh-CN"/>
        </w:rPr>
      </w:pPr>
      <w:r>
        <w:rPr>
          <w:rFonts w:hint="eastAsia" w:ascii="Times New Roman" w:hAnsi="Times New Roman" w:cs="Times New Roman"/>
          <w:b w:val="0"/>
          <w:bCs w:val="0"/>
          <w:sz w:val="28"/>
          <w:szCs w:val="28"/>
          <w:lang w:val="en-US" w:eastAsia="zh-CN"/>
        </w:rPr>
        <w:br w:type="page"/>
      </w:r>
    </w:p>
    <w:p>
      <w:pPr>
        <w:rPr>
          <w:rFonts w:hint="default" w:ascii="Times New Roman" w:hAnsi="Times New Roman" w:cs="Times New Roman" w:eastAsiaTheme="minorEastAsia"/>
          <w:b/>
          <w:bCs/>
          <w:sz w:val="32"/>
          <w:szCs w:val="32"/>
          <w:lang w:val="en-US" w:eastAsia="zh-CN"/>
        </w:rPr>
      </w:pPr>
      <w:r>
        <w:rPr>
          <w:rFonts w:hint="default" w:ascii="Times New Roman" w:hAnsi="Times New Roman" w:cs="Times New Roman"/>
          <w:b/>
          <w:bCs/>
          <w:sz w:val="32"/>
          <w:szCs w:val="32"/>
        </w:rPr>
        <w:t xml:space="preserve">IV. Challenges faced by </w:t>
      </w:r>
      <w:r>
        <w:rPr>
          <w:rFonts w:hint="eastAsia" w:ascii="Times New Roman" w:hAnsi="Times New Roman" w:cs="Times New Roman"/>
          <w:b/>
          <w:bCs/>
          <w:sz w:val="32"/>
          <w:szCs w:val="32"/>
          <w:lang w:val="en-US" w:eastAsia="zh-CN"/>
        </w:rPr>
        <w:t>NNESTs</w:t>
      </w:r>
    </w:p>
    <w:p>
      <w:pP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4.1 External Challenges: </w:t>
      </w:r>
      <w:r>
        <w:rPr>
          <w:rFonts w:hint="default" w:ascii="Times New Roman" w:hAnsi="Times New Roman" w:cs="Times New Roman"/>
          <w:b/>
          <w:bCs/>
          <w:sz w:val="28"/>
          <w:szCs w:val="28"/>
        </w:rPr>
        <w:t xml:space="preserve">Perceptions </w:t>
      </w:r>
      <w:r>
        <w:rPr>
          <w:rFonts w:hint="eastAsia" w:ascii="Times New Roman" w:hAnsi="Times New Roman" w:cs="Times New Roman"/>
          <w:b/>
          <w:bCs/>
          <w:sz w:val="28"/>
          <w:szCs w:val="28"/>
          <w:lang w:val="en-US" w:eastAsia="zh-CN"/>
        </w:rPr>
        <w:t>towards</w:t>
      </w:r>
      <w:r>
        <w:rPr>
          <w:rFonts w:hint="default" w:ascii="Times New Roman" w:hAnsi="Times New Roman" w:cs="Times New Roman"/>
          <w:b/>
          <w:bCs/>
          <w:sz w:val="28"/>
          <w:szCs w:val="28"/>
        </w:rPr>
        <w:t xml:space="preserve"> </w:t>
      </w:r>
      <w:r>
        <w:rPr>
          <w:rFonts w:hint="eastAsia" w:ascii="Times New Roman" w:hAnsi="Times New Roman" w:cs="Times New Roman"/>
          <w:b/>
          <w:bCs/>
          <w:sz w:val="28"/>
          <w:szCs w:val="28"/>
          <w:lang w:val="en-US" w:eastAsia="zh-CN"/>
        </w:rPr>
        <w:t>N</w:t>
      </w:r>
      <w:r>
        <w:rPr>
          <w:rFonts w:hint="default" w:ascii="Times New Roman" w:hAnsi="Times New Roman" w:cs="Times New Roman"/>
          <w:b/>
          <w:bCs/>
          <w:sz w:val="28"/>
          <w:szCs w:val="28"/>
        </w:rPr>
        <w:t xml:space="preserve">on-native </w:t>
      </w:r>
      <w:r>
        <w:rPr>
          <w:rFonts w:hint="eastAsia" w:ascii="Times New Roman" w:hAnsi="Times New Roman" w:cs="Times New Roman"/>
          <w:b/>
          <w:bCs/>
          <w:sz w:val="28"/>
          <w:szCs w:val="28"/>
          <w:lang w:val="en-US" w:eastAsia="zh-CN"/>
        </w:rPr>
        <w:t>T</w:t>
      </w:r>
      <w:r>
        <w:rPr>
          <w:rFonts w:hint="default" w:ascii="Times New Roman" w:hAnsi="Times New Roman" w:cs="Times New Roman"/>
          <w:b/>
          <w:bCs/>
          <w:sz w:val="28"/>
          <w:szCs w:val="28"/>
        </w:rPr>
        <w:t>eachers</w:t>
      </w:r>
      <w:r>
        <w:rPr>
          <w:rFonts w:hint="eastAsia" w:ascii="Times New Roman" w:hAnsi="Times New Roman" w:cs="Times New Roman"/>
          <w:b/>
          <w:bCs/>
          <w:sz w:val="28"/>
          <w:szCs w:val="28"/>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Previous studies have </w:t>
      </w:r>
      <w:r>
        <w:rPr>
          <w:rFonts w:hint="eastAsia" w:ascii="Times New Roman" w:hAnsi="Times New Roman" w:cs="Times New Roman"/>
          <w:sz w:val="28"/>
          <w:szCs w:val="28"/>
          <w:lang w:val="en-US" w:eastAsia="zh-CN"/>
        </w:rPr>
        <w:t>often categorized</w:t>
      </w:r>
      <w:r>
        <w:rPr>
          <w:rFonts w:hint="default" w:ascii="Times New Roman" w:hAnsi="Times New Roman" w:cs="Times New Roman"/>
          <w:sz w:val="28"/>
          <w:szCs w:val="28"/>
          <w:lang w:val="en-US" w:eastAsia="zh-CN"/>
        </w:rPr>
        <w:t xml:space="preserve"> NESTs and NNESTs </w:t>
      </w:r>
      <w:r>
        <w:rPr>
          <w:rFonts w:hint="eastAsia" w:ascii="Times New Roman" w:hAnsi="Times New Roman" w:cs="Times New Roman"/>
          <w:sz w:val="28"/>
          <w:szCs w:val="28"/>
          <w:lang w:val="en-US" w:eastAsia="zh-CN"/>
        </w:rPr>
        <w:t>into</w:t>
      </w:r>
      <w:r>
        <w:rPr>
          <w:rFonts w:hint="default" w:ascii="Times New Roman" w:hAnsi="Times New Roman" w:cs="Times New Roman"/>
          <w:sz w:val="28"/>
          <w:szCs w:val="28"/>
          <w:lang w:val="en-US" w:eastAsia="zh-CN"/>
        </w:rPr>
        <w:t xml:space="preserve"> two distinct groups</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 xml:space="preserve">and studied attitudes towards them from both self-awareness and learners’ perspectives. </w:t>
      </w:r>
      <w:r>
        <w:rPr>
          <w:rFonts w:hint="eastAsia" w:ascii="Times New Roman" w:hAnsi="Times New Roman" w:cs="Times New Roman"/>
          <w:sz w:val="28"/>
          <w:szCs w:val="28"/>
          <w:lang w:val="en-US" w:eastAsia="zh-CN"/>
        </w:rPr>
        <w:t>B</w:t>
      </w:r>
      <w:r>
        <w:rPr>
          <w:rFonts w:hint="default" w:ascii="Times New Roman" w:hAnsi="Times New Roman" w:cs="Times New Roman"/>
          <w:sz w:val="28"/>
          <w:szCs w:val="28"/>
          <w:lang w:val="en-US" w:eastAsia="zh-CN"/>
        </w:rPr>
        <w:t xml:space="preserve">oth NESTs and NNESTs have their weaknesses and strengths when it comes to teaching English as a second language. NESTs are generally recognized for their natural grasp of the language, and their understanding of the nuances and subtleties of the language is often considered superior to that of NNESTs. On the other hand, NNESTs are often thought to employ a more structured approach to teaching grammar and helping students overcome difficulties, which can make the learning process smoother overall (Florence, 2012). And studies </w:t>
      </w:r>
      <w:r>
        <w:rPr>
          <w:rFonts w:hint="eastAsia" w:ascii="Times New Roman" w:hAnsi="Times New Roman" w:cs="Times New Roman"/>
          <w:sz w:val="28"/>
          <w:szCs w:val="28"/>
          <w:lang w:val="en-US" w:eastAsia="zh-CN"/>
        </w:rPr>
        <w:t xml:space="preserve">have </w:t>
      </w:r>
      <w:r>
        <w:rPr>
          <w:rFonts w:hint="default" w:ascii="Times New Roman" w:hAnsi="Times New Roman" w:cs="Times New Roman"/>
          <w:sz w:val="28"/>
          <w:szCs w:val="28"/>
          <w:lang w:val="en-US" w:eastAsia="zh-CN"/>
        </w:rPr>
        <w:t>show</w:t>
      </w:r>
      <w:r>
        <w:rPr>
          <w:rFonts w:hint="eastAsia" w:ascii="Times New Roman" w:hAnsi="Times New Roman" w:cs="Times New Roman"/>
          <w:sz w:val="28"/>
          <w:szCs w:val="28"/>
          <w:lang w:val="en-US" w:eastAsia="zh-CN"/>
        </w:rPr>
        <w:t>n</w:t>
      </w:r>
      <w:r>
        <w:rPr>
          <w:rFonts w:hint="default" w:ascii="Times New Roman" w:hAnsi="Times New Roman" w:cs="Times New Roman"/>
          <w:sz w:val="28"/>
          <w:szCs w:val="28"/>
          <w:lang w:val="en-US" w:eastAsia="zh-CN"/>
        </w:rPr>
        <w:t xml:space="preserve"> that some students prefer NNESTs over NESTs in terms of teaching capabilities and creating a positive learning atmosphere (Fuangkarn &amp; Rimkeeratikul, 2020). However, it is important to  recognize that individual teachers, regardless of their native language, can be effective or ineffective based on various factors.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Studies have also been investigated among NNESTs’ self perceptions. </w:t>
      </w:r>
      <w:r>
        <w:rPr>
          <w:rFonts w:hint="eastAsia" w:ascii="Times New Roman" w:hAnsi="Times New Roman" w:cs="Times New Roman"/>
          <w:sz w:val="28"/>
          <w:szCs w:val="28"/>
          <w:lang w:val="en-US" w:eastAsia="zh-CN"/>
        </w:rPr>
        <w:t>P</w:t>
      </w:r>
      <w:r>
        <w:rPr>
          <w:rFonts w:hint="default" w:ascii="Times New Roman" w:hAnsi="Times New Roman" w:cs="Times New Roman"/>
          <w:sz w:val="28"/>
          <w:szCs w:val="28"/>
          <w:lang w:val="en-US" w:eastAsia="zh-CN"/>
        </w:rPr>
        <w:t>revious studies</w:t>
      </w:r>
      <w:r>
        <w:rPr>
          <w:rFonts w:hint="eastAsia" w:ascii="Times New Roman" w:hAnsi="Times New Roman" w:cs="Times New Roman"/>
          <w:sz w:val="28"/>
          <w:szCs w:val="28"/>
          <w:lang w:val="en-US" w:eastAsia="zh-CN"/>
        </w:rPr>
        <w:t xml:space="preserve"> have</w:t>
      </w:r>
      <w:r>
        <w:rPr>
          <w:rFonts w:hint="default" w:ascii="Times New Roman" w:hAnsi="Times New Roman" w:cs="Times New Roman"/>
          <w:sz w:val="28"/>
          <w:szCs w:val="28"/>
          <w:lang w:val="en-US" w:eastAsia="zh-CN"/>
        </w:rPr>
        <w:t xml:space="preserve"> implied </w:t>
      </w:r>
      <w:r>
        <w:rPr>
          <w:rFonts w:hint="eastAsia" w:ascii="Times New Roman" w:hAnsi="Times New Roman" w:cs="Times New Roman"/>
          <w:sz w:val="28"/>
          <w:szCs w:val="28"/>
          <w:lang w:val="en-US" w:eastAsia="zh-CN"/>
        </w:rPr>
        <w:t>a</w:t>
      </w:r>
      <w:r>
        <w:rPr>
          <w:rFonts w:hint="default" w:ascii="Times New Roman" w:hAnsi="Times New Roman" w:cs="Times New Roman"/>
          <w:sz w:val="28"/>
          <w:szCs w:val="28"/>
          <w:lang w:val="en-US" w:eastAsia="zh-CN"/>
        </w:rPr>
        <w:t xml:space="preserve"> correlation between teachers’ self-awareness and their proficiency in second language </w:t>
      </w:r>
      <w:r>
        <w:rPr>
          <w:rFonts w:hint="eastAsia" w:ascii="Times New Roman" w:hAnsi="Times New Roman" w:cs="Times New Roman"/>
          <w:sz w:val="28"/>
          <w:szCs w:val="28"/>
          <w:lang w:val="en-US" w:eastAsia="zh-CN"/>
        </w:rPr>
        <w:t xml:space="preserve">they are teaching </w:t>
      </w:r>
      <w:r>
        <w:rPr>
          <w:rFonts w:hint="default" w:ascii="Times New Roman" w:hAnsi="Times New Roman" w:cs="Times New Roman"/>
          <w:sz w:val="28"/>
          <w:szCs w:val="28"/>
          <w:lang w:val="en-US" w:eastAsia="zh-CN"/>
        </w:rPr>
        <w:t>(Zacharias, 2018).</w:t>
      </w:r>
      <w:r>
        <w:rPr>
          <w:rFonts w:hint="eastAsia" w:ascii="Times New Roman" w:hAnsi="Times New Roman" w:cs="Times New Roman"/>
          <w:sz w:val="28"/>
          <w:szCs w:val="28"/>
          <w:lang w:val="en-US" w:eastAsia="zh-CN"/>
        </w:rPr>
        <w:t xml:space="preserve"> Furthermore</w:t>
      </w:r>
      <w:r>
        <w:rPr>
          <w:rFonts w:hint="default" w:ascii="Times New Roman" w:hAnsi="Times New Roman" w:cs="Times New Roman"/>
          <w:sz w:val="28"/>
          <w:szCs w:val="28"/>
          <w:lang w:val="en-US" w:eastAsia="zh-CN"/>
        </w:rPr>
        <w:t xml:space="preserve">, </w:t>
      </w:r>
      <w:r>
        <w:rPr>
          <w:rFonts w:hint="eastAsia" w:ascii="Times New Roman" w:hAnsi="Times New Roman" w:cs="Times New Roman"/>
          <w:sz w:val="28"/>
          <w:szCs w:val="28"/>
          <w:lang w:val="en-US" w:eastAsia="zh-CN"/>
        </w:rPr>
        <w:t xml:space="preserve">some </w:t>
      </w:r>
      <w:r>
        <w:rPr>
          <w:rFonts w:hint="default" w:ascii="Times New Roman" w:hAnsi="Times New Roman" w:cs="Times New Roman"/>
          <w:sz w:val="28"/>
          <w:szCs w:val="28"/>
          <w:lang w:val="en-US" w:eastAsia="zh-CN"/>
        </w:rPr>
        <w:t xml:space="preserve">NNESTs </w:t>
      </w:r>
      <w:r>
        <w:rPr>
          <w:rFonts w:hint="eastAsia" w:ascii="Times New Roman" w:hAnsi="Times New Roman" w:cs="Times New Roman"/>
          <w:sz w:val="28"/>
          <w:szCs w:val="28"/>
          <w:lang w:val="en-US" w:eastAsia="zh-CN"/>
        </w:rPr>
        <w:t xml:space="preserve">have </w:t>
      </w:r>
      <w:r>
        <w:rPr>
          <w:rFonts w:hint="default" w:ascii="Times New Roman" w:hAnsi="Times New Roman" w:cs="Times New Roman"/>
          <w:sz w:val="28"/>
          <w:szCs w:val="28"/>
          <w:lang w:val="en-US" w:eastAsia="zh-CN"/>
        </w:rPr>
        <w:t xml:space="preserve">confessed experiencing discriminated </w:t>
      </w:r>
      <w:r>
        <w:rPr>
          <w:rFonts w:hint="eastAsia" w:ascii="Times New Roman" w:hAnsi="Times New Roman" w:cs="Times New Roman"/>
          <w:sz w:val="28"/>
          <w:szCs w:val="28"/>
          <w:lang w:val="en-US" w:eastAsia="zh-CN"/>
        </w:rPr>
        <w:t>from</w:t>
      </w:r>
      <w:r>
        <w:rPr>
          <w:rFonts w:hint="default" w:ascii="Times New Roman" w:hAnsi="Times New Roman" w:cs="Times New Roman"/>
          <w:sz w:val="28"/>
          <w:szCs w:val="28"/>
          <w:lang w:val="en-US" w:eastAsia="zh-CN"/>
        </w:rPr>
        <w:t xml:space="preserve"> </w:t>
      </w:r>
      <w:r>
        <w:rPr>
          <w:rFonts w:hint="eastAsia" w:ascii="Times New Roman" w:hAnsi="Times New Roman" w:cs="Times New Roman"/>
          <w:sz w:val="28"/>
          <w:szCs w:val="28"/>
          <w:lang w:val="en-US" w:eastAsia="zh-CN"/>
        </w:rPr>
        <w:t>language</w:t>
      </w:r>
      <w:r>
        <w:rPr>
          <w:rFonts w:hint="default" w:ascii="Times New Roman" w:hAnsi="Times New Roman" w:cs="Times New Roman"/>
          <w:sz w:val="28"/>
          <w:szCs w:val="28"/>
          <w:lang w:val="en-US" w:eastAsia="zh-CN"/>
        </w:rPr>
        <w:t xml:space="preserve"> language schools and students who prefer NESTs because of their native-like English proficiency</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lang w:val="en-US" w:eastAsia="zh-CN"/>
        </w:rPr>
        <w:t xml:space="preserve"> This can contradict the fact that NNESTs’ unique insights into the learning process and teaching methods can be highly valued by their students, as demonstrated in other studies.</w:t>
      </w:r>
    </w:p>
    <w:p>
      <w:pPr>
        <w:rPr>
          <w:rFonts w:hint="default" w:ascii="Times New Roman" w:hAnsi="Times New Roman" w:cs="Times New Roman"/>
          <w:b/>
          <w:bCs/>
          <w:sz w:val="28"/>
          <w:szCs w:val="28"/>
          <w:highlight w:val="none"/>
          <w:lang w:val="en-US" w:eastAsia="zh-CN"/>
        </w:rPr>
      </w:pPr>
      <w:r>
        <w:rPr>
          <w:rFonts w:hint="eastAsia" w:ascii="Times New Roman" w:hAnsi="Times New Roman" w:cs="Times New Roman"/>
          <w:b/>
          <w:bCs/>
          <w:sz w:val="28"/>
          <w:szCs w:val="28"/>
          <w:lang w:val="en-US" w:eastAsia="zh-CN"/>
        </w:rPr>
        <w:t>4.2</w:t>
      </w:r>
      <w:r>
        <w:rPr>
          <w:rFonts w:hint="eastAsia" w:ascii="Times New Roman" w:hAnsi="Times New Roman" w:cs="Times New Roman"/>
          <w:b/>
          <w:bCs/>
          <w:sz w:val="28"/>
          <w:szCs w:val="28"/>
          <w:highlight w:val="none"/>
          <w:lang w:val="en-US" w:eastAsia="zh-CN"/>
        </w:rPr>
        <w:t xml:space="preserve"> Internal Challenges：Self-weakness and Awareness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NNESTs</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prior experience mainly comes from years of studying or working, but they may lack the natural language knowledge that comes from living in an English-speaking environment. As a result, the materials they provide may be more rigid and formal than the English used in daily life. Moreover, pronunciation may also pose challenges for some NNESTs. Although it is possible for NNESTs to achieve the same level of pronunciation as NESTs, the majority of them may need to work harder and pay extra attention to their accent.</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While learners are likely to reach the same level of proficiency in a second language as a native speaker, many NNESTs may lack enough confidence in their language ability. This lack of confidence can be further compounded by self-perception, as attitudes towards an ideal English teacher can affect how NNESTs view themselves (Zacharias, 2018). If NNESTs strive to imitate NESTs but feel they fall short, it can negatively impact their self-awareness and teaching process. Additionally, some NNESTs may limit their multicultural or professional abilities by emphasizing the </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non</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in their title, further eroding their confidence.</w:t>
      </w:r>
    </w:p>
    <w:p>
      <w:pPr>
        <w:rPr>
          <w:rFonts w:hint="default" w:ascii="Times New Roman" w:hAnsi="Times New Roman" w:cs="Times New Roman"/>
          <w:b w:val="0"/>
          <w:bCs w:val="0"/>
          <w:sz w:val="32"/>
          <w:szCs w:val="32"/>
          <w:lang w:val="en-US" w:eastAsia="zh-CN"/>
        </w:rPr>
      </w:pPr>
      <w:r>
        <w:rPr>
          <w:rFonts w:hint="default" w:ascii="Times New Roman" w:hAnsi="Times New Roman" w:cs="Times New Roman"/>
          <w:b/>
          <w:bCs/>
          <w:sz w:val="32"/>
          <w:szCs w:val="32"/>
          <w:lang w:val="en-US" w:eastAsia="zh-CN"/>
        </w:rPr>
        <w:t xml:space="preserve">V. Addressing the </w:t>
      </w:r>
      <w:r>
        <w:rPr>
          <w:rFonts w:hint="eastAsia" w:ascii="Times New Roman" w:hAnsi="Times New Roman" w:cs="Times New Roman"/>
          <w:b/>
          <w:bCs/>
          <w:sz w:val="32"/>
          <w:szCs w:val="32"/>
          <w:lang w:val="en-US" w:eastAsia="zh-CN"/>
        </w:rPr>
        <w:t>C</w:t>
      </w:r>
      <w:r>
        <w:rPr>
          <w:rFonts w:hint="default" w:ascii="Times New Roman" w:hAnsi="Times New Roman" w:cs="Times New Roman"/>
          <w:b/>
          <w:bCs/>
          <w:sz w:val="32"/>
          <w:szCs w:val="32"/>
          <w:lang w:val="en-US" w:eastAsia="zh-CN"/>
        </w:rPr>
        <w:t xml:space="preserve">hallenges and </w:t>
      </w:r>
      <w:r>
        <w:rPr>
          <w:rFonts w:hint="eastAsia" w:ascii="Times New Roman" w:hAnsi="Times New Roman" w:cs="Times New Roman"/>
          <w:b/>
          <w:bCs/>
          <w:sz w:val="32"/>
          <w:szCs w:val="32"/>
          <w:lang w:val="en-US" w:eastAsia="zh-CN"/>
        </w:rPr>
        <w:t>M</w:t>
      </w:r>
      <w:r>
        <w:rPr>
          <w:rFonts w:hint="default" w:ascii="Times New Roman" w:hAnsi="Times New Roman" w:cs="Times New Roman"/>
          <w:b/>
          <w:bCs/>
          <w:sz w:val="32"/>
          <w:szCs w:val="32"/>
          <w:lang w:val="en-US" w:eastAsia="zh-CN"/>
        </w:rPr>
        <w:t xml:space="preserve">aximizing the </w:t>
      </w:r>
      <w:r>
        <w:rPr>
          <w:rFonts w:hint="eastAsia" w:ascii="Times New Roman" w:hAnsi="Times New Roman" w:cs="Times New Roman"/>
          <w:b/>
          <w:bCs/>
          <w:sz w:val="32"/>
          <w:szCs w:val="32"/>
          <w:lang w:val="en-US" w:eastAsia="zh-CN"/>
        </w:rPr>
        <w:t>A</w:t>
      </w:r>
      <w:r>
        <w:rPr>
          <w:rFonts w:hint="default" w:ascii="Times New Roman" w:hAnsi="Times New Roman" w:cs="Times New Roman"/>
          <w:b/>
          <w:bCs/>
          <w:sz w:val="32"/>
          <w:szCs w:val="32"/>
          <w:lang w:val="en-US" w:eastAsia="zh-CN"/>
        </w:rPr>
        <w:t xml:space="preserve">dvantages of </w:t>
      </w:r>
      <w:r>
        <w:rPr>
          <w:rFonts w:hint="eastAsia" w:ascii="Times New Roman" w:hAnsi="Times New Roman" w:cs="Times New Roman"/>
          <w:b/>
          <w:bCs/>
          <w:sz w:val="32"/>
          <w:szCs w:val="32"/>
          <w:lang w:val="en-US" w:eastAsia="zh-CN"/>
        </w:rPr>
        <w:t>NNESTs</w:t>
      </w:r>
      <w:r>
        <w:rPr>
          <w:rFonts w:hint="default" w:ascii="Times New Roman" w:hAnsi="Times New Roman" w:cs="Times New Roman"/>
          <w:b/>
          <w:bCs/>
          <w:sz w:val="32"/>
          <w:szCs w:val="32"/>
          <w:lang w:val="en-US" w:eastAsia="zh-CN"/>
        </w:rPr>
        <w:t xml:space="preserve"> </w:t>
      </w:r>
    </w:p>
    <w:p>
      <w:pP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5.1 </w:t>
      </w:r>
      <w:r>
        <w:rPr>
          <w:rFonts w:hint="default" w:ascii="Times New Roman" w:hAnsi="Times New Roman" w:cs="Times New Roman"/>
          <w:b/>
          <w:bCs/>
          <w:sz w:val="28"/>
          <w:szCs w:val="28"/>
          <w:lang w:val="en-US" w:eastAsia="zh-CN"/>
        </w:rPr>
        <w:t xml:space="preserve">Training and professional development for </w:t>
      </w:r>
      <w:r>
        <w:rPr>
          <w:rFonts w:hint="eastAsia" w:ascii="Times New Roman" w:hAnsi="Times New Roman" w:cs="Times New Roman"/>
          <w:b/>
          <w:bCs/>
          <w:sz w:val="28"/>
          <w:szCs w:val="28"/>
          <w:lang w:val="en-US" w:eastAsia="zh-CN"/>
        </w:rPr>
        <w:t xml:space="preserve">NNESTs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b w:val="0"/>
          <w:bCs w:val="0"/>
          <w:sz w:val="28"/>
          <w:szCs w:val="28"/>
          <w:lang w:val="en-US" w:eastAsia="zh-CN"/>
        </w:rPr>
        <w:t>A</w:t>
      </w:r>
      <w:r>
        <w:rPr>
          <w:rFonts w:hint="eastAsia" w:ascii="Times New Roman" w:hAnsi="Times New Roman" w:cs="Times New Roman"/>
          <w:sz w:val="28"/>
          <w:szCs w:val="28"/>
          <w:lang w:val="en-US" w:eastAsia="zh-CN"/>
        </w:rPr>
        <w:t xml:space="preserve"> teacher training program for NNESTs should be an essential way to enhance not only their teaching ability but also their linguistic knowledge. For instance, one university has implemented a course called </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Teaching English as an International Language</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to enable NNESTs to learn about current trends in English and its pedagogical implementation (Flora &amp; Willy, 2020).</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Additionally, training programs for NNESTs can integrated </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Curriculum Development</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and </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Materials Extension</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 with traditional courses to help teachers form a holistic and innovative view of English teaching. Moreover, dispatching NNESTs to English-speaking countries to experience the local culture can be useful. Compared to NESTs, NNESTs may have a better capacity to distinguish two distinct cultures in a more objective and open perspective of multinational culture.</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Importantly, continuing education for NNESTs should not be limited to taking courses. NNESTs can attend conferences, workshops, and seminars to exchange teaching experience with peers and other scholars. Additionally, self-reflection and evaluation of training programs can be indispensable ways for NNESTs to improve themselves.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Differentiated training programs can help NNESTs to better promote their teaching progress and timely absorb cutting-edge knowledge and technologies, allowing them to enrich their teaching content and attract students.</w:t>
      </w:r>
    </w:p>
    <w:p>
      <w:pP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5.2 </w:t>
      </w:r>
      <w:r>
        <w:rPr>
          <w:rFonts w:hint="default" w:ascii="Times New Roman" w:hAnsi="Times New Roman" w:cs="Times New Roman"/>
          <w:b/>
          <w:bCs/>
          <w:sz w:val="28"/>
          <w:szCs w:val="28"/>
          <w:lang w:val="en-US" w:eastAsia="zh-CN"/>
        </w:rPr>
        <w:t xml:space="preserve">Recognizing and </w:t>
      </w:r>
      <w:r>
        <w:rPr>
          <w:rFonts w:hint="eastAsia" w:ascii="Times New Roman" w:hAnsi="Times New Roman" w:cs="Times New Roman"/>
          <w:b/>
          <w:bCs/>
          <w:sz w:val="28"/>
          <w:szCs w:val="28"/>
          <w:lang w:val="en-US" w:eastAsia="zh-CN"/>
        </w:rPr>
        <w:t>V</w:t>
      </w:r>
      <w:r>
        <w:rPr>
          <w:rFonts w:hint="default" w:ascii="Times New Roman" w:hAnsi="Times New Roman" w:cs="Times New Roman"/>
          <w:b/>
          <w:bCs/>
          <w:sz w:val="28"/>
          <w:szCs w:val="28"/>
          <w:lang w:val="en-US" w:eastAsia="zh-CN"/>
        </w:rPr>
        <w:t xml:space="preserve">aluing the </w:t>
      </w:r>
      <w:r>
        <w:rPr>
          <w:rFonts w:hint="eastAsia" w:ascii="Times New Roman" w:hAnsi="Times New Roman" w:cs="Times New Roman"/>
          <w:b/>
          <w:bCs/>
          <w:sz w:val="28"/>
          <w:szCs w:val="28"/>
          <w:lang w:val="en-US" w:eastAsia="zh-CN"/>
        </w:rPr>
        <w:t>C</w:t>
      </w:r>
      <w:r>
        <w:rPr>
          <w:rFonts w:hint="default" w:ascii="Times New Roman" w:hAnsi="Times New Roman" w:cs="Times New Roman"/>
          <w:b/>
          <w:bCs/>
          <w:sz w:val="28"/>
          <w:szCs w:val="28"/>
          <w:lang w:val="en-US" w:eastAsia="zh-CN"/>
        </w:rPr>
        <w:t xml:space="preserve">ontributions of </w:t>
      </w:r>
      <w:r>
        <w:rPr>
          <w:rFonts w:hint="eastAsia" w:ascii="Times New Roman" w:hAnsi="Times New Roman" w:cs="Times New Roman"/>
          <w:b/>
          <w:bCs/>
          <w:sz w:val="28"/>
          <w:szCs w:val="28"/>
          <w:lang w:val="en-US" w:eastAsia="zh-CN"/>
        </w:rPr>
        <w:t>NNESTs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To combat prejudice and negative attitudes towards NNESTs, both educational institutions and society as a whole must provide fair working environments that value and respect NNESTs.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The recruitment process should focus on evaluating candidates based on their professional qualifications, rather than their nationality, race, or skin color. Research has shown that both NESTs and NNESTs can possess equal competence as language teachers (Medgyes, 1994, p.27). Furthermore, it has been suggested that NNESTs can use learner-oriented teaching methods to achieve the same level of effectiveness as NESTs (Huang, 2018).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Additionally, ensuring equal treatment in terms of pay, opportunities for promotion, and access to resources is essential. Establishing and protecting an environment that recognizes and values the expertise and unique perspectives of NNESTs is crucial to the development of English teaching.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Collective efforts should be made to emphasize on the advantages of NNESTs among other parties such as TV programs, advertisements, and social media producers. For instance, in China, the development of social media platforms such as TikTok has allowed many Chinese NNESTs to share their professional knowledge and gain recognition from their followers. Social media can also help unite teachers with other professionals to establish networks, share experience, dispel discrimination and give more opportunities for NNESTs to present themselves.</w:t>
      </w:r>
    </w:p>
    <w:p>
      <w:pP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5.3 Essential Knowledge and Cooperation for NNESTs</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To be a competitive teacher, NNESTs should possess solid grammatical knowledge consisting of vocabulary, grammar rules, and word formation to use the language properly (Flora &amp; Willy, 2020). Additionally, sociolinguistic competence is crucial, which refers to the ability to use correct and appropriate language in different social contexts or situations. NNESTs with a high sociolinguistic competence are able to effectively navigate the complexities of English language use in different social settings and contexts.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xml:space="preserve">Apart from language knowledge, NNESTs are required to have disciplinary knowledge, which refers to the knowledge and understanding of a specific academic discipline or field. NNESTs need to adopt effective methodologies to satisfy the demands of different users, purpose and social development. To realize this, teachers should clearly understand the teaching objectives, employ multidimensional assessments of students and continuously improve teaching methods. </w:t>
      </w:r>
    </w:p>
    <w:p>
      <w:pPr>
        <w:keepNext w:val="0"/>
        <w:keepLines w:val="0"/>
        <w:pageBreakBefore w:val="0"/>
        <w:widowControl w:val="0"/>
        <w:kinsoku/>
        <w:wordWrap/>
        <w:overflowPunct/>
        <w:topLinePunct w:val="0"/>
        <w:autoSpaceDE/>
        <w:autoSpaceDN/>
        <w:bidi w:val="0"/>
        <w:adjustRightInd/>
        <w:snapToGrid/>
        <w:spacing w:line="480" w:lineRule="auto"/>
        <w:ind w:firstLine="720"/>
        <w:textAlignment w:val="auto"/>
        <w:rPr>
          <w:rFonts w:hint="eastAsia" w:ascii="Times New Roman" w:hAnsi="Times New Roman" w:cs="Times New Roman"/>
          <w:sz w:val="28"/>
          <w:szCs w:val="28"/>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cs="Times New Roman"/>
          <w:sz w:val="28"/>
          <w:szCs w:val="28"/>
          <w:lang w:val="en-US" w:eastAsia="zh-CN"/>
        </w:rPr>
        <w:t>Furthermore, creating an inclusive environment where NESTs and NNESTs work together can lead to a more effective and engaging learning experience for learners. The unique strengths and perspectives of both NESTs and NNESTs can complement each other, leading to a more comprehensive and well-rounded language learning experience (Tosuncuoglu, 2017). In particular, in Outer and Expanding Circle countries, where there may be a larger number of NNESTs than NESTs, NESTs can play a valuable role in providing oral language practice and modeling native-like pronunciation and intonation. Meanwhile, NNESTs can focus on organizing and leading teaching activities, drawing on their disciplinary and pedagogical knowledge to provide effective and engaging instruction. Such cooperation can further enhance cultural understanding and communication between NNESTs and NESTs.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References</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Árva, &amp; Medgyes, P. (2000). Native and non-native teachers in the classroom. System (Linköping), 28(3), 355–372. https://doi.org/10.1016/S0346-251X(00)00017-8</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 xml:space="preserve">Aslan, &amp; Thompson, A. S. (2017). Are They Really “Two Different Species”? Implicitly Elicited Student Perceptions About NESTs and NNESTs. TESOL Journal, 8(2), 277–294. </w:t>
      </w:r>
      <w:r>
        <w:rPr>
          <w:rFonts w:hint="default" w:ascii="Times New Roman" w:hAnsi="Times New Roman" w:eastAsia="宋体" w:cs="Times New Roman"/>
          <w:i w:val="0"/>
          <w:iCs w:val="0"/>
          <w:caps w:val="0"/>
          <w:color w:val="232323"/>
          <w:spacing w:val="0"/>
          <w:sz w:val="28"/>
          <w:szCs w:val="28"/>
          <w:shd w:val="clear" w:fill="FFFFFF"/>
        </w:rPr>
        <w:fldChar w:fldCharType="begin"/>
      </w:r>
      <w:r>
        <w:rPr>
          <w:rFonts w:hint="default" w:ascii="Times New Roman" w:hAnsi="Times New Roman" w:eastAsia="宋体" w:cs="Times New Roman"/>
          <w:i w:val="0"/>
          <w:iCs w:val="0"/>
          <w:caps w:val="0"/>
          <w:color w:val="232323"/>
          <w:spacing w:val="0"/>
          <w:sz w:val="28"/>
          <w:szCs w:val="28"/>
          <w:shd w:val="clear" w:fill="FFFFFF"/>
        </w:rPr>
        <w:instrText xml:space="preserve"> HYPERLINK "https://doi.org/10.1002/tesj.268" </w:instrText>
      </w:r>
      <w:r>
        <w:rPr>
          <w:rFonts w:hint="default" w:ascii="Times New Roman" w:hAnsi="Times New Roman" w:eastAsia="宋体" w:cs="Times New Roman"/>
          <w:i w:val="0"/>
          <w:iCs w:val="0"/>
          <w:caps w:val="0"/>
          <w:color w:val="232323"/>
          <w:spacing w:val="0"/>
          <w:sz w:val="28"/>
          <w:szCs w:val="28"/>
          <w:shd w:val="clear" w:fill="FFFFFF"/>
        </w:rPr>
        <w:fldChar w:fldCharType="separate"/>
      </w:r>
      <w:r>
        <w:rPr>
          <w:rStyle w:val="7"/>
          <w:rFonts w:hint="default" w:ascii="Times New Roman" w:hAnsi="Times New Roman" w:eastAsia="宋体" w:cs="Times New Roman"/>
          <w:i w:val="0"/>
          <w:iCs w:val="0"/>
          <w:caps w:val="0"/>
          <w:spacing w:val="0"/>
          <w:sz w:val="28"/>
          <w:szCs w:val="28"/>
          <w:shd w:val="clear" w:fill="FFFFFF"/>
        </w:rPr>
        <w:t>https://doi.org/10.1002/tesj.268</w:t>
      </w:r>
      <w:r>
        <w:rPr>
          <w:rFonts w:hint="default" w:ascii="Times New Roman" w:hAnsi="Times New Roman" w:eastAsia="宋体" w:cs="Times New Roman"/>
          <w:i w:val="0"/>
          <w:iCs w:val="0"/>
          <w:caps w:val="0"/>
          <w:color w:val="232323"/>
          <w:spacing w:val="0"/>
          <w:sz w:val="28"/>
          <w:szCs w:val="28"/>
          <w:shd w:val="clear" w:fill="FFFFFF"/>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Braine, G. (2010), Nonnative speaker English teachers: Research, pedagogy, and professional growth. New York &amp; London: Routledge.</w:t>
      </w:r>
    </w:p>
    <w:p>
      <w:pPr>
        <w:keepNext w:val="0"/>
        <w:keepLines w:val="0"/>
        <w:pageBreakBefore w:val="0"/>
        <w:widowControl/>
        <w:suppressLineNumbers w:val="0"/>
        <w:kinsoku/>
        <w:wordWrap/>
        <w:overflowPunct/>
        <w:topLinePunct w:val="0"/>
        <w:autoSpaceDE/>
        <w:autoSpaceDN/>
        <w:bidi w:val="0"/>
        <w:adjustRightInd w:val="0"/>
        <w:snapToGrid/>
        <w:ind w:left="720" w:hanging="720" w:firstLineChars="0"/>
        <w:jc w:val="left"/>
        <w:textAlignment w:val="auto"/>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 xml:space="preserve">Chomsky, N. (1965). </w:t>
      </w:r>
      <w:r>
        <w:rPr>
          <w:rFonts w:hint="default" w:ascii="Times New Roman" w:hAnsi="Times New Roman" w:eastAsia="宋体" w:cs="Times New Roman"/>
          <w:i/>
          <w:iCs/>
          <w:kern w:val="0"/>
          <w:sz w:val="28"/>
          <w:szCs w:val="28"/>
          <w:lang w:val="en-US" w:eastAsia="zh-CN" w:bidi="ar"/>
        </w:rPr>
        <w:t>Aspects of the Theory of Syntax</w:t>
      </w:r>
      <w:r>
        <w:rPr>
          <w:rFonts w:hint="default" w:ascii="Times New Roman" w:hAnsi="Times New Roman" w:eastAsia="宋体" w:cs="Times New Roman"/>
          <w:kern w:val="0"/>
          <w:sz w:val="28"/>
          <w:szCs w:val="28"/>
          <w:lang w:val="en-US" w:eastAsia="zh-CN" w:bidi="ar"/>
        </w:rPr>
        <w:t xml:space="preserve"> (50th ed.). The MIT Press. http://www.jstor.org/stable/j.ctt17kk81z</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English as a Global Language and the Effects on Culture and Identity. (2017). American Research Journal of English and Literature. </w:t>
      </w:r>
      <w:r>
        <w:rPr>
          <w:rFonts w:hint="default" w:ascii="Times New Roman" w:hAnsi="Times New Roman" w:eastAsia="宋体" w:cs="Times New Roman"/>
          <w:sz w:val="28"/>
          <w:szCs w:val="28"/>
        </w:rPr>
        <w:fldChar w:fldCharType="begin"/>
      </w:r>
      <w:r>
        <w:rPr>
          <w:rFonts w:hint="default" w:ascii="Times New Roman" w:hAnsi="Times New Roman" w:eastAsia="宋体" w:cs="Times New Roman"/>
          <w:sz w:val="28"/>
          <w:szCs w:val="28"/>
        </w:rPr>
        <w:instrText xml:space="preserve"> HYPERLINK "https://doi.org/10.21694/2378-9026.16010" </w:instrText>
      </w:r>
      <w:r>
        <w:rPr>
          <w:rFonts w:hint="default" w:ascii="Times New Roman" w:hAnsi="Times New Roman" w:eastAsia="宋体" w:cs="Times New Roman"/>
          <w:sz w:val="28"/>
          <w:szCs w:val="28"/>
        </w:rPr>
        <w:fldChar w:fldCharType="separate"/>
      </w:r>
      <w:r>
        <w:rPr>
          <w:rStyle w:val="7"/>
          <w:rFonts w:hint="default" w:ascii="Times New Roman" w:hAnsi="Times New Roman" w:eastAsia="宋体" w:cs="Times New Roman"/>
          <w:sz w:val="28"/>
          <w:szCs w:val="28"/>
        </w:rPr>
        <w:t>https://doi.org/10.21694/2378-9026.16010</w:t>
      </w:r>
      <w:r>
        <w:rPr>
          <w:rFonts w:hint="default" w:ascii="Times New Roman" w:hAnsi="Times New Roman" w:eastAsia="宋体" w:cs="Times New Roman"/>
          <w:sz w:val="28"/>
          <w:szCs w:val="28"/>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 xml:space="preserve">Florence Ma. (2012). Advantages and Disadvantages of Native- and Nonnative-English-speaking Teachers: Student Perceptions in Hong Kong. TESOL Quarterly, 46(2), 280–305. </w:t>
      </w:r>
      <w:r>
        <w:rPr>
          <w:rFonts w:hint="default" w:ascii="Times New Roman" w:hAnsi="Times New Roman" w:eastAsia="宋体" w:cs="Times New Roman"/>
          <w:i w:val="0"/>
          <w:iCs w:val="0"/>
          <w:caps w:val="0"/>
          <w:color w:val="232323"/>
          <w:spacing w:val="0"/>
          <w:sz w:val="28"/>
          <w:szCs w:val="28"/>
          <w:shd w:val="clear" w:fill="FFFFFF"/>
        </w:rPr>
        <w:fldChar w:fldCharType="begin"/>
      </w:r>
      <w:r>
        <w:rPr>
          <w:rFonts w:hint="default" w:ascii="Times New Roman" w:hAnsi="Times New Roman" w:eastAsia="宋体" w:cs="Times New Roman"/>
          <w:i w:val="0"/>
          <w:iCs w:val="0"/>
          <w:caps w:val="0"/>
          <w:color w:val="232323"/>
          <w:spacing w:val="0"/>
          <w:sz w:val="28"/>
          <w:szCs w:val="28"/>
          <w:shd w:val="clear" w:fill="FFFFFF"/>
        </w:rPr>
        <w:instrText xml:space="preserve"> HYPERLINK "https://doi.org/10.1002/tesq.21" </w:instrText>
      </w:r>
      <w:r>
        <w:rPr>
          <w:rFonts w:hint="default" w:ascii="Times New Roman" w:hAnsi="Times New Roman" w:eastAsia="宋体" w:cs="Times New Roman"/>
          <w:i w:val="0"/>
          <w:iCs w:val="0"/>
          <w:caps w:val="0"/>
          <w:color w:val="232323"/>
          <w:spacing w:val="0"/>
          <w:sz w:val="28"/>
          <w:szCs w:val="28"/>
          <w:shd w:val="clear" w:fill="FFFFFF"/>
        </w:rPr>
        <w:fldChar w:fldCharType="separate"/>
      </w:r>
      <w:r>
        <w:rPr>
          <w:rStyle w:val="7"/>
          <w:rFonts w:hint="default" w:ascii="Times New Roman" w:hAnsi="Times New Roman" w:eastAsia="宋体" w:cs="Times New Roman"/>
          <w:i w:val="0"/>
          <w:iCs w:val="0"/>
          <w:caps w:val="0"/>
          <w:spacing w:val="0"/>
          <w:sz w:val="28"/>
          <w:szCs w:val="28"/>
          <w:shd w:val="clear" w:fill="FFFFFF"/>
        </w:rPr>
        <w:t>https://doi.org/10.1002/tesq.21</w:t>
      </w:r>
      <w:r>
        <w:rPr>
          <w:rFonts w:hint="default" w:ascii="Times New Roman" w:hAnsi="Times New Roman" w:eastAsia="宋体" w:cs="Times New Roman"/>
          <w:i w:val="0"/>
          <w:iCs w:val="0"/>
          <w:caps w:val="0"/>
          <w:color w:val="232323"/>
          <w:spacing w:val="0"/>
          <w:sz w:val="28"/>
          <w:szCs w:val="28"/>
          <w:shd w:val="clear" w:fill="FFFFFF"/>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Floris, F., &amp; Renandya, W. (2020). Promoting the Value of Non-Native English-Speaking Teachers. ELT Journal, 59(1), 1-19.</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 xml:space="preserve">Fuangkarn, &amp; Rimkeeratikul, S. (2020). An Observational Study on the Effects of Native English-Speaking Teachers and Non- Native English-Speaking Teachers on Students’ English Proficiency and Perceptions. Arab World English Journal, 11(3), 241–259. </w:t>
      </w:r>
      <w:r>
        <w:rPr>
          <w:rFonts w:hint="default" w:ascii="Times New Roman" w:hAnsi="Times New Roman" w:eastAsia="宋体" w:cs="Times New Roman"/>
          <w:i w:val="0"/>
          <w:iCs w:val="0"/>
          <w:caps w:val="0"/>
          <w:color w:val="232323"/>
          <w:spacing w:val="0"/>
          <w:sz w:val="28"/>
          <w:szCs w:val="28"/>
          <w:shd w:val="clear" w:fill="FFFFFF"/>
        </w:rPr>
        <w:fldChar w:fldCharType="begin"/>
      </w:r>
      <w:r>
        <w:rPr>
          <w:rFonts w:hint="default" w:ascii="Times New Roman" w:hAnsi="Times New Roman" w:eastAsia="宋体" w:cs="Times New Roman"/>
          <w:i w:val="0"/>
          <w:iCs w:val="0"/>
          <w:caps w:val="0"/>
          <w:color w:val="232323"/>
          <w:spacing w:val="0"/>
          <w:sz w:val="28"/>
          <w:szCs w:val="28"/>
          <w:shd w:val="clear" w:fill="FFFFFF"/>
        </w:rPr>
        <w:instrText xml:space="preserve"> HYPERLINK "https://doi.org/10.24093/awej/vol11no3.15" </w:instrText>
      </w:r>
      <w:r>
        <w:rPr>
          <w:rFonts w:hint="default" w:ascii="Times New Roman" w:hAnsi="Times New Roman" w:eastAsia="宋体" w:cs="Times New Roman"/>
          <w:i w:val="0"/>
          <w:iCs w:val="0"/>
          <w:caps w:val="0"/>
          <w:color w:val="232323"/>
          <w:spacing w:val="0"/>
          <w:sz w:val="28"/>
          <w:szCs w:val="28"/>
          <w:shd w:val="clear" w:fill="FFFFFF"/>
        </w:rPr>
        <w:fldChar w:fldCharType="separate"/>
      </w:r>
      <w:r>
        <w:rPr>
          <w:rStyle w:val="7"/>
          <w:rFonts w:hint="default" w:ascii="Times New Roman" w:hAnsi="Times New Roman" w:eastAsia="宋体" w:cs="Times New Roman"/>
          <w:i w:val="0"/>
          <w:iCs w:val="0"/>
          <w:caps w:val="0"/>
          <w:spacing w:val="0"/>
          <w:sz w:val="28"/>
          <w:szCs w:val="28"/>
          <w:shd w:val="clear" w:fill="FFFFFF"/>
        </w:rPr>
        <w:t>https://doi.org/10.24093/awej/vol11no3.15</w:t>
      </w:r>
      <w:r>
        <w:rPr>
          <w:rFonts w:hint="default" w:ascii="Times New Roman" w:hAnsi="Times New Roman" w:eastAsia="宋体" w:cs="Times New Roman"/>
          <w:i w:val="0"/>
          <w:iCs w:val="0"/>
          <w:caps w:val="0"/>
          <w:color w:val="232323"/>
          <w:spacing w:val="0"/>
          <w:sz w:val="28"/>
          <w:szCs w:val="28"/>
          <w:shd w:val="clear" w:fill="FFFFFF"/>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Holliday, A. (2005). The struggle to teach English as an international language. Oxford University Press.</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Huang, Z. (2018). Native and non-native English speaking teachers in China. Springer.</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İrfan Tosuncuoglu. (2017). Non-Native &amp; Native English Teachers. Tarih kültür ve sanat araştırmalari dergisi, 6(6), 634–638. https://doi.org/10.7596/taksad.v6i6.573</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cs="Times New Roman"/>
          <w:sz w:val="28"/>
          <w:szCs w:val="28"/>
        </w:rPr>
      </w:pPr>
      <w:r>
        <w:rPr>
          <w:rFonts w:hint="default" w:ascii="Times New Roman" w:hAnsi="Times New Roman" w:cs="Times New Roman"/>
          <w:sz w:val="28"/>
          <w:szCs w:val="28"/>
        </w:rPr>
        <w:t xml:space="preserve">Kachru, B. (1985). Standards, codification and sociolinguistic realism: English language in the outer circle. In R. Quirk and H. Widowson (Eds.), English in the world: Teaching and learning the language and literatures (p. 11-36). Cambridge: Cambridge University Press. </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cs="Times New Roman"/>
          <w:sz w:val="28"/>
          <w:szCs w:val="28"/>
        </w:rPr>
      </w:pPr>
      <w:r>
        <w:rPr>
          <w:rFonts w:hint="default" w:ascii="Times New Roman" w:hAnsi="Times New Roman" w:eastAsia="Helvetica" w:cs="Times New Roman"/>
          <w:i w:val="0"/>
          <w:iCs w:val="0"/>
          <w:caps w:val="0"/>
          <w:color w:val="181817"/>
          <w:spacing w:val="0"/>
          <w:sz w:val="28"/>
          <w:szCs w:val="28"/>
          <w:shd w:val="clear" w:fill="FFFFFF"/>
        </w:rPr>
        <w:t>Mendez, E. (2007). THE STRUGGLE TO TEACH ENGLISH AS AN INTERNATIONAL LANGUAGE, Adrian Holliday. </w:t>
      </w:r>
      <w:r>
        <w:rPr>
          <w:rFonts w:hint="default" w:ascii="Times New Roman" w:hAnsi="Times New Roman" w:eastAsia="Helvetica" w:cs="Times New Roman"/>
          <w:i/>
          <w:iCs/>
          <w:caps w:val="0"/>
          <w:color w:val="181817"/>
          <w:spacing w:val="0"/>
          <w:sz w:val="28"/>
          <w:szCs w:val="28"/>
          <w:shd w:val="clear" w:fill="FFFFFF"/>
          <w:vertAlign w:val="baseline"/>
        </w:rPr>
        <w:t>Studies in Second Language Acquisition,</w:t>
      </w:r>
      <w:r>
        <w:rPr>
          <w:rFonts w:hint="default" w:ascii="Times New Roman" w:hAnsi="Times New Roman" w:eastAsia="Helvetica" w:cs="Times New Roman"/>
          <w:i w:val="0"/>
          <w:iCs w:val="0"/>
          <w:caps w:val="0"/>
          <w:color w:val="181817"/>
          <w:spacing w:val="0"/>
          <w:sz w:val="28"/>
          <w:szCs w:val="28"/>
          <w:shd w:val="clear" w:fill="FFFFFF"/>
        </w:rPr>
        <w:t> </w:t>
      </w:r>
      <w:r>
        <w:rPr>
          <w:rFonts w:hint="default" w:ascii="Times New Roman" w:hAnsi="Times New Roman" w:eastAsia="Helvetica" w:cs="Times New Roman"/>
          <w:i/>
          <w:iCs/>
          <w:caps w:val="0"/>
          <w:color w:val="181817"/>
          <w:spacing w:val="0"/>
          <w:sz w:val="28"/>
          <w:szCs w:val="28"/>
          <w:shd w:val="clear" w:fill="FFFFFF"/>
          <w:vertAlign w:val="baseline"/>
        </w:rPr>
        <w:t>29</w:t>
      </w:r>
      <w:r>
        <w:rPr>
          <w:rFonts w:hint="default" w:ascii="Times New Roman" w:hAnsi="Times New Roman" w:eastAsia="Helvetica" w:cs="Times New Roman"/>
          <w:i w:val="0"/>
          <w:iCs w:val="0"/>
          <w:caps w:val="0"/>
          <w:color w:val="181817"/>
          <w:spacing w:val="0"/>
          <w:sz w:val="28"/>
          <w:szCs w:val="28"/>
          <w:shd w:val="clear" w:fill="FFFFFF"/>
        </w:rPr>
        <w:t>(3), 495-497. doi:10.1017/S0272263107070350</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 xml:space="preserve">  Phothongsunan. (2017). Delving into International Students’ Attitudes to NESTs and NNESTs. Journal of Language Teaching, Linguistics, and Literature, 23(4), 15–28. https://doi.org/10.17576/3L-2017-2304-02</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  Sung. (2014). An exploratory study of Hong Kong students’ perceptions of native and non-native English-speaking teachers in ELT. Asian Englishes, 16(1), 32–46. https://doi.org/10.1080/13488678.2014.880252</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Tudor, I., 2001. The Dynamics of the Language Classroom. Cambridge University Press, Cambridge</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Walkinshaw, &amp; Oanh, D. H. (2014). Native and Non-Native English Language Teachers: Student Perceptions in Vietnam and Japan. SAGE Open, 4(2), 215824401453445–. </w:t>
      </w:r>
      <w:r>
        <w:rPr>
          <w:rFonts w:hint="default" w:ascii="Times New Roman" w:hAnsi="Times New Roman" w:eastAsia="宋体" w:cs="Times New Roman"/>
          <w:sz w:val="28"/>
          <w:szCs w:val="28"/>
        </w:rPr>
        <w:fldChar w:fldCharType="begin"/>
      </w:r>
      <w:r>
        <w:rPr>
          <w:rFonts w:hint="default" w:ascii="Times New Roman" w:hAnsi="Times New Roman" w:eastAsia="宋体" w:cs="Times New Roman"/>
          <w:sz w:val="28"/>
          <w:szCs w:val="28"/>
        </w:rPr>
        <w:instrText xml:space="preserve"> HYPERLINK "https://doi.org/10.1177/2158244014534451" </w:instrText>
      </w:r>
      <w:r>
        <w:rPr>
          <w:rFonts w:hint="default" w:ascii="Times New Roman" w:hAnsi="Times New Roman" w:eastAsia="宋体" w:cs="Times New Roman"/>
          <w:sz w:val="28"/>
          <w:szCs w:val="28"/>
        </w:rPr>
        <w:fldChar w:fldCharType="separate"/>
      </w:r>
      <w:r>
        <w:rPr>
          <w:rStyle w:val="7"/>
          <w:rFonts w:hint="default" w:ascii="Times New Roman" w:hAnsi="Times New Roman" w:eastAsia="宋体" w:cs="Times New Roman"/>
          <w:sz w:val="28"/>
          <w:szCs w:val="28"/>
        </w:rPr>
        <w:t>https://doi.org/10.1177/2158244014534451</w:t>
      </w:r>
      <w:r>
        <w:rPr>
          <w:rFonts w:hint="default" w:ascii="Times New Roman" w:hAnsi="Times New Roman" w:eastAsia="宋体" w:cs="Times New Roman"/>
          <w:sz w:val="28"/>
          <w:szCs w:val="28"/>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 xml:space="preserve">Wang, &amp; Fang, F. (Gabriel). (2020). Native-speakerism policy in English language teaching revisited: Chinese university teachers’ and students’ attitudes towards native and non-native English-speaking teachers. Cogent Education, 7(1). </w:t>
      </w:r>
      <w:r>
        <w:rPr>
          <w:rFonts w:hint="default" w:ascii="Times New Roman" w:hAnsi="Times New Roman" w:eastAsia="宋体" w:cs="Times New Roman"/>
          <w:i w:val="0"/>
          <w:iCs w:val="0"/>
          <w:caps w:val="0"/>
          <w:color w:val="232323"/>
          <w:spacing w:val="0"/>
          <w:sz w:val="28"/>
          <w:szCs w:val="28"/>
          <w:shd w:val="clear" w:fill="FFFFFF"/>
        </w:rPr>
        <w:fldChar w:fldCharType="begin"/>
      </w:r>
      <w:r>
        <w:rPr>
          <w:rFonts w:hint="default" w:ascii="Times New Roman" w:hAnsi="Times New Roman" w:eastAsia="宋体" w:cs="Times New Roman"/>
          <w:i w:val="0"/>
          <w:iCs w:val="0"/>
          <w:caps w:val="0"/>
          <w:color w:val="232323"/>
          <w:spacing w:val="0"/>
          <w:sz w:val="28"/>
          <w:szCs w:val="28"/>
          <w:shd w:val="clear" w:fill="FFFFFF"/>
        </w:rPr>
        <w:instrText xml:space="preserve"> HYPERLINK "https://doi.org/10.1080/2331186X.2020.1778374" </w:instrText>
      </w:r>
      <w:r>
        <w:rPr>
          <w:rFonts w:hint="default" w:ascii="Times New Roman" w:hAnsi="Times New Roman" w:eastAsia="宋体" w:cs="Times New Roman"/>
          <w:i w:val="0"/>
          <w:iCs w:val="0"/>
          <w:caps w:val="0"/>
          <w:color w:val="232323"/>
          <w:spacing w:val="0"/>
          <w:sz w:val="28"/>
          <w:szCs w:val="28"/>
          <w:shd w:val="clear" w:fill="FFFFFF"/>
        </w:rPr>
        <w:fldChar w:fldCharType="separate"/>
      </w:r>
      <w:r>
        <w:rPr>
          <w:rStyle w:val="7"/>
          <w:rFonts w:hint="default" w:ascii="Times New Roman" w:hAnsi="Times New Roman" w:eastAsia="宋体" w:cs="Times New Roman"/>
          <w:i w:val="0"/>
          <w:iCs w:val="0"/>
          <w:caps w:val="0"/>
          <w:spacing w:val="0"/>
          <w:sz w:val="28"/>
          <w:szCs w:val="28"/>
          <w:shd w:val="clear" w:fill="FFFFFF"/>
        </w:rPr>
        <w:t>https://doi.org/10.1080/2331186X.2020.1778374</w:t>
      </w:r>
      <w:r>
        <w:rPr>
          <w:rFonts w:hint="default" w:ascii="Times New Roman" w:hAnsi="Times New Roman" w:eastAsia="宋体" w:cs="Times New Roman"/>
          <w:i w:val="0"/>
          <w:iCs w:val="0"/>
          <w:caps w:val="0"/>
          <w:color w:val="232323"/>
          <w:spacing w:val="0"/>
          <w:sz w:val="28"/>
          <w:szCs w:val="28"/>
          <w:shd w:val="clear" w:fill="FFFFFF"/>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sz w:val="28"/>
          <w:szCs w:val="28"/>
        </w:rPr>
      </w:pPr>
      <w:r>
        <w:rPr>
          <w:rFonts w:hint="default" w:ascii="Times New Roman" w:hAnsi="Times New Roman" w:eastAsia="宋体" w:cs="Times New Roman"/>
          <w:sz w:val="28"/>
          <w:szCs w:val="28"/>
        </w:rPr>
        <w:t xml:space="preserve">Wong, C. Y. (2009). Are native speakers “good” language instructors? A case study of untrained ESL tutors. Annual Review of Education, Communication, and Language Sciences, 6, 122–140. Retrieved from </w:t>
      </w:r>
      <w:r>
        <w:rPr>
          <w:rFonts w:hint="default" w:ascii="Times New Roman" w:hAnsi="Times New Roman" w:eastAsia="宋体" w:cs="Times New Roman"/>
          <w:sz w:val="28"/>
          <w:szCs w:val="28"/>
        </w:rPr>
        <w:fldChar w:fldCharType="begin"/>
      </w:r>
      <w:r>
        <w:rPr>
          <w:rFonts w:hint="default" w:ascii="Times New Roman" w:hAnsi="Times New Roman" w:eastAsia="宋体" w:cs="Times New Roman"/>
          <w:sz w:val="28"/>
          <w:szCs w:val="28"/>
        </w:rPr>
        <w:instrText xml:space="preserve"> HYPERLINK "http://research.ncl.ac.uk/ARECLS" </w:instrText>
      </w:r>
      <w:r>
        <w:rPr>
          <w:rFonts w:hint="default" w:ascii="Times New Roman" w:hAnsi="Times New Roman" w:eastAsia="宋体" w:cs="Times New Roman"/>
          <w:sz w:val="28"/>
          <w:szCs w:val="28"/>
        </w:rPr>
        <w:fldChar w:fldCharType="separate"/>
      </w:r>
      <w:r>
        <w:rPr>
          <w:rStyle w:val="7"/>
          <w:rFonts w:hint="default" w:ascii="Times New Roman" w:hAnsi="Times New Roman" w:eastAsia="宋体" w:cs="Times New Roman"/>
          <w:sz w:val="28"/>
          <w:szCs w:val="28"/>
        </w:rPr>
        <w:t>http://research.ncl.ac.uk/ARECLS</w:t>
      </w:r>
      <w:r>
        <w:rPr>
          <w:rFonts w:hint="default" w:ascii="Times New Roman" w:hAnsi="Times New Roman" w:eastAsia="宋体" w:cs="Times New Roman"/>
          <w:sz w:val="28"/>
          <w:szCs w:val="28"/>
        </w:rPr>
        <w:fldChar w:fldCharType="end"/>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eastAsia="宋体" w:cs="Times New Roman"/>
          <w:i w:val="0"/>
          <w:iCs w:val="0"/>
          <w:caps w:val="0"/>
          <w:color w:val="232323"/>
          <w:spacing w:val="0"/>
          <w:sz w:val="28"/>
          <w:szCs w:val="28"/>
          <w:shd w:val="clear" w:fill="FFFFFF"/>
        </w:rPr>
      </w:pPr>
      <w:r>
        <w:rPr>
          <w:rFonts w:hint="default" w:ascii="Times New Roman" w:hAnsi="Times New Roman" w:eastAsia="宋体" w:cs="Times New Roman"/>
          <w:i w:val="0"/>
          <w:iCs w:val="0"/>
          <w:caps w:val="0"/>
          <w:color w:val="232323"/>
          <w:spacing w:val="0"/>
          <w:sz w:val="28"/>
          <w:szCs w:val="28"/>
          <w:shd w:val="clear" w:fill="FFFFFF"/>
        </w:rPr>
        <w:t>Zacharias, N. (2018). Attitudes of NNESTs toward Themselves. In J. I. Liontas (Ed.), The TESOL Encyclopedia of English Language Teaching. John Wiley &amp; Sons. https://doi.org/10.1002/9781118784235.eelt0007</w:t>
      </w:r>
    </w:p>
    <w:p>
      <w:pPr>
        <w:keepNext w:val="0"/>
        <w:keepLines w:val="0"/>
        <w:pageBreakBefore w:val="0"/>
        <w:kinsoku/>
        <w:wordWrap/>
        <w:overflowPunct/>
        <w:topLinePunct w:val="0"/>
        <w:autoSpaceDE/>
        <w:autoSpaceDN/>
        <w:bidi w:val="0"/>
        <w:adjustRightInd w:val="0"/>
        <w:snapToGrid/>
        <w:ind w:left="720" w:hanging="720" w:firstLineChars="0"/>
        <w:textAlignment w:val="auto"/>
        <w:rPr>
          <w:rFonts w:hint="default" w:ascii="Times New Roman" w:hAnsi="Times New Roman" w:cs="Times New Roman"/>
          <w:sz w:val="28"/>
          <w:szCs w:val="28"/>
          <w:lang w:val="en-US" w:eastAsia="zh-CN"/>
        </w:rPr>
        <w:sectPr>
          <w:pgSz w:w="11906" w:h="16838"/>
          <w:pgMar w:top="1440" w:right="1440" w:bottom="1440" w:left="1440" w:header="851" w:footer="992" w:gutter="0"/>
          <w:cols w:space="425" w:num="1"/>
          <w:docGrid w:type="lines" w:linePitch="312" w:charSpace="0"/>
        </w:sectPr>
      </w:pPr>
      <w:r>
        <w:rPr>
          <w:rFonts w:hint="default" w:ascii="Times New Roman" w:hAnsi="Times New Roman" w:eastAsia="宋体" w:cs="Times New Roman"/>
          <w:sz w:val="28"/>
          <w:szCs w:val="28"/>
        </w:rPr>
        <w:t>Zacharias, N. T. (2018). Attitudes of NNESTs toward Themselves. The TESOL Encyclopedia of English Language Teaching, 1–7.</w:t>
      </w:r>
    </w:p>
    <w:p>
      <w:pPr>
        <w:keepNext w:val="0"/>
        <w:keepLines w:val="0"/>
        <w:pageBreakBefore w:val="0"/>
        <w:widowControl w:val="0"/>
        <w:kinsoku/>
        <w:wordWrap/>
        <w:overflowPunct/>
        <w:topLinePunct w:val="0"/>
        <w:autoSpaceDE/>
        <w:autoSpaceDN/>
        <w:bidi w:val="0"/>
        <w:adjustRightInd/>
        <w:snapToGrid/>
        <w:jc w:val="left"/>
        <w:textAlignment w:val="auto"/>
        <w:rPr>
          <w:rFonts w:hint="default" w:ascii="Times New Roman" w:hAnsi="Times New Roman" w:eastAsia="宋体" w:cs="Times New Roman"/>
          <w:sz w:val="28"/>
          <w:szCs w:val="28"/>
        </w:rPr>
        <w:sectPr>
          <w:pgSz w:w="11906" w:h="16838"/>
          <w:pgMar w:top="1440" w:right="1800" w:bottom="1440" w:left="1800" w:header="851" w:footer="992" w:gutter="0"/>
          <w:pgNumType w:fmt="decimal"/>
          <w:cols w:space="425" w:num="1"/>
          <w:docGrid w:type="lines" w:linePitch="312" w:charSpace="0"/>
        </w:sectPr>
      </w:pPr>
      <w:bookmarkStart w:id="0" w:name="_GoBack"/>
      <w:bookmarkEnd w:id="0"/>
    </w:p>
    <w:p>
      <w:pPr>
        <w:keepNext w:val="0"/>
        <w:keepLines w:val="0"/>
        <w:pageBreakBefore w:val="0"/>
        <w:widowControl w:val="0"/>
        <w:kinsoku/>
        <w:wordWrap/>
        <w:overflowPunct/>
        <w:topLinePunct w:val="0"/>
        <w:autoSpaceDE/>
        <w:autoSpaceDN/>
        <w:bidi w:val="0"/>
        <w:adjustRightInd/>
        <w:snapToGrid/>
        <w:ind w:left="720" w:hanging="720"/>
        <w:jc w:val="left"/>
        <w:textAlignment w:val="auto"/>
        <w:rPr>
          <w:rFonts w:hint="default" w:ascii="Times New Roman" w:hAnsi="Times New Roman" w:eastAsia="宋体" w:cs="Times New Roman"/>
          <w:sz w:val="28"/>
          <w:szCs w:val="28"/>
        </w:rPr>
      </w:pPr>
    </w:p>
    <w:p>
      <w:pPr>
        <w:numPr>
          <w:ilvl w:val="0"/>
          <w:numId w:val="0"/>
        </w:numPr>
        <w:ind w:leftChars="0"/>
        <w:jc w:val="both"/>
        <w:rPr>
          <w:rFonts w:hint="default" w:ascii="Times New Roman" w:hAnsi="Times New Roman" w:cs="Times New Roman"/>
          <w:b w:val="0"/>
          <w:bCs w:val="0"/>
          <w:sz w:val="28"/>
          <w:szCs w:val="28"/>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Helvetica">
    <w:altName w:val="Arial"/>
    <w:panose1 w:val="00000000000000000000"/>
    <w:charset w:val="00"/>
    <w:family w:val="auto"/>
    <w:pitch w:val="default"/>
    <w:sig w:usb0="00000000" w:usb1="00000000" w:usb2="00000000" w:usb3="00000000" w:csb0="0000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val="0"/>
      <w:pBdr>
        <w:bottom w:val="single" w:color="auto" w:sz="6" w:space="1"/>
      </w:pBdr>
      <w:tabs>
        <w:tab w:val="center" w:pos="4153"/>
        <w:tab w:val="right" w:pos="8306"/>
      </w:tabs>
      <w:snapToGrid w:val="0"/>
      <w:jc w:val="center"/>
      <w:rPr>
        <w:rFonts w:hint="eastAsia" w:ascii="等线" w:hAnsi="等线" w:eastAsia="等线" w:cs="Times New Roman"/>
        <w:kern w:val="2"/>
        <w:sz w:val="18"/>
        <w:szCs w:val="18"/>
        <w:lang w:val="en-US" w:eastAsia="zh-CN" w:bidi="ar-SA"/>
      </w:rPr>
    </w:pPr>
    <w:r>
      <w:rPr>
        <w:rFonts w:ascii="等线" w:hAnsi="等线" w:eastAsia="等线" w:cs="Times New Roman"/>
        <w:kern w:val="2"/>
        <w:sz w:val="18"/>
        <w:szCs w:val="18"/>
        <w:lang w:val="en-US" w:eastAsia="zh-CN" w:bidi="ar-SA"/>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widowControl w:val="0"/>
                            <w:pBdr>
                              <w:bottom w:val="single" w:color="auto" w:sz="6" w:space="1"/>
                            </w:pBdr>
                            <w:tabs>
                              <w:tab w:val="center" w:pos="4153"/>
                              <w:tab w:val="right" w:pos="8306"/>
                            </w:tabs>
                            <w:snapToGrid w:val="0"/>
                            <w:jc w:val="center"/>
                            <w:rPr>
                              <w:rFonts w:hint="default" w:ascii="等线" w:hAnsi="等线" w:eastAsia="等线" w:cs="Times New Roman"/>
                              <w:kern w:val="2"/>
                              <w:sz w:val="18"/>
                              <w:szCs w:val="18"/>
                              <w:lang w:val="en-US" w:eastAsia="zh-CN" w:bidi="ar-SA"/>
                            </w:rP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CzSVju0AAAAAUBAAAPAAAAAAAAAAEAIAAAACIAAABkcnMvZG93bnJldi54bWxQ&#10;SwECFAAUAAAACACHTuJA/z8DRzgCAABvBAAADgAAAAAAAAABACAAAAAfAQAAZHJzL2Uyb0RvYy54&#10;bWxQSwUGAAAAAAYABgBZAQAAyQUAAAAA&#10;">
              <v:fill on="f" focussize="0,0"/>
              <v:stroke on="f" weight="0.5pt"/>
              <v:imagedata o:title=""/>
              <o:lock v:ext="edit" aspectratio="f"/>
              <v:textbox inset="0mm,0mm,0mm,0mm" style="mso-fit-shape-to-text:t;">
                <w:txbxContent>
                  <w:p>
                    <w:pPr>
                      <w:widowControl w:val="0"/>
                      <w:pBdr>
                        <w:bottom w:val="single" w:color="auto" w:sz="6" w:space="1"/>
                      </w:pBdr>
                      <w:tabs>
                        <w:tab w:val="center" w:pos="4153"/>
                        <w:tab w:val="right" w:pos="8306"/>
                      </w:tabs>
                      <w:snapToGrid w:val="0"/>
                      <w:jc w:val="center"/>
                      <w:rPr>
                        <w:rFonts w:hint="default" w:ascii="等线" w:hAnsi="等线" w:eastAsia="等线" w:cs="Times New Roman"/>
                        <w:kern w:val="2"/>
                        <w:sz w:val="18"/>
                        <w:szCs w:val="18"/>
                        <w:lang w:val="en-US" w:eastAsia="zh-CN" w:bidi="ar-SA"/>
                      </w:rPr>
                    </w:pPr>
                  </w:p>
                </w:txbxContent>
              </v:textbox>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val="0"/>
      <w:pBdr>
        <w:bottom w:val="single" w:color="auto" w:sz="6" w:space="1"/>
      </w:pBdr>
      <w:tabs>
        <w:tab w:val="center" w:pos="4153"/>
        <w:tab w:val="right" w:pos="8306"/>
      </w:tabs>
      <w:snapToGrid w:val="0"/>
      <w:jc w:val="center"/>
      <w:rPr>
        <w:rFonts w:hint="eastAsia" w:ascii="等线" w:hAnsi="等线" w:eastAsia="等线" w:cs="Times New Roman"/>
        <w:kern w:val="2"/>
        <w:sz w:val="18"/>
        <w:szCs w:val="18"/>
        <w:lang w:val="en-US" w:eastAsia="zh-CN" w:bidi="ar-SA"/>
      </w:rPr>
    </w:pPr>
    <w:r>
      <w:rPr>
        <w:sz w:val="18"/>
      </w:rPr>
      <mc:AlternateContent>
        <mc:Choice Requires="wps">
          <w:drawing>
            <wp:anchor distT="0" distB="0" distL="114300" distR="114300" simplePos="0" relativeHeight="251662336" behindDoc="0" locked="0" layoutInCell="1" allowOverlap="1">
              <wp:simplePos x="0" y="0"/>
              <wp:positionH relativeFrom="margin">
                <wp:align>right</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Ci6pUg3AIAACQGAAAOAAAAAAAAAAEAIAAAAB8BAABkcnMvZTJvRG9jLnhtbFBLBQYA&#10;AAAABgAGAFkBAABtBg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r>
      <w:rPr>
        <w:rFonts w:ascii="等线" w:hAnsi="等线" w:eastAsia="等线" w:cs="Times New Roman"/>
        <w:kern w:val="2"/>
        <w:sz w:val="18"/>
        <w:szCs w:val="18"/>
        <w:lang w:val="en-US" w:eastAsia="zh-CN" w:bidi="ar-SA"/>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widowControl w:val="0"/>
                            <w:pBdr>
                              <w:bottom w:val="single" w:color="auto" w:sz="6" w:space="1"/>
                            </w:pBdr>
                            <w:tabs>
                              <w:tab w:val="center" w:pos="4153"/>
                              <w:tab w:val="right" w:pos="8306"/>
                            </w:tabs>
                            <w:snapToGrid w:val="0"/>
                            <w:jc w:val="center"/>
                            <w:rPr>
                              <w:rFonts w:hint="default" w:ascii="等线" w:hAnsi="等线" w:eastAsia="等线" w:cs="Times New Roman"/>
                              <w:kern w:val="2"/>
                              <w:sz w:val="18"/>
                              <w:szCs w:val="18"/>
                              <w:lang w:val="en-US" w:eastAsia="zh-CN" w:bidi="ar-SA"/>
                            </w:rP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CzSVju0AAAAAUBAAAPAAAAAAAAAAEAIAAAACIAAABkcnMvZG93bnJldi54bWxQ&#10;SwECFAAUAAAACACHTuJAXhqPXzgCAABvBAAADgAAAAAAAAABACAAAAAfAQAAZHJzL2Uyb0RvYy54&#10;bWxQSwUGAAAAAAYABgBZAQAAyQUAAAAA&#10;">
              <v:fill on="f" focussize="0,0"/>
              <v:stroke on="f" weight="0.5pt"/>
              <v:imagedata o:title=""/>
              <o:lock v:ext="edit" aspectratio="f"/>
              <v:textbox inset="0mm,0mm,0mm,0mm" style="mso-fit-shape-to-text:t;">
                <w:txbxContent>
                  <w:p>
                    <w:pPr>
                      <w:widowControl w:val="0"/>
                      <w:pBdr>
                        <w:bottom w:val="single" w:color="auto" w:sz="6" w:space="1"/>
                      </w:pBdr>
                      <w:tabs>
                        <w:tab w:val="center" w:pos="4153"/>
                        <w:tab w:val="right" w:pos="8306"/>
                      </w:tabs>
                      <w:snapToGrid w:val="0"/>
                      <w:jc w:val="center"/>
                      <w:rPr>
                        <w:rFonts w:hint="default" w:ascii="等线" w:hAnsi="等线" w:eastAsia="等线" w:cs="Times New Roman"/>
                        <w:kern w:val="2"/>
                        <w:sz w:val="18"/>
                        <w:szCs w:val="18"/>
                        <w:lang w:val="en-US" w:eastAsia="zh-CN" w:bidi="ar-SA"/>
                      </w:rPr>
                    </w:pPr>
                  </w:p>
                </w:txbxContent>
              </v:textbox>
            </v:shape>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val="0"/>
      <w:pBdr>
        <w:bottom w:val="single" w:color="auto" w:sz="6" w:space="1"/>
      </w:pBdr>
      <w:tabs>
        <w:tab w:val="center" w:pos="4153"/>
        <w:tab w:val="right" w:pos="8306"/>
      </w:tabs>
      <w:snapToGrid w:val="0"/>
      <w:jc w:val="center"/>
      <w:rPr>
        <w:rFonts w:hint="eastAsia" w:ascii="等线" w:hAnsi="等线" w:eastAsia="等线" w:cs="Times New Roman"/>
        <w:kern w:val="2"/>
        <w:sz w:val="18"/>
        <w:szCs w:val="18"/>
        <w:lang w:val="en-US" w:eastAsia="zh-CN" w:bidi="ar-SA"/>
      </w:rP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widowControl w:val="0"/>
      <w:pBdr>
        <w:bottom w:val="single" w:color="auto" w:sz="6" w:space="1"/>
      </w:pBdr>
      <w:tabs>
        <w:tab w:val="center" w:pos="4153"/>
        <w:tab w:val="right" w:pos="8306"/>
      </w:tabs>
      <w:snapToGrid w:val="0"/>
      <w:jc w:val="center"/>
      <w:rPr>
        <w:rFonts w:hint="eastAsia" w:ascii="等线" w:hAnsi="等线" w:eastAsia="等线" w:cs="Times New Roman"/>
        <w:kern w:val="2"/>
        <w:sz w:val="18"/>
        <w:szCs w:val="18"/>
        <w:lang w:val="en-US" w:eastAsia="zh-CN" w:bidi="ar-SA"/>
      </w:rPr>
    </w:pPr>
    <w:r>
      <w:rPr>
        <w:rFonts w:ascii="等线" w:hAnsi="等线" w:eastAsia="等线" w:cs="Times New Roman"/>
        <w:kern w:val="2"/>
        <w:sz w:val="18"/>
        <w:szCs w:val="18"/>
        <w:lang w:val="en-US" w:eastAsia="zh-CN" w:bidi="ar-SA"/>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widowControl w:val="0"/>
                            <w:pBdr>
                              <w:bottom w:val="single" w:color="auto" w:sz="6" w:space="1"/>
                            </w:pBdr>
                            <w:tabs>
                              <w:tab w:val="center" w:pos="4153"/>
                              <w:tab w:val="right" w:pos="8306"/>
                            </w:tabs>
                            <w:snapToGrid w:val="0"/>
                            <w:jc w:val="center"/>
                            <w:rPr>
                              <w:rFonts w:hint="default" w:ascii="等线" w:hAnsi="等线" w:eastAsia="等线" w:cs="Times New Roman"/>
                              <w:kern w:val="2"/>
                              <w:sz w:val="18"/>
                              <w:szCs w:val="18"/>
                              <w:lang w:val="en-US" w:eastAsia="zh-CN" w:bidi="ar-SA"/>
                            </w:rP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AAAAABkcnMvUEsBAhQA&#10;FAAAAAgAh07iQLNJWO7QAAAABQEAAA8AAAAAAAAAAQAgAAAAIgAAAGRycy9kb3ducmV2LnhtbFBL&#10;AQIUABQAAAAIAIdO4kAUfPaqNwIAAG8EAAAOAAAAAAAAAAEAIAAAAB8BAABkcnMvZTJvRG9jLnht&#10;bFBLBQYAAAAABgAGAFkBAADIBQAAAAA=&#10;">
              <v:fill on="f" focussize="0,0"/>
              <v:stroke on="f" weight="0.5pt"/>
              <v:imagedata o:title=""/>
              <o:lock v:ext="edit" aspectratio="f"/>
              <v:textbox inset="0mm,0mm,0mm,0mm" style="mso-fit-shape-to-text:t;">
                <w:txbxContent>
                  <w:p>
                    <w:pPr>
                      <w:widowControl w:val="0"/>
                      <w:pBdr>
                        <w:bottom w:val="single" w:color="auto" w:sz="6" w:space="1"/>
                      </w:pBdr>
                      <w:tabs>
                        <w:tab w:val="center" w:pos="4153"/>
                        <w:tab w:val="right" w:pos="8306"/>
                      </w:tabs>
                      <w:snapToGrid w:val="0"/>
                      <w:jc w:val="center"/>
                      <w:rPr>
                        <w:rFonts w:hint="default" w:ascii="等线" w:hAnsi="等线" w:eastAsia="等线" w:cs="Times New Roman"/>
                        <w:kern w:val="2"/>
                        <w:sz w:val="18"/>
                        <w:szCs w:val="18"/>
                        <w:lang w:val="en-US" w:eastAsia="zh-CN" w:bidi="ar-SA"/>
                      </w:rPr>
                    </w:pP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209EE57"/>
    <w:multiLevelType w:val="singleLevel"/>
    <w:tmpl w:val="B209EE57"/>
    <w:lvl w:ilvl="0" w:tentative="0">
      <w:start w:val="1"/>
      <w:numFmt w:val="lowerRoman"/>
      <w:suff w:val="space"/>
      <w:lvlText w:val="%1)"/>
      <w:lvlJc w:val="left"/>
    </w:lvl>
  </w:abstractNum>
  <w:abstractNum w:abstractNumId="1">
    <w:nsid w:val="DAD37EAC"/>
    <w:multiLevelType w:val="singleLevel"/>
    <w:tmpl w:val="DAD37EAC"/>
    <w:lvl w:ilvl="0" w:tentative="0">
      <w:start w:val="1"/>
      <w:numFmt w:val="lowerRoman"/>
      <w:suff w:val="space"/>
      <w:lvlText w:val="%1)"/>
      <w:lvlJc w:val="left"/>
    </w:lvl>
  </w:abstractNum>
  <w:abstractNum w:abstractNumId="2">
    <w:nsid w:val="295C2FE2"/>
    <w:multiLevelType w:val="singleLevel"/>
    <w:tmpl w:val="295C2FE2"/>
    <w:lvl w:ilvl="0" w:tentative="0">
      <w:start w:val="1"/>
      <w:numFmt w:val="lowerRoman"/>
      <w:suff w:val="space"/>
      <w:lvlText w:val="%1)"/>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GRkMGRhMWU0MzE4YWJlYzg1ZjE3NDAyZmRkMGViNjgifQ=="/>
  </w:docVars>
  <w:rsids>
    <w:rsidRoot w:val="10C47397"/>
    <w:rsid w:val="014D4677"/>
    <w:rsid w:val="01C37080"/>
    <w:rsid w:val="0636392C"/>
    <w:rsid w:val="07181283"/>
    <w:rsid w:val="07465DF0"/>
    <w:rsid w:val="074C2EC7"/>
    <w:rsid w:val="0A30718E"/>
    <w:rsid w:val="0BCE3DD8"/>
    <w:rsid w:val="0C56244D"/>
    <w:rsid w:val="0F3B3E5E"/>
    <w:rsid w:val="118C1A02"/>
    <w:rsid w:val="11FC45F3"/>
    <w:rsid w:val="1381162F"/>
    <w:rsid w:val="139A49A5"/>
    <w:rsid w:val="14D26EAD"/>
    <w:rsid w:val="17AB35E1"/>
    <w:rsid w:val="1A2A3350"/>
    <w:rsid w:val="1C734809"/>
    <w:rsid w:val="1C740140"/>
    <w:rsid w:val="1E3E4FB4"/>
    <w:rsid w:val="1F022A68"/>
    <w:rsid w:val="27A41282"/>
    <w:rsid w:val="2B1431DF"/>
    <w:rsid w:val="2DBD655D"/>
    <w:rsid w:val="2E7070E2"/>
    <w:rsid w:val="300541EB"/>
    <w:rsid w:val="338B0EAB"/>
    <w:rsid w:val="34716AE9"/>
    <w:rsid w:val="38945AA2"/>
    <w:rsid w:val="389A371E"/>
    <w:rsid w:val="3A3C58DF"/>
    <w:rsid w:val="3B9B5375"/>
    <w:rsid w:val="3F4E170B"/>
    <w:rsid w:val="42814BD2"/>
    <w:rsid w:val="44D23962"/>
    <w:rsid w:val="45641D31"/>
    <w:rsid w:val="4958696A"/>
    <w:rsid w:val="4AB12B4E"/>
    <w:rsid w:val="4D680481"/>
    <w:rsid w:val="4E557C94"/>
    <w:rsid w:val="508A1E77"/>
    <w:rsid w:val="50CC1544"/>
    <w:rsid w:val="52734B8D"/>
    <w:rsid w:val="5A7F4896"/>
    <w:rsid w:val="5A7F4A16"/>
    <w:rsid w:val="5BDB2BF4"/>
    <w:rsid w:val="5C901699"/>
    <w:rsid w:val="5EAF519E"/>
    <w:rsid w:val="61315DF6"/>
    <w:rsid w:val="62D653F0"/>
    <w:rsid w:val="67FF2CF3"/>
    <w:rsid w:val="69942532"/>
    <w:rsid w:val="6DD9735D"/>
    <w:rsid w:val="6E597A98"/>
    <w:rsid w:val="70D64992"/>
    <w:rsid w:val="71D83B30"/>
    <w:rsid w:val="72C214EC"/>
    <w:rsid w:val="72CF254E"/>
    <w:rsid w:val="732815FC"/>
    <w:rsid w:val="746E5488"/>
    <w:rsid w:val="761C3F51"/>
    <w:rsid w:val="7AA0766E"/>
    <w:rsid w:val="7B3F295E"/>
    <w:rsid w:val="7C4C7E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table" w:styleId="5">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7">
    <w:name w:val="Hyperlink"/>
    <w:qFormat/>
    <w:uiPriority w:val="0"/>
    <w:rPr>
      <w:color w:val="0000FF"/>
      <w:u w:val="single"/>
    </w:rPr>
  </w:style>
  <w:style w:type="paragraph" w:customStyle="1" w:styleId="8">
    <w:name w:val="章节章节章节"/>
    <w:basedOn w:val="1"/>
    <w:qFormat/>
    <w:uiPriority w:val="0"/>
    <w:pPr>
      <w:spacing w:before="480" w:after="360" w:line="400" w:lineRule="exact"/>
      <w:jc w:val="center"/>
      <w:outlineLvl w:val="0"/>
    </w:pPr>
    <w:rPr>
      <w:rFonts w:ascii="Times New Roman" w:hAnsi="Times New Roman" w:eastAsia="宋体" w:cs="Times New Roman"/>
      <w:b/>
      <w:bCs/>
      <w:kern w:val="0"/>
      <w:sz w:val="30"/>
      <w:szCs w:val="3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header" Target="header4.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39</Pages>
  <Words>5887</Words>
  <Characters>35364</Characters>
  <Lines>0</Lines>
  <Paragraphs>0</Paragraphs>
  <TotalTime>1</TotalTime>
  <ScaleCrop>false</ScaleCrop>
  <LinksUpToDate>false</LinksUpToDate>
  <CharactersWithSpaces>41113</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2023-03-24T14:52:00Z</dcterms:created>
  <dc:creator>Daydreamer</dc:creator>
  <cp:lastModifiedBy>Daydreamer</cp:lastModifiedBy>
  <dcterms:modified xsi:type="dcterms:W3CDTF">2023-04-16T15:28:26Z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FEF43E61710F4C4687B3F647F085490A_13</vt:lpwstr>
  </property>
</Properties>
</file>