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361361"/>
        <w:docPartObj>
          <w:docPartGallery w:val="Cover Pages"/>
          <w:docPartUnique/>
        </w:docPartObj>
      </w:sdtPr>
      <w:sdtEndPr>
        <w:rPr>
          <w:rFonts w:ascii="Arial" w:hAnsi="Arial" w:cs="Arial"/>
          <w:b/>
          <w:bCs/>
          <w:sz w:val="24"/>
          <w:szCs w:val="24"/>
        </w:rPr>
      </w:sdtEndPr>
      <w:sdtContent>
        <w:p w14:paraId="6FAD7122" w14:textId="1623F62B" w:rsidR="00530F12" w:rsidRDefault="00530F12">
          <w:r>
            <w:rPr>
              <w:noProof/>
            </w:rPr>
            <mc:AlternateContent>
              <mc:Choice Requires="wps">
                <w:drawing>
                  <wp:anchor distT="0" distB="0" distL="114300" distR="114300" simplePos="0" relativeHeight="251659264" behindDoc="1" locked="0" layoutInCell="1" allowOverlap="0" wp14:anchorId="6BDA22DB" wp14:editId="2A780EFD">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30F12" w14:paraId="015D248F" w14:textId="77777777">
                                  <w:trPr>
                                    <w:trHeight w:hRule="exact" w:val="9360"/>
                                  </w:trPr>
                                  <w:tc>
                                    <w:tcPr>
                                      <w:tcW w:w="9350" w:type="dxa"/>
                                    </w:tcPr>
                                    <w:p w14:paraId="28BD4DC4" w14:textId="77777777" w:rsidR="00530F12" w:rsidRDefault="00530F12">
                                      <w:r>
                                        <w:rPr>
                                          <w:noProof/>
                                        </w:rPr>
                                        <w:drawing>
                                          <wp:inline distT="0" distB="0" distL="0" distR="0" wp14:anchorId="133F4EB5" wp14:editId="7EBB3A03">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30F12" w14:paraId="1D8074EF" w14:textId="77777777">
                                  <w:trPr>
                                    <w:trHeight w:hRule="exact" w:val="4320"/>
                                  </w:trPr>
                                  <w:tc>
                                    <w:tcPr>
                                      <w:tcW w:w="9350" w:type="dxa"/>
                                      <w:shd w:val="clear" w:color="auto" w:fill="0E2841" w:themeFill="text2"/>
                                      <w:vAlign w:val="center"/>
                                    </w:tcPr>
                                    <w:p w14:paraId="6D5038F2" w14:textId="46851F2F" w:rsidR="00530F12" w:rsidRDefault="009B5B7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618B132AF4604401AB2894389A71339D"/>
                                          </w:placeholder>
                                          <w:dataBinding w:prefixMappings="xmlns:ns0='http://purl.org/dc/elements/1.1/' xmlns:ns1='http://schemas.openxmlformats.org/package/2006/metadata/core-properties' " w:xpath="/ns1:coreProperties[1]/ns0:title[1]" w:storeItemID="{6C3C8BC8-F283-45AE-878A-BAB7291924A1}"/>
                                          <w:text/>
                                        </w:sdtPr>
                                        <w:sdtContent>
                                          <w:r w:rsidRPr="009B5B74">
                                            <w:rPr>
                                              <w:rFonts w:asciiTheme="majorHAnsi" w:hAnsiTheme="majorHAnsi"/>
                                              <w:color w:val="FFFFFF" w:themeColor="background1"/>
                                              <w:sz w:val="96"/>
                                              <w:szCs w:val="96"/>
                                            </w:rPr>
                                            <w:t xml:space="preserve">Case Study Analysis Report:   </w:t>
                                          </w:r>
                                        </w:sdtContent>
                                      </w:sdt>
                                    </w:p>
                                    <w:p w14:paraId="43F57DEC" w14:textId="7013D0D1" w:rsidR="00B53031" w:rsidRPr="00B53031" w:rsidRDefault="00530F12" w:rsidP="00B53031">
                                      <w:pPr>
                                        <w:rPr>
                                          <w:color w:val="FFFFFF" w:themeColor="background1"/>
                                          <w:kern w:val="0"/>
                                          <w:sz w:val="32"/>
                                          <w:szCs w:val="32"/>
                                          <w:lang w:val="en-US"/>
                                          <w14:ligatures w14:val="none"/>
                                        </w:rPr>
                                      </w:pPr>
                                      <w:sdt>
                                        <w:sdtPr>
                                          <w:rPr>
                                            <w:color w:val="FFFFFF" w:themeColor="background1"/>
                                            <w:sz w:val="32"/>
                                            <w:szCs w:val="32"/>
                                          </w:rPr>
                                          <w:alias w:val="Subtitle"/>
                                          <w:tag w:val=""/>
                                          <w:id w:val="1143089448"/>
                                          <w:placeholder>
                                            <w:docPart w:val="D882C999AAE741EF8126A649527FE2E9"/>
                                          </w:placeholder>
                                          <w:dataBinding w:prefixMappings="xmlns:ns0='http://purl.org/dc/elements/1.1/' xmlns:ns1='http://schemas.openxmlformats.org/package/2006/metadata/core-properties' " w:xpath="/ns1:coreProperties[1]/ns0:subject[1]" w:storeItemID="{6C3C8BC8-F283-45AE-878A-BAB7291924A1}"/>
                                          <w:text/>
                                        </w:sdtPr>
                                        <w:sdtContent/>
                                      </w:sdt>
                                      <w:r w:rsidR="00B53031">
                                        <w:t xml:space="preserve">               </w:t>
                                      </w:r>
                                      <w:r w:rsidR="00B53031" w:rsidRPr="00B53031">
                                        <w:rPr>
                                          <w:color w:val="FFFFFF" w:themeColor="background1"/>
                                          <w:kern w:val="0"/>
                                          <w:sz w:val="40"/>
                                          <w:szCs w:val="40"/>
                                          <w:lang w:val="en-US"/>
                                          <w14:ligatures w14:val="none"/>
                                        </w:rPr>
                                        <w:t>Comparative report on COVID19 leadership responses</w:t>
                                      </w:r>
                                      <w:r w:rsidR="00B53031" w:rsidRPr="00B53031">
                                        <w:rPr>
                                          <w:color w:val="FFFFFF" w:themeColor="background1"/>
                                          <w:kern w:val="0"/>
                                          <w:sz w:val="32"/>
                                          <w:szCs w:val="32"/>
                                          <w:lang w:val="en-US"/>
                                          <w14:ligatures w14:val="none"/>
                                        </w:rPr>
                                        <w:t xml:space="preserve">     </w:t>
                                      </w:r>
                                    </w:p>
                                    <w:p w14:paraId="39A58231" w14:textId="3BEC8CCB" w:rsidR="00530F12" w:rsidRDefault="00530F12">
                                      <w:pPr>
                                        <w:pStyle w:val="NoSpacing"/>
                                        <w:spacing w:before="240"/>
                                        <w:ind w:left="720" w:right="720"/>
                                        <w:rPr>
                                          <w:color w:val="FFFFFF" w:themeColor="background1"/>
                                          <w:sz w:val="32"/>
                                          <w:szCs w:val="32"/>
                                        </w:rPr>
                                      </w:pPr>
                                    </w:p>
                                  </w:tc>
                                </w:tr>
                                <w:tr w:rsidR="00530F12" w14:paraId="1F13DE6B"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30F12" w14:paraId="3DE37D58" w14:textId="77777777">
                                        <w:trPr>
                                          <w:trHeight w:hRule="exact" w:val="720"/>
                                        </w:trPr>
                                        <w:tc>
                                          <w:tcPr>
                                            <w:tcW w:w="3590" w:type="dxa"/>
                                            <w:vAlign w:val="center"/>
                                          </w:tcPr>
                                          <w:p w14:paraId="6412B436" w14:textId="0D115E69" w:rsidR="00530F12" w:rsidRDefault="00530F12">
                                            <w:pPr>
                                              <w:pStyle w:val="NoSpacing"/>
                                              <w:ind w:left="720" w:right="144"/>
                                              <w:rPr>
                                                <w:color w:val="FFFFFF" w:themeColor="background1"/>
                                              </w:rPr>
                                            </w:pPr>
                                            <w:sdt>
                                              <w:sdtPr>
                                                <w:rPr>
                                                  <w:color w:val="FFFFFF" w:themeColor="background1"/>
                                                </w:rPr>
                                                <w:alias w:val="Author"/>
                                                <w:tag w:val=""/>
                                                <w:id w:val="942812742"/>
                                                <w:placeholder>
                                                  <w:docPart w:val="A3CDA70E57024DE6B6423BC72BB67C62"/>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Razia Begum (2217307)</w:t>
                                                </w:r>
                                              </w:sdtContent>
                                            </w:sdt>
                                          </w:p>
                                        </w:tc>
                                        <w:tc>
                                          <w:tcPr>
                                            <w:tcW w:w="3591" w:type="dxa"/>
                                            <w:vAlign w:val="center"/>
                                          </w:tcPr>
                                          <w:p w14:paraId="3C986F15" w14:textId="6376F54E" w:rsidR="00530F12" w:rsidRDefault="00530F12">
                                            <w:pPr>
                                              <w:pStyle w:val="NoSpacing"/>
                                              <w:ind w:left="144" w:right="144"/>
                                              <w:jc w:val="center"/>
                                              <w:rPr>
                                                <w:color w:val="FFFFFF" w:themeColor="background1"/>
                                              </w:rPr>
                                            </w:pPr>
                                          </w:p>
                                        </w:tc>
                                        <w:tc>
                                          <w:tcPr>
                                            <w:tcW w:w="3591" w:type="dxa"/>
                                            <w:vAlign w:val="center"/>
                                          </w:tcPr>
                                          <w:p w14:paraId="3EEA4EF2" w14:textId="742A2F28" w:rsidR="00530F12" w:rsidRDefault="00530F12">
                                            <w:pPr>
                                              <w:pStyle w:val="NoSpacing"/>
                                              <w:ind w:left="144" w:right="720"/>
                                              <w:jc w:val="right"/>
                                              <w:rPr>
                                                <w:color w:val="FFFFFF" w:themeColor="background1"/>
                                              </w:rPr>
                                            </w:pPr>
                                          </w:p>
                                        </w:tc>
                                      </w:tr>
                                    </w:tbl>
                                    <w:p w14:paraId="5B4C743B" w14:textId="77777777" w:rsidR="00530F12" w:rsidRDefault="00530F12"/>
                                  </w:tc>
                                </w:tr>
                              </w:tbl>
                              <w:p w14:paraId="58486053" w14:textId="77777777" w:rsidR="00530F12" w:rsidRDefault="00530F1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BDA22DB"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30F12" w14:paraId="015D248F" w14:textId="77777777">
                            <w:trPr>
                              <w:trHeight w:hRule="exact" w:val="9360"/>
                            </w:trPr>
                            <w:tc>
                              <w:tcPr>
                                <w:tcW w:w="9350" w:type="dxa"/>
                              </w:tcPr>
                              <w:p w14:paraId="28BD4DC4" w14:textId="77777777" w:rsidR="00530F12" w:rsidRDefault="00530F12">
                                <w:r>
                                  <w:rPr>
                                    <w:noProof/>
                                  </w:rPr>
                                  <w:drawing>
                                    <wp:inline distT="0" distB="0" distL="0" distR="0" wp14:anchorId="133F4EB5" wp14:editId="7EBB3A03">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30F12" w14:paraId="1D8074EF" w14:textId="77777777">
                            <w:trPr>
                              <w:trHeight w:hRule="exact" w:val="4320"/>
                            </w:trPr>
                            <w:tc>
                              <w:tcPr>
                                <w:tcW w:w="9350" w:type="dxa"/>
                                <w:shd w:val="clear" w:color="auto" w:fill="0E2841" w:themeFill="text2"/>
                                <w:vAlign w:val="center"/>
                              </w:tcPr>
                              <w:p w14:paraId="6D5038F2" w14:textId="46851F2F" w:rsidR="00530F12" w:rsidRDefault="009B5B7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618B132AF4604401AB2894389A71339D"/>
                                    </w:placeholder>
                                    <w:dataBinding w:prefixMappings="xmlns:ns0='http://purl.org/dc/elements/1.1/' xmlns:ns1='http://schemas.openxmlformats.org/package/2006/metadata/core-properties' " w:xpath="/ns1:coreProperties[1]/ns0:title[1]" w:storeItemID="{6C3C8BC8-F283-45AE-878A-BAB7291924A1}"/>
                                    <w:text/>
                                  </w:sdtPr>
                                  <w:sdtContent>
                                    <w:r w:rsidRPr="009B5B74">
                                      <w:rPr>
                                        <w:rFonts w:asciiTheme="majorHAnsi" w:hAnsiTheme="majorHAnsi"/>
                                        <w:color w:val="FFFFFF" w:themeColor="background1"/>
                                        <w:sz w:val="96"/>
                                        <w:szCs w:val="96"/>
                                      </w:rPr>
                                      <w:t xml:space="preserve">Case Study Analysis Report:   </w:t>
                                    </w:r>
                                  </w:sdtContent>
                                </w:sdt>
                              </w:p>
                              <w:p w14:paraId="43F57DEC" w14:textId="7013D0D1" w:rsidR="00B53031" w:rsidRPr="00B53031" w:rsidRDefault="00530F12" w:rsidP="00B53031">
                                <w:pPr>
                                  <w:rPr>
                                    <w:color w:val="FFFFFF" w:themeColor="background1"/>
                                    <w:kern w:val="0"/>
                                    <w:sz w:val="32"/>
                                    <w:szCs w:val="32"/>
                                    <w:lang w:val="en-US"/>
                                    <w14:ligatures w14:val="none"/>
                                  </w:rPr>
                                </w:pPr>
                                <w:sdt>
                                  <w:sdtPr>
                                    <w:rPr>
                                      <w:color w:val="FFFFFF" w:themeColor="background1"/>
                                      <w:sz w:val="32"/>
                                      <w:szCs w:val="32"/>
                                    </w:rPr>
                                    <w:alias w:val="Subtitle"/>
                                    <w:tag w:val=""/>
                                    <w:id w:val="1143089448"/>
                                    <w:placeholder>
                                      <w:docPart w:val="D882C999AAE741EF8126A649527FE2E9"/>
                                    </w:placeholder>
                                    <w:dataBinding w:prefixMappings="xmlns:ns0='http://purl.org/dc/elements/1.1/' xmlns:ns1='http://schemas.openxmlformats.org/package/2006/metadata/core-properties' " w:xpath="/ns1:coreProperties[1]/ns0:subject[1]" w:storeItemID="{6C3C8BC8-F283-45AE-878A-BAB7291924A1}"/>
                                    <w:text/>
                                  </w:sdtPr>
                                  <w:sdtContent/>
                                </w:sdt>
                                <w:r w:rsidR="00B53031">
                                  <w:t xml:space="preserve">               </w:t>
                                </w:r>
                                <w:r w:rsidR="00B53031" w:rsidRPr="00B53031">
                                  <w:rPr>
                                    <w:color w:val="FFFFFF" w:themeColor="background1"/>
                                    <w:kern w:val="0"/>
                                    <w:sz w:val="40"/>
                                    <w:szCs w:val="40"/>
                                    <w:lang w:val="en-US"/>
                                    <w14:ligatures w14:val="none"/>
                                  </w:rPr>
                                  <w:t>Comparative report on COVID19 leadership responses</w:t>
                                </w:r>
                                <w:r w:rsidR="00B53031" w:rsidRPr="00B53031">
                                  <w:rPr>
                                    <w:color w:val="FFFFFF" w:themeColor="background1"/>
                                    <w:kern w:val="0"/>
                                    <w:sz w:val="32"/>
                                    <w:szCs w:val="32"/>
                                    <w:lang w:val="en-US"/>
                                    <w14:ligatures w14:val="none"/>
                                  </w:rPr>
                                  <w:t xml:space="preserve">     </w:t>
                                </w:r>
                              </w:p>
                              <w:p w14:paraId="39A58231" w14:textId="3BEC8CCB" w:rsidR="00530F12" w:rsidRDefault="00530F12">
                                <w:pPr>
                                  <w:pStyle w:val="NoSpacing"/>
                                  <w:spacing w:before="240"/>
                                  <w:ind w:left="720" w:right="720"/>
                                  <w:rPr>
                                    <w:color w:val="FFFFFF" w:themeColor="background1"/>
                                    <w:sz w:val="32"/>
                                    <w:szCs w:val="32"/>
                                  </w:rPr>
                                </w:pPr>
                              </w:p>
                            </w:tc>
                          </w:tr>
                          <w:tr w:rsidR="00530F12" w14:paraId="1F13DE6B"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30F12" w14:paraId="3DE37D58" w14:textId="77777777">
                                  <w:trPr>
                                    <w:trHeight w:hRule="exact" w:val="720"/>
                                  </w:trPr>
                                  <w:tc>
                                    <w:tcPr>
                                      <w:tcW w:w="3590" w:type="dxa"/>
                                      <w:vAlign w:val="center"/>
                                    </w:tcPr>
                                    <w:p w14:paraId="6412B436" w14:textId="0D115E69" w:rsidR="00530F12" w:rsidRDefault="00530F12">
                                      <w:pPr>
                                        <w:pStyle w:val="NoSpacing"/>
                                        <w:ind w:left="720" w:right="144"/>
                                        <w:rPr>
                                          <w:color w:val="FFFFFF" w:themeColor="background1"/>
                                        </w:rPr>
                                      </w:pPr>
                                      <w:sdt>
                                        <w:sdtPr>
                                          <w:rPr>
                                            <w:color w:val="FFFFFF" w:themeColor="background1"/>
                                          </w:rPr>
                                          <w:alias w:val="Author"/>
                                          <w:tag w:val=""/>
                                          <w:id w:val="942812742"/>
                                          <w:placeholder>
                                            <w:docPart w:val="A3CDA70E57024DE6B6423BC72BB67C62"/>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Razia Begum (2217307)</w:t>
                                          </w:r>
                                        </w:sdtContent>
                                      </w:sdt>
                                    </w:p>
                                  </w:tc>
                                  <w:tc>
                                    <w:tcPr>
                                      <w:tcW w:w="3591" w:type="dxa"/>
                                      <w:vAlign w:val="center"/>
                                    </w:tcPr>
                                    <w:p w14:paraId="3C986F15" w14:textId="6376F54E" w:rsidR="00530F12" w:rsidRDefault="00530F12">
                                      <w:pPr>
                                        <w:pStyle w:val="NoSpacing"/>
                                        <w:ind w:left="144" w:right="144"/>
                                        <w:jc w:val="center"/>
                                        <w:rPr>
                                          <w:color w:val="FFFFFF" w:themeColor="background1"/>
                                        </w:rPr>
                                      </w:pPr>
                                    </w:p>
                                  </w:tc>
                                  <w:tc>
                                    <w:tcPr>
                                      <w:tcW w:w="3591" w:type="dxa"/>
                                      <w:vAlign w:val="center"/>
                                    </w:tcPr>
                                    <w:p w14:paraId="3EEA4EF2" w14:textId="742A2F28" w:rsidR="00530F12" w:rsidRDefault="00530F12">
                                      <w:pPr>
                                        <w:pStyle w:val="NoSpacing"/>
                                        <w:ind w:left="144" w:right="720"/>
                                        <w:jc w:val="right"/>
                                        <w:rPr>
                                          <w:color w:val="FFFFFF" w:themeColor="background1"/>
                                        </w:rPr>
                                      </w:pPr>
                                    </w:p>
                                  </w:tc>
                                </w:tr>
                              </w:tbl>
                              <w:p w14:paraId="5B4C743B" w14:textId="77777777" w:rsidR="00530F12" w:rsidRDefault="00530F12"/>
                            </w:tc>
                          </w:tr>
                        </w:tbl>
                        <w:p w14:paraId="58486053" w14:textId="77777777" w:rsidR="00530F12" w:rsidRDefault="00530F12"/>
                      </w:txbxContent>
                    </v:textbox>
                    <w10:wrap anchorx="page" anchory="page"/>
                  </v:shape>
                </w:pict>
              </mc:Fallback>
            </mc:AlternateContent>
          </w:r>
        </w:p>
        <w:p w14:paraId="62025A71" w14:textId="78B3419C" w:rsidR="00530F12" w:rsidRDefault="00530F12">
          <w:pPr>
            <w:rPr>
              <w:rFonts w:ascii="Arial" w:hAnsi="Arial" w:cs="Arial"/>
              <w:b/>
              <w:bCs/>
              <w:sz w:val="24"/>
              <w:szCs w:val="24"/>
            </w:rPr>
          </w:pPr>
          <w:r>
            <w:rPr>
              <w:rFonts w:ascii="Arial" w:hAnsi="Arial" w:cs="Arial"/>
              <w:b/>
              <w:bCs/>
              <w:sz w:val="24"/>
              <w:szCs w:val="24"/>
            </w:rPr>
            <w:br w:type="page"/>
          </w:r>
        </w:p>
      </w:sdtContent>
    </w:sdt>
    <w:p w14:paraId="33448B38" w14:textId="77777777" w:rsidR="00AA49B3" w:rsidRDefault="00AA49B3" w:rsidP="003D65B8">
      <w:pPr>
        <w:spacing w:line="360" w:lineRule="auto"/>
        <w:rPr>
          <w:rFonts w:ascii="Arial" w:hAnsi="Arial" w:cs="Arial"/>
          <w:b/>
          <w:bCs/>
          <w:sz w:val="24"/>
          <w:szCs w:val="24"/>
        </w:rPr>
      </w:pPr>
    </w:p>
    <w:p w14:paraId="3999105E" w14:textId="77777777" w:rsidR="00AA49B3" w:rsidRDefault="00AA49B3" w:rsidP="003D65B8">
      <w:pPr>
        <w:spacing w:line="360" w:lineRule="auto"/>
        <w:rPr>
          <w:rFonts w:ascii="Arial" w:hAnsi="Arial" w:cs="Arial"/>
          <w:b/>
          <w:bCs/>
          <w:sz w:val="24"/>
          <w:szCs w:val="24"/>
        </w:rPr>
      </w:pPr>
    </w:p>
    <w:p w14:paraId="1D36C14D" w14:textId="77777777" w:rsidR="00AA49B3" w:rsidRDefault="00AA49B3" w:rsidP="003D65B8">
      <w:pPr>
        <w:spacing w:line="360" w:lineRule="auto"/>
        <w:rPr>
          <w:rFonts w:ascii="Arial" w:hAnsi="Arial" w:cs="Arial"/>
          <w:b/>
          <w:bCs/>
          <w:sz w:val="24"/>
          <w:szCs w:val="24"/>
        </w:rPr>
      </w:pPr>
    </w:p>
    <w:p w14:paraId="68DC0F48" w14:textId="77777777" w:rsidR="00AA49B3" w:rsidRDefault="00AA49B3" w:rsidP="003D65B8">
      <w:pPr>
        <w:spacing w:line="360" w:lineRule="auto"/>
        <w:rPr>
          <w:rFonts w:ascii="Arial" w:hAnsi="Arial" w:cs="Arial"/>
          <w:b/>
          <w:bCs/>
          <w:sz w:val="24"/>
          <w:szCs w:val="24"/>
        </w:rPr>
      </w:pPr>
    </w:p>
    <w:p w14:paraId="0165E911" w14:textId="77777777" w:rsidR="00E10AF6" w:rsidRDefault="00F130D7" w:rsidP="00F130D7">
      <w:pPr>
        <w:spacing w:line="360" w:lineRule="auto"/>
        <w:rPr>
          <w:rFonts w:ascii="Arial" w:hAnsi="Arial" w:cs="Arial"/>
          <w:b/>
          <w:bCs/>
          <w:sz w:val="24"/>
          <w:szCs w:val="24"/>
        </w:rPr>
      </w:pPr>
      <w:r w:rsidRPr="00F130D7">
        <w:rPr>
          <w:rFonts w:ascii="Arial" w:hAnsi="Arial" w:cs="Arial"/>
          <w:b/>
          <w:bCs/>
          <w:sz w:val="24"/>
          <w:szCs w:val="24"/>
        </w:rPr>
        <w:t>Student name:</w:t>
      </w:r>
      <w:r>
        <w:rPr>
          <w:rFonts w:ascii="Arial" w:hAnsi="Arial" w:cs="Arial"/>
          <w:b/>
          <w:bCs/>
          <w:sz w:val="24"/>
          <w:szCs w:val="24"/>
        </w:rPr>
        <w:t xml:space="preserve">  </w:t>
      </w:r>
      <w:r w:rsidR="00E10AF6">
        <w:rPr>
          <w:rFonts w:ascii="Arial" w:hAnsi="Arial" w:cs="Arial"/>
          <w:b/>
          <w:bCs/>
          <w:sz w:val="24"/>
          <w:szCs w:val="24"/>
        </w:rPr>
        <w:t xml:space="preserve">              </w:t>
      </w:r>
      <w:r>
        <w:rPr>
          <w:rFonts w:ascii="Arial" w:hAnsi="Arial" w:cs="Arial"/>
          <w:b/>
          <w:bCs/>
          <w:sz w:val="24"/>
          <w:szCs w:val="24"/>
        </w:rPr>
        <w:t>Razia Begum</w:t>
      </w:r>
    </w:p>
    <w:p w14:paraId="35756825" w14:textId="221152B5" w:rsidR="00F130D7" w:rsidRPr="00F130D7" w:rsidRDefault="00E10AF6" w:rsidP="00F130D7">
      <w:pPr>
        <w:spacing w:line="360" w:lineRule="auto"/>
        <w:rPr>
          <w:rFonts w:ascii="Arial" w:hAnsi="Arial" w:cs="Arial"/>
          <w:b/>
          <w:bCs/>
          <w:sz w:val="24"/>
          <w:szCs w:val="24"/>
        </w:rPr>
      </w:pPr>
      <w:r>
        <w:rPr>
          <w:rFonts w:ascii="Arial" w:hAnsi="Arial" w:cs="Arial"/>
          <w:b/>
          <w:bCs/>
          <w:sz w:val="24"/>
          <w:szCs w:val="24"/>
        </w:rPr>
        <w:t>Stu</w:t>
      </w:r>
      <w:r w:rsidR="000D106A">
        <w:rPr>
          <w:rFonts w:ascii="Arial" w:hAnsi="Arial" w:cs="Arial"/>
          <w:b/>
          <w:bCs/>
          <w:sz w:val="24"/>
          <w:szCs w:val="24"/>
        </w:rPr>
        <w:t>dent number:             2217307</w:t>
      </w:r>
      <w:r w:rsidR="00F130D7" w:rsidRPr="00F130D7">
        <w:rPr>
          <w:rFonts w:ascii="Arial" w:hAnsi="Arial" w:cs="Arial"/>
          <w:b/>
          <w:bCs/>
          <w:sz w:val="24"/>
          <w:szCs w:val="24"/>
        </w:rPr>
        <w:tab/>
        <w:t xml:space="preserve">     </w:t>
      </w:r>
    </w:p>
    <w:p w14:paraId="74291992" w14:textId="7C709C3F" w:rsidR="00F130D7" w:rsidRPr="00F130D7" w:rsidRDefault="00F130D7" w:rsidP="00F130D7">
      <w:pPr>
        <w:spacing w:line="360" w:lineRule="auto"/>
        <w:rPr>
          <w:rFonts w:ascii="Arial" w:hAnsi="Arial" w:cs="Arial"/>
          <w:b/>
          <w:bCs/>
          <w:sz w:val="24"/>
          <w:szCs w:val="24"/>
        </w:rPr>
      </w:pPr>
      <w:r w:rsidRPr="00F130D7">
        <w:rPr>
          <w:rFonts w:ascii="Arial" w:hAnsi="Arial" w:cs="Arial"/>
          <w:b/>
          <w:bCs/>
          <w:sz w:val="24"/>
          <w:szCs w:val="24"/>
        </w:rPr>
        <w:t>Programme:</w:t>
      </w:r>
      <w:r w:rsidRPr="00F130D7">
        <w:rPr>
          <w:rFonts w:ascii="Arial" w:hAnsi="Arial" w:cs="Arial"/>
          <w:b/>
          <w:bCs/>
          <w:sz w:val="24"/>
          <w:szCs w:val="24"/>
        </w:rPr>
        <w:tab/>
      </w:r>
      <w:r w:rsidR="00E10AF6">
        <w:rPr>
          <w:rFonts w:ascii="Arial" w:hAnsi="Arial" w:cs="Arial"/>
          <w:b/>
          <w:bCs/>
          <w:sz w:val="24"/>
          <w:szCs w:val="24"/>
        </w:rPr>
        <w:t xml:space="preserve">                   </w:t>
      </w:r>
      <w:r w:rsidRPr="00F130D7">
        <w:rPr>
          <w:rFonts w:ascii="Arial" w:hAnsi="Arial" w:cs="Arial"/>
          <w:b/>
          <w:bCs/>
          <w:sz w:val="24"/>
          <w:szCs w:val="24"/>
        </w:rPr>
        <w:t>MSc Public Health and Social Care in Practice</w:t>
      </w:r>
    </w:p>
    <w:p w14:paraId="67C6F6D7" w14:textId="065FA625" w:rsidR="00F130D7" w:rsidRPr="00F130D7" w:rsidRDefault="00F130D7" w:rsidP="00F130D7">
      <w:pPr>
        <w:spacing w:line="360" w:lineRule="auto"/>
        <w:rPr>
          <w:rFonts w:ascii="Arial" w:hAnsi="Arial" w:cs="Arial"/>
          <w:b/>
          <w:bCs/>
          <w:sz w:val="24"/>
          <w:szCs w:val="24"/>
        </w:rPr>
      </w:pPr>
      <w:r w:rsidRPr="00F130D7">
        <w:rPr>
          <w:rFonts w:ascii="Arial" w:hAnsi="Arial" w:cs="Arial"/>
          <w:b/>
          <w:bCs/>
          <w:sz w:val="24"/>
          <w:szCs w:val="24"/>
        </w:rPr>
        <w:t>Module:</w:t>
      </w:r>
      <w:r w:rsidRPr="00F130D7">
        <w:rPr>
          <w:rFonts w:ascii="Arial" w:hAnsi="Arial" w:cs="Arial"/>
          <w:b/>
          <w:bCs/>
          <w:sz w:val="24"/>
          <w:szCs w:val="24"/>
        </w:rPr>
        <w:tab/>
      </w:r>
      <w:r w:rsidR="00E10AF6">
        <w:rPr>
          <w:rFonts w:ascii="Arial" w:hAnsi="Arial" w:cs="Arial"/>
          <w:b/>
          <w:bCs/>
          <w:sz w:val="24"/>
          <w:szCs w:val="24"/>
        </w:rPr>
        <w:t xml:space="preserve">                   </w:t>
      </w:r>
      <w:r w:rsidRPr="00F130D7">
        <w:rPr>
          <w:rFonts w:ascii="Arial" w:hAnsi="Arial" w:cs="Arial"/>
          <w:b/>
          <w:bCs/>
          <w:sz w:val="24"/>
          <w:szCs w:val="24"/>
        </w:rPr>
        <w:t xml:space="preserve">Health Care System, Organisation and Leadership    </w:t>
      </w:r>
    </w:p>
    <w:p w14:paraId="56F8793C" w14:textId="0E91BFD9" w:rsidR="00F130D7" w:rsidRPr="00F130D7" w:rsidRDefault="00F130D7" w:rsidP="00F130D7">
      <w:pPr>
        <w:spacing w:line="360" w:lineRule="auto"/>
        <w:rPr>
          <w:rFonts w:ascii="Arial" w:hAnsi="Arial" w:cs="Arial"/>
          <w:b/>
          <w:bCs/>
          <w:sz w:val="24"/>
          <w:szCs w:val="24"/>
        </w:rPr>
      </w:pPr>
      <w:r w:rsidRPr="00F130D7">
        <w:rPr>
          <w:rFonts w:ascii="Arial" w:hAnsi="Arial" w:cs="Arial"/>
          <w:b/>
          <w:bCs/>
          <w:sz w:val="24"/>
          <w:szCs w:val="24"/>
        </w:rPr>
        <w:t>Module code:</w:t>
      </w:r>
      <w:r w:rsidRPr="00F130D7">
        <w:rPr>
          <w:rFonts w:ascii="Arial" w:hAnsi="Arial" w:cs="Arial"/>
          <w:b/>
          <w:bCs/>
          <w:sz w:val="24"/>
          <w:szCs w:val="24"/>
        </w:rPr>
        <w:tab/>
      </w:r>
      <w:r w:rsidR="00E10AF6">
        <w:rPr>
          <w:rFonts w:ascii="Arial" w:hAnsi="Arial" w:cs="Arial"/>
          <w:b/>
          <w:bCs/>
          <w:sz w:val="24"/>
          <w:szCs w:val="24"/>
        </w:rPr>
        <w:t xml:space="preserve">        </w:t>
      </w:r>
      <w:r w:rsidRPr="00F130D7">
        <w:rPr>
          <w:rFonts w:ascii="Arial" w:hAnsi="Arial" w:cs="Arial"/>
          <w:b/>
          <w:bCs/>
          <w:sz w:val="24"/>
          <w:szCs w:val="24"/>
        </w:rPr>
        <w:t>LCHS7002</w:t>
      </w:r>
    </w:p>
    <w:p w14:paraId="33336653" w14:textId="26B4E56D" w:rsidR="00F130D7" w:rsidRPr="00F130D7" w:rsidRDefault="00F130D7" w:rsidP="00F130D7">
      <w:pPr>
        <w:spacing w:line="360" w:lineRule="auto"/>
        <w:rPr>
          <w:rFonts w:ascii="Arial" w:hAnsi="Arial" w:cs="Arial"/>
          <w:b/>
          <w:bCs/>
          <w:sz w:val="24"/>
          <w:szCs w:val="24"/>
        </w:rPr>
      </w:pPr>
      <w:r w:rsidRPr="00F130D7">
        <w:rPr>
          <w:rFonts w:ascii="Arial" w:hAnsi="Arial" w:cs="Arial"/>
          <w:b/>
          <w:bCs/>
          <w:sz w:val="24"/>
          <w:szCs w:val="24"/>
        </w:rPr>
        <w:t>Lecturer:</w:t>
      </w:r>
      <w:r w:rsidRPr="00F130D7">
        <w:rPr>
          <w:rFonts w:ascii="Arial" w:hAnsi="Arial" w:cs="Arial"/>
          <w:b/>
          <w:bCs/>
          <w:sz w:val="24"/>
          <w:szCs w:val="24"/>
        </w:rPr>
        <w:tab/>
      </w:r>
      <w:r w:rsidR="00E10AF6">
        <w:rPr>
          <w:rFonts w:ascii="Arial" w:hAnsi="Arial" w:cs="Arial"/>
          <w:b/>
          <w:bCs/>
          <w:sz w:val="24"/>
          <w:szCs w:val="24"/>
        </w:rPr>
        <w:t xml:space="preserve">                   </w:t>
      </w:r>
      <w:r w:rsidRPr="00F130D7">
        <w:rPr>
          <w:rFonts w:ascii="Arial" w:hAnsi="Arial" w:cs="Arial"/>
          <w:b/>
          <w:bCs/>
          <w:sz w:val="24"/>
          <w:szCs w:val="24"/>
        </w:rPr>
        <w:t>Dr Fahad Khan</w:t>
      </w:r>
    </w:p>
    <w:p w14:paraId="55E95478" w14:textId="0B2D1512" w:rsidR="00F130D7" w:rsidRPr="00F130D7" w:rsidRDefault="00F130D7" w:rsidP="00F130D7">
      <w:pPr>
        <w:spacing w:line="360" w:lineRule="auto"/>
        <w:rPr>
          <w:rFonts w:ascii="Arial" w:hAnsi="Arial" w:cs="Arial"/>
          <w:b/>
          <w:bCs/>
          <w:sz w:val="24"/>
          <w:szCs w:val="24"/>
        </w:rPr>
      </w:pPr>
      <w:r w:rsidRPr="00F130D7">
        <w:rPr>
          <w:rFonts w:ascii="Arial" w:hAnsi="Arial" w:cs="Arial"/>
          <w:b/>
          <w:bCs/>
          <w:sz w:val="24"/>
          <w:szCs w:val="24"/>
        </w:rPr>
        <w:t>Assignment Title:</w:t>
      </w:r>
      <w:r w:rsidRPr="00F130D7">
        <w:rPr>
          <w:rFonts w:ascii="Arial" w:hAnsi="Arial" w:cs="Arial"/>
          <w:b/>
          <w:bCs/>
          <w:sz w:val="24"/>
          <w:szCs w:val="24"/>
        </w:rPr>
        <w:tab/>
      </w:r>
      <w:r w:rsidR="00E10AF6">
        <w:rPr>
          <w:rFonts w:ascii="Arial" w:hAnsi="Arial" w:cs="Arial"/>
          <w:b/>
          <w:bCs/>
          <w:sz w:val="24"/>
          <w:szCs w:val="24"/>
        </w:rPr>
        <w:t xml:space="preserve">        </w:t>
      </w:r>
      <w:r w:rsidRPr="00F130D7">
        <w:rPr>
          <w:rFonts w:ascii="Arial" w:hAnsi="Arial" w:cs="Arial"/>
          <w:b/>
          <w:bCs/>
          <w:sz w:val="24"/>
          <w:szCs w:val="24"/>
        </w:rPr>
        <w:t xml:space="preserve">Case Study Analysis Report:   </w:t>
      </w:r>
    </w:p>
    <w:p w14:paraId="750F0130" w14:textId="38CC2826" w:rsidR="00AA49B3" w:rsidRDefault="00E10AF6" w:rsidP="00F130D7">
      <w:pPr>
        <w:spacing w:line="360" w:lineRule="auto"/>
        <w:rPr>
          <w:rFonts w:ascii="Arial" w:hAnsi="Arial" w:cs="Arial"/>
          <w:b/>
          <w:bCs/>
          <w:sz w:val="24"/>
          <w:szCs w:val="24"/>
        </w:rPr>
      </w:pPr>
      <w:r>
        <w:rPr>
          <w:rFonts w:ascii="Arial" w:hAnsi="Arial" w:cs="Arial"/>
          <w:b/>
          <w:bCs/>
          <w:sz w:val="24"/>
          <w:szCs w:val="24"/>
        </w:rPr>
        <w:t xml:space="preserve">                                         </w:t>
      </w:r>
      <w:r w:rsidR="00F130D7" w:rsidRPr="00F130D7">
        <w:rPr>
          <w:rFonts w:ascii="Arial" w:hAnsi="Arial" w:cs="Arial"/>
          <w:b/>
          <w:bCs/>
          <w:sz w:val="24"/>
          <w:szCs w:val="24"/>
        </w:rPr>
        <w:t xml:space="preserve">Comparative report on COVID19 leadership responses     </w:t>
      </w:r>
    </w:p>
    <w:p w14:paraId="2D2ED0C7" w14:textId="77777777" w:rsidR="00AA49B3" w:rsidRDefault="00AA49B3" w:rsidP="003D65B8">
      <w:pPr>
        <w:spacing w:line="360" w:lineRule="auto"/>
        <w:rPr>
          <w:rFonts w:ascii="Arial" w:hAnsi="Arial" w:cs="Arial"/>
          <w:b/>
          <w:bCs/>
          <w:sz w:val="24"/>
          <w:szCs w:val="24"/>
        </w:rPr>
      </w:pPr>
    </w:p>
    <w:p w14:paraId="0452853B" w14:textId="77777777" w:rsidR="00AA49B3" w:rsidRDefault="00AA49B3" w:rsidP="003D65B8">
      <w:pPr>
        <w:spacing w:line="360" w:lineRule="auto"/>
        <w:rPr>
          <w:rFonts w:ascii="Arial" w:hAnsi="Arial" w:cs="Arial"/>
          <w:b/>
          <w:bCs/>
          <w:sz w:val="24"/>
          <w:szCs w:val="24"/>
        </w:rPr>
      </w:pPr>
    </w:p>
    <w:p w14:paraId="319F7E20" w14:textId="77777777" w:rsidR="00AA49B3" w:rsidRDefault="00AA49B3" w:rsidP="003D65B8">
      <w:pPr>
        <w:spacing w:line="360" w:lineRule="auto"/>
        <w:rPr>
          <w:rFonts w:ascii="Arial" w:hAnsi="Arial" w:cs="Arial"/>
          <w:b/>
          <w:bCs/>
          <w:sz w:val="24"/>
          <w:szCs w:val="24"/>
        </w:rPr>
      </w:pPr>
    </w:p>
    <w:p w14:paraId="477383D5" w14:textId="77777777" w:rsidR="00AA49B3" w:rsidRDefault="00AA49B3" w:rsidP="003D65B8">
      <w:pPr>
        <w:spacing w:line="360" w:lineRule="auto"/>
        <w:rPr>
          <w:rFonts w:ascii="Arial" w:hAnsi="Arial" w:cs="Arial"/>
          <w:b/>
          <w:bCs/>
          <w:sz w:val="24"/>
          <w:szCs w:val="24"/>
        </w:rPr>
      </w:pPr>
    </w:p>
    <w:p w14:paraId="3F8C502B" w14:textId="77777777" w:rsidR="00AA49B3" w:rsidRDefault="00AA49B3" w:rsidP="003D65B8">
      <w:pPr>
        <w:spacing w:line="360" w:lineRule="auto"/>
        <w:rPr>
          <w:rFonts w:ascii="Arial" w:hAnsi="Arial" w:cs="Arial"/>
          <w:b/>
          <w:bCs/>
          <w:sz w:val="24"/>
          <w:szCs w:val="24"/>
        </w:rPr>
      </w:pPr>
    </w:p>
    <w:p w14:paraId="7B6F04AC" w14:textId="77777777" w:rsidR="00AA49B3" w:rsidRDefault="00AA49B3" w:rsidP="003D65B8">
      <w:pPr>
        <w:spacing w:line="360" w:lineRule="auto"/>
        <w:rPr>
          <w:rFonts w:ascii="Arial" w:hAnsi="Arial" w:cs="Arial"/>
          <w:b/>
          <w:bCs/>
          <w:sz w:val="24"/>
          <w:szCs w:val="24"/>
        </w:rPr>
      </w:pPr>
    </w:p>
    <w:p w14:paraId="158B8604" w14:textId="77777777" w:rsidR="00AA49B3" w:rsidRDefault="00AA49B3" w:rsidP="003D65B8">
      <w:pPr>
        <w:spacing w:line="360" w:lineRule="auto"/>
        <w:rPr>
          <w:rFonts w:ascii="Arial" w:hAnsi="Arial" w:cs="Arial"/>
          <w:b/>
          <w:bCs/>
          <w:sz w:val="24"/>
          <w:szCs w:val="24"/>
        </w:rPr>
      </w:pPr>
    </w:p>
    <w:p w14:paraId="4F628726" w14:textId="77777777" w:rsidR="00AA49B3" w:rsidRDefault="00AA49B3" w:rsidP="003D65B8">
      <w:pPr>
        <w:spacing w:line="360" w:lineRule="auto"/>
        <w:rPr>
          <w:rFonts w:ascii="Arial" w:hAnsi="Arial" w:cs="Arial"/>
          <w:b/>
          <w:bCs/>
          <w:sz w:val="24"/>
          <w:szCs w:val="24"/>
        </w:rPr>
      </w:pPr>
    </w:p>
    <w:p w14:paraId="7D9EFD32" w14:textId="77777777" w:rsidR="00AA49B3" w:rsidRDefault="00AA49B3" w:rsidP="003D65B8">
      <w:pPr>
        <w:spacing w:line="360" w:lineRule="auto"/>
        <w:rPr>
          <w:rFonts w:ascii="Arial" w:hAnsi="Arial" w:cs="Arial"/>
          <w:b/>
          <w:bCs/>
          <w:sz w:val="24"/>
          <w:szCs w:val="24"/>
        </w:rPr>
      </w:pPr>
    </w:p>
    <w:p w14:paraId="4001285D" w14:textId="77777777" w:rsidR="00AA49B3" w:rsidRDefault="00AA49B3" w:rsidP="003D65B8">
      <w:pPr>
        <w:spacing w:line="360" w:lineRule="auto"/>
        <w:rPr>
          <w:rFonts w:ascii="Arial" w:hAnsi="Arial" w:cs="Arial"/>
          <w:b/>
          <w:bCs/>
          <w:sz w:val="24"/>
          <w:szCs w:val="24"/>
        </w:rPr>
      </w:pPr>
    </w:p>
    <w:p w14:paraId="612918AA" w14:textId="77777777" w:rsidR="00AA49B3" w:rsidRDefault="00AA49B3" w:rsidP="003D65B8">
      <w:pPr>
        <w:spacing w:line="360" w:lineRule="auto"/>
        <w:rPr>
          <w:rFonts w:ascii="Arial" w:hAnsi="Arial" w:cs="Arial"/>
          <w:b/>
          <w:bCs/>
          <w:sz w:val="24"/>
          <w:szCs w:val="24"/>
        </w:rPr>
      </w:pPr>
    </w:p>
    <w:p w14:paraId="356E23EE" w14:textId="77777777" w:rsidR="00AA49B3" w:rsidRDefault="00AA49B3" w:rsidP="003D65B8">
      <w:pPr>
        <w:spacing w:line="360" w:lineRule="auto"/>
        <w:rPr>
          <w:rFonts w:ascii="Arial" w:hAnsi="Arial" w:cs="Arial"/>
          <w:b/>
          <w:bCs/>
          <w:sz w:val="24"/>
          <w:szCs w:val="24"/>
        </w:rPr>
      </w:pPr>
    </w:p>
    <w:p w14:paraId="0CFD5481" w14:textId="77777777" w:rsidR="00AA49B3" w:rsidRDefault="00AA49B3" w:rsidP="003D65B8">
      <w:pPr>
        <w:spacing w:line="360" w:lineRule="auto"/>
        <w:rPr>
          <w:rFonts w:ascii="Arial" w:hAnsi="Arial" w:cs="Arial"/>
          <w:b/>
          <w:bCs/>
          <w:sz w:val="24"/>
          <w:szCs w:val="24"/>
        </w:rPr>
      </w:pPr>
    </w:p>
    <w:p w14:paraId="1EF88F75" w14:textId="493B8468" w:rsidR="00693145" w:rsidRDefault="00CF5C4C" w:rsidP="003D65B8">
      <w:pPr>
        <w:spacing w:line="360" w:lineRule="auto"/>
        <w:rPr>
          <w:rFonts w:ascii="Arial" w:hAnsi="Arial" w:cs="Arial"/>
          <w:b/>
          <w:bCs/>
          <w:sz w:val="24"/>
          <w:szCs w:val="24"/>
        </w:rPr>
      </w:pPr>
      <w:r>
        <w:rPr>
          <w:rFonts w:ascii="Arial" w:hAnsi="Arial" w:cs="Arial"/>
          <w:b/>
          <w:bCs/>
          <w:sz w:val="24"/>
          <w:szCs w:val="24"/>
        </w:rPr>
        <w:t>Content Page</w:t>
      </w:r>
    </w:p>
    <w:p w14:paraId="04302281" w14:textId="67AD5DA1" w:rsidR="00F426C6" w:rsidRPr="00F426C6" w:rsidRDefault="00F426C6" w:rsidP="003D65B8">
      <w:pPr>
        <w:spacing w:line="360" w:lineRule="auto"/>
        <w:rPr>
          <w:rFonts w:ascii="Arial" w:hAnsi="Arial" w:cs="Arial"/>
        </w:rPr>
      </w:pPr>
      <w:r w:rsidRPr="00F426C6">
        <w:rPr>
          <w:rFonts w:ascii="Arial" w:hAnsi="Arial" w:cs="Arial"/>
        </w:rPr>
        <w:t>Executive Summary</w:t>
      </w:r>
      <w:r w:rsidR="0066231B">
        <w:rPr>
          <w:rFonts w:ascii="Arial" w:hAnsi="Arial" w:cs="Arial"/>
        </w:rPr>
        <w:t>……………………………………………………………</w:t>
      </w:r>
      <w:r w:rsidR="00B31676">
        <w:rPr>
          <w:rFonts w:ascii="Arial" w:hAnsi="Arial" w:cs="Arial"/>
        </w:rPr>
        <w:t>.</w:t>
      </w:r>
      <w:r w:rsidR="0066231B">
        <w:rPr>
          <w:rFonts w:ascii="Arial" w:hAnsi="Arial" w:cs="Arial"/>
        </w:rPr>
        <w:t>…………</w:t>
      </w:r>
      <w:r w:rsidR="00FE0ECE">
        <w:rPr>
          <w:rFonts w:ascii="Arial" w:hAnsi="Arial" w:cs="Arial"/>
        </w:rPr>
        <w:t>3</w:t>
      </w:r>
      <w:r w:rsidR="00AC1F0B">
        <w:rPr>
          <w:rFonts w:ascii="Arial" w:hAnsi="Arial" w:cs="Arial"/>
        </w:rPr>
        <w:t>.</w:t>
      </w:r>
    </w:p>
    <w:p w14:paraId="1B2815C2" w14:textId="37EF055C" w:rsidR="00313774" w:rsidRPr="00F426C6" w:rsidRDefault="00477B42" w:rsidP="003D65B8">
      <w:pPr>
        <w:spacing w:line="360" w:lineRule="auto"/>
        <w:rPr>
          <w:rFonts w:ascii="Arial" w:hAnsi="Arial" w:cs="Arial"/>
        </w:rPr>
      </w:pPr>
      <w:r w:rsidRPr="00F426C6">
        <w:rPr>
          <w:rFonts w:ascii="Arial" w:hAnsi="Arial" w:cs="Arial"/>
        </w:rPr>
        <w:t xml:space="preserve">1 </w:t>
      </w:r>
      <w:r w:rsidR="009215E3">
        <w:rPr>
          <w:rFonts w:ascii="Arial" w:hAnsi="Arial" w:cs="Arial"/>
        </w:rPr>
        <w:t xml:space="preserve">   </w:t>
      </w:r>
      <w:r w:rsidR="00313774" w:rsidRPr="00F426C6">
        <w:rPr>
          <w:rFonts w:ascii="Arial" w:hAnsi="Arial" w:cs="Arial"/>
        </w:rPr>
        <w:t>Introdu</w:t>
      </w:r>
      <w:r w:rsidR="007A7DE4" w:rsidRPr="00F426C6">
        <w:rPr>
          <w:rFonts w:ascii="Arial" w:hAnsi="Arial" w:cs="Arial"/>
        </w:rPr>
        <w:t>ctio</w:t>
      </w:r>
      <w:r w:rsidRPr="00F426C6">
        <w:rPr>
          <w:rFonts w:ascii="Arial" w:hAnsi="Arial" w:cs="Arial"/>
        </w:rPr>
        <w:t>n</w:t>
      </w:r>
      <w:r w:rsidR="00FE0ECE">
        <w:rPr>
          <w:rFonts w:ascii="Arial" w:hAnsi="Arial" w:cs="Arial"/>
        </w:rPr>
        <w:t>………………………………………………………………………</w:t>
      </w:r>
      <w:r w:rsidR="00B31676">
        <w:rPr>
          <w:rFonts w:ascii="Arial" w:hAnsi="Arial" w:cs="Arial"/>
        </w:rPr>
        <w:t>.</w:t>
      </w:r>
      <w:r w:rsidR="00FE0ECE">
        <w:rPr>
          <w:rFonts w:ascii="Arial" w:hAnsi="Arial" w:cs="Arial"/>
        </w:rPr>
        <w:t>……4</w:t>
      </w:r>
      <w:r w:rsidR="00AC1F0B">
        <w:rPr>
          <w:rFonts w:ascii="Arial" w:hAnsi="Arial" w:cs="Arial"/>
        </w:rPr>
        <w:t>.</w:t>
      </w:r>
    </w:p>
    <w:p w14:paraId="760D8126" w14:textId="404BD31E" w:rsidR="00AC7199" w:rsidRPr="00B47E9F" w:rsidRDefault="009215E3" w:rsidP="00B47E9F">
      <w:pPr>
        <w:spacing w:line="360" w:lineRule="auto"/>
        <w:rPr>
          <w:rFonts w:ascii="Arial" w:hAnsi="Arial" w:cs="Arial"/>
        </w:rPr>
      </w:pPr>
      <w:r>
        <w:rPr>
          <w:rFonts w:ascii="Arial" w:hAnsi="Arial" w:cs="Arial"/>
        </w:rPr>
        <w:t xml:space="preserve">1.1  </w:t>
      </w:r>
      <w:r w:rsidR="00477B42" w:rsidRPr="00B47E9F">
        <w:rPr>
          <w:rFonts w:ascii="Arial" w:hAnsi="Arial" w:cs="Arial"/>
        </w:rPr>
        <w:t>Rich Pictur</w:t>
      </w:r>
      <w:r w:rsidR="00F426C6" w:rsidRPr="00B47E9F">
        <w:rPr>
          <w:rFonts w:ascii="Arial" w:hAnsi="Arial" w:cs="Arial"/>
        </w:rPr>
        <w:t>e</w:t>
      </w:r>
      <w:r w:rsidR="00FE0ECE">
        <w:rPr>
          <w:rFonts w:ascii="Arial" w:hAnsi="Arial" w:cs="Arial"/>
        </w:rPr>
        <w:t>………………………………………………………………………….5-8</w:t>
      </w:r>
      <w:r w:rsidR="00AC1F0B">
        <w:rPr>
          <w:rFonts w:ascii="Arial" w:hAnsi="Arial" w:cs="Arial"/>
        </w:rPr>
        <w:t>.</w:t>
      </w:r>
    </w:p>
    <w:p w14:paraId="5B47E962" w14:textId="650307B7" w:rsidR="00F426C6" w:rsidRDefault="00F426C6" w:rsidP="00F426C6">
      <w:pPr>
        <w:spacing w:line="360" w:lineRule="auto"/>
        <w:rPr>
          <w:rFonts w:ascii="Arial" w:hAnsi="Arial" w:cs="Arial"/>
        </w:rPr>
      </w:pPr>
      <w:r w:rsidRPr="00B47E9F">
        <w:rPr>
          <w:rFonts w:ascii="Arial" w:hAnsi="Arial" w:cs="Arial"/>
        </w:rPr>
        <w:t xml:space="preserve">2 </w:t>
      </w:r>
      <w:r w:rsidR="006E60A3">
        <w:rPr>
          <w:rFonts w:ascii="Arial" w:hAnsi="Arial" w:cs="Arial"/>
        </w:rPr>
        <w:t>.</w:t>
      </w:r>
      <w:r w:rsidR="00A9697F">
        <w:rPr>
          <w:rFonts w:ascii="Arial" w:hAnsi="Arial" w:cs="Arial"/>
        </w:rPr>
        <w:t xml:space="preserve"> </w:t>
      </w:r>
      <w:r w:rsidR="0017246C" w:rsidRPr="0017246C">
        <w:rPr>
          <w:rFonts w:ascii="Arial" w:hAnsi="Arial" w:cs="Arial"/>
        </w:rPr>
        <w:t>Centralisation and Decentralisation: Key Concepts</w:t>
      </w:r>
      <w:r w:rsidR="00B31676">
        <w:rPr>
          <w:rFonts w:ascii="Arial" w:hAnsi="Arial" w:cs="Arial"/>
        </w:rPr>
        <w:t>………………………………</w:t>
      </w:r>
      <w:r w:rsidR="00DD2A7C">
        <w:rPr>
          <w:rFonts w:ascii="Arial" w:hAnsi="Arial" w:cs="Arial"/>
        </w:rPr>
        <w:t>9</w:t>
      </w:r>
      <w:r w:rsidR="00AC1F0B">
        <w:rPr>
          <w:rFonts w:ascii="Arial" w:hAnsi="Arial" w:cs="Arial"/>
        </w:rPr>
        <w:t>.</w:t>
      </w:r>
    </w:p>
    <w:p w14:paraId="11EEAB61" w14:textId="04DE7389" w:rsidR="000F2603" w:rsidRDefault="000F2603" w:rsidP="00F426C6">
      <w:pPr>
        <w:spacing w:line="360" w:lineRule="auto"/>
        <w:rPr>
          <w:rFonts w:ascii="Arial" w:hAnsi="Arial" w:cs="Arial"/>
        </w:rPr>
      </w:pPr>
      <w:r w:rsidRPr="000F2603">
        <w:rPr>
          <w:rFonts w:ascii="Arial" w:hAnsi="Arial" w:cs="Arial"/>
        </w:rPr>
        <w:t>2.1 Spain: Decentralised Health System and Pandemic Response</w:t>
      </w:r>
      <w:r w:rsidR="00DD2A7C">
        <w:rPr>
          <w:rFonts w:ascii="Arial" w:hAnsi="Arial" w:cs="Arial"/>
        </w:rPr>
        <w:t>……………….10-12</w:t>
      </w:r>
      <w:r w:rsidR="00AC1F0B">
        <w:rPr>
          <w:rFonts w:ascii="Arial" w:hAnsi="Arial" w:cs="Arial"/>
        </w:rPr>
        <w:t>.</w:t>
      </w:r>
    </w:p>
    <w:p w14:paraId="19FA8FC5" w14:textId="2EA82D4B" w:rsidR="0038777C" w:rsidRDefault="0038777C" w:rsidP="0038777C">
      <w:pPr>
        <w:spacing w:line="360" w:lineRule="auto"/>
        <w:rPr>
          <w:rFonts w:ascii="Arial" w:hAnsi="Arial" w:cs="Arial"/>
        </w:rPr>
      </w:pPr>
      <w:r w:rsidRPr="0038777C">
        <w:rPr>
          <w:rFonts w:ascii="Arial" w:hAnsi="Arial" w:cs="Arial"/>
        </w:rPr>
        <w:t>2.1 South Korea’s Centralised Governance and COVID-19 Response</w:t>
      </w:r>
      <w:r w:rsidR="00DD2A7C">
        <w:rPr>
          <w:rFonts w:ascii="Arial" w:hAnsi="Arial" w:cs="Arial"/>
        </w:rPr>
        <w:t>………</w:t>
      </w:r>
      <w:r w:rsidR="00AC1F0B">
        <w:rPr>
          <w:rFonts w:ascii="Arial" w:hAnsi="Arial" w:cs="Arial"/>
        </w:rPr>
        <w:t>….</w:t>
      </w:r>
      <w:r w:rsidR="009B216C">
        <w:rPr>
          <w:rFonts w:ascii="Arial" w:hAnsi="Arial" w:cs="Arial"/>
        </w:rPr>
        <w:t>13-15</w:t>
      </w:r>
      <w:r w:rsidR="00AC1F0B">
        <w:rPr>
          <w:rFonts w:ascii="Arial" w:hAnsi="Arial" w:cs="Arial"/>
        </w:rPr>
        <w:t>.</w:t>
      </w:r>
    </w:p>
    <w:p w14:paraId="195A0B9D" w14:textId="1A0AE2B6" w:rsidR="0038777C" w:rsidRDefault="0038777C" w:rsidP="0038777C">
      <w:pPr>
        <w:spacing w:line="360" w:lineRule="auto"/>
        <w:rPr>
          <w:rFonts w:ascii="Arial" w:hAnsi="Arial" w:cs="Arial"/>
        </w:rPr>
      </w:pPr>
      <w:r w:rsidRPr="0038777C">
        <w:rPr>
          <w:rFonts w:ascii="Arial" w:hAnsi="Arial" w:cs="Arial"/>
        </w:rPr>
        <w:t>2.</w:t>
      </w:r>
      <w:r>
        <w:rPr>
          <w:rFonts w:ascii="Arial" w:hAnsi="Arial" w:cs="Arial"/>
        </w:rPr>
        <w:t xml:space="preserve">1 </w:t>
      </w:r>
      <w:r w:rsidRPr="0038777C">
        <w:rPr>
          <w:rFonts w:ascii="Arial" w:hAnsi="Arial" w:cs="Arial"/>
        </w:rPr>
        <w:t>Canada's Decentralised Healthcare System and COVID-19 Response</w:t>
      </w:r>
      <w:r w:rsidR="009B216C">
        <w:rPr>
          <w:rFonts w:ascii="Arial" w:hAnsi="Arial" w:cs="Arial"/>
        </w:rPr>
        <w:t>…….</w:t>
      </w:r>
      <w:r w:rsidR="00C52F83">
        <w:rPr>
          <w:rFonts w:ascii="Arial" w:hAnsi="Arial" w:cs="Arial"/>
        </w:rPr>
        <w:t>16-</w:t>
      </w:r>
      <w:r w:rsidR="00AC1F0B">
        <w:rPr>
          <w:rFonts w:ascii="Arial" w:hAnsi="Arial" w:cs="Arial"/>
        </w:rPr>
        <w:t>19.</w:t>
      </w:r>
    </w:p>
    <w:p w14:paraId="10292D37" w14:textId="31F18869" w:rsidR="00537E31" w:rsidRDefault="00537E31" w:rsidP="0038777C">
      <w:pPr>
        <w:spacing w:line="360" w:lineRule="auto"/>
        <w:rPr>
          <w:rFonts w:ascii="Arial" w:hAnsi="Arial" w:cs="Arial"/>
        </w:rPr>
      </w:pPr>
      <w:r>
        <w:rPr>
          <w:rFonts w:ascii="Arial" w:hAnsi="Arial" w:cs="Arial"/>
        </w:rPr>
        <w:t>3</w:t>
      </w:r>
      <w:r w:rsidR="006E60A3">
        <w:rPr>
          <w:rFonts w:ascii="Arial" w:hAnsi="Arial" w:cs="Arial"/>
        </w:rPr>
        <w:t>. Leadership Style’s</w:t>
      </w:r>
      <w:r w:rsidR="00C52F83">
        <w:rPr>
          <w:rFonts w:ascii="Arial" w:hAnsi="Arial" w:cs="Arial"/>
        </w:rPr>
        <w:t>………………………………………………………………</w:t>
      </w:r>
      <w:r w:rsidR="00AC1F0B">
        <w:rPr>
          <w:rFonts w:ascii="Arial" w:hAnsi="Arial" w:cs="Arial"/>
        </w:rPr>
        <w:t>….</w:t>
      </w:r>
      <w:r w:rsidR="00C52F83">
        <w:rPr>
          <w:rFonts w:ascii="Arial" w:hAnsi="Arial" w:cs="Arial"/>
        </w:rPr>
        <w:t>…20</w:t>
      </w:r>
      <w:r w:rsidR="00AC1F0B">
        <w:rPr>
          <w:rFonts w:ascii="Arial" w:hAnsi="Arial" w:cs="Arial"/>
        </w:rPr>
        <w:t>.</w:t>
      </w:r>
    </w:p>
    <w:p w14:paraId="189F2CAE" w14:textId="480A7484" w:rsidR="006E60A3" w:rsidRDefault="006E60A3" w:rsidP="0038777C">
      <w:pPr>
        <w:spacing w:line="360" w:lineRule="auto"/>
        <w:rPr>
          <w:rFonts w:ascii="Arial" w:hAnsi="Arial" w:cs="Arial"/>
        </w:rPr>
      </w:pPr>
      <w:r w:rsidRPr="006E60A3">
        <w:rPr>
          <w:rFonts w:ascii="Arial" w:hAnsi="Arial" w:cs="Arial"/>
        </w:rPr>
        <w:t>3.1 Leadership Styles in Spain: Pedro Sánchez's Pandemic Response</w:t>
      </w:r>
      <w:r w:rsidR="00C52F83">
        <w:rPr>
          <w:rFonts w:ascii="Arial" w:hAnsi="Arial" w:cs="Arial"/>
        </w:rPr>
        <w:t>…………</w:t>
      </w:r>
      <w:r w:rsidR="004B5377">
        <w:rPr>
          <w:rFonts w:ascii="Arial" w:hAnsi="Arial" w:cs="Arial"/>
        </w:rPr>
        <w:t>.21-23</w:t>
      </w:r>
      <w:r w:rsidR="00AC1F0B">
        <w:rPr>
          <w:rFonts w:ascii="Arial" w:hAnsi="Arial" w:cs="Arial"/>
        </w:rPr>
        <w:t>.</w:t>
      </w:r>
    </w:p>
    <w:p w14:paraId="7D391471" w14:textId="77777777" w:rsidR="004F06ED" w:rsidRDefault="00A9697F" w:rsidP="0038777C">
      <w:pPr>
        <w:spacing w:line="360" w:lineRule="auto"/>
        <w:rPr>
          <w:rFonts w:ascii="Arial" w:hAnsi="Arial" w:cs="Arial"/>
        </w:rPr>
      </w:pPr>
      <w:r w:rsidRPr="00A9697F">
        <w:rPr>
          <w:rFonts w:ascii="Arial" w:hAnsi="Arial" w:cs="Arial"/>
        </w:rPr>
        <w:t xml:space="preserve">3.2 Leadership Styles in South Korea: President Moon Jae-in's Pandemic </w:t>
      </w:r>
    </w:p>
    <w:p w14:paraId="5FC3EB1E" w14:textId="4C573148" w:rsidR="00A9697F" w:rsidRDefault="00A9697F" w:rsidP="0038777C">
      <w:pPr>
        <w:spacing w:line="360" w:lineRule="auto"/>
        <w:rPr>
          <w:rFonts w:ascii="Arial" w:hAnsi="Arial" w:cs="Arial"/>
        </w:rPr>
      </w:pPr>
      <w:r w:rsidRPr="00A9697F">
        <w:rPr>
          <w:rFonts w:ascii="Arial" w:hAnsi="Arial" w:cs="Arial"/>
        </w:rPr>
        <w:t>Response</w:t>
      </w:r>
      <w:r w:rsidR="004B5377">
        <w:rPr>
          <w:rFonts w:ascii="Arial" w:hAnsi="Arial" w:cs="Arial"/>
        </w:rPr>
        <w:t>…</w:t>
      </w:r>
      <w:r w:rsidR="004F06ED">
        <w:rPr>
          <w:rFonts w:ascii="Arial" w:hAnsi="Arial" w:cs="Arial"/>
        </w:rPr>
        <w:t>…</w:t>
      </w:r>
      <w:r w:rsidR="00575143">
        <w:rPr>
          <w:rFonts w:ascii="Arial" w:hAnsi="Arial" w:cs="Arial"/>
        </w:rPr>
        <w:t>……………………………………………………………………………</w:t>
      </w:r>
      <w:r w:rsidR="004F06ED">
        <w:rPr>
          <w:rFonts w:ascii="Arial" w:hAnsi="Arial" w:cs="Arial"/>
        </w:rPr>
        <w:t>24-26</w:t>
      </w:r>
      <w:r w:rsidR="00AC1F0B">
        <w:rPr>
          <w:rFonts w:ascii="Arial" w:hAnsi="Arial" w:cs="Arial"/>
        </w:rPr>
        <w:t>.</w:t>
      </w:r>
    </w:p>
    <w:p w14:paraId="1974B7ED" w14:textId="44820DC6" w:rsidR="00A9697F" w:rsidRPr="0038777C" w:rsidRDefault="00A9697F" w:rsidP="0038777C">
      <w:pPr>
        <w:spacing w:line="360" w:lineRule="auto"/>
        <w:rPr>
          <w:rFonts w:ascii="Arial" w:hAnsi="Arial" w:cs="Arial"/>
        </w:rPr>
      </w:pPr>
      <w:r w:rsidRPr="00A9697F">
        <w:rPr>
          <w:rFonts w:ascii="Arial" w:hAnsi="Arial" w:cs="Arial"/>
        </w:rPr>
        <w:t>3.3 Leadership Styles in Canada: Prime Minister Justin Trudeau’s Pandemic Response</w:t>
      </w:r>
      <w:r w:rsidR="004F06ED">
        <w:rPr>
          <w:rFonts w:ascii="Arial" w:hAnsi="Arial" w:cs="Arial"/>
        </w:rPr>
        <w:t>…</w:t>
      </w:r>
      <w:r w:rsidR="00575143">
        <w:rPr>
          <w:rFonts w:ascii="Arial" w:hAnsi="Arial" w:cs="Arial"/>
        </w:rPr>
        <w:t>………………………………………………………………………………</w:t>
      </w:r>
      <w:r w:rsidR="004F06ED">
        <w:rPr>
          <w:rFonts w:ascii="Arial" w:hAnsi="Arial" w:cs="Arial"/>
        </w:rPr>
        <w:t>.27</w:t>
      </w:r>
      <w:r w:rsidR="00575143">
        <w:rPr>
          <w:rFonts w:ascii="Arial" w:hAnsi="Arial" w:cs="Arial"/>
        </w:rPr>
        <w:t>-29</w:t>
      </w:r>
      <w:r w:rsidR="00AC1F0B">
        <w:rPr>
          <w:rFonts w:ascii="Arial" w:hAnsi="Arial" w:cs="Arial"/>
        </w:rPr>
        <w:t>.</w:t>
      </w:r>
    </w:p>
    <w:p w14:paraId="08CCE740" w14:textId="54F21DEE" w:rsidR="0038777C" w:rsidRDefault="004209D7" w:rsidP="00F426C6">
      <w:pPr>
        <w:spacing w:line="360" w:lineRule="auto"/>
        <w:rPr>
          <w:rFonts w:ascii="Arial" w:hAnsi="Arial" w:cs="Arial"/>
        </w:rPr>
      </w:pPr>
      <w:r>
        <w:rPr>
          <w:rFonts w:ascii="Arial" w:hAnsi="Arial" w:cs="Arial"/>
        </w:rPr>
        <w:t xml:space="preserve">4. </w:t>
      </w:r>
      <w:r w:rsidRPr="004209D7">
        <w:rPr>
          <w:rFonts w:ascii="Arial" w:hAnsi="Arial" w:cs="Arial"/>
        </w:rPr>
        <w:t>4. Conclusion of the Report</w:t>
      </w:r>
      <w:r w:rsidR="00575143">
        <w:rPr>
          <w:rFonts w:ascii="Arial" w:hAnsi="Arial" w:cs="Arial"/>
        </w:rPr>
        <w:t>………………………………………………………</w:t>
      </w:r>
      <w:r w:rsidR="00AC1F0B">
        <w:rPr>
          <w:rFonts w:ascii="Arial" w:hAnsi="Arial" w:cs="Arial"/>
        </w:rPr>
        <w:t>….</w:t>
      </w:r>
      <w:r w:rsidR="00575143">
        <w:rPr>
          <w:rFonts w:ascii="Arial" w:hAnsi="Arial" w:cs="Arial"/>
        </w:rPr>
        <w:t>29</w:t>
      </w:r>
      <w:r w:rsidR="00AC1F0B">
        <w:rPr>
          <w:rFonts w:ascii="Arial" w:hAnsi="Arial" w:cs="Arial"/>
        </w:rPr>
        <w:t>.</w:t>
      </w:r>
    </w:p>
    <w:p w14:paraId="007594FC" w14:textId="00EDE713" w:rsidR="004209D7" w:rsidRDefault="004209D7" w:rsidP="00F426C6">
      <w:pPr>
        <w:spacing w:line="360" w:lineRule="auto"/>
        <w:rPr>
          <w:rFonts w:ascii="Arial" w:hAnsi="Arial" w:cs="Arial"/>
        </w:rPr>
      </w:pPr>
      <w:r>
        <w:rPr>
          <w:rFonts w:ascii="Arial" w:hAnsi="Arial" w:cs="Arial"/>
        </w:rPr>
        <w:t>Reference List</w:t>
      </w:r>
      <w:r w:rsidR="00575143">
        <w:rPr>
          <w:rFonts w:ascii="Arial" w:hAnsi="Arial" w:cs="Arial"/>
        </w:rPr>
        <w:t>……………………………………………………………………………</w:t>
      </w:r>
      <w:r w:rsidR="005F6058">
        <w:rPr>
          <w:rFonts w:ascii="Arial" w:hAnsi="Arial" w:cs="Arial"/>
        </w:rPr>
        <w:t>30-</w:t>
      </w:r>
      <w:r w:rsidR="008C56BC">
        <w:rPr>
          <w:rFonts w:ascii="Arial" w:hAnsi="Arial" w:cs="Arial"/>
        </w:rPr>
        <w:t>37</w:t>
      </w:r>
      <w:r w:rsidR="00AC1F0B">
        <w:rPr>
          <w:rFonts w:ascii="Arial" w:hAnsi="Arial" w:cs="Arial"/>
        </w:rPr>
        <w:t>.</w:t>
      </w:r>
    </w:p>
    <w:p w14:paraId="6263A1A4" w14:textId="41C66180" w:rsidR="00B515F2" w:rsidRDefault="00B515F2" w:rsidP="00F426C6">
      <w:pPr>
        <w:spacing w:line="360" w:lineRule="auto"/>
        <w:rPr>
          <w:rFonts w:ascii="Arial" w:hAnsi="Arial" w:cs="Arial"/>
        </w:rPr>
      </w:pPr>
      <w:r>
        <w:rPr>
          <w:rFonts w:ascii="Arial" w:hAnsi="Arial" w:cs="Arial"/>
        </w:rPr>
        <w:t>Appendix</w:t>
      </w:r>
      <w:r w:rsidR="008C56BC">
        <w:rPr>
          <w:rFonts w:ascii="Arial" w:hAnsi="Arial" w:cs="Arial"/>
        </w:rPr>
        <w:t>………………………………………………………………………………</w:t>
      </w:r>
      <w:r w:rsidR="00AC1F0B">
        <w:rPr>
          <w:rFonts w:ascii="Arial" w:hAnsi="Arial" w:cs="Arial"/>
        </w:rPr>
        <w:t>….</w:t>
      </w:r>
      <w:r w:rsidR="008C56BC">
        <w:rPr>
          <w:rFonts w:ascii="Arial" w:hAnsi="Arial" w:cs="Arial"/>
        </w:rPr>
        <w:t>38</w:t>
      </w:r>
      <w:r w:rsidR="00AC1F0B">
        <w:rPr>
          <w:rFonts w:ascii="Arial" w:hAnsi="Arial" w:cs="Arial"/>
        </w:rPr>
        <w:t>.</w:t>
      </w:r>
      <w:r>
        <w:rPr>
          <w:rFonts w:ascii="Arial" w:hAnsi="Arial" w:cs="Arial"/>
        </w:rPr>
        <w:t xml:space="preserve"> </w:t>
      </w:r>
    </w:p>
    <w:p w14:paraId="716E2AF3" w14:textId="77777777" w:rsidR="000F2603" w:rsidRDefault="000F2603" w:rsidP="00F426C6">
      <w:pPr>
        <w:spacing w:line="360" w:lineRule="auto"/>
        <w:rPr>
          <w:rFonts w:ascii="Arial" w:hAnsi="Arial" w:cs="Arial"/>
        </w:rPr>
      </w:pPr>
    </w:p>
    <w:p w14:paraId="682BADEE" w14:textId="77777777" w:rsidR="000F2603" w:rsidRPr="00B47E9F" w:rsidRDefault="000F2603" w:rsidP="00F426C6">
      <w:pPr>
        <w:spacing w:line="360" w:lineRule="auto"/>
        <w:rPr>
          <w:rFonts w:ascii="Arial" w:hAnsi="Arial" w:cs="Arial"/>
        </w:rPr>
      </w:pPr>
    </w:p>
    <w:p w14:paraId="1F998B78" w14:textId="77777777" w:rsidR="00477B42" w:rsidRPr="00477B42" w:rsidRDefault="00477B42" w:rsidP="00AC7199">
      <w:pPr>
        <w:pStyle w:val="ListParagraph"/>
        <w:spacing w:line="360" w:lineRule="auto"/>
        <w:ind w:left="400"/>
        <w:rPr>
          <w:rFonts w:ascii="Arial" w:hAnsi="Arial" w:cs="Arial"/>
          <w:b/>
          <w:bCs/>
          <w:sz w:val="24"/>
          <w:szCs w:val="24"/>
        </w:rPr>
      </w:pPr>
    </w:p>
    <w:p w14:paraId="24105CE6" w14:textId="77777777" w:rsidR="007A7DE4" w:rsidRDefault="007A7DE4" w:rsidP="003D65B8">
      <w:pPr>
        <w:spacing w:line="360" w:lineRule="auto"/>
        <w:rPr>
          <w:rFonts w:ascii="Arial" w:hAnsi="Arial" w:cs="Arial"/>
          <w:b/>
          <w:bCs/>
          <w:sz w:val="24"/>
          <w:szCs w:val="24"/>
        </w:rPr>
      </w:pPr>
    </w:p>
    <w:p w14:paraId="77BC188F" w14:textId="77777777" w:rsidR="00693145" w:rsidRDefault="00693145" w:rsidP="003D65B8">
      <w:pPr>
        <w:spacing w:line="360" w:lineRule="auto"/>
        <w:rPr>
          <w:rFonts w:ascii="Arial" w:hAnsi="Arial" w:cs="Arial"/>
          <w:b/>
          <w:bCs/>
          <w:sz w:val="24"/>
          <w:szCs w:val="24"/>
        </w:rPr>
      </w:pPr>
    </w:p>
    <w:p w14:paraId="5907F217" w14:textId="77777777" w:rsidR="00693145" w:rsidRDefault="00693145" w:rsidP="003D65B8">
      <w:pPr>
        <w:spacing w:line="360" w:lineRule="auto"/>
        <w:rPr>
          <w:rFonts w:ascii="Arial" w:hAnsi="Arial" w:cs="Arial"/>
          <w:b/>
          <w:bCs/>
          <w:sz w:val="24"/>
          <w:szCs w:val="24"/>
        </w:rPr>
      </w:pPr>
    </w:p>
    <w:p w14:paraId="32C0D934" w14:textId="77777777" w:rsidR="00693145" w:rsidRDefault="00693145" w:rsidP="003D65B8">
      <w:pPr>
        <w:spacing w:line="360" w:lineRule="auto"/>
        <w:rPr>
          <w:rFonts w:ascii="Arial" w:hAnsi="Arial" w:cs="Arial"/>
          <w:b/>
          <w:bCs/>
          <w:sz w:val="24"/>
          <w:szCs w:val="24"/>
        </w:rPr>
      </w:pPr>
    </w:p>
    <w:p w14:paraId="1E69DD1B" w14:textId="77777777" w:rsidR="00693145" w:rsidRDefault="00693145" w:rsidP="003D65B8">
      <w:pPr>
        <w:spacing w:line="360" w:lineRule="auto"/>
        <w:rPr>
          <w:rFonts w:ascii="Arial" w:hAnsi="Arial" w:cs="Arial"/>
          <w:b/>
          <w:bCs/>
          <w:sz w:val="24"/>
          <w:szCs w:val="24"/>
        </w:rPr>
      </w:pPr>
    </w:p>
    <w:p w14:paraId="5A5E3837" w14:textId="77777777" w:rsidR="00693145" w:rsidRDefault="00693145" w:rsidP="003D65B8">
      <w:pPr>
        <w:spacing w:line="360" w:lineRule="auto"/>
        <w:rPr>
          <w:rFonts w:ascii="Arial" w:hAnsi="Arial" w:cs="Arial"/>
          <w:b/>
          <w:bCs/>
          <w:sz w:val="24"/>
          <w:szCs w:val="24"/>
        </w:rPr>
      </w:pPr>
    </w:p>
    <w:p w14:paraId="5B6A538C" w14:textId="77777777" w:rsidR="00132164" w:rsidRDefault="00132164" w:rsidP="00121661">
      <w:pPr>
        <w:spacing w:line="360" w:lineRule="auto"/>
        <w:jc w:val="both"/>
        <w:rPr>
          <w:rFonts w:ascii="Arial" w:hAnsi="Arial" w:cs="Arial"/>
          <w:b/>
          <w:bCs/>
          <w:sz w:val="24"/>
          <w:szCs w:val="24"/>
        </w:rPr>
      </w:pPr>
    </w:p>
    <w:p w14:paraId="30F07994" w14:textId="77777777" w:rsidR="00132164" w:rsidRDefault="00132164" w:rsidP="00121661">
      <w:pPr>
        <w:spacing w:line="360" w:lineRule="auto"/>
        <w:jc w:val="both"/>
        <w:rPr>
          <w:rFonts w:ascii="Arial" w:hAnsi="Arial" w:cs="Arial"/>
          <w:b/>
          <w:bCs/>
          <w:sz w:val="24"/>
          <w:szCs w:val="24"/>
        </w:rPr>
      </w:pPr>
    </w:p>
    <w:p w14:paraId="62F5470E" w14:textId="77777777" w:rsidR="00132164" w:rsidRDefault="00132164" w:rsidP="00121661">
      <w:pPr>
        <w:spacing w:line="360" w:lineRule="auto"/>
        <w:jc w:val="both"/>
        <w:rPr>
          <w:rFonts w:ascii="Arial" w:hAnsi="Arial" w:cs="Arial"/>
          <w:b/>
          <w:bCs/>
          <w:sz w:val="24"/>
          <w:szCs w:val="24"/>
        </w:rPr>
      </w:pPr>
    </w:p>
    <w:p w14:paraId="690E38D1" w14:textId="77777777" w:rsidR="00132164" w:rsidRDefault="00132164" w:rsidP="00121661">
      <w:pPr>
        <w:spacing w:line="360" w:lineRule="auto"/>
        <w:jc w:val="both"/>
        <w:rPr>
          <w:rFonts w:ascii="Arial" w:hAnsi="Arial" w:cs="Arial"/>
          <w:b/>
          <w:bCs/>
          <w:sz w:val="24"/>
          <w:szCs w:val="24"/>
        </w:rPr>
      </w:pPr>
    </w:p>
    <w:p w14:paraId="521E828E" w14:textId="77777777" w:rsidR="00132164" w:rsidRDefault="00132164" w:rsidP="00121661">
      <w:pPr>
        <w:spacing w:line="360" w:lineRule="auto"/>
        <w:jc w:val="both"/>
        <w:rPr>
          <w:rFonts w:ascii="Arial" w:hAnsi="Arial" w:cs="Arial"/>
          <w:b/>
          <w:bCs/>
          <w:sz w:val="24"/>
          <w:szCs w:val="24"/>
        </w:rPr>
      </w:pPr>
    </w:p>
    <w:p w14:paraId="07B2DB1D" w14:textId="77777777" w:rsidR="00132164" w:rsidRDefault="00132164" w:rsidP="00121661">
      <w:pPr>
        <w:spacing w:line="360" w:lineRule="auto"/>
        <w:jc w:val="both"/>
        <w:rPr>
          <w:rFonts w:ascii="Arial" w:hAnsi="Arial" w:cs="Arial"/>
          <w:b/>
          <w:bCs/>
          <w:sz w:val="24"/>
          <w:szCs w:val="24"/>
        </w:rPr>
      </w:pPr>
    </w:p>
    <w:p w14:paraId="49B52109" w14:textId="77836B28" w:rsidR="003D65B8" w:rsidRPr="00E837C7" w:rsidRDefault="003D65B8" w:rsidP="00121661">
      <w:pPr>
        <w:spacing w:line="360" w:lineRule="auto"/>
        <w:jc w:val="both"/>
        <w:rPr>
          <w:rFonts w:ascii="Arial" w:hAnsi="Arial" w:cs="Arial"/>
          <w:b/>
          <w:bCs/>
          <w:sz w:val="24"/>
          <w:szCs w:val="24"/>
        </w:rPr>
      </w:pPr>
      <w:r w:rsidRPr="00E837C7">
        <w:rPr>
          <w:rFonts w:ascii="Arial" w:hAnsi="Arial" w:cs="Arial"/>
          <w:b/>
          <w:bCs/>
          <w:sz w:val="24"/>
          <w:szCs w:val="24"/>
        </w:rPr>
        <w:t>Executive Summary</w:t>
      </w:r>
    </w:p>
    <w:p w14:paraId="40208DB6" w14:textId="435DCFDA" w:rsidR="003D65B8" w:rsidRPr="009C08F9" w:rsidRDefault="009C08F9" w:rsidP="00121661">
      <w:pPr>
        <w:spacing w:line="360" w:lineRule="auto"/>
        <w:jc w:val="both"/>
        <w:rPr>
          <w:rFonts w:ascii="Arial" w:hAnsi="Arial" w:cs="Arial"/>
        </w:rPr>
      </w:pPr>
      <w:r w:rsidRPr="009C08F9">
        <w:rPr>
          <w:rFonts w:ascii="Arial" w:hAnsi="Arial" w:cs="Arial"/>
        </w:rPr>
        <w:t>This report presents a comparative analysis of the COVID-19 responses in Spain, South Korea, and Canada, providing practical insights for public health officials, policymakers, researchers, and healthcare administrators. It examines each country’s healthcare system, governance structure, and leadership style. Section 1 introduces centralisation and decentralisation in public health emergencies. Section 2 explores how governance models shaped pandemic strategies: Spain’s devolved system led to fragmentation, South Korea’s centralised model enabled rapid containment, and Canada’s federated structure promoted inclusivity but slowed coordination. Section 3 evaluates the leadership styles of Pedro Sánchez, Moon Jae-in, and Justin Trudeau through behavioural, contingency, and transformational theories, demonstrating how institutional and cultural contexts influence effectiveness. The report concludes by highlighting the need for adaptive leadership and integrated governance to strengthen future crisis management, equipping the reader with actionable strategies.</w:t>
      </w:r>
    </w:p>
    <w:p w14:paraId="3BE944BA" w14:textId="77777777" w:rsidR="003D65B8" w:rsidRDefault="003D65B8" w:rsidP="00121661">
      <w:pPr>
        <w:spacing w:line="360" w:lineRule="auto"/>
        <w:jc w:val="both"/>
        <w:rPr>
          <w:rFonts w:ascii="Arial" w:hAnsi="Arial" w:cs="Arial"/>
          <w:b/>
          <w:bCs/>
          <w:sz w:val="24"/>
          <w:szCs w:val="24"/>
        </w:rPr>
      </w:pPr>
    </w:p>
    <w:p w14:paraId="7EFE6397" w14:textId="77777777" w:rsidR="003D65B8" w:rsidRDefault="003D65B8" w:rsidP="00121661">
      <w:pPr>
        <w:spacing w:line="360" w:lineRule="auto"/>
        <w:jc w:val="both"/>
        <w:rPr>
          <w:rFonts w:ascii="Arial" w:hAnsi="Arial" w:cs="Arial"/>
          <w:b/>
          <w:bCs/>
          <w:sz w:val="24"/>
          <w:szCs w:val="24"/>
        </w:rPr>
      </w:pPr>
    </w:p>
    <w:p w14:paraId="003F97C3" w14:textId="77777777" w:rsidR="003D65B8" w:rsidRDefault="003D65B8" w:rsidP="00121661">
      <w:pPr>
        <w:spacing w:line="360" w:lineRule="auto"/>
        <w:jc w:val="both"/>
        <w:rPr>
          <w:rFonts w:ascii="Arial" w:hAnsi="Arial" w:cs="Arial"/>
          <w:b/>
          <w:bCs/>
          <w:sz w:val="24"/>
          <w:szCs w:val="24"/>
        </w:rPr>
      </w:pPr>
    </w:p>
    <w:p w14:paraId="0107B0D6" w14:textId="77777777" w:rsidR="003A6363" w:rsidRDefault="003A6363" w:rsidP="00121661">
      <w:pPr>
        <w:spacing w:line="360" w:lineRule="auto"/>
        <w:jc w:val="both"/>
        <w:rPr>
          <w:rFonts w:ascii="Arial" w:hAnsi="Arial" w:cs="Arial"/>
          <w:b/>
          <w:bCs/>
          <w:sz w:val="24"/>
          <w:szCs w:val="24"/>
        </w:rPr>
      </w:pPr>
    </w:p>
    <w:p w14:paraId="10D29072" w14:textId="77777777" w:rsidR="009C08F9" w:rsidRDefault="009C08F9" w:rsidP="003744F8">
      <w:pPr>
        <w:spacing w:line="360" w:lineRule="auto"/>
        <w:jc w:val="both"/>
        <w:rPr>
          <w:rFonts w:ascii="Arial" w:hAnsi="Arial" w:cs="Arial"/>
          <w:b/>
          <w:bCs/>
        </w:rPr>
      </w:pPr>
    </w:p>
    <w:p w14:paraId="79064380" w14:textId="77777777" w:rsidR="009C08F9" w:rsidRDefault="009C08F9" w:rsidP="003744F8">
      <w:pPr>
        <w:spacing w:line="360" w:lineRule="auto"/>
        <w:jc w:val="both"/>
        <w:rPr>
          <w:rFonts w:ascii="Arial" w:hAnsi="Arial" w:cs="Arial"/>
          <w:b/>
          <w:bCs/>
        </w:rPr>
      </w:pPr>
    </w:p>
    <w:p w14:paraId="5BE94059" w14:textId="77777777" w:rsidR="009C08F9" w:rsidRDefault="009C08F9" w:rsidP="003744F8">
      <w:pPr>
        <w:spacing w:line="360" w:lineRule="auto"/>
        <w:jc w:val="both"/>
        <w:rPr>
          <w:rFonts w:ascii="Arial" w:hAnsi="Arial" w:cs="Arial"/>
          <w:b/>
          <w:bCs/>
        </w:rPr>
      </w:pPr>
    </w:p>
    <w:p w14:paraId="769BF74F" w14:textId="77777777" w:rsidR="00132164" w:rsidRDefault="00132164" w:rsidP="003744F8">
      <w:pPr>
        <w:spacing w:line="360" w:lineRule="auto"/>
        <w:jc w:val="both"/>
        <w:rPr>
          <w:rFonts w:ascii="Arial" w:hAnsi="Arial" w:cs="Arial"/>
          <w:b/>
          <w:bCs/>
        </w:rPr>
      </w:pPr>
    </w:p>
    <w:p w14:paraId="2E1A4716" w14:textId="77777777" w:rsidR="00132164" w:rsidRDefault="00132164" w:rsidP="003744F8">
      <w:pPr>
        <w:spacing w:line="360" w:lineRule="auto"/>
        <w:jc w:val="both"/>
        <w:rPr>
          <w:rFonts w:ascii="Arial" w:hAnsi="Arial" w:cs="Arial"/>
          <w:b/>
          <w:bCs/>
        </w:rPr>
      </w:pPr>
    </w:p>
    <w:p w14:paraId="616A8ACE" w14:textId="586B7953" w:rsidR="003744F8" w:rsidRPr="003744F8" w:rsidRDefault="003744F8" w:rsidP="003744F8">
      <w:pPr>
        <w:spacing w:line="360" w:lineRule="auto"/>
        <w:jc w:val="both"/>
        <w:rPr>
          <w:rFonts w:ascii="Arial" w:hAnsi="Arial" w:cs="Arial"/>
          <w:b/>
          <w:bCs/>
        </w:rPr>
      </w:pPr>
      <w:r w:rsidRPr="003744F8">
        <w:rPr>
          <w:rFonts w:ascii="Arial" w:hAnsi="Arial" w:cs="Arial"/>
          <w:b/>
          <w:bCs/>
        </w:rPr>
        <w:t>1. Introduction</w:t>
      </w:r>
    </w:p>
    <w:p w14:paraId="4F5BE457" w14:textId="2B8D5383" w:rsidR="003744F8" w:rsidRPr="003744F8" w:rsidRDefault="003744F8" w:rsidP="003744F8">
      <w:pPr>
        <w:spacing w:line="360" w:lineRule="auto"/>
        <w:jc w:val="both"/>
        <w:rPr>
          <w:rFonts w:ascii="Arial" w:hAnsi="Arial" w:cs="Arial"/>
        </w:rPr>
      </w:pPr>
      <w:r w:rsidRPr="003744F8">
        <w:rPr>
          <w:rFonts w:ascii="Arial" w:hAnsi="Arial" w:cs="Arial"/>
        </w:rPr>
        <w:t>The COVID-19 pandemic, caused by the novel coronavirus SARS-CoV-2, emerged in Wuhan, China, in December 2019, with early reports linking severe respiratory infections to a seafood market (</w:t>
      </w:r>
      <w:r w:rsidR="00B23C7F">
        <w:rPr>
          <w:rFonts w:ascii="Arial" w:hAnsi="Arial" w:cs="Arial"/>
        </w:rPr>
        <w:t>Amodio et al.,</w:t>
      </w:r>
      <w:r w:rsidRPr="003744F8">
        <w:rPr>
          <w:rFonts w:ascii="Arial" w:hAnsi="Arial" w:cs="Arial"/>
        </w:rPr>
        <w:t xml:space="preserve"> 20</w:t>
      </w:r>
      <w:r w:rsidR="00B23C7F">
        <w:rPr>
          <w:rFonts w:ascii="Arial" w:hAnsi="Arial" w:cs="Arial"/>
        </w:rPr>
        <w:t>20</w:t>
      </w:r>
      <w:r w:rsidRPr="003744F8">
        <w:rPr>
          <w:rFonts w:ascii="Arial" w:hAnsi="Arial" w:cs="Arial"/>
        </w:rPr>
        <w:t xml:space="preserve">; Huang et al., 2020). Genetic sequencing identified the virus as closely related to bat-borne strains, suggesting a zoonotic origin, possibly via an intermediate host </w:t>
      </w:r>
      <w:r w:rsidR="00BB26FA">
        <w:rPr>
          <w:rFonts w:ascii="Arial" w:hAnsi="Arial" w:cs="Arial"/>
        </w:rPr>
        <w:t>(</w:t>
      </w:r>
      <w:r w:rsidR="00BB26FA" w:rsidRPr="00BB26FA">
        <w:rPr>
          <w:rFonts w:ascii="Arial" w:hAnsi="Arial" w:cs="Arial"/>
        </w:rPr>
        <w:t>Zhou et al., 2021</w:t>
      </w:r>
      <w:r w:rsidR="009F6D9F">
        <w:rPr>
          <w:rFonts w:ascii="Arial" w:hAnsi="Arial" w:cs="Arial"/>
        </w:rPr>
        <w:t xml:space="preserve">; </w:t>
      </w:r>
      <w:r w:rsidR="00031ACA">
        <w:rPr>
          <w:rFonts w:ascii="Arial" w:hAnsi="Arial" w:cs="Arial"/>
        </w:rPr>
        <w:t>Pe</w:t>
      </w:r>
      <w:r w:rsidR="00933425">
        <w:rPr>
          <w:rFonts w:ascii="Arial" w:hAnsi="Arial" w:cs="Arial"/>
        </w:rPr>
        <w:t>kar et al., 2025</w:t>
      </w:r>
      <w:r w:rsidRPr="003744F8">
        <w:rPr>
          <w:rFonts w:ascii="Arial" w:hAnsi="Arial" w:cs="Arial"/>
        </w:rPr>
        <w:t>). Symptoms ranged from mild cough to severe pneumonia, and the virus spread rapidly through airborne transmission and close contact. Governments implemented lockdowns, travel restrictions, and emergency health measures to contain the virus and protect vulnerable populations, with varying success (</w:t>
      </w:r>
      <w:r w:rsidR="00933425">
        <w:rPr>
          <w:rFonts w:ascii="Arial" w:hAnsi="Arial" w:cs="Arial"/>
        </w:rPr>
        <w:t>Pekar</w:t>
      </w:r>
      <w:r w:rsidR="004B08E8">
        <w:rPr>
          <w:rFonts w:ascii="Arial" w:hAnsi="Arial" w:cs="Arial"/>
        </w:rPr>
        <w:t xml:space="preserve"> et al.,</w:t>
      </w:r>
      <w:r w:rsidR="00933425">
        <w:rPr>
          <w:rFonts w:ascii="Arial" w:hAnsi="Arial" w:cs="Arial"/>
        </w:rPr>
        <w:t xml:space="preserve"> 2025</w:t>
      </w:r>
      <w:r w:rsidRPr="003744F8">
        <w:rPr>
          <w:rFonts w:ascii="Arial" w:hAnsi="Arial" w:cs="Arial"/>
        </w:rPr>
        <w:t>). Despite ongoing investigations, the exact transmission pathway remains unclear, prompting the WHO’s Scientific Advisory Group for the Origins of Novel Pathogens (SAGO) to call for further data (</w:t>
      </w:r>
      <w:r w:rsidR="004B08E8">
        <w:rPr>
          <w:rFonts w:ascii="Arial" w:hAnsi="Arial" w:cs="Arial"/>
        </w:rPr>
        <w:t>Pekar et al.</w:t>
      </w:r>
      <w:r w:rsidRPr="003744F8">
        <w:rPr>
          <w:rFonts w:ascii="Arial" w:hAnsi="Arial" w:cs="Arial"/>
        </w:rPr>
        <w:t>, 2025).</w:t>
      </w:r>
    </w:p>
    <w:p w14:paraId="1353BFD7" w14:textId="04B72F87" w:rsidR="003744F8" w:rsidRPr="003744F8" w:rsidRDefault="003744F8" w:rsidP="003744F8">
      <w:pPr>
        <w:spacing w:line="360" w:lineRule="auto"/>
        <w:jc w:val="both"/>
        <w:rPr>
          <w:rFonts w:ascii="Arial" w:hAnsi="Arial" w:cs="Arial"/>
        </w:rPr>
      </w:pPr>
      <w:r w:rsidRPr="003744F8">
        <w:rPr>
          <w:rFonts w:ascii="Arial" w:hAnsi="Arial" w:cs="Arial"/>
        </w:rPr>
        <w:t>Centralisation concentrates decision-making at the national level, enabling uniform policies and rapid resource mobilisation. During the pandemic, many governments centralised authority to coordinate lockdowns, testing, and vaccine distribution (European Observatory on Health Systems and Policies, 202</w:t>
      </w:r>
      <w:r w:rsidR="00922B00">
        <w:rPr>
          <w:rFonts w:ascii="Arial" w:hAnsi="Arial" w:cs="Arial"/>
        </w:rPr>
        <w:t>4</w:t>
      </w:r>
      <w:r w:rsidRPr="003744F8">
        <w:rPr>
          <w:rFonts w:ascii="Arial" w:hAnsi="Arial" w:cs="Arial"/>
        </w:rPr>
        <w:t>). In contrast, decentralisation delegates authority to regional or local bodies, allowing tailored responses but often resulting in fragmented coordination (Greer et al., 202</w:t>
      </w:r>
      <w:r w:rsidR="009F2C52">
        <w:rPr>
          <w:rFonts w:ascii="Arial" w:hAnsi="Arial" w:cs="Arial"/>
        </w:rPr>
        <w:t>0</w:t>
      </w:r>
      <w:r w:rsidRPr="003744F8">
        <w:rPr>
          <w:rFonts w:ascii="Arial" w:hAnsi="Arial" w:cs="Arial"/>
        </w:rPr>
        <w:t>). These structural differences shaped national responses. For example, South Korea’s centralised model enabled swift coordination, while Canada’s decentralised system required intergovernmental collaboration (</w:t>
      </w:r>
      <w:r w:rsidR="004200E4">
        <w:rPr>
          <w:rFonts w:ascii="Arial" w:hAnsi="Arial" w:cs="Arial"/>
        </w:rPr>
        <w:t xml:space="preserve">Boasson and </w:t>
      </w:r>
      <w:r w:rsidRPr="003744F8">
        <w:rPr>
          <w:rFonts w:ascii="Arial" w:hAnsi="Arial" w:cs="Arial"/>
        </w:rPr>
        <w:t>Tatham, 2023).</w:t>
      </w:r>
    </w:p>
    <w:p w14:paraId="4B2A192C" w14:textId="0EF3539B" w:rsidR="003744F8" w:rsidRDefault="003744F8" w:rsidP="003744F8">
      <w:pPr>
        <w:spacing w:line="360" w:lineRule="auto"/>
        <w:jc w:val="both"/>
        <w:rPr>
          <w:rFonts w:ascii="Arial" w:hAnsi="Arial" w:cs="Arial"/>
        </w:rPr>
      </w:pPr>
      <w:r w:rsidRPr="003744F8">
        <w:rPr>
          <w:rFonts w:ascii="Arial" w:hAnsi="Arial" w:cs="Arial"/>
        </w:rPr>
        <w:t>Leadership style also influenced outcomes. Authoritarian leaders make unilateral decisions; participatory leaders foster collaboration; and delegative leaders grant autonomy (Desgourdes et al., 2023; Lewin et al., 1939; Northouse, 2021).</w:t>
      </w:r>
    </w:p>
    <w:p w14:paraId="57762B1F" w14:textId="3A0C8232" w:rsidR="003D65B8" w:rsidRDefault="00C3648D" w:rsidP="00121661">
      <w:pPr>
        <w:spacing w:line="360" w:lineRule="auto"/>
        <w:jc w:val="both"/>
        <w:rPr>
          <w:rFonts w:ascii="Arial" w:hAnsi="Arial" w:cs="Arial"/>
        </w:rPr>
      </w:pPr>
      <w:r>
        <w:rPr>
          <w:rFonts w:ascii="Arial" w:hAnsi="Arial" w:cs="Arial"/>
        </w:rPr>
        <w:t>T</w:t>
      </w:r>
      <w:r w:rsidR="003D65B8" w:rsidRPr="009117BF">
        <w:rPr>
          <w:rFonts w:ascii="Arial" w:hAnsi="Arial" w:cs="Arial"/>
        </w:rPr>
        <w:t xml:space="preserve">his report </w:t>
      </w:r>
      <w:r w:rsidR="003D65B8">
        <w:rPr>
          <w:rFonts w:ascii="Arial" w:hAnsi="Arial" w:cs="Arial"/>
        </w:rPr>
        <w:t xml:space="preserve">will </w:t>
      </w:r>
      <w:r w:rsidR="003D65B8" w:rsidRPr="009117BF">
        <w:rPr>
          <w:rFonts w:ascii="Arial" w:hAnsi="Arial" w:cs="Arial"/>
        </w:rPr>
        <w:t>compare the healthcare systems and pandemic responses of Spain, South Korea, and Canada. It critically analyses how centralisation, decentralisation, and leadership approaches influenced public health outcomes, drawing on peer-reviewed literature to evaluate the effectiveness and equity of each country’s strategy.</w:t>
      </w:r>
    </w:p>
    <w:p w14:paraId="5AC1333D" w14:textId="77777777" w:rsidR="00C3648D" w:rsidRDefault="00C3648D" w:rsidP="00121661">
      <w:pPr>
        <w:spacing w:line="360" w:lineRule="auto"/>
        <w:jc w:val="both"/>
        <w:rPr>
          <w:rFonts w:ascii="Arial" w:hAnsi="Arial" w:cs="Arial"/>
          <w:b/>
          <w:bCs/>
          <w:sz w:val="24"/>
          <w:szCs w:val="24"/>
        </w:rPr>
      </w:pPr>
    </w:p>
    <w:p w14:paraId="29F60191" w14:textId="77777777" w:rsidR="00C3648D" w:rsidRDefault="00C3648D" w:rsidP="00121661">
      <w:pPr>
        <w:spacing w:line="360" w:lineRule="auto"/>
        <w:jc w:val="both"/>
        <w:rPr>
          <w:rFonts w:ascii="Arial" w:hAnsi="Arial" w:cs="Arial"/>
          <w:b/>
          <w:bCs/>
          <w:sz w:val="24"/>
          <w:szCs w:val="24"/>
        </w:rPr>
      </w:pPr>
    </w:p>
    <w:p w14:paraId="659B0882" w14:textId="77777777" w:rsidR="00C3648D" w:rsidRDefault="00C3648D" w:rsidP="00121661">
      <w:pPr>
        <w:spacing w:line="360" w:lineRule="auto"/>
        <w:jc w:val="both"/>
        <w:rPr>
          <w:rFonts w:ascii="Arial" w:hAnsi="Arial" w:cs="Arial"/>
          <w:b/>
          <w:bCs/>
          <w:sz w:val="24"/>
          <w:szCs w:val="24"/>
        </w:rPr>
      </w:pPr>
    </w:p>
    <w:p w14:paraId="76D0FE0D" w14:textId="77777777" w:rsidR="00C3648D" w:rsidRDefault="00C3648D" w:rsidP="00121661">
      <w:pPr>
        <w:spacing w:line="360" w:lineRule="auto"/>
        <w:jc w:val="both"/>
        <w:rPr>
          <w:rFonts w:ascii="Arial" w:hAnsi="Arial" w:cs="Arial"/>
          <w:b/>
          <w:bCs/>
          <w:sz w:val="24"/>
          <w:szCs w:val="24"/>
        </w:rPr>
      </w:pPr>
    </w:p>
    <w:p w14:paraId="3D5602CC" w14:textId="77777777" w:rsidR="00C3648D" w:rsidRDefault="00C3648D" w:rsidP="00121661">
      <w:pPr>
        <w:spacing w:line="360" w:lineRule="auto"/>
        <w:jc w:val="both"/>
        <w:rPr>
          <w:rFonts w:ascii="Arial" w:hAnsi="Arial" w:cs="Arial"/>
          <w:b/>
          <w:bCs/>
          <w:sz w:val="24"/>
          <w:szCs w:val="24"/>
        </w:rPr>
      </w:pPr>
    </w:p>
    <w:p w14:paraId="4340D829" w14:textId="32EA4FC6" w:rsidR="002A06D5" w:rsidRDefault="00B4768A" w:rsidP="00121661">
      <w:pPr>
        <w:spacing w:line="360" w:lineRule="auto"/>
        <w:jc w:val="both"/>
        <w:rPr>
          <w:rFonts w:ascii="Arial" w:hAnsi="Arial" w:cs="Arial"/>
        </w:rPr>
      </w:pPr>
      <w:r>
        <w:rPr>
          <w:rFonts w:ascii="Arial" w:hAnsi="Arial" w:cs="Arial"/>
          <w:b/>
          <w:bCs/>
          <w:sz w:val="24"/>
          <w:szCs w:val="24"/>
        </w:rPr>
        <w:t xml:space="preserve">2. </w:t>
      </w:r>
      <w:r w:rsidR="003D65B8" w:rsidRPr="009573B6">
        <w:rPr>
          <w:rFonts w:ascii="Arial" w:hAnsi="Arial" w:cs="Arial"/>
          <w:b/>
          <w:bCs/>
          <w:sz w:val="24"/>
          <w:szCs w:val="24"/>
        </w:rPr>
        <w:t>Rich Picture</w:t>
      </w:r>
    </w:p>
    <w:p w14:paraId="4CD47DBA" w14:textId="0225B74D" w:rsidR="00B4768A" w:rsidRDefault="00D26F25" w:rsidP="00121661">
      <w:pPr>
        <w:spacing w:line="360" w:lineRule="auto"/>
        <w:jc w:val="both"/>
        <w:rPr>
          <w:rFonts w:ascii="Arial" w:hAnsi="Arial" w:cs="Arial"/>
        </w:rPr>
      </w:pPr>
      <w:r>
        <w:rPr>
          <w:rFonts w:ascii="Arial" w:hAnsi="Arial" w:cs="Arial"/>
          <w:noProof/>
        </w:rPr>
        <w:drawing>
          <wp:inline distT="0" distB="0" distL="0" distR="0" wp14:anchorId="5544FEAA" wp14:editId="7AC6A08F">
            <wp:extent cx="5485306" cy="8044185"/>
            <wp:effectExtent l="0" t="0" r="1270" b="0"/>
            <wp:docPr id="20771851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06419" cy="8075147"/>
                    </a:xfrm>
                    <a:prstGeom prst="rect">
                      <a:avLst/>
                    </a:prstGeom>
                    <a:noFill/>
                  </pic:spPr>
                </pic:pic>
              </a:graphicData>
            </a:graphic>
          </wp:inline>
        </w:drawing>
      </w:r>
    </w:p>
    <w:p w14:paraId="1A020681" w14:textId="77777777" w:rsidR="002A06D5" w:rsidRDefault="002A06D5" w:rsidP="00121661">
      <w:pPr>
        <w:spacing w:line="360" w:lineRule="auto"/>
        <w:jc w:val="both"/>
        <w:rPr>
          <w:rFonts w:ascii="Arial" w:hAnsi="Arial" w:cs="Arial"/>
        </w:rPr>
      </w:pPr>
    </w:p>
    <w:p w14:paraId="55A11C4E" w14:textId="29C732AA" w:rsidR="002A06D5" w:rsidRDefault="008A50F8" w:rsidP="00121661">
      <w:pPr>
        <w:spacing w:line="360" w:lineRule="auto"/>
        <w:jc w:val="both"/>
        <w:rPr>
          <w:rFonts w:ascii="Arial" w:hAnsi="Arial" w:cs="Arial"/>
        </w:rPr>
      </w:pPr>
      <w:r>
        <w:rPr>
          <w:rFonts w:ascii="Arial" w:hAnsi="Arial" w:cs="Arial"/>
          <w:noProof/>
        </w:rPr>
        <w:drawing>
          <wp:inline distT="0" distB="0" distL="0" distR="0" wp14:anchorId="666A0621" wp14:editId="52216A19">
            <wp:extent cx="5623919" cy="8404873"/>
            <wp:effectExtent l="0" t="0" r="0" b="0"/>
            <wp:docPr id="18505214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0158" cy="8429142"/>
                    </a:xfrm>
                    <a:prstGeom prst="rect">
                      <a:avLst/>
                    </a:prstGeom>
                    <a:noFill/>
                  </pic:spPr>
                </pic:pic>
              </a:graphicData>
            </a:graphic>
          </wp:inline>
        </w:drawing>
      </w:r>
    </w:p>
    <w:p w14:paraId="2B1D1192" w14:textId="6F61B5B2" w:rsidR="002A06D5" w:rsidRDefault="007A3D7D" w:rsidP="00121661">
      <w:pPr>
        <w:spacing w:line="360" w:lineRule="auto"/>
        <w:jc w:val="both"/>
        <w:rPr>
          <w:rFonts w:ascii="Arial" w:hAnsi="Arial" w:cs="Arial"/>
        </w:rPr>
      </w:pPr>
      <w:r>
        <w:rPr>
          <w:rFonts w:ascii="Arial" w:hAnsi="Arial" w:cs="Arial"/>
          <w:noProof/>
        </w:rPr>
        <w:lastRenderedPageBreak/>
        <w:drawing>
          <wp:inline distT="0" distB="0" distL="0" distR="0" wp14:anchorId="2E5F03A6" wp14:editId="593545B7">
            <wp:extent cx="5637218" cy="8371588"/>
            <wp:effectExtent l="0" t="0" r="1905" b="0"/>
            <wp:docPr id="12236921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84654" cy="8442034"/>
                    </a:xfrm>
                    <a:prstGeom prst="rect">
                      <a:avLst/>
                    </a:prstGeom>
                    <a:noFill/>
                  </pic:spPr>
                </pic:pic>
              </a:graphicData>
            </a:graphic>
          </wp:inline>
        </w:drawing>
      </w:r>
    </w:p>
    <w:p w14:paraId="5A6CCC00" w14:textId="77777777" w:rsidR="001B3687" w:rsidRDefault="001B3687" w:rsidP="00121661">
      <w:pPr>
        <w:spacing w:line="360" w:lineRule="auto"/>
        <w:jc w:val="both"/>
        <w:rPr>
          <w:rFonts w:ascii="Arial" w:hAnsi="Arial" w:cs="Arial"/>
        </w:rPr>
      </w:pPr>
    </w:p>
    <w:p w14:paraId="7CC8101C" w14:textId="4608CB51" w:rsidR="00FF03AC" w:rsidRPr="00FF03AC" w:rsidRDefault="00FF03AC" w:rsidP="00121661">
      <w:pPr>
        <w:spacing w:line="360" w:lineRule="auto"/>
        <w:jc w:val="both"/>
        <w:rPr>
          <w:rFonts w:ascii="Arial" w:hAnsi="Arial" w:cs="Arial"/>
          <w:b/>
          <w:bCs/>
          <w:sz w:val="24"/>
          <w:szCs w:val="24"/>
        </w:rPr>
      </w:pPr>
      <w:r w:rsidRPr="00FF03AC">
        <w:rPr>
          <w:rFonts w:ascii="Arial" w:hAnsi="Arial" w:cs="Arial"/>
          <w:b/>
          <w:bCs/>
          <w:sz w:val="24"/>
          <w:szCs w:val="24"/>
        </w:rPr>
        <w:lastRenderedPageBreak/>
        <w:t>Key For Rich Picture</w:t>
      </w:r>
    </w:p>
    <w:p w14:paraId="18B6C521" w14:textId="77777777" w:rsidR="00FF03AC" w:rsidRDefault="00FF03AC" w:rsidP="00121661">
      <w:pPr>
        <w:spacing w:line="360" w:lineRule="auto"/>
        <w:jc w:val="both"/>
        <w:rPr>
          <w:rFonts w:ascii="Arial" w:hAnsi="Arial" w:cs="Arial"/>
        </w:rPr>
      </w:pPr>
    </w:p>
    <w:tbl>
      <w:tblPr>
        <w:tblStyle w:val="TableGrid"/>
        <w:tblW w:w="9498" w:type="dxa"/>
        <w:tblInd w:w="-289" w:type="dxa"/>
        <w:tblLook w:val="04A0" w:firstRow="1" w:lastRow="0" w:firstColumn="1" w:lastColumn="0" w:noHBand="0" w:noVBand="1"/>
      </w:tblPr>
      <w:tblGrid>
        <w:gridCol w:w="2269"/>
        <w:gridCol w:w="7229"/>
      </w:tblGrid>
      <w:tr w:rsidR="00231603" w14:paraId="369781A9" w14:textId="77777777" w:rsidTr="005C5B2B">
        <w:tc>
          <w:tcPr>
            <w:tcW w:w="2269" w:type="dxa"/>
          </w:tcPr>
          <w:p w14:paraId="00BAFF02" w14:textId="77777777" w:rsidR="00231603" w:rsidRPr="00120AA4" w:rsidRDefault="00C1762D" w:rsidP="00121661">
            <w:pPr>
              <w:spacing w:line="360" w:lineRule="auto"/>
              <w:jc w:val="both"/>
              <w:rPr>
                <w:rFonts w:ascii="Arial" w:hAnsi="Arial" w:cs="Arial"/>
                <w:b/>
                <w:bCs/>
              </w:rPr>
            </w:pPr>
            <w:r w:rsidRPr="00120AA4">
              <w:rPr>
                <w:rFonts w:ascii="Arial" w:hAnsi="Arial" w:cs="Arial"/>
                <w:b/>
                <w:bCs/>
              </w:rPr>
              <w:t>Arrow</w:t>
            </w:r>
          </w:p>
          <w:p w14:paraId="12B86F4C" w14:textId="10593087" w:rsidR="00C1762D" w:rsidRDefault="007854E1" w:rsidP="00121661">
            <w:pPr>
              <w:spacing w:line="360" w:lineRule="auto"/>
              <w:jc w:val="both"/>
              <w:rPr>
                <w:rFonts w:ascii="Arial" w:hAnsi="Arial" w:cs="Arial"/>
              </w:rPr>
            </w:pPr>
            <w:r w:rsidRPr="00120AA4">
              <w:rPr>
                <w:rFonts w:ascii="Arial" w:hAnsi="Arial" w:cs="Arial"/>
                <w:b/>
                <w:bCs/>
              </w:rPr>
              <w:t>C</w:t>
            </w:r>
            <w:r w:rsidR="00C1762D" w:rsidRPr="00120AA4">
              <w:rPr>
                <w:rFonts w:ascii="Arial" w:hAnsi="Arial" w:cs="Arial"/>
                <w:b/>
                <w:bCs/>
              </w:rPr>
              <w:t>olour</w:t>
            </w:r>
          </w:p>
        </w:tc>
        <w:tc>
          <w:tcPr>
            <w:tcW w:w="7229" w:type="dxa"/>
          </w:tcPr>
          <w:p w14:paraId="48927B78" w14:textId="346F0AEC" w:rsidR="00231603" w:rsidRPr="00120AA4" w:rsidRDefault="00B721C8" w:rsidP="00121661">
            <w:pPr>
              <w:spacing w:line="360" w:lineRule="auto"/>
              <w:jc w:val="both"/>
              <w:rPr>
                <w:rFonts w:ascii="Arial" w:hAnsi="Arial" w:cs="Arial"/>
                <w:b/>
                <w:bCs/>
              </w:rPr>
            </w:pPr>
            <w:r>
              <w:rPr>
                <w:rFonts w:ascii="Arial" w:hAnsi="Arial" w:cs="Arial"/>
                <w:b/>
                <w:bCs/>
              </w:rPr>
              <w:t>Fu</w:t>
            </w:r>
            <w:r w:rsidR="007C1B47">
              <w:rPr>
                <w:rFonts w:ascii="Arial" w:hAnsi="Arial" w:cs="Arial"/>
                <w:b/>
                <w:bCs/>
              </w:rPr>
              <w:t>nction</w:t>
            </w:r>
          </w:p>
        </w:tc>
      </w:tr>
      <w:tr w:rsidR="00231603" w14:paraId="280EF244" w14:textId="77777777" w:rsidTr="005C5B2B">
        <w:tc>
          <w:tcPr>
            <w:tcW w:w="2269" w:type="dxa"/>
          </w:tcPr>
          <w:p w14:paraId="4EC71864" w14:textId="77777777" w:rsidR="00231603" w:rsidRDefault="00231603" w:rsidP="00121661">
            <w:pPr>
              <w:spacing w:line="360" w:lineRule="auto"/>
              <w:jc w:val="both"/>
              <w:rPr>
                <w:rFonts w:ascii="Arial" w:hAnsi="Arial" w:cs="Arial"/>
              </w:rPr>
            </w:pPr>
          </w:p>
          <w:p w14:paraId="6D560CC7" w14:textId="2A31FCBE" w:rsidR="00652F53" w:rsidRPr="00576617" w:rsidRDefault="00652F53" w:rsidP="00121661">
            <w:pPr>
              <w:spacing w:line="360" w:lineRule="auto"/>
              <w:jc w:val="both"/>
              <w:rPr>
                <w:rFonts w:ascii="Arial" w:hAnsi="Arial" w:cs="Arial"/>
                <w:u w:val="single"/>
              </w:rPr>
            </w:pPr>
            <w:r w:rsidRPr="00576617">
              <w:rPr>
                <w:rFonts w:ascii="Arial" w:hAnsi="Arial" w:cs="Arial"/>
                <w:color w:val="0070C0"/>
                <w:u w:val="single"/>
              </w:rPr>
              <w:t>Blue Arrows</w:t>
            </w:r>
          </w:p>
        </w:tc>
        <w:tc>
          <w:tcPr>
            <w:tcW w:w="7229" w:type="dxa"/>
          </w:tcPr>
          <w:p w14:paraId="19352D13" w14:textId="7BE7041F" w:rsidR="00231603" w:rsidRDefault="00AB49B4" w:rsidP="00AB49B4">
            <w:pPr>
              <w:spacing w:line="360" w:lineRule="auto"/>
              <w:jc w:val="both"/>
              <w:rPr>
                <w:rFonts w:ascii="Arial" w:hAnsi="Arial" w:cs="Arial"/>
              </w:rPr>
            </w:pPr>
            <w:r w:rsidRPr="00AB49B4">
              <w:rPr>
                <w:rFonts w:ascii="Arial" w:hAnsi="Arial" w:cs="Arial"/>
              </w:rPr>
              <w:t>Highlight the pivotal role of governments in introducing new rules, laws, and public health guidance to control the spread of COVID-19. These include national restrictions, testing policies, and vaccine rollout plans.</w:t>
            </w:r>
          </w:p>
        </w:tc>
      </w:tr>
      <w:tr w:rsidR="00231603" w14:paraId="13E46160" w14:textId="77777777" w:rsidTr="005C5B2B">
        <w:tc>
          <w:tcPr>
            <w:tcW w:w="2269" w:type="dxa"/>
          </w:tcPr>
          <w:p w14:paraId="59BCB941" w14:textId="77777777" w:rsidR="00231603" w:rsidRDefault="00231603" w:rsidP="00121661">
            <w:pPr>
              <w:spacing w:line="360" w:lineRule="auto"/>
              <w:jc w:val="both"/>
              <w:rPr>
                <w:rFonts w:ascii="Arial" w:hAnsi="Arial" w:cs="Arial"/>
              </w:rPr>
            </w:pPr>
          </w:p>
          <w:p w14:paraId="6070F5AA" w14:textId="24F7AFA8" w:rsidR="00652F53" w:rsidRPr="00576617" w:rsidRDefault="00652F53" w:rsidP="00121661">
            <w:pPr>
              <w:spacing w:line="360" w:lineRule="auto"/>
              <w:jc w:val="both"/>
              <w:rPr>
                <w:rFonts w:ascii="Arial" w:hAnsi="Arial" w:cs="Arial"/>
                <w:u w:val="single"/>
              </w:rPr>
            </w:pPr>
            <w:r w:rsidRPr="00576617">
              <w:rPr>
                <w:rFonts w:ascii="Arial" w:hAnsi="Arial" w:cs="Arial"/>
                <w:color w:val="FFFF00"/>
                <w:u w:val="single"/>
              </w:rPr>
              <w:t>Yellow Arrows</w:t>
            </w:r>
          </w:p>
        </w:tc>
        <w:tc>
          <w:tcPr>
            <w:tcW w:w="7229" w:type="dxa"/>
          </w:tcPr>
          <w:p w14:paraId="688D683A" w14:textId="5A5F4E19" w:rsidR="00231603" w:rsidRDefault="00095B7C" w:rsidP="00AB49B4">
            <w:pPr>
              <w:spacing w:line="360" w:lineRule="auto"/>
              <w:jc w:val="both"/>
              <w:rPr>
                <w:rFonts w:ascii="Arial" w:hAnsi="Arial" w:cs="Arial"/>
              </w:rPr>
            </w:pPr>
            <w:r w:rsidRPr="00095B7C">
              <w:rPr>
                <w:rFonts w:ascii="Arial" w:hAnsi="Arial" w:cs="Arial"/>
              </w:rPr>
              <w:t>Represent the flow of public information and behaviour change, such as mask use, staying home, social distancing, and following lockdown messages, highlighting the crucial role of individual actions in the fight against COVID-19.</w:t>
            </w:r>
          </w:p>
        </w:tc>
      </w:tr>
      <w:tr w:rsidR="00231603" w14:paraId="58FC5949" w14:textId="77777777" w:rsidTr="005C5B2B">
        <w:tc>
          <w:tcPr>
            <w:tcW w:w="2269" w:type="dxa"/>
          </w:tcPr>
          <w:p w14:paraId="0357F6F5" w14:textId="77777777" w:rsidR="00231603" w:rsidRDefault="00231603" w:rsidP="00121661">
            <w:pPr>
              <w:spacing w:line="360" w:lineRule="auto"/>
              <w:jc w:val="both"/>
              <w:rPr>
                <w:rFonts w:ascii="Arial" w:hAnsi="Arial" w:cs="Arial"/>
              </w:rPr>
            </w:pPr>
          </w:p>
          <w:p w14:paraId="3B784D5B" w14:textId="454E9786" w:rsidR="003C7A8D" w:rsidRPr="00106A16" w:rsidRDefault="003C7A8D" w:rsidP="00121661">
            <w:pPr>
              <w:spacing w:line="360" w:lineRule="auto"/>
              <w:jc w:val="both"/>
              <w:rPr>
                <w:rFonts w:ascii="Arial" w:hAnsi="Arial" w:cs="Arial"/>
                <w:u w:val="single"/>
              </w:rPr>
            </w:pPr>
            <w:r w:rsidRPr="00106A16">
              <w:rPr>
                <w:rFonts w:ascii="Arial" w:hAnsi="Arial" w:cs="Arial"/>
                <w:color w:val="00B050"/>
                <w:u w:val="single"/>
              </w:rPr>
              <w:t>Green Arrows</w:t>
            </w:r>
          </w:p>
        </w:tc>
        <w:tc>
          <w:tcPr>
            <w:tcW w:w="7229" w:type="dxa"/>
          </w:tcPr>
          <w:p w14:paraId="113C7FB7" w14:textId="6DAE1FF3" w:rsidR="00231603" w:rsidRDefault="00F40ACC" w:rsidP="00095B7C">
            <w:pPr>
              <w:spacing w:line="360" w:lineRule="auto"/>
              <w:jc w:val="both"/>
              <w:rPr>
                <w:rFonts w:ascii="Arial" w:hAnsi="Arial" w:cs="Arial"/>
              </w:rPr>
            </w:pPr>
            <w:r w:rsidRPr="00F40ACC">
              <w:rPr>
                <w:rFonts w:ascii="Arial" w:hAnsi="Arial" w:cs="Arial"/>
              </w:rPr>
              <w:t>Stress the crucial role of the healthcare system in responding to COVID-19, including hospital treatment, testing, vaccination, and the coordination between public health agencies and hospitals.</w:t>
            </w:r>
          </w:p>
        </w:tc>
      </w:tr>
      <w:tr w:rsidR="00231603" w14:paraId="2A2E4ED0" w14:textId="77777777" w:rsidTr="005C5B2B">
        <w:tc>
          <w:tcPr>
            <w:tcW w:w="2269" w:type="dxa"/>
          </w:tcPr>
          <w:p w14:paraId="741ED387" w14:textId="77777777" w:rsidR="00231603" w:rsidRDefault="00231603" w:rsidP="00121661">
            <w:pPr>
              <w:spacing w:line="360" w:lineRule="auto"/>
              <w:jc w:val="both"/>
              <w:rPr>
                <w:rFonts w:ascii="Arial" w:hAnsi="Arial" w:cs="Arial"/>
              </w:rPr>
            </w:pPr>
          </w:p>
          <w:p w14:paraId="3CF43E84" w14:textId="77777777" w:rsidR="003C7A8D" w:rsidRDefault="003C7A8D" w:rsidP="00121661">
            <w:pPr>
              <w:spacing w:line="360" w:lineRule="auto"/>
              <w:jc w:val="both"/>
              <w:rPr>
                <w:rFonts w:ascii="Arial" w:hAnsi="Arial" w:cs="Arial"/>
              </w:rPr>
            </w:pPr>
          </w:p>
          <w:p w14:paraId="63FA1C23" w14:textId="68327BEC" w:rsidR="003C7A8D" w:rsidRPr="00106A16" w:rsidRDefault="00AD789D" w:rsidP="00121661">
            <w:pPr>
              <w:spacing w:line="360" w:lineRule="auto"/>
              <w:jc w:val="both"/>
              <w:rPr>
                <w:rFonts w:ascii="Arial" w:hAnsi="Arial" w:cs="Arial"/>
                <w:u w:val="single"/>
              </w:rPr>
            </w:pPr>
            <w:r w:rsidRPr="00106A16">
              <w:rPr>
                <w:rFonts w:ascii="Arial" w:hAnsi="Arial" w:cs="Arial"/>
                <w:color w:val="EE0000"/>
                <w:u w:val="single"/>
              </w:rPr>
              <w:t>Red Arrows</w:t>
            </w:r>
          </w:p>
        </w:tc>
        <w:tc>
          <w:tcPr>
            <w:tcW w:w="7229" w:type="dxa"/>
          </w:tcPr>
          <w:p w14:paraId="6955BD4C" w14:textId="77777777" w:rsidR="002E6A73" w:rsidRPr="002E6A73" w:rsidRDefault="002E6A73" w:rsidP="002E6A73">
            <w:pPr>
              <w:spacing w:line="360" w:lineRule="auto"/>
              <w:jc w:val="both"/>
              <w:rPr>
                <w:rFonts w:ascii="Arial" w:hAnsi="Arial" w:cs="Arial"/>
              </w:rPr>
            </w:pPr>
            <w:r w:rsidRPr="002E6A73">
              <w:rPr>
                <w:rFonts w:ascii="Arial" w:hAnsi="Arial" w:cs="Arial"/>
              </w:rPr>
              <w:t>Indicate negative impacts and challenges, including lockdown closures, economic disruption, travel restrictions, and the effects on daily life and employment.</w:t>
            </w:r>
          </w:p>
          <w:p w14:paraId="0D1643A8" w14:textId="77777777" w:rsidR="00231603" w:rsidRDefault="00231603" w:rsidP="00121661">
            <w:pPr>
              <w:spacing w:line="360" w:lineRule="auto"/>
              <w:jc w:val="both"/>
              <w:rPr>
                <w:rFonts w:ascii="Arial" w:hAnsi="Arial" w:cs="Arial"/>
              </w:rPr>
            </w:pPr>
          </w:p>
        </w:tc>
      </w:tr>
      <w:tr w:rsidR="00231603" w14:paraId="1E4D5034" w14:textId="77777777" w:rsidTr="005C5B2B">
        <w:tc>
          <w:tcPr>
            <w:tcW w:w="2269" w:type="dxa"/>
          </w:tcPr>
          <w:p w14:paraId="009260ED" w14:textId="77777777" w:rsidR="00231603" w:rsidRDefault="00231603" w:rsidP="00121661">
            <w:pPr>
              <w:spacing w:line="360" w:lineRule="auto"/>
              <w:jc w:val="both"/>
              <w:rPr>
                <w:rFonts w:ascii="Arial" w:hAnsi="Arial" w:cs="Arial"/>
              </w:rPr>
            </w:pPr>
          </w:p>
          <w:p w14:paraId="04E33191" w14:textId="77777777" w:rsidR="00AD789D" w:rsidRPr="00106A16" w:rsidRDefault="00AD789D" w:rsidP="00121661">
            <w:pPr>
              <w:spacing w:line="360" w:lineRule="auto"/>
              <w:jc w:val="both"/>
              <w:rPr>
                <w:rFonts w:ascii="Arial" w:hAnsi="Arial" w:cs="Arial"/>
                <w:color w:val="7030A0"/>
                <w:u w:val="single"/>
              </w:rPr>
            </w:pPr>
            <w:r w:rsidRPr="00106A16">
              <w:rPr>
                <w:rFonts w:ascii="Arial" w:hAnsi="Arial" w:cs="Arial"/>
                <w:color w:val="7030A0"/>
                <w:u w:val="single"/>
              </w:rPr>
              <w:t>Purple Arrows</w:t>
            </w:r>
          </w:p>
          <w:p w14:paraId="4D923FAD" w14:textId="6EB72441" w:rsidR="00106A16" w:rsidRDefault="00106A16" w:rsidP="00121661">
            <w:pPr>
              <w:spacing w:line="360" w:lineRule="auto"/>
              <w:jc w:val="both"/>
              <w:rPr>
                <w:rFonts w:ascii="Arial" w:hAnsi="Arial" w:cs="Arial"/>
              </w:rPr>
            </w:pPr>
          </w:p>
        </w:tc>
        <w:tc>
          <w:tcPr>
            <w:tcW w:w="7229" w:type="dxa"/>
          </w:tcPr>
          <w:p w14:paraId="7EA1BFF0" w14:textId="7CB82F5E" w:rsidR="00231603" w:rsidRDefault="003C7A8D" w:rsidP="00F40ACC">
            <w:pPr>
              <w:spacing w:line="360" w:lineRule="auto"/>
              <w:jc w:val="both"/>
              <w:rPr>
                <w:rFonts w:ascii="Arial" w:hAnsi="Arial" w:cs="Arial"/>
              </w:rPr>
            </w:pPr>
            <w:r w:rsidRPr="003C7A8D">
              <w:rPr>
                <w:rFonts w:ascii="Arial" w:hAnsi="Arial" w:cs="Arial"/>
              </w:rPr>
              <w:t>Show how healthcare and the public provide information, data, or outcomes back to the government, allowing it to adapt or update COVID-19 strategies.</w:t>
            </w:r>
          </w:p>
        </w:tc>
      </w:tr>
    </w:tbl>
    <w:p w14:paraId="296874C4" w14:textId="77777777" w:rsidR="005C5B2B" w:rsidRDefault="005C5B2B" w:rsidP="00121661">
      <w:pPr>
        <w:spacing w:line="360" w:lineRule="auto"/>
        <w:jc w:val="both"/>
        <w:rPr>
          <w:rFonts w:ascii="Arial" w:hAnsi="Arial" w:cs="Arial"/>
        </w:rPr>
      </w:pPr>
    </w:p>
    <w:p w14:paraId="571D0963" w14:textId="14956654" w:rsidR="0084057D" w:rsidRPr="001324F3" w:rsidRDefault="00815DB2" w:rsidP="00121661">
      <w:pPr>
        <w:spacing w:line="360" w:lineRule="auto"/>
        <w:jc w:val="both"/>
        <w:rPr>
          <w:rFonts w:ascii="Arial" w:hAnsi="Arial" w:cs="Arial"/>
        </w:rPr>
      </w:pPr>
      <w:r w:rsidRPr="001324F3">
        <w:rPr>
          <w:rFonts w:ascii="Arial" w:hAnsi="Arial" w:cs="Arial"/>
        </w:rPr>
        <w:t>A Rich Picture is a valuable tool for exploring complex problems, as it visually captures multiple perspectives, relationships, and systemic interactions in a single, holistic view. It is beneficial for ambiguous or multifaceted issues involving various services or stakeholders, promoting shared understanding and dialogue (Checkland</w:t>
      </w:r>
      <w:r w:rsidR="00796702">
        <w:rPr>
          <w:rFonts w:ascii="Arial" w:hAnsi="Arial" w:cs="Arial"/>
        </w:rPr>
        <w:t xml:space="preserve"> and Haynes, 2006</w:t>
      </w:r>
      <w:r w:rsidRPr="001324F3">
        <w:rPr>
          <w:rFonts w:ascii="Arial" w:hAnsi="Arial" w:cs="Arial"/>
        </w:rPr>
        <w:t>). Unlike the Fishbone Diagram, which targets root causes of clearly defined problems, the Rich Picture embraces uncertainty and overlapping influences. Similarly, the 5 Whys technique is linear and reductionist, often oversimplifying interdependent factors (Serrat, 2017). Th</w:t>
      </w:r>
      <w:r w:rsidR="00B101E9">
        <w:rPr>
          <w:rFonts w:ascii="Arial" w:hAnsi="Arial" w:cs="Arial"/>
        </w:rPr>
        <w:t>er</w:t>
      </w:r>
      <w:r w:rsidR="00597C49">
        <w:rPr>
          <w:rFonts w:ascii="Arial" w:hAnsi="Arial" w:cs="Arial"/>
        </w:rPr>
        <w:t>efore</w:t>
      </w:r>
      <w:r w:rsidRPr="001324F3">
        <w:rPr>
          <w:rFonts w:ascii="Arial" w:hAnsi="Arial" w:cs="Arial"/>
        </w:rPr>
        <w:t>, the Rich Picture is preferred when mapping broad, interconnected challenges rather than isolating a single point of failure.</w:t>
      </w:r>
    </w:p>
    <w:p w14:paraId="6CC7C212" w14:textId="77777777" w:rsidR="003D65B8" w:rsidRPr="001324F3" w:rsidRDefault="003D65B8" w:rsidP="00121661">
      <w:pPr>
        <w:spacing w:line="360" w:lineRule="auto"/>
        <w:jc w:val="both"/>
        <w:rPr>
          <w:rFonts w:ascii="Arial" w:hAnsi="Arial" w:cs="Arial"/>
        </w:rPr>
      </w:pPr>
    </w:p>
    <w:p w14:paraId="591D14B9" w14:textId="77777777" w:rsidR="00610CFA" w:rsidRDefault="00610CFA" w:rsidP="00121661">
      <w:pPr>
        <w:spacing w:line="360" w:lineRule="auto"/>
        <w:jc w:val="both"/>
      </w:pPr>
    </w:p>
    <w:p w14:paraId="692060DB" w14:textId="77777777" w:rsidR="003D65B8" w:rsidRDefault="003D65B8" w:rsidP="00121661">
      <w:pPr>
        <w:spacing w:line="360" w:lineRule="auto"/>
        <w:jc w:val="both"/>
      </w:pPr>
    </w:p>
    <w:p w14:paraId="11548FDD" w14:textId="7F186ED2" w:rsidR="003D65B8" w:rsidRDefault="00BB1D9E" w:rsidP="00121661">
      <w:pPr>
        <w:spacing w:line="360" w:lineRule="auto"/>
        <w:jc w:val="both"/>
      </w:pPr>
      <w:r>
        <w:rPr>
          <w:noProof/>
        </w:rPr>
        <w:lastRenderedPageBreak/>
        <w:drawing>
          <wp:inline distT="0" distB="0" distL="0" distR="0" wp14:anchorId="1B3EF4B9" wp14:editId="76ADFC0C">
            <wp:extent cx="4867507" cy="2449830"/>
            <wp:effectExtent l="0" t="0" r="9525" b="7620"/>
            <wp:docPr id="1248975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31842" cy="2482210"/>
                    </a:xfrm>
                    <a:prstGeom prst="rect">
                      <a:avLst/>
                    </a:prstGeom>
                    <a:noFill/>
                  </pic:spPr>
                </pic:pic>
              </a:graphicData>
            </a:graphic>
          </wp:inline>
        </w:drawing>
      </w:r>
    </w:p>
    <w:p w14:paraId="741FC548" w14:textId="17DE4E50" w:rsidR="003D65B8" w:rsidRDefault="00AA5976" w:rsidP="00121661">
      <w:pPr>
        <w:spacing w:line="360" w:lineRule="auto"/>
        <w:jc w:val="both"/>
      </w:pPr>
      <w:r>
        <w:t xml:space="preserve">                                                                                 (</w:t>
      </w:r>
      <w:r w:rsidRPr="00AA5976">
        <w:t>Centralization vs. Decentralization, 2024)</w:t>
      </w:r>
    </w:p>
    <w:p w14:paraId="14FACB60" w14:textId="77777777" w:rsidR="003D65B8" w:rsidRPr="005375B8" w:rsidRDefault="003D65B8" w:rsidP="00121661">
      <w:pPr>
        <w:spacing w:line="360" w:lineRule="auto"/>
        <w:jc w:val="both"/>
        <w:rPr>
          <w:rFonts w:ascii="Arial" w:hAnsi="Arial" w:cs="Arial"/>
          <w:b/>
          <w:bCs/>
          <w:sz w:val="24"/>
          <w:szCs w:val="24"/>
        </w:rPr>
      </w:pPr>
      <w:r w:rsidRPr="005375B8">
        <w:rPr>
          <w:rFonts w:ascii="Arial" w:hAnsi="Arial" w:cs="Arial"/>
          <w:b/>
          <w:bCs/>
          <w:sz w:val="24"/>
          <w:szCs w:val="24"/>
        </w:rPr>
        <w:t>2.Centralisation and Decentralisation: Key Concepts</w:t>
      </w:r>
    </w:p>
    <w:p w14:paraId="31083F14" w14:textId="4FDE8F70" w:rsidR="00613139" w:rsidRPr="002C6901" w:rsidRDefault="00EB3FCF" w:rsidP="00121661">
      <w:pPr>
        <w:spacing w:line="360" w:lineRule="auto"/>
        <w:jc w:val="both"/>
        <w:rPr>
          <w:rFonts w:ascii="Arial" w:hAnsi="Arial" w:cs="Arial"/>
        </w:rPr>
      </w:pPr>
      <w:r w:rsidRPr="002C6901">
        <w:rPr>
          <w:rFonts w:ascii="Arial" w:hAnsi="Arial" w:cs="Arial"/>
        </w:rPr>
        <w:t>Centralisation involves concentrating decision-making authority within a central body, usually the national government. This top-down structure enables efficient coordination of policies, resources, and crisis responses, offering speed and consistency during emergencies (Hong, 2024). However, it may lack sensitivity to local conditions. In contrast, decentralisation distributes authority across regional or local governments, allowing decisions to be tailored to specific contexts and empowering local entities. This approach fosters flexibility and responsiveness; however, it may result in fragmented policies, slower coordination, and inconsistent crisis management (</w:t>
      </w:r>
      <w:r w:rsidR="000C0B28" w:rsidRPr="002C6901">
        <w:rPr>
          <w:rFonts w:ascii="Arial" w:hAnsi="Arial" w:cs="Arial"/>
        </w:rPr>
        <w:t>Mangaliso</w:t>
      </w:r>
      <w:r w:rsidRPr="002C6901">
        <w:rPr>
          <w:rFonts w:ascii="Arial" w:hAnsi="Arial" w:cs="Arial"/>
        </w:rPr>
        <w:t xml:space="preserve"> et al., </w:t>
      </w:r>
      <w:r w:rsidR="000C0B28" w:rsidRPr="002C6901">
        <w:rPr>
          <w:rFonts w:ascii="Arial" w:hAnsi="Arial" w:cs="Arial"/>
        </w:rPr>
        <w:t>2025</w:t>
      </w:r>
      <w:r w:rsidRPr="002C6901">
        <w:rPr>
          <w:rFonts w:ascii="Arial" w:hAnsi="Arial" w:cs="Arial"/>
        </w:rPr>
        <w:t>). Whereas decentralised systems foster local innovation, they may struggle with national-level coherence during emergencies (</w:t>
      </w:r>
      <w:r w:rsidR="00344740" w:rsidRPr="002C6901">
        <w:rPr>
          <w:rFonts w:ascii="Arial" w:hAnsi="Arial" w:cs="Arial"/>
        </w:rPr>
        <w:t>Abimbola</w:t>
      </w:r>
      <w:r w:rsidRPr="002C6901">
        <w:rPr>
          <w:rFonts w:ascii="Arial" w:hAnsi="Arial" w:cs="Arial"/>
        </w:rPr>
        <w:t xml:space="preserve"> et al., 201</w:t>
      </w:r>
      <w:r w:rsidR="007D76EA" w:rsidRPr="002C6901">
        <w:rPr>
          <w:rFonts w:ascii="Arial" w:hAnsi="Arial" w:cs="Arial"/>
        </w:rPr>
        <w:t>9</w:t>
      </w:r>
      <w:r w:rsidRPr="002C6901">
        <w:rPr>
          <w:rFonts w:ascii="Arial" w:hAnsi="Arial" w:cs="Arial"/>
        </w:rPr>
        <w:t>). Understanding the strengths and limitations of both models is crucial for evaluating health system performance during crises, such as the COVID-19 pandemic. It highlights the urgent need for governance structures that strike a balance between national oversight and local adaptability.</w:t>
      </w:r>
    </w:p>
    <w:p w14:paraId="57AB5CBA" w14:textId="77777777" w:rsidR="002F7663" w:rsidRDefault="00BA59DA" w:rsidP="00121661">
      <w:pPr>
        <w:spacing w:line="360" w:lineRule="auto"/>
        <w:jc w:val="both"/>
        <w:rPr>
          <w:rFonts w:ascii="Arial" w:hAnsi="Arial" w:cs="Arial"/>
          <w:b/>
          <w:bCs/>
          <w:sz w:val="24"/>
          <w:szCs w:val="24"/>
        </w:rPr>
      </w:pPr>
      <w:r>
        <w:rPr>
          <w:rFonts w:ascii="Arial" w:hAnsi="Arial" w:cs="Arial"/>
          <w:b/>
          <w:bCs/>
          <w:sz w:val="24"/>
          <w:szCs w:val="24"/>
        </w:rPr>
        <w:t xml:space="preserve">      </w:t>
      </w:r>
    </w:p>
    <w:p w14:paraId="2270BF1E" w14:textId="787FBE10" w:rsidR="00727B6E" w:rsidRDefault="00BA59DA" w:rsidP="00121661">
      <w:pPr>
        <w:spacing w:line="360" w:lineRule="auto"/>
        <w:jc w:val="both"/>
        <w:rPr>
          <w:rFonts w:ascii="Arial" w:hAnsi="Arial" w:cs="Arial"/>
          <w:b/>
          <w:bCs/>
          <w:sz w:val="24"/>
          <w:szCs w:val="24"/>
        </w:rPr>
      </w:pPr>
      <w:r>
        <w:rPr>
          <w:rFonts w:ascii="Arial" w:hAnsi="Arial" w:cs="Arial"/>
          <w:b/>
          <w:bCs/>
          <w:sz w:val="24"/>
          <w:szCs w:val="24"/>
        </w:rPr>
        <w:lastRenderedPageBreak/>
        <w:t xml:space="preserve">                                                                       </w:t>
      </w:r>
      <w:r w:rsidR="003E6EAB">
        <w:rPr>
          <w:rFonts w:ascii="Arial" w:hAnsi="Arial" w:cs="Arial"/>
          <w:b/>
          <w:bCs/>
          <w:sz w:val="24"/>
          <w:szCs w:val="24"/>
        </w:rPr>
        <w:t xml:space="preserve">                                      </w:t>
      </w:r>
      <w:r w:rsidR="00890631">
        <w:rPr>
          <w:rFonts w:ascii="Arial" w:hAnsi="Arial" w:cs="Arial"/>
          <w:b/>
          <w:bCs/>
          <w:sz w:val="24"/>
          <w:szCs w:val="24"/>
        </w:rPr>
        <w:t xml:space="preserve">  </w:t>
      </w:r>
      <w:r w:rsidR="005B23C7">
        <w:rPr>
          <w:rFonts w:ascii="Arial" w:hAnsi="Arial" w:cs="Arial"/>
          <w:b/>
          <w:bCs/>
          <w:sz w:val="24"/>
          <w:szCs w:val="24"/>
        </w:rPr>
        <w:t xml:space="preserve">    </w:t>
      </w:r>
      <w:r w:rsidR="0038777C">
        <w:rPr>
          <w:rFonts w:ascii="Arial" w:hAnsi="Arial" w:cs="Arial"/>
          <w:b/>
          <w:bCs/>
          <w:sz w:val="24"/>
          <w:szCs w:val="24"/>
        </w:rPr>
        <w:t xml:space="preserve">   </w:t>
      </w:r>
      <w:r>
        <w:rPr>
          <w:rFonts w:ascii="Arial" w:hAnsi="Arial" w:cs="Arial"/>
          <w:b/>
          <w:bCs/>
          <w:noProof/>
          <w:sz w:val="24"/>
          <w:szCs w:val="24"/>
        </w:rPr>
        <w:drawing>
          <wp:inline distT="0" distB="0" distL="0" distR="0" wp14:anchorId="6B063EBA" wp14:editId="6FCA260A">
            <wp:extent cx="3816350" cy="1811762"/>
            <wp:effectExtent l="0" t="0" r="0" b="0"/>
            <wp:docPr id="3811247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38119" cy="1869570"/>
                    </a:xfrm>
                    <a:prstGeom prst="rect">
                      <a:avLst/>
                    </a:prstGeom>
                    <a:noFill/>
                  </pic:spPr>
                </pic:pic>
              </a:graphicData>
            </a:graphic>
          </wp:inline>
        </w:drawing>
      </w:r>
    </w:p>
    <w:p w14:paraId="2560B753" w14:textId="223445B0" w:rsidR="00D71A49" w:rsidRPr="00D71A49" w:rsidRDefault="00D71A49" w:rsidP="00121661">
      <w:pPr>
        <w:spacing w:line="360" w:lineRule="auto"/>
        <w:jc w:val="both"/>
        <w:rPr>
          <w:rFonts w:ascii="Arial" w:hAnsi="Arial" w:cs="Arial"/>
        </w:rPr>
      </w:pPr>
      <w:r>
        <w:rPr>
          <w:rFonts w:ascii="Arial" w:hAnsi="Arial" w:cs="Arial"/>
        </w:rPr>
        <w:t xml:space="preserve">                                                                              </w:t>
      </w:r>
      <w:r w:rsidRPr="00D71A49">
        <w:rPr>
          <w:rFonts w:ascii="Arial" w:hAnsi="Arial" w:cs="Arial"/>
        </w:rPr>
        <w:t>(Smith,</w:t>
      </w:r>
      <w:r w:rsidR="00A17772">
        <w:rPr>
          <w:rFonts w:ascii="Arial" w:hAnsi="Arial" w:cs="Arial"/>
        </w:rPr>
        <w:t xml:space="preserve"> </w:t>
      </w:r>
      <w:r w:rsidRPr="00D71A49">
        <w:rPr>
          <w:rFonts w:ascii="Arial" w:hAnsi="Arial" w:cs="Arial"/>
        </w:rPr>
        <w:t>2025)</w:t>
      </w:r>
    </w:p>
    <w:p w14:paraId="74FA833F" w14:textId="58DE1D62" w:rsidR="005B23C7" w:rsidRDefault="005B23C7" w:rsidP="00121661">
      <w:pPr>
        <w:spacing w:line="360" w:lineRule="auto"/>
        <w:jc w:val="both"/>
        <w:rPr>
          <w:rFonts w:ascii="Arial" w:hAnsi="Arial" w:cs="Arial"/>
          <w:b/>
          <w:bCs/>
        </w:rPr>
      </w:pPr>
      <w:r w:rsidRPr="005B23C7">
        <w:rPr>
          <w:rFonts w:ascii="Arial" w:hAnsi="Arial" w:cs="Arial"/>
          <w:b/>
          <w:bCs/>
        </w:rPr>
        <w:t>2.1 Spain: Decentralised Health System and Pandemic Response</w:t>
      </w:r>
    </w:p>
    <w:p w14:paraId="589F2970" w14:textId="127D88EC" w:rsidR="00EC3B74" w:rsidRDefault="00EC3B74" w:rsidP="00121661">
      <w:pPr>
        <w:spacing w:line="360" w:lineRule="auto"/>
        <w:jc w:val="both"/>
        <w:rPr>
          <w:rFonts w:ascii="Arial" w:hAnsi="Arial" w:cs="Arial"/>
          <w:b/>
          <w:bCs/>
        </w:rPr>
      </w:pPr>
      <w:r w:rsidRPr="00417267">
        <w:rPr>
          <w:rFonts w:ascii="Arial" w:hAnsi="Arial" w:cs="Arial"/>
          <w:b/>
          <w:bCs/>
        </w:rPr>
        <w:t>2.1.1 Overview of the Health System</w:t>
      </w:r>
    </w:p>
    <w:p w14:paraId="43B3D0C0" w14:textId="4A507059" w:rsidR="003D0104" w:rsidRPr="003D0104" w:rsidRDefault="003D0104" w:rsidP="003D0104">
      <w:pPr>
        <w:spacing w:line="360" w:lineRule="auto"/>
        <w:jc w:val="both"/>
        <w:rPr>
          <w:rFonts w:ascii="Arial" w:hAnsi="Arial" w:cs="Arial"/>
        </w:rPr>
      </w:pPr>
      <w:r w:rsidRPr="003D0104">
        <w:rPr>
          <w:rFonts w:ascii="Arial" w:hAnsi="Arial" w:cs="Arial"/>
        </w:rPr>
        <w:t xml:space="preserve">Spain, located in the </w:t>
      </w:r>
      <w:r w:rsidRPr="003D0104">
        <w:rPr>
          <w:rFonts w:ascii="Arial" w:hAnsi="Arial" w:cs="Arial"/>
        </w:rPr>
        <w:t xml:space="preserve">southwestern </w:t>
      </w:r>
      <w:r w:rsidRPr="003D0104">
        <w:rPr>
          <w:rFonts w:ascii="Arial" w:hAnsi="Arial" w:cs="Arial"/>
        </w:rPr>
        <w:t xml:space="preserve"> part of Europe, has an estimated 2025 population of 49.27 million and is renowned for its rich geographic and cultural diversity</w:t>
      </w:r>
      <w:r w:rsidR="003E1D1E">
        <w:rPr>
          <w:rFonts w:ascii="Arial" w:hAnsi="Arial" w:cs="Arial"/>
        </w:rPr>
        <w:t xml:space="preserve"> </w:t>
      </w:r>
      <w:r w:rsidR="00BD6AB9">
        <w:rPr>
          <w:rFonts w:ascii="Arial" w:hAnsi="Arial" w:cs="Arial"/>
        </w:rPr>
        <w:t>(Smith</w:t>
      </w:r>
      <w:r w:rsidR="003E1D1E">
        <w:rPr>
          <w:rFonts w:ascii="Arial" w:hAnsi="Arial" w:cs="Arial"/>
        </w:rPr>
        <w:t>,</w:t>
      </w:r>
      <w:r w:rsidR="00A7357D">
        <w:rPr>
          <w:rFonts w:ascii="Arial" w:hAnsi="Arial" w:cs="Arial"/>
        </w:rPr>
        <w:t xml:space="preserve"> </w:t>
      </w:r>
      <w:r w:rsidR="003E1D1E">
        <w:rPr>
          <w:rFonts w:ascii="Arial" w:hAnsi="Arial" w:cs="Arial"/>
        </w:rPr>
        <w:t>2025).</w:t>
      </w:r>
      <w:r w:rsidRPr="003D0104">
        <w:rPr>
          <w:rFonts w:ascii="Arial" w:hAnsi="Arial" w:cs="Arial"/>
        </w:rPr>
        <w:t>The country's healthcare system, the Sistema Nacional de Salud (SNS), operates as a publicly funded, universal model providing comprehensive services free at the point of delivery. The SNS is among the most decentralised systems in Europe, with 17 Autonomous Communities (ACs) responsible for healthcare delivery, budgeting, and policy implementation (European Observatory on Health Systems and Policies, 2024). The Ministry of Health coordinates through the Interterritorial Council, which promotes collaboration and implements national policies. This structure, formalised in the early 2000s, was designed to enhance equity, responsiveness, and efficiency. However, decentralisation has led to disparities in service quality, resource allocation, and governance capacity. While decentralisation fosters local innovation, it also risks fragmentation without strong national coordination (Dougherty et al., 2022).</w:t>
      </w:r>
    </w:p>
    <w:p w14:paraId="645C3881" w14:textId="77777777" w:rsidR="003D0104" w:rsidRPr="00005D5D" w:rsidRDefault="003D0104" w:rsidP="003D0104">
      <w:pPr>
        <w:spacing w:line="360" w:lineRule="auto"/>
        <w:jc w:val="both"/>
        <w:rPr>
          <w:rFonts w:ascii="Arial" w:hAnsi="Arial" w:cs="Arial"/>
          <w:b/>
          <w:bCs/>
        </w:rPr>
      </w:pPr>
      <w:r w:rsidRPr="00005D5D">
        <w:rPr>
          <w:rFonts w:ascii="Arial" w:hAnsi="Arial" w:cs="Arial"/>
          <w:b/>
          <w:bCs/>
        </w:rPr>
        <w:t>2.1.2 Centralisation During COVID-19: Emergency Powers and National Coordination</w:t>
      </w:r>
    </w:p>
    <w:p w14:paraId="40F09623" w14:textId="20EABD22" w:rsidR="003D0104" w:rsidRPr="003D0104" w:rsidRDefault="003D0104" w:rsidP="003D0104">
      <w:pPr>
        <w:spacing w:line="360" w:lineRule="auto"/>
        <w:jc w:val="both"/>
        <w:rPr>
          <w:rFonts w:ascii="Arial" w:hAnsi="Arial" w:cs="Arial"/>
        </w:rPr>
      </w:pPr>
      <w:r w:rsidRPr="003D0104">
        <w:rPr>
          <w:rFonts w:ascii="Arial" w:hAnsi="Arial" w:cs="Arial"/>
        </w:rPr>
        <w:t>Spain's initial COVID-19 response, as outlined in Royal Decree 463/2020, disrupted the traditionally decentralised governance model. The swift centralisation enabled the national government to impose uniform lockdowns, travel restrictions, and deploy emergency resources, including military support for logistics and disinfection (</w:t>
      </w:r>
      <w:r w:rsidR="006270B6">
        <w:rPr>
          <w:rFonts w:ascii="Arial" w:hAnsi="Arial" w:cs="Arial"/>
        </w:rPr>
        <w:t>I</w:t>
      </w:r>
      <w:r w:rsidR="003C2BAD">
        <w:rPr>
          <w:rFonts w:ascii="Arial" w:hAnsi="Arial" w:cs="Arial"/>
        </w:rPr>
        <w:t xml:space="preserve"> CONnect</w:t>
      </w:r>
      <w:r w:rsidRPr="003D0104">
        <w:rPr>
          <w:rFonts w:ascii="Arial" w:hAnsi="Arial" w:cs="Arial"/>
        </w:rPr>
        <w:t>, 202</w:t>
      </w:r>
      <w:r w:rsidR="006270B6">
        <w:rPr>
          <w:rFonts w:ascii="Arial" w:hAnsi="Arial" w:cs="Arial"/>
        </w:rPr>
        <w:t>4</w:t>
      </w:r>
      <w:r w:rsidRPr="003D0104">
        <w:rPr>
          <w:rFonts w:ascii="Arial" w:hAnsi="Arial" w:cs="Arial"/>
        </w:rPr>
        <w:t>). Although this helped flatten the initial curve, tensions emerged between the central government and ACs over data sharing, testing protocols, and hospital coordination. Regions such as Catalonia and the Basque Country voiced concerns about diminished competencies (</w:t>
      </w:r>
      <w:r w:rsidR="005D72B2">
        <w:rPr>
          <w:rFonts w:ascii="Arial" w:hAnsi="Arial" w:cs="Arial"/>
        </w:rPr>
        <w:t xml:space="preserve">de </w:t>
      </w:r>
      <w:r w:rsidR="009B5EDB">
        <w:rPr>
          <w:rFonts w:ascii="Arial" w:hAnsi="Arial" w:cs="Arial"/>
        </w:rPr>
        <w:t>D</w:t>
      </w:r>
      <w:r w:rsidR="005D72B2">
        <w:rPr>
          <w:rFonts w:ascii="Arial" w:hAnsi="Arial" w:cs="Arial"/>
        </w:rPr>
        <w:t>iego-Cordero</w:t>
      </w:r>
      <w:r w:rsidRPr="003D0104">
        <w:rPr>
          <w:rFonts w:ascii="Arial" w:hAnsi="Arial" w:cs="Arial"/>
        </w:rPr>
        <w:t xml:space="preserve"> et al., 2023).</w:t>
      </w:r>
    </w:p>
    <w:p w14:paraId="68BC9E6B" w14:textId="3FBB9F74" w:rsidR="003D0104" w:rsidRPr="003D0104" w:rsidRDefault="003D0104" w:rsidP="003D0104">
      <w:pPr>
        <w:spacing w:line="360" w:lineRule="auto"/>
        <w:jc w:val="both"/>
        <w:rPr>
          <w:rFonts w:ascii="Arial" w:hAnsi="Arial" w:cs="Arial"/>
        </w:rPr>
      </w:pPr>
      <w:r w:rsidRPr="003D0104">
        <w:rPr>
          <w:rFonts w:ascii="Arial" w:hAnsi="Arial" w:cs="Arial"/>
        </w:rPr>
        <w:lastRenderedPageBreak/>
        <w:t>The centralised response demonstrated the national system's ability to act swiftly in a crisis. As the situation evolved, Spain reverted to a decentralised model, allowing ACs to tailor restrictions, testing strategies, and vaccination rollouts. This shift, a testament to the system's adaptability, reflected adaptive learning rather than failure, showing a commitment to refining public health strategies. However, decentralisation exposed coordination challenges. Fragmented data systems, inconsistent reporting, and delayed communication hindered national oversight (</w:t>
      </w:r>
      <w:r w:rsidR="00E6694C">
        <w:rPr>
          <w:rFonts w:ascii="Arial" w:hAnsi="Arial" w:cs="Arial"/>
        </w:rPr>
        <w:t>Mangal</w:t>
      </w:r>
      <w:r w:rsidR="00DD7B12">
        <w:rPr>
          <w:rFonts w:ascii="Arial" w:hAnsi="Arial" w:cs="Arial"/>
        </w:rPr>
        <w:t>iso</w:t>
      </w:r>
      <w:r w:rsidRPr="003D0104">
        <w:rPr>
          <w:rFonts w:ascii="Arial" w:hAnsi="Arial" w:cs="Arial"/>
        </w:rPr>
        <w:t xml:space="preserve"> et al., 2023)</w:t>
      </w:r>
      <w:r w:rsidR="00005D5D">
        <w:rPr>
          <w:rFonts w:ascii="Arial" w:hAnsi="Arial" w:cs="Arial"/>
        </w:rPr>
        <w:t xml:space="preserve"> </w:t>
      </w:r>
      <w:r w:rsidRPr="003D0104">
        <w:rPr>
          <w:rFonts w:ascii="Arial" w:hAnsi="Arial" w:cs="Arial"/>
        </w:rPr>
        <w:t>the absence of a unified digital infrastructure further complicated resource allocation. Regional disparities in enforcement</w:t>
      </w:r>
      <w:r w:rsidR="00005D5D">
        <w:rPr>
          <w:rFonts w:ascii="Arial" w:hAnsi="Arial" w:cs="Arial"/>
        </w:rPr>
        <w:t xml:space="preserve"> </w:t>
      </w:r>
      <w:r w:rsidRPr="003D0104">
        <w:rPr>
          <w:rFonts w:ascii="Arial" w:hAnsi="Arial" w:cs="Arial"/>
        </w:rPr>
        <w:t>such as curfews and mask mandates</w:t>
      </w:r>
      <w:r w:rsidR="00005D5D">
        <w:rPr>
          <w:rFonts w:ascii="Arial" w:hAnsi="Arial" w:cs="Arial"/>
        </w:rPr>
        <w:t xml:space="preserve"> </w:t>
      </w:r>
      <w:r w:rsidRPr="003D0104">
        <w:rPr>
          <w:rFonts w:ascii="Arial" w:hAnsi="Arial" w:cs="Arial"/>
        </w:rPr>
        <w:t>led to public confusion and compliance fatigue (</w:t>
      </w:r>
      <w:r w:rsidR="009B5EDB">
        <w:rPr>
          <w:rFonts w:ascii="Arial" w:hAnsi="Arial" w:cs="Arial"/>
        </w:rPr>
        <w:t xml:space="preserve">Boasson and </w:t>
      </w:r>
      <w:r w:rsidRPr="003D0104">
        <w:rPr>
          <w:rFonts w:ascii="Arial" w:hAnsi="Arial" w:cs="Arial"/>
        </w:rPr>
        <w:t>Tatham, 2023), underscoring the challenge of striking a balance between central authority and regional autonomy.</w:t>
      </w:r>
    </w:p>
    <w:p w14:paraId="271669AE" w14:textId="77777777" w:rsidR="003D0104" w:rsidRPr="00005D5D" w:rsidRDefault="003D0104" w:rsidP="003D0104">
      <w:pPr>
        <w:spacing w:line="360" w:lineRule="auto"/>
        <w:jc w:val="both"/>
        <w:rPr>
          <w:rFonts w:ascii="Arial" w:hAnsi="Arial" w:cs="Arial"/>
          <w:b/>
          <w:bCs/>
        </w:rPr>
      </w:pPr>
      <w:r w:rsidRPr="00005D5D">
        <w:rPr>
          <w:rFonts w:ascii="Arial" w:hAnsi="Arial" w:cs="Arial"/>
          <w:b/>
          <w:bCs/>
        </w:rPr>
        <w:t>2.1.3 Coordinated Decentralisation: A Balanced Model</w:t>
      </w:r>
    </w:p>
    <w:p w14:paraId="21E106E3" w14:textId="77777777" w:rsidR="003D0104" w:rsidRPr="003D0104" w:rsidRDefault="003D0104" w:rsidP="003D0104">
      <w:pPr>
        <w:spacing w:line="360" w:lineRule="auto"/>
        <w:jc w:val="both"/>
        <w:rPr>
          <w:rFonts w:ascii="Arial" w:hAnsi="Arial" w:cs="Arial"/>
        </w:rPr>
      </w:pPr>
      <w:r w:rsidRPr="003D0104">
        <w:rPr>
          <w:rFonts w:ascii="Arial" w:hAnsi="Arial" w:cs="Arial"/>
        </w:rPr>
        <w:t>Spijker and Trias-Llimós (2023) reported that in 2020, COVID-19 was the underlying cause of death in 74,839 cases (15.2%) and was also mentioned in 8,275 more cases (1.9%). Mortality showed a strong age gradient, with 18.2% of deaths among those aged 85+ involving COVID-19, compared to less than 1% among infants. This highlights the need for targeted interventions for the elderly. Gender and educational differences were minimal, with similar proportions across men (17.3%), women (16.4%), and education levels (low: 17.3%; medium: 16.2%; high: 17.2%). The highest proportion of COVID-19 deaths occurred during the first wave (29.8%), dropping to 2.7% in summer and rising to 16.5% in the final months of the year.</w:t>
      </w:r>
    </w:p>
    <w:p w14:paraId="360F501D" w14:textId="658BCDD9" w:rsidR="003D65B8" w:rsidRDefault="003D0104" w:rsidP="00121661">
      <w:pPr>
        <w:spacing w:line="360" w:lineRule="auto"/>
        <w:jc w:val="both"/>
        <w:rPr>
          <w:rFonts w:ascii="Arial" w:hAnsi="Arial" w:cs="Arial"/>
        </w:rPr>
      </w:pPr>
      <w:r w:rsidRPr="003D0104">
        <w:rPr>
          <w:rFonts w:ascii="Arial" w:hAnsi="Arial" w:cs="Arial"/>
        </w:rPr>
        <w:t>By November 2023, Spain had recorded approximately 14 million confirmed cases and over 122,000 deaths (Worldometer, 2024). Figure 1 shows COVID-19 deaths by autonomous community as of June 28, 2023 (Statista, 2025). While early centralised efforts curbed transmission, decentralisation revealed disparities. Stronger regions, such as Madrid and Valencia, fared better, while others struggled due to limited ICU capacity and inadequate digital infrastructure (Desgourdes et al., 2023).</w:t>
      </w:r>
      <w:r w:rsidR="00E20540">
        <w:rPr>
          <w:rFonts w:ascii="Arial" w:hAnsi="Arial" w:cs="Arial"/>
        </w:rPr>
        <w:t xml:space="preserve"> </w:t>
      </w:r>
      <w:r w:rsidR="00873878">
        <w:rPr>
          <w:rFonts w:ascii="Arial" w:hAnsi="Arial" w:cs="Arial"/>
        </w:rPr>
        <w:t>Below f</w:t>
      </w:r>
      <w:r w:rsidR="00E704BF">
        <w:rPr>
          <w:rFonts w:ascii="Arial" w:hAnsi="Arial" w:cs="Arial"/>
        </w:rPr>
        <w:t>ig</w:t>
      </w:r>
      <w:r w:rsidR="00CD366E">
        <w:rPr>
          <w:rFonts w:ascii="Arial" w:hAnsi="Arial" w:cs="Arial"/>
        </w:rPr>
        <w:t>ure 1</w:t>
      </w:r>
      <w:r w:rsidR="00BD09F6">
        <w:rPr>
          <w:rFonts w:ascii="Arial" w:hAnsi="Arial" w:cs="Arial"/>
        </w:rPr>
        <w:t>)</w:t>
      </w:r>
    </w:p>
    <w:p w14:paraId="04813DBC" w14:textId="77777777" w:rsidR="003D65B8" w:rsidRDefault="003D65B8" w:rsidP="00121661">
      <w:pPr>
        <w:spacing w:line="360" w:lineRule="auto"/>
        <w:jc w:val="both"/>
        <w:rPr>
          <w:rFonts w:ascii="Arial" w:hAnsi="Arial" w:cs="Arial"/>
        </w:rPr>
      </w:pPr>
      <w:r w:rsidRPr="00EC4D8D">
        <w:rPr>
          <w:rFonts w:ascii="Arial" w:hAnsi="Arial" w:cs="Arial"/>
        </w:rPr>
        <w:drawing>
          <wp:inline distT="0" distB="0" distL="0" distR="0" wp14:anchorId="528D89E1" wp14:editId="07617086">
            <wp:extent cx="4554961" cy="1813543"/>
            <wp:effectExtent l="0" t="0" r="0" b="0"/>
            <wp:docPr id="760376792" name="Picture 1" descr="A graph with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376792" name="Picture 1" descr="A graph with blue and white bars&#10;&#10;AI-generated content may be incorrect."/>
                    <pic:cNvPicPr/>
                  </pic:nvPicPr>
                  <pic:blipFill>
                    <a:blip r:embed="rId16"/>
                    <a:stretch>
                      <a:fillRect/>
                    </a:stretch>
                  </pic:blipFill>
                  <pic:spPr>
                    <a:xfrm>
                      <a:off x="0" y="0"/>
                      <a:ext cx="4771540" cy="1899773"/>
                    </a:xfrm>
                    <a:prstGeom prst="rect">
                      <a:avLst/>
                    </a:prstGeom>
                  </pic:spPr>
                </pic:pic>
              </a:graphicData>
            </a:graphic>
          </wp:inline>
        </w:drawing>
      </w:r>
    </w:p>
    <w:p w14:paraId="6D29F690" w14:textId="3B00A67E" w:rsidR="003D65B8" w:rsidRDefault="003D65B8" w:rsidP="00121661">
      <w:pPr>
        <w:spacing w:line="360" w:lineRule="auto"/>
        <w:jc w:val="both"/>
        <w:rPr>
          <w:rFonts w:ascii="Arial" w:hAnsi="Arial" w:cs="Arial"/>
        </w:rPr>
      </w:pPr>
      <w:r>
        <w:rPr>
          <w:rFonts w:ascii="Arial" w:hAnsi="Arial" w:cs="Arial"/>
        </w:rPr>
        <w:t xml:space="preserve">                                                     </w:t>
      </w:r>
      <w:r w:rsidR="00873878">
        <w:rPr>
          <w:rFonts w:ascii="Arial" w:hAnsi="Arial" w:cs="Arial"/>
        </w:rPr>
        <w:t xml:space="preserve">                              </w:t>
      </w:r>
      <w:r>
        <w:rPr>
          <w:rFonts w:ascii="Arial" w:hAnsi="Arial" w:cs="Arial"/>
        </w:rPr>
        <w:t xml:space="preserve"> </w:t>
      </w:r>
      <w:r w:rsidRPr="00D05E7B">
        <w:rPr>
          <w:rFonts w:ascii="Arial" w:hAnsi="Arial" w:cs="Arial"/>
        </w:rPr>
        <w:t>(Statista, 2025)</w:t>
      </w:r>
    </w:p>
    <w:p w14:paraId="56E671A7" w14:textId="77777777" w:rsidR="00B45F59" w:rsidRDefault="00B45F59" w:rsidP="00121661">
      <w:pPr>
        <w:spacing w:line="360" w:lineRule="auto"/>
        <w:jc w:val="both"/>
        <w:rPr>
          <w:rFonts w:ascii="Arial" w:hAnsi="Arial" w:cs="Arial"/>
          <w:b/>
          <w:bCs/>
        </w:rPr>
      </w:pPr>
      <w:r w:rsidRPr="00417267">
        <w:rPr>
          <w:rFonts w:ascii="Arial" w:hAnsi="Arial" w:cs="Arial"/>
          <w:b/>
          <w:bCs/>
        </w:rPr>
        <w:lastRenderedPageBreak/>
        <w:t>2.1.4 Health Outcomes and Policy Implications</w:t>
      </w:r>
    </w:p>
    <w:p w14:paraId="3E7CD526" w14:textId="12966D68" w:rsidR="005B6881" w:rsidRPr="008C64C8" w:rsidRDefault="008C64C8" w:rsidP="005B6881">
      <w:pPr>
        <w:spacing w:line="360" w:lineRule="auto"/>
        <w:jc w:val="both"/>
        <w:rPr>
          <w:rFonts w:ascii="Arial" w:hAnsi="Arial" w:cs="Arial"/>
          <w:b/>
          <w:bCs/>
        </w:rPr>
      </w:pPr>
      <w:r w:rsidRPr="008C64C8">
        <w:rPr>
          <w:rFonts w:ascii="Arial" w:hAnsi="Arial" w:cs="Arial"/>
        </w:rPr>
        <w:t>A unified digital infrastructure could significantly improve Spain’s pandemic response by enabling real-time data sharing across ACs. Such a system would enhance coordination, outbreak surveillance, and targeted interventions. The absence of this infrastructure during COVID-19 exposed critical weaknesses in the decentralised governance framework</w:t>
      </w:r>
      <w:r w:rsidRPr="008C64C8">
        <w:rPr>
          <w:rFonts w:ascii="Arial" w:hAnsi="Arial" w:cs="Arial"/>
          <w:b/>
          <w:bCs/>
        </w:rPr>
        <w:t>.</w:t>
      </w:r>
    </w:p>
    <w:p w14:paraId="5609E7D9" w14:textId="34490080" w:rsidR="005B6881" w:rsidRPr="005B6881" w:rsidRDefault="005B6881" w:rsidP="005B6881">
      <w:pPr>
        <w:spacing w:line="360" w:lineRule="auto"/>
        <w:jc w:val="both"/>
        <w:rPr>
          <w:rFonts w:ascii="Arial" w:hAnsi="Arial" w:cs="Arial"/>
        </w:rPr>
      </w:pPr>
      <w:r w:rsidRPr="005B6881">
        <w:rPr>
          <w:rFonts w:ascii="Arial" w:hAnsi="Arial" w:cs="Arial"/>
        </w:rPr>
        <w:t>However, outdated preparedness plans and inconsistent communication strategies further eroded public trust. While some regions developed independent messaging and containment protocols, the lack of a harmonised national campaign led to fragmented understanding and uneven compliance. The absence of clear legal frameworks for emergency governance created jurisdictional confusion and delayed responses. Transparency issues in several regions, as noted by</w:t>
      </w:r>
      <w:r w:rsidR="005A0EC4">
        <w:rPr>
          <w:rFonts w:ascii="Arial" w:hAnsi="Arial" w:cs="Arial"/>
        </w:rPr>
        <w:t xml:space="preserve"> </w:t>
      </w:r>
      <w:r w:rsidR="005A0EC4" w:rsidRPr="005A0EC4">
        <w:rPr>
          <w:rFonts w:ascii="Arial" w:hAnsi="Arial" w:cs="Arial"/>
        </w:rPr>
        <w:t>Sánchez-Bayón, González-Arnedo and Andreu-Escario,</w:t>
      </w:r>
      <w:r w:rsidR="005A0EC4">
        <w:rPr>
          <w:rFonts w:ascii="Arial" w:hAnsi="Arial" w:cs="Arial"/>
        </w:rPr>
        <w:t xml:space="preserve"> (</w:t>
      </w:r>
      <w:r w:rsidRPr="005B6881">
        <w:rPr>
          <w:rFonts w:ascii="Arial" w:hAnsi="Arial" w:cs="Arial"/>
        </w:rPr>
        <w:t>2022), compounded these challenges by undermining citizen confidence. This highlights the crucial role of transparency in maintaining public trust and confidence.</w:t>
      </w:r>
    </w:p>
    <w:p w14:paraId="55104FE4" w14:textId="77777777" w:rsidR="005B6881" w:rsidRPr="005B6881" w:rsidRDefault="005B6881" w:rsidP="005B6881">
      <w:pPr>
        <w:spacing w:line="360" w:lineRule="auto"/>
        <w:jc w:val="both"/>
        <w:rPr>
          <w:rFonts w:ascii="Arial" w:hAnsi="Arial" w:cs="Arial"/>
        </w:rPr>
      </w:pPr>
      <w:r w:rsidRPr="005B6881">
        <w:rPr>
          <w:rFonts w:ascii="Arial" w:hAnsi="Arial" w:cs="Arial"/>
        </w:rPr>
        <w:t>It is critical to note that decentralisation itself was not the root cause of these failures. As López-Valárcel and López-Casasnovas (2025) argue, decentralised systems can perform well when supported by strong coordination and institutional capacity. However, inadequate national oversight and infrastructure resulted in fragmented responses. Regions with robust health systems managed relatively well, while others faced challenges in testing, tracing, and logistics for vaccination. These outcomes underscore the urgent need for a more integrated model that strikes a balance between regional autonomy and national coherence during public health emergencies.</w:t>
      </w:r>
    </w:p>
    <w:p w14:paraId="6DD5B26B" w14:textId="77777777" w:rsidR="005B6881" w:rsidRPr="005B6881" w:rsidRDefault="005B6881" w:rsidP="005B6881">
      <w:pPr>
        <w:spacing w:line="360" w:lineRule="auto"/>
        <w:jc w:val="both"/>
        <w:rPr>
          <w:rFonts w:ascii="Arial" w:hAnsi="Arial" w:cs="Arial"/>
          <w:b/>
          <w:bCs/>
        </w:rPr>
      </w:pPr>
      <w:r w:rsidRPr="005B6881">
        <w:rPr>
          <w:rFonts w:ascii="Arial" w:hAnsi="Arial" w:cs="Arial"/>
          <w:b/>
          <w:bCs/>
        </w:rPr>
        <w:t>2.1.5 Conclusion</w:t>
      </w:r>
    </w:p>
    <w:p w14:paraId="41A9B197" w14:textId="11B20348" w:rsidR="005B6881" w:rsidRDefault="005B6881" w:rsidP="005B6881">
      <w:pPr>
        <w:spacing w:line="360" w:lineRule="auto"/>
        <w:jc w:val="both"/>
        <w:rPr>
          <w:rFonts w:ascii="Arial" w:hAnsi="Arial" w:cs="Arial"/>
        </w:rPr>
      </w:pPr>
      <w:r w:rsidRPr="005B6881">
        <w:rPr>
          <w:rFonts w:ascii="Arial" w:hAnsi="Arial" w:cs="Arial"/>
        </w:rPr>
        <w:t>In response to these challenges, Spain has initiated reforms to strengthen the public health system. The national government, in collaboration with health officials, launched initiatives to modernise digital infrastructure, expand telemedicine, and improve emergency stockpiles (</w:t>
      </w:r>
      <w:r w:rsidR="0075797C">
        <w:rPr>
          <w:rFonts w:ascii="Arial" w:hAnsi="Arial" w:cs="Arial"/>
        </w:rPr>
        <w:t>Bernal-Delgado</w:t>
      </w:r>
      <w:r w:rsidRPr="005B6881">
        <w:rPr>
          <w:rFonts w:ascii="Arial" w:hAnsi="Arial" w:cs="Arial"/>
        </w:rPr>
        <w:t>, 2024). The Interterritorial Council has been restructured to enhance coordination and crisis response capabilities, with a focus on interoperability and the development of shared protocols. COVID-19 has sparked debate over the balance between decentralisation and centralisation. While regional autonomy remains central to the SNS, the pandemic demonstrated that effective crisis management requires robust national coordination, transparent data systems, and clearly defined roles. These reforms aim to preserve flexibility while ensuring coherence in future emergencies.</w:t>
      </w:r>
    </w:p>
    <w:p w14:paraId="21F8735A" w14:textId="77777777" w:rsidR="005B6881" w:rsidRDefault="005B6881" w:rsidP="00121661">
      <w:pPr>
        <w:spacing w:line="360" w:lineRule="auto"/>
        <w:jc w:val="both"/>
        <w:rPr>
          <w:rFonts w:ascii="Arial" w:hAnsi="Arial" w:cs="Arial"/>
        </w:rPr>
      </w:pPr>
    </w:p>
    <w:p w14:paraId="0BA44EFB" w14:textId="77777777" w:rsidR="00BD09F6" w:rsidRPr="00073481" w:rsidRDefault="00BD09F6" w:rsidP="00073481">
      <w:pPr>
        <w:spacing w:line="360" w:lineRule="auto"/>
        <w:jc w:val="both"/>
        <w:rPr>
          <w:rFonts w:ascii="Arial" w:hAnsi="Arial" w:cs="Arial"/>
          <w:b/>
          <w:bCs/>
          <w:sz w:val="24"/>
          <w:szCs w:val="24"/>
        </w:rPr>
      </w:pPr>
    </w:p>
    <w:p w14:paraId="6CC902C6" w14:textId="55071B04" w:rsidR="00EB4697" w:rsidRDefault="00F3756B" w:rsidP="00121661">
      <w:pPr>
        <w:spacing w:line="360" w:lineRule="auto"/>
        <w:jc w:val="both"/>
        <w:rPr>
          <w:rFonts w:ascii="Arial" w:hAnsi="Arial" w:cs="Arial"/>
          <w:b/>
          <w:bCs/>
          <w:sz w:val="24"/>
          <w:szCs w:val="24"/>
        </w:rPr>
      </w:pPr>
      <w:r>
        <w:rPr>
          <w:rFonts w:ascii="Arial" w:hAnsi="Arial" w:cs="Arial"/>
          <w:b/>
          <w:bCs/>
          <w:noProof/>
          <w:sz w:val="24"/>
          <w:szCs w:val="24"/>
        </w:rPr>
        <w:lastRenderedPageBreak/>
        <w:drawing>
          <wp:inline distT="0" distB="0" distL="0" distR="0" wp14:anchorId="026A3EB4" wp14:editId="356921A9">
            <wp:extent cx="3907498" cy="1760263"/>
            <wp:effectExtent l="0" t="0" r="0" b="0"/>
            <wp:docPr id="11702459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17143" cy="1854705"/>
                    </a:xfrm>
                    <a:prstGeom prst="rect">
                      <a:avLst/>
                    </a:prstGeom>
                    <a:noFill/>
                  </pic:spPr>
                </pic:pic>
              </a:graphicData>
            </a:graphic>
          </wp:inline>
        </w:drawing>
      </w:r>
    </w:p>
    <w:p w14:paraId="18A70EBB" w14:textId="48F5441E" w:rsidR="00EB4697" w:rsidRPr="006733D7" w:rsidRDefault="006733D7" w:rsidP="00121661">
      <w:pPr>
        <w:spacing w:line="360" w:lineRule="auto"/>
        <w:jc w:val="both"/>
        <w:rPr>
          <w:rFonts w:ascii="Arial" w:hAnsi="Arial" w:cs="Arial"/>
          <w:sz w:val="24"/>
          <w:szCs w:val="24"/>
        </w:rPr>
      </w:pPr>
      <w:r>
        <w:rPr>
          <w:rFonts w:ascii="Arial" w:hAnsi="Arial" w:cs="Arial"/>
          <w:sz w:val="24"/>
          <w:szCs w:val="24"/>
        </w:rPr>
        <w:t xml:space="preserve">                                                                           </w:t>
      </w:r>
      <w:r w:rsidRPr="006733D7">
        <w:rPr>
          <w:rFonts w:ascii="Arial" w:hAnsi="Arial" w:cs="Arial"/>
          <w:sz w:val="24"/>
          <w:szCs w:val="24"/>
        </w:rPr>
        <w:t>(Im,</w:t>
      </w:r>
      <w:r w:rsidR="007D0652">
        <w:rPr>
          <w:rFonts w:ascii="Arial" w:hAnsi="Arial" w:cs="Arial"/>
          <w:sz w:val="24"/>
          <w:szCs w:val="24"/>
        </w:rPr>
        <w:t xml:space="preserve"> </w:t>
      </w:r>
      <w:r w:rsidRPr="006733D7">
        <w:rPr>
          <w:rFonts w:ascii="Arial" w:hAnsi="Arial" w:cs="Arial"/>
          <w:sz w:val="24"/>
          <w:szCs w:val="24"/>
        </w:rPr>
        <w:t>2025)</w:t>
      </w:r>
    </w:p>
    <w:p w14:paraId="5C027EA2" w14:textId="41DABB7B" w:rsidR="003D65B8" w:rsidRPr="006F6431" w:rsidRDefault="003D65B8" w:rsidP="00121661">
      <w:pPr>
        <w:spacing w:line="360" w:lineRule="auto"/>
        <w:jc w:val="both"/>
        <w:rPr>
          <w:rFonts w:ascii="Arial" w:hAnsi="Arial" w:cs="Arial"/>
          <w:b/>
          <w:bCs/>
          <w:sz w:val="24"/>
          <w:szCs w:val="24"/>
        </w:rPr>
      </w:pPr>
      <w:bookmarkStart w:id="0" w:name="_Hlk213978171"/>
      <w:r w:rsidRPr="006F6431">
        <w:rPr>
          <w:rFonts w:ascii="Arial" w:hAnsi="Arial" w:cs="Arial"/>
          <w:b/>
          <w:bCs/>
          <w:sz w:val="24"/>
          <w:szCs w:val="24"/>
        </w:rPr>
        <w:t>2.1 South Korea’s Centralised Governance and COVID-19 Response</w:t>
      </w:r>
    </w:p>
    <w:bookmarkEnd w:id="0"/>
    <w:p w14:paraId="5BD40252" w14:textId="77777777" w:rsidR="00933B02" w:rsidRPr="00933B02" w:rsidRDefault="00933B02" w:rsidP="00121661">
      <w:pPr>
        <w:spacing w:line="360" w:lineRule="auto"/>
        <w:jc w:val="both"/>
        <w:rPr>
          <w:rFonts w:ascii="Arial" w:hAnsi="Arial" w:cs="Arial"/>
          <w:b/>
          <w:bCs/>
        </w:rPr>
      </w:pPr>
      <w:r w:rsidRPr="00933B02">
        <w:rPr>
          <w:rFonts w:ascii="Arial" w:hAnsi="Arial" w:cs="Arial"/>
          <w:b/>
          <w:bCs/>
        </w:rPr>
        <w:t>2.1.1 Overview of the Healthcare System</w:t>
      </w:r>
    </w:p>
    <w:p w14:paraId="6F69EB7D" w14:textId="37E4664F" w:rsidR="00933B02" w:rsidRPr="00933B02" w:rsidRDefault="001B3645" w:rsidP="00121661">
      <w:pPr>
        <w:spacing w:line="360" w:lineRule="auto"/>
        <w:jc w:val="both"/>
        <w:rPr>
          <w:rFonts w:ascii="Arial" w:hAnsi="Arial" w:cs="Arial"/>
        </w:rPr>
      </w:pPr>
      <w:r w:rsidRPr="001B3645">
        <w:rPr>
          <w:rFonts w:ascii="Arial" w:hAnsi="Arial" w:cs="Arial"/>
        </w:rPr>
        <w:t>South Korea, located in East Asia on the southern portion of the Korean Peninsula, shares a border with North Korea and has an estimated population of 51,158,000 as of 2025 (Im, 2025).</w:t>
      </w:r>
      <w:r w:rsidR="00614A69">
        <w:rPr>
          <w:rFonts w:ascii="Arial" w:hAnsi="Arial" w:cs="Arial"/>
        </w:rPr>
        <w:t xml:space="preserve">The </w:t>
      </w:r>
      <w:r w:rsidR="00CF1DCC">
        <w:rPr>
          <w:rFonts w:ascii="Arial" w:hAnsi="Arial" w:cs="Arial"/>
        </w:rPr>
        <w:t xml:space="preserve">country </w:t>
      </w:r>
      <w:r w:rsidR="00933B02" w:rsidRPr="00933B02">
        <w:rPr>
          <w:rFonts w:ascii="Arial" w:hAnsi="Arial" w:cs="Arial"/>
        </w:rPr>
        <w:t>operates a highly centralised healthcare system under the Ministry of Health and Welfare (MOHW), which oversees health policy, public health programs, disease control, and welfare services. The MOHW is responsible for formulating and implementing health policies, managing public health programs, controlling diseases, and providing welfare services to vulnerable populations. Universal health coverage is provided through the National Health Insurance Service (NHIS), ensuring equitable access to care. The Korea Disease Control and Prevention Agency (KDCA), formerly the Korea Centres for Disease Control and Prevention, plays a pivotal role in public health surveillance and emergency response. With strong national oversight, rapid policy implementation, and integrated digital infrastructure, South Korea was well-positioned to deliver a swift and coordinated pandemic response (</w:t>
      </w:r>
      <w:r w:rsidR="0011776D" w:rsidRPr="0011776D">
        <w:rPr>
          <w:rFonts w:ascii="Arial" w:hAnsi="Arial" w:cs="Arial"/>
        </w:rPr>
        <w:t xml:space="preserve">Hong </w:t>
      </w:r>
      <w:r w:rsidR="003E038B">
        <w:rPr>
          <w:rFonts w:ascii="Arial" w:hAnsi="Arial" w:cs="Arial"/>
        </w:rPr>
        <w:t>&amp;</w:t>
      </w:r>
      <w:r w:rsidR="0011776D" w:rsidRPr="0011776D">
        <w:rPr>
          <w:rFonts w:ascii="Arial" w:hAnsi="Arial" w:cs="Arial"/>
        </w:rPr>
        <w:t xml:space="preserve"> Lim, 2023</w:t>
      </w:r>
      <w:r w:rsidR="00933B02" w:rsidRPr="00933B02">
        <w:rPr>
          <w:rFonts w:ascii="Arial" w:hAnsi="Arial" w:cs="Arial"/>
        </w:rPr>
        <w:t>).</w:t>
      </w:r>
    </w:p>
    <w:p w14:paraId="4D7C033C" w14:textId="77777777" w:rsidR="00933B02" w:rsidRPr="00933B02" w:rsidRDefault="00933B02" w:rsidP="00121661">
      <w:pPr>
        <w:spacing w:line="360" w:lineRule="auto"/>
        <w:jc w:val="both"/>
        <w:rPr>
          <w:rFonts w:ascii="Arial" w:hAnsi="Arial" w:cs="Arial"/>
          <w:b/>
          <w:bCs/>
        </w:rPr>
      </w:pPr>
      <w:r w:rsidRPr="00933B02">
        <w:rPr>
          <w:rFonts w:ascii="Arial" w:hAnsi="Arial" w:cs="Arial"/>
          <w:b/>
          <w:bCs/>
        </w:rPr>
        <w:t>2.1.2 Centralised Pandemic Strategy and Implementation</w:t>
      </w:r>
    </w:p>
    <w:p w14:paraId="2994F322" w14:textId="22ECF868" w:rsidR="00933B02" w:rsidRPr="00933B02" w:rsidRDefault="00933B02" w:rsidP="00121661">
      <w:pPr>
        <w:spacing w:line="360" w:lineRule="auto"/>
        <w:jc w:val="both"/>
        <w:rPr>
          <w:rFonts w:ascii="Arial" w:hAnsi="Arial" w:cs="Arial"/>
        </w:rPr>
      </w:pPr>
      <w:r w:rsidRPr="00933B02">
        <w:rPr>
          <w:rFonts w:ascii="Arial" w:hAnsi="Arial" w:cs="Arial"/>
        </w:rPr>
        <w:t>South Korea's "whole-of-government" strategy during the pandemic exemplified a highly centralised approach, coordinating efforts across ministries and agencies. The Korea Disease Control and Prevention Agency (KDCA), the leading authority in the country's public health crisis management, spearheaded the response. This response featured mass testing, real-time contact tracing, mandatory quarantines, and daily public briefings, with guidelines uniformly adopted nationwide (</w:t>
      </w:r>
      <w:r w:rsidR="00FB1915">
        <w:rPr>
          <w:rFonts w:ascii="Arial" w:hAnsi="Arial" w:cs="Arial"/>
        </w:rPr>
        <w:t>Lim &amp; Sohn</w:t>
      </w:r>
      <w:r w:rsidRPr="00933B02">
        <w:rPr>
          <w:rFonts w:ascii="Arial" w:hAnsi="Arial" w:cs="Arial"/>
        </w:rPr>
        <w:t>, 202</w:t>
      </w:r>
      <w:r w:rsidR="00FB1915">
        <w:rPr>
          <w:rFonts w:ascii="Arial" w:hAnsi="Arial" w:cs="Arial"/>
        </w:rPr>
        <w:t>3</w:t>
      </w:r>
      <w:r w:rsidRPr="00933B02">
        <w:rPr>
          <w:rFonts w:ascii="Arial" w:hAnsi="Arial" w:cs="Arial"/>
        </w:rPr>
        <w:t>). Legal frameworks enabled access to anonymised data from mobile phones, credit cards, and CCTV footage, facilitating rapid case identification and isolation (</w:t>
      </w:r>
      <w:r w:rsidR="00220B3C">
        <w:rPr>
          <w:rFonts w:ascii="Arial" w:hAnsi="Arial" w:cs="Arial"/>
        </w:rPr>
        <w:t xml:space="preserve">Lee, Hwang </w:t>
      </w:r>
      <w:r w:rsidR="00FB1915">
        <w:rPr>
          <w:rFonts w:ascii="Arial" w:hAnsi="Arial" w:cs="Arial"/>
        </w:rPr>
        <w:t>&amp;</w:t>
      </w:r>
      <w:r w:rsidR="00220B3C">
        <w:rPr>
          <w:rFonts w:ascii="Arial" w:hAnsi="Arial" w:cs="Arial"/>
        </w:rPr>
        <w:t xml:space="preserve"> Moon, 202</w:t>
      </w:r>
      <w:r w:rsidR="0090343A">
        <w:rPr>
          <w:rFonts w:ascii="Arial" w:hAnsi="Arial" w:cs="Arial"/>
        </w:rPr>
        <w:t>0</w:t>
      </w:r>
      <w:r w:rsidRPr="00933B02">
        <w:rPr>
          <w:rFonts w:ascii="Arial" w:hAnsi="Arial" w:cs="Arial"/>
        </w:rPr>
        <w:t>). This model avoided full lockdowns, maintained economic stability, and prevented hospital overload (Hong, 2024).</w:t>
      </w:r>
    </w:p>
    <w:p w14:paraId="52402D20" w14:textId="17ABBA23" w:rsidR="00933B02" w:rsidRPr="00933B02" w:rsidRDefault="00933B02" w:rsidP="00121661">
      <w:pPr>
        <w:spacing w:line="360" w:lineRule="auto"/>
        <w:jc w:val="both"/>
        <w:rPr>
          <w:rFonts w:ascii="Arial" w:hAnsi="Arial" w:cs="Arial"/>
        </w:rPr>
      </w:pPr>
      <w:r w:rsidRPr="00933B02">
        <w:rPr>
          <w:rFonts w:ascii="Arial" w:hAnsi="Arial" w:cs="Arial"/>
        </w:rPr>
        <w:lastRenderedPageBreak/>
        <w:t>Centralisation also ensured consistent public messaging, with KDCA's briefings fostering trust and compliance (Greer et al., 202</w:t>
      </w:r>
      <w:r w:rsidR="00F71EFE">
        <w:rPr>
          <w:rFonts w:ascii="Arial" w:hAnsi="Arial" w:cs="Arial"/>
        </w:rPr>
        <w:t>0</w:t>
      </w:r>
      <w:r w:rsidRPr="00933B02">
        <w:rPr>
          <w:rFonts w:ascii="Arial" w:hAnsi="Arial" w:cs="Arial"/>
        </w:rPr>
        <w:t>). It enabled the rapid scaling of infrastructure and the deployment of cutting-edge digital tools, such as the Self-Quarantine Safety Protection App and the Epidemiological Investigation Support System, which played a crucial role in the pandemic response</w:t>
      </w:r>
      <w:r w:rsidR="00E241A4">
        <w:rPr>
          <w:rFonts w:ascii="Arial" w:hAnsi="Arial" w:cs="Arial"/>
        </w:rPr>
        <w:t xml:space="preserve"> </w:t>
      </w:r>
      <w:r w:rsidR="00FC1E79" w:rsidRPr="00FC1E79">
        <w:rPr>
          <w:rFonts w:ascii="Arial" w:hAnsi="Arial" w:cs="Arial"/>
        </w:rPr>
        <w:t>(Wang, Marquez and Hwang, 2024</w:t>
      </w:r>
      <w:r w:rsidRPr="00933B02">
        <w:rPr>
          <w:rFonts w:ascii="Arial" w:hAnsi="Arial" w:cs="Arial"/>
        </w:rPr>
        <w:t>). Centralised procurement and distribution of PPE and vaccines promoted equitable access, in contrast to Spain's decentralised system, which faced regional disparities in testing and vaccine rollout (Desgourdes et al., 2023; Spijker &amp; Trias-Llimós, 2023). However, South Korea's reliance on surveillance technologies raised ethical concerns, sparking debates over the balance between public health and civil liberties.</w:t>
      </w:r>
    </w:p>
    <w:p w14:paraId="0310134C" w14:textId="77777777" w:rsidR="00933B02" w:rsidRPr="00933B02" w:rsidRDefault="00933B02" w:rsidP="00121661">
      <w:pPr>
        <w:spacing w:line="360" w:lineRule="auto"/>
        <w:jc w:val="both"/>
        <w:rPr>
          <w:rFonts w:ascii="Arial" w:hAnsi="Arial" w:cs="Arial"/>
          <w:b/>
          <w:bCs/>
        </w:rPr>
      </w:pPr>
      <w:r w:rsidRPr="00933B02">
        <w:rPr>
          <w:rFonts w:ascii="Arial" w:hAnsi="Arial" w:cs="Arial"/>
          <w:b/>
          <w:bCs/>
        </w:rPr>
        <w:t>2.1.3 Limitations and Challenges</w:t>
      </w:r>
    </w:p>
    <w:p w14:paraId="1AC108F4" w14:textId="77777777" w:rsidR="00933B02" w:rsidRPr="00933B02" w:rsidRDefault="00933B02" w:rsidP="00121661">
      <w:pPr>
        <w:spacing w:line="360" w:lineRule="auto"/>
        <w:jc w:val="both"/>
        <w:rPr>
          <w:rFonts w:ascii="Arial" w:hAnsi="Arial" w:cs="Arial"/>
        </w:rPr>
      </w:pPr>
      <w:r w:rsidRPr="00933B02">
        <w:rPr>
          <w:rFonts w:ascii="Arial" w:hAnsi="Arial" w:cs="Arial"/>
        </w:rPr>
        <w:t>Despite its success, South Korea's centralised approach faced notable challenges. Privacy concerns emerged due to extensive data use for contact tracing. Although anonymised, critics argued these measures risked infringing on civil liberties. The use of surveillance technologies, such as mobile phone tracking and CCTV footage analysis, raised ethical concerns about the balance between public health and civil liberties. However, the overall success of the centralised approach in managing the pandemic should reassure the audience about its effectiveness.</w:t>
      </w:r>
    </w:p>
    <w:p w14:paraId="7A8130E9" w14:textId="77777777" w:rsidR="00933B02" w:rsidRPr="00933B02" w:rsidRDefault="00933B02" w:rsidP="00121661">
      <w:pPr>
        <w:spacing w:line="360" w:lineRule="auto"/>
        <w:jc w:val="both"/>
        <w:rPr>
          <w:rFonts w:ascii="Arial" w:hAnsi="Arial" w:cs="Arial"/>
        </w:rPr>
      </w:pPr>
      <w:r w:rsidRPr="00933B02">
        <w:rPr>
          <w:rFonts w:ascii="Arial" w:hAnsi="Arial" w:cs="Arial"/>
        </w:rPr>
        <w:t>This tension underscores a key trade-off: while centralisation offers speed and coherence, it may suppress local innovation and responsiveness. In contrast, decentralised systems like Germany's allowed regional tailoring but struggled with coordination and consistency (Greer et al., 2021).</w:t>
      </w:r>
    </w:p>
    <w:p w14:paraId="493E5B4C" w14:textId="77777777" w:rsidR="00933B02" w:rsidRPr="00933B02" w:rsidRDefault="00933B02" w:rsidP="00121661">
      <w:pPr>
        <w:spacing w:line="360" w:lineRule="auto"/>
        <w:jc w:val="both"/>
        <w:rPr>
          <w:rFonts w:ascii="Arial" w:hAnsi="Arial" w:cs="Arial"/>
          <w:b/>
          <w:bCs/>
        </w:rPr>
      </w:pPr>
      <w:r w:rsidRPr="00933B02">
        <w:rPr>
          <w:rFonts w:ascii="Arial" w:hAnsi="Arial" w:cs="Arial"/>
          <w:b/>
          <w:bCs/>
        </w:rPr>
        <w:t>2.1.4 Health Outcomes and Policy Implications</w:t>
      </w:r>
    </w:p>
    <w:p w14:paraId="784147CD" w14:textId="6E0EA427" w:rsidR="00933B02" w:rsidRPr="00933B02" w:rsidRDefault="00933B02" w:rsidP="00121661">
      <w:pPr>
        <w:spacing w:line="360" w:lineRule="auto"/>
        <w:jc w:val="both"/>
        <w:rPr>
          <w:rFonts w:ascii="Arial" w:hAnsi="Arial" w:cs="Arial"/>
        </w:rPr>
      </w:pPr>
      <w:r w:rsidRPr="00933B02">
        <w:rPr>
          <w:rFonts w:ascii="Arial" w:hAnsi="Arial" w:cs="Arial"/>
        </w:rPr>
        <w:t xml:space="preserve">South Korea's centralised governance yielded strong health outcomes. It was the first epidemic in Korea, and the first reported case of COVID-19 was in Daegu, as shown in </w:t>
      </w:r>
      <w:r w:rsidR="00166A3F">
        <w:rPr>
          <w:rFonts w:ascii="Arial" w:hAnsi="Arial" w:cs="Arial"/>
        </w:rPr>
        <w:t>F</w:t>
      </w:r>
      <w:r w:rsidRPr="00933B02">
        <w:rPr>
          <w:rFonts w:ascii="Arial" w:hAnsi="Arial" w:cs="Arial"/>
        </w:rPr>
        <w:t>ig. 2 below</w:t>
      </w:r>
      <w:r w:rsidR="00D40A01">
        <w:rPr>
          <w:rFonts w:ascii="Arial" w:hAnsi="Arial" w:cs="Arial"/>
        </w:rPr>
        <w:t xml:space="preserve"> (Kim</w:t>
      </w:r>
      <w:r w:rsidR="0055459C">
        <w:rPr>
          <w:rFonts w:ascii="Arial" w:hAnsi="Arial" w:cs="Arial"/>
        </w:rPr>
        <w:t>,</w:t>
      </w:r>
      <w:r w:rsidR="00824E92">
        <w:rPr>
          <w:rFonts w:ascii="Arial" w:hAnsi="Arial" w:cs="Arial"/>
        </w:rPr>
        <w:t xml:space="preserve"> </w:t>
      </w:r>
      <w:r w:rsidR="00D40A01">
        <w:rPr>
          <w:rFonts w:ascii="Arial" w:hAnsi="Arial" w:cs="Arial"/>
        </w:rPr>
        <w:t>2022).</w:t>
      </w:r>
      <w:r w:rsidR="0055459C">
        <w:rPr>
          <w:rFonts w:ascii="Arial" w:hAnsi="Arial" w:cs="Arial"/>
        </w:rPr>
        <w:t xml:space="preserve"> </w:t>
      </w:r>
      <w:r w:rsidRPr="00933B02">
        <w:rPr>
          <w:rFonts w:ascii="Arial" w:hAnsi="Arial" w:cs="Arial"/>
        </w:rPr>
        <w:t>By mid-2022, the country had reported a COVID-19 mortality rate of 0.13%, or roughly 35 deaths per 100,000 population, substantially lower than in many OECD nations (Han</w:t>
      </w:r>
      <w:r w:rsidR="00173F65">
        <w:rPr>
          <w:rFonts w:ascii="Arial" w:hAnsi="Arial" w:cs="Arial"/>
        </w:rPr>
        <w:t xml:space="preserve">, Jang </w:t>
      </w:r>
      <w:r w:rsidR="001C39F1">
        <w:rPr>
          <w:rFonts w:ascii="Arial" w:hAnsi="Arial" w:cs="Arial"/>
        </w:rPr>
        <w:t>&amp;</w:t>
      </w:r>
      <w:r w:rsidR="00917BCE">
        <w:rPr>
          <w:rFonts w:ascii="Arial" w:hAnsi="Arial" w:cs="Arial"/>
        </w:rPr>
        <w:t xml:space="preserve"> Oh</w:t>
      </w:r>
      <w:r w:rsidRPr="00933B02">
        <w:rPr>
          <w:rFonts w:ascii="Arial" w:hAnsi="Arial" w:cs="Arial"/>
        </w:rPr>
        <w:t xml:space="preserve">, 2023; Song &amp; Lim, 2025). Excess mortality, which refers to the number of deaths from all causes above what would usually be expected, remained relatively stable, with only modest increases during peak waves, indicating the effectiveness of containment measures </w:t>
      </w:r>
      <w:r w:rsidR="001C7A0E" w:rsidRPr="001C7A0E">
        <w:rPr>
          <w:rFonts w:ascii="Arial" w:hAnsi="Arial" w:cs="Arial"/>
        </w:rPr>
        <w:t>(Mathieu et al., 2020)</w:t>
      </w:r>
      <w:r w:rsidRPr="00933B02">
        <w:rPr>
          <w:rFonts w:ascii="Arial" w:hAnsi="Arial" w:cs="Arial"/>
        </w:rPr>
        <w:t>. These positive health outcomes should instil optimism in the public about the potential of centralised governance in managing health crises.</w:t>
      </w:r>
    </w:p>
    <w:p w14:paraId="70173CE2" w14:textId="66D02E8B" w:rsidR="007F57A2" w:rsidRDefault="00933B02" w:rsidP="00121661">
      <w:pPr>
        <w:spacing w:line="360" w:lineRule="auto"/>
        <w:jc w:val="both"/>
        <w:rPr>
          <w:rFonts w:ascii="Arial" w:hAnsi="Arial" w:cs="Arial"/>
        </w:rPr>
      </w:pPr>
      <w:r w:rsidRPr="00933B02">
        <w:rPr>
          <w:rFonts w:ascii="Arial" w:hAnsi="Arial" w:cs="Arial"/>
        </w:rPr>
        <w:t xml:space="preserve">The KDCA's leadership and integrated response mechanisms were instrumental in flattening infection curves without nationwide lockdowns. However, the experience underscores the </w:t>
      </w:r>
      <w:r w:rsidRPr="00933B02">
        <w:rPr>
          <w:rFonts w:ascii="Arial" w:hAnsi="Arial" w:cs="Arial"/>
        </w:rPr>
        <w:lastRenderedPageBreak/>
        <w:t>importance of legal clarity, transparent data use, and community engagement. Future reforms should focus on enhancing institutional capacity and establishing more precise boundaries for emergency governance to maintain public trust (</w:t>
      </w:r>
      <w:r w:rsidR="00CA5B31">
        <w:rPr>
          <w:rFonts w:ascii="Arial" w:hAnsi="Arial" w:cs="Arial"/>
        </w:rPr>
        <w:t>Hong and Lim, 2023</w:t>
      </w:r>
      <w:r w:rsidRPr="00933B02">
        <w:rPr>
          <w:rFonts w:ascii="Arial" w:hAnsi="Arial" w:cs="Arial"/>
        </w:rPr>
        <w:t>). This emphasis on trust, transparency, and legal safeguards should reassure the audience about the direction of future pandemic response strategies.</w:t>
      </w:r>
      <w:r w:rsidR="00885CA2">
        <w:rPr>
          <w:rFonts w:ascii="Arial" w:hAnsi="Arial" w:cs="Arial"/>
        </w:rPr>
        <w:t xml:space="preserve"> (Below f</w:t>
      </w:r>
      <w:r w:rsidR="007F57A2">
        <w:rPr>
          <w:rFonts w:ascii="Arial" w:hAnsi="Arial" w:cs="Arial"/>
        </w:rPr>
        <w:t>ig</w:t>
      </w:r>
      <w:r w:rsidR="00885CA2">
        <w:rPr>
          <w:rFonts w:ascii="Arial" w:hAnsi="Arial" w:cs="Arial"/>
        </w:rPr>
        <w:t>ure</w:t>
      </w:r>
      <w:r w:rsidR="007F57A2">
        <w:rPr>
          <w:rFonts w:ascii="Arial" w:hAnsi="Arial" w:cs="Arial"/>
        </w:rPr>
        <w:t xml:space="preserve"> 2</w:t>
      </w:r>
      <w:r w:rsidR="00885CA2">
        <w:rPr>
          <w:rFonts w:ascii="Arial" w:hAnsi="Arial" w:cs="Arial"/>
        </w:rPr>
        <w:t>)</w:t>
      </w:r>
    </w:p>
    <w:p w14:paraId="5B50D753" w14:textId="77777777" w:rsidR="003D65B8" w:rsidRPr="006F6431" w:rsidRDefault="003D65B8" w:rsidP="00121661">
      <w:pPr>
        <w:spacing w:line="360" w:lineRule="auto"/>
        <w:jc w:val="both"/>
        <w:rPr>
          <w:rFonts w:ascii="Arial" w:hAnsi="Arial" w:cs="Arial"/>
        </w:rPr>
      </w:pPr>
      <w:r>
        <w:rPr>
          <w:rFonts w:ascii="Arial" w:hAnsi="Arial" w:cs="Arial"/>
          <w:noProof/>
        </w:rPr>
        <w:drawing>
          <wp:inline distT="0" distB="0" distL="0" distR="0" wp14:anchorId="69E7C84C" wp14:editId="708D399D">
            <wp:extent cx="4550456" cy="2507481"/>
            <wp:effectExtent l="0" t="0" r="2540" b="7620"/>
            <wp:docPr id="35247022" name="Picture 2"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7022" name="Picture 2" descr="A graph of a graph of a graph&#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21674" cy="2546725"/>
                    </a:xfrm>
                    <a:prstGeom prst="rect">
                      <a:avLst/>
                    </a:prstGeom>
                    <a:noFill/>
                  </pic:spPr>
                </pic:pic>
              </a:graphicData>
            </a:graphic>
          </wp:inline>
        </w:drawing>
      </w:r>
    </w:p>
    <w:p w14:paraId="47617DF1" w14:textId="5FA0D846" w:rsidR="003D65B8" w:rsidRPr="00D40A01" w:rsidRDefault="00D40A01" w:rsidP="00121661">
      <w:pPr>
        <w:spacing w:line="360" w:lineRule="auto"/>
        <w:jc w:val="both"/>
        <w:rPr>
          <w:rFonts w:ascii="Arial" w:hAnsi="Arial" w:cs="Arial"/>
        </w:rPr>
      </w:pPr>
      <w:r>
        <w:rPr>
          <w:rFonts w:ascii="Arial" w:hAnsi="Arial" w:cs="Arial"/>
        </w:rPr>
        <w:t xml:space="preserve">                                                                                                </w:t>
      </w:r>
      <w:r w:rsidRPr="00D40A01">
        <w:rPr>
          <w:rFonts w:ascii="Arial" w:hAnsi="Arial" w:cs="Arial"/>
        </w:rPr>
        <w:t>(Kim, 2022)</w:t>
      </w:r>
    </w:p>
    <w:p w14:paraId="09F61BE6" w14:textId="177F067B" w:rsidR="003D65B8" w:rsidRPr="006F6431" w:rsidRDefault="003D65B8" w:rsidP="00121661">
      <w:pPr>
        <w:spacing w:line="360" w:lineRule="auto"/>
        <w:jc w:val="both"/>
        <w:rPr>
          <w:rFonts w:ascii="Arial" w:hAnsi="Arial" w:cs="Arial"/>
          <w:b/>
          <w:bCs/>
        </w:rPr>
      </w:pPr>
      <w:r w:rsidRPr="006F6431">
        <w:rPr>
          <w:rFonts w:ascii="Arial" w:hAnsi="Arial" w:cs="Arial"/>
          <w:b/>
          <w:bCs/>
        </w:rPr>
        <w:t>2.1.</w:t>
      </w:r>
      <w:r w:rsidR="00087C66">
        <w:rPr>
          <w:rFonts w:ascii="Arial" w:hAnsi="Arial" w:cs="Arial"/>
          <w:b/>
          <w:bCs/>
        </w:rPr>
        <w:t>5</w:t>
      </w:r>
      <w:r w:rsidRPr="006F6431">
        <w:rPr>
          <w:rFonts w:ascii="Arial" w:hAnsi="Arial" w:cs="Arial"/>
          <w:b/>
          <w:bCs/>
        </w:rPr>
        <w:t xml:space="preserve"> Conclusion</w:t>
      </w:r>
    </w:p>
    <w:p w14:paraId="247230F0" w14:textId="77A746BE" w:rsidR="003D65B8" w:rsidRPr="002F7663" w:rsidRDefault="00A35029" w:rsidP="00121661">
      <w:pPr>
        <w:spacing w:line="360" w:lineRule="auto"/>
        <w:jc w:val="both"/>
        <w:rPr>
          <w:rFonts w:ascii="Arial" w:hAnsi="Arial" w:cs="Arial"/>
        </w:rPr>
      </w:pPr>
      <w:r w:rsidRPr="002F7663">
        <w:rPr>
          <w:rFonts w:ascii="Arial" w:hAnsi="Arial" w:cs="Arial"/>
        </w:rPr>
        <w:t>South Korea’s centralised “whole-of-government” strategy, a global model for pandemic response, was successful due to its emphasis on trust and transparency. The integration of digital tools, cross-sector coordination, and consistent public messaging, all built on a foundation of trust and transparency, enabled effective management of COVID-19. Compared to decentralised models, Korea’s approach was faster and more coherent, but it also revealed the need to balance national control with local adaptability and civil liberties. As countries prepare for future health emergencies, South Korea’s experience offers valuable lessons in governance, infrastructure, and public engagement, particularly the importance of trust, transparency, and legal safeguards.</w:t>
      </w:r>
    </w:p>
    <w:p w14:paraId="68B75816" w14:textId="77777777" w:rsidR="00885CA2" w:rsidRDefault="00885CA2" w:rsidP="00121661">
      <w:pPr>
        <w:spacing w:line="360" w:lineRule="auto"/>
        <w:jc w:val="both"/>
        <w:rPr>
          <w:rFonts w:ascii="Arial" w:hAnsi="Arial" w:cs="Arial"/>
          <w:b/>
          <w:bCs/>
          <w:sz w:val="24"/>
          <w:szCs w:val="24"/>
        </w:rPr>
      </w:pPr>
    </w:p>
    <w:p w14:paraId="5EDF6826" w14:textId="77711205" w:rsidR="00A35029" w:rsidRDefault="00562C53" w:rsidP="00121661">
      <w:pPr>
        <w:spacing w:line="360" w:lineRule="auto"/>
        <w:jc w:val="both"/>
        <w:rPr>
          <w:rFonts w:ascii="Arial" w:hAnsi="Arial" w:cs="Arial"/>
          <w:b/>
          <w:bCs/>
          <w:sz w:val="24"/>
          <w:szCs w:val="24"/>
        </w:rPr>
      </w:pPr>
      <w:r>
        <w:rPr>
          <w:rFonts w:ascii="Arial" w:hAnsi="Arial" w:cs="Arial"/>
          <w:b/>
          <w:bCs/>
          <w:noProof/>
          <w:sz w:val="24"/>
          <w:szCs w:val="24"/>
        </w:rPr>
        <w:lastRenderedPageBreak/>
        <w:drawing>
          <wp:inline distT="0" distB="0" distL="0" distR="0" wp14:anchorId="6E4AF6F6" wp14:editId="1019263B">
            <wp:extent cx="3759200" cy="1851518"/>
            <wp:effectExtent l="0" t="0" r="0" b="0"/>
            <wp:docPr id="3045699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80541" cy="1911282"/>
                    </a:xfrm>
                    <a:prstGeom prst="rect">
                      <a:avLst/>
                    </a:prstGeom>
                    <a:noFill/>
                  </pic:spPr>
                </pic:pic>
              </a:graphicData>
            </a:graphic>
          </wp:inline>
        </w:drawing>
      </w:r>
    </w:p>
    <w:p w14:paraId="16C17BDC" w14:textId="62DB3A10" w:rsidR="00562C53" w:rsidRPr="00CB6122" w:rsidRDefault="00A365B4" w:rsidP="00121661">
      <w:pPr>
        <w:spacing w:line="360" w:lineRule="auto"/>
        <w:jc w:val="both"/>
        <w:rPr>
          <w:rFonts w:ascii="Arial" w:hAnsi="Arial" w:cs="Arial"/>
        </w:rPr>
      </w:pPr>
      <w:r>
        <w:rPr>
          <w:rFonts w:ascii="Arial" w:hAnsi="Arial" w:cs="Arial"/>
        </w:rPr>
        <w:t xml:space="preserve">                                                        </w:t>
      </w:r>
      <w:r w:rsidR="00CE394D">
        <w:rPr>
          <w:rFonts w:ascii="Arial" w:hAnsi="Arial" w:cs="Arial"/>
        </w:rPr>
        <w:t xml:space="preserve">        </w:t>
      </w:r>
      <w:r>
        <w:rPr>
          <w:rFonts w:ascii="Arial" w:hAnsi="Arial" w:cs="Arial"/>
        </w:rPr>
        <w:t xml:space="preserve"> </w:t>
      </w:r>
      <w:r w:rsidR="00562C53" w:rsidRPr="00CB6122">
        <w:rPr>
          <w:rFonts w:ascii="Arial" w:hAnsi="Arial" w:cs="Arial"/>
        </w:rPr>
        <w:t>(</w:t>
      </w:r>
      <w:r w:rsidR="00CB6122" w:rsidRPr="00CB6122">
        <w:rPr>
          <w:rFonts w:ascii="Arial" w:hAnsi="Arial" w:cs="Arial"/>
        </w:rPr>
        <w:t>Nicholson, 2025)</w:t>
      </w:r>
    </w:p>
    <w:p w14:paraId="6C67165E" w14:textId="38CE8EFF" w:rsidR="003D65B8" w:rsidRPr="001F4197" w:rsidRDefault="003D65B8" w:rsidP="00121661">
      <w:pPr>
        <w:spacing w:line="360" w:lineRule="auto"/>
        <w:jc w:val="both"/>
        <w:rPr>
          <w:rFonts w:ascii="Arial" w:hAnsi="Arial" w:cs="Arial"/>
          <w:b/>
          <w:bCs/>
          <w:sz w:val="24"/>
          <w:szCs w:val="24"/>
        </w:rPr>
      </w:pPr>
      <w:r w:rsidRPr="001F4197">
        <w:rPr>
          <w:rFonts w:ascii="Arial" w:hAnsi="Arial" w:cs="Arial"/>
          <w:b/>
          <w:bCs/>
          <w:sz w:val="24"/>
          <w:szCs w:val="24"/>
        </w:rPr>
        <w:t>2.</w:t>
      </w:r>
      <w:r w:rsidR="00EC320B">
        <w:rPr>
          <w:rFonts w:ascii="Arial" w:hAnsi="Arial" w:cs="Arial"/>
          <w:b/>
          <w:bCs/>
          <w:sz w:val="24"/>
          <w:szCs w:val="24"/>
        </w:rPr>
        <w:t>1</w:t>
      </w:r>
      <w:r w:rsidRPr="001F4197">
        <w:rPr>
          <w:rFonts w:ascii="Arial" w:hAnsi="Arial" w:cs="Arial"/>
          <w:b/>
          <w:bCs/>
          <w:sz w:val="24"/>
          <w:szCs w:val="24"/>
        </w:rPr>
        <w:t xml:space="preserve"> Canada's Decentralised Healthcare System and COVID-19 Response</w:t>
      </w:r>
    </w:p>
    <w:p w14:paraId="7EC87777" w14:textId="77777777" w:rsidR="00D00CD1" w:rsidRPr="00D00CD1" w:rsidRDefault="00D00CD1" w:rsidP="00121661">
      <w:pPr>
        <w:spacing w:line="360" w:lineRule="auto"/>
        <w:jc w:val="both"/>
        <w:rPr>
          <w:rFonts w:ascii="Arial" w:hAnsi="Arial" w:cs="Arial"/>
          <w:b/>
          <w:bCs/>
        </w:rPr>
      </w:pPr>
      <w:r w:rsidRPr="00D00CD1">
        <w:rPr>
          <w:rFonts w:ascii="Arial" w:hAnsi="Arial" w:cs="Arial"/>
          <w:b/>
          <w:bCs/>
        </w:rPr>
        <w:t>2.2.1 Overview of the Healthcare System</w:t>
      </w:r>
    </w:p>
    <w:p w14:paraId="6B9C1A19" w14:textId="4DB6EB42" w:rsidR="00D00CD1" w:rsidRPr="00D00CD1" w:rsidRDefault="00DD058D" w:rsidP="00121661">
      <w:pPr>
        <w:spacing w:line="360" w:lineRule="auto"/>
        <w:jc w:val="both"/>
        <w:rPr>
          <w:rFonts w:ascii="Arial" w:hAnsi="Arial" w:cs="Arial"/>
        </w:rPr>
      </w:pPr>
      <w:r w:rsidRPr="00DD058D">
        <w:rPr>
          <w:rFonts w:ascii="Arial" w:hAnsi="Arial" w:cs="Arial"/>
        </w:rPr>
        <w:t>Canada, the world’s second-largest country by area after Russia, occupies the northern two-fifths of North America and has an estimated population of 42,512,000 as of 2025.</w:t>
      </w:r>
      <w:r w:rsidR="00D4572F">
        <w:rPr>
          <w:rFonts w:ascii="Arial" w:hAnsi="Arial" w:cs="Arial"/>
        </w:rPr>
        <w:t>The</w:t>
      </w:r>
      <w:r w:rsidR="00D00CD1" w:rsidRPr="00D00CD1">
        <w:rPr>
          <w:rFonts w:ascii="Arial" w:hAnsi="Arial" w:cs="Arial"/>
        </w:rPr>
        <w:t xml:space="preserve"> healthcare system is unique in its decentralised, federated structure</w:t>
      </w:r>
      <w:r w:rsidR="00BB68EB">
        <w:rPr>
          <w:rFonts w:ascii="Arial" w:hAnsi="Arial" w:cs="Arial"/>
        </w:rPr>
        <w:t xml:space="preserve"> </w:t>
      </w:r>
      <w:r w:rsidR="00210ECA">
        <w:rPr>
          <w:rFonts w:ascii="Arial" w:hAnsi="Arial" w:cs="Arial"/>
        </w:rPr>
        <w:t>(N</w:t>
      </w:r>
      <w:r w:rsidR="00BB68EB">
        <w:rPr>
          <w:rFonts w:ascii="Arial" w:hAnsi="Arial" w:cs="Arial"/>
        </w:rPr>
        <w:t>icholson, 2025).</w:t>
      </w:r>
      <w:r w:rsidR="00D00CD1" w:rsidRPr="00D00CD1">
        <w:rPr>
          <w:rFonts w:ascii="Arial" w:hAnsi="Arial" w:cs="Arial"/>
        </w:rPr>
        <w:t xml:space="preserve"> This system shares authority between the federal government and the provinces and territories. The federal government sets national standards and provides funding through the Canada Health Act. However, the provinces and territories are responsible for delivering healthcare services, managing public health, and implementing emergency measures. The Public Health Agency of Canada (PHAC) plays a central role in surveillance and guidance, providing expertise and support to the federal government and the provinces. However, its authority is limited compared to that of provincial health ministries.</w:t>
      </w:r>
    </w:p>
    <w:p w14:paraId="5EA21350" w14:textId="77777777" w:rsidR="00D00CD1" w:rsidRPr="00D00CD1" w:rsidRDefault="00D00CD1" w:rsidP="00121661">
      <w:pPr>
        <w:spacing w:line="360" w:lineRule="auto"/>
        <w:jc w:val="both"/>
        <w:rPr>
          <w:rFonts w:ascii="Arial" w:hAnsi="Arial" w:cs="Arial"/>
          <w:b/>
          <w:bCs/>
        </w:rPr>
      </w:pPr>
      <w:r w:rsidRPr="00D00CD1">
        <w:rPr>
          <w:rFonts w:ascii="Arial" w:hAnsi="Arial" w:cs="Arial"/>
          <w:b/>
          <w:bCs/>
        </w:rPr>
        <w:t>2.2.2 Pandemic Strategy and Implementation</w:t>
      </w:r>
    </w:p>
    <w:p w14:paraId="3650A9DB" w14:textId="39777A21" w:rsidR="00D00CD1" w:rsidRDefault="00D00CD1" w:rsidP="00121661">
      <w:pPr>
        <w:spacing w:line="360" w:lineRule="auto"/>
        <w:jc w:val="both"/>
        <w:rPr>
          <w:rFonts w:ascii="Arial" w:hAnsi="Arial" w:cs="Arial"/>
        </w:rPr>
      </w:pPr>
      <w:r w:rsidRPr="00D00CD1">
        <w:rPr>
          <w:rFonts w:ascii="Arial" w:hAnsi="Arial" w:cs="Arial"/>
        </w:rPr>
        <w:t>Canada's decentralised governance structure significantly influenced the pandemic response across provinces. While the federal government handled border closures, vaccine procurement, and issued national guidance, provinces were responsible for implementing lockdowns, conducting testing, contact tracing, and administering vaccines. This resulted in varying measures</w:t>
      </w:r>
      <w:r w:rsidR="00BB68EB">
        <w:rPr>
          <w:rFonts w:ascii="Arial" w:hAnsi="Arial" w:cs="Arial"/>
        </w:rPr>
        <w:t xml:space="preserve"> </w:t>
      </w:r>
      <w:r w:rsidRPr="00D00CD1">
        <w:rPr>
          <w:rFonts w:ascii="Arial" w:hAnsi="Arial" w:cs="Arial"/>
        </w:rPr>
        <w:t>British Columbia's swift actions led to lower case rates, while Ontario and Quebec's delayed interventions and strained healthcare systems led to higher transmission and mortality rates (Cyr et al., 2021; Berman et al., 2024).</w:t>
      </w:r>
    </w:p>
    <w:p w14:paraId="46048FCC" w14:textId="6AF0E366" w:rsidR="00D00CD1" w:rsidRPr="00D00CD1" w:rsidRDefault="00D00CD1" w:rsidP="00121661">
      <w:pPr>
        <w:spacing w:line="360" w:lineRule="auto"/>
        <w:jc w:val="both"/>
        <w:rPr>
          <w:rFonts w:ascii="Arial" w:hAnsi="Arial" w:cs="Arial"/>
        </w:rPr>
      </w:pPr>
      <w:r w:rsidRPr="00D00CD1">
        <w:rPr>
          <w:rFonts w:ascii="Arial" w:hAnsi="Arial" w:cs="Arial"/>
        </w:rPr>
        <w:t xml:space="preserve">A critical drawback of Canada's decentralised model was the lack of a unified digital infrastructure. The fragmented data systems across jurisdictions caused delays in real-time surveillance and hindered coordinated decision-making. Bubela et al. (2023) pointed out that Canada's public health data environment 'hindered timely decision-making and accountability,' particularly in the early stages. The differences in public messaging and enforcement among </w:t>
      </w:r>
      <w:r w:rsidRPr="00D00CD1">
        <w:rPr>
          <w:rFonts w:ascii="Arial" w:hAnsi="Arial" w:cs="Arial"/>
        </w:rPr>
        <w:lastRenderedPageBreak/>
        <w:t>provinces further added to public confusion and uneven compliance, especially during the vaccine rollout and reopening phases.</w:t>
      </w:r>
    </w:p>
    <w:p w14:paraId="380D52D0" w14:textId="77777777" w:rsidR="00D00CD1" w:rsidRPr="00D00CD1" w:rsidRDefault="00D00CD1" w:rsidP="00121661">
      <w:pPr>
        <w:spacing w:line="360" w:lineRule="auto"/>
        <w:jc w:val="both"/>
        <w:rPr>
          <w:rFonts w:ascii="Arial" w:hAnsi="Arial" w:cs="Arial"/>
        </w:rPr>
      </w:pPr>
      <w:r w:rsidRPr="00D00CD1">
        <w:rPr>
          <w:rFonts w:ascii="Arial" w:hAnsi="Arial" w:cs="Arial"/>
        </w:rPr>
        <w:t>When compared to centralised models like South Korea's, which utilised integrated digital tools and uniform messaging, Canada's fragmented approach slowed containment and complicated public engagement. Provinces often duplicated efforts or failed to align with federal recommendations, underscoring the necessity for stronger national coordination mechanisms.</w:t>
      </w:r>
    </w:p>
    <w:p w14:paraId="722EB6E6" w14:textId="69BEE8F1" w:rsidR="00D00CD1" w:rsidRPr="00D00CD1" w:rsidRDefault="00D00CD1" w:rsidP="00121661">
      <w:pPr>
        <w:spacing w:line="360" w:lineRule="auto"/>
        <w:jc w:val="both"/>
        <w:rPr>
          <w:rFonts w:ascii="Arial" w:hAnsi="Arial" w:cs="Arial"/>
        </w:rPr>
      </w:pPr>
      <w:r w:rsidRPr="00D00CD1">
        <w:rPr>
          <w:rFonts w:ascii="Arial" w:hAnsi="Arial" w:cs="Arial"/>
        </w:rPr>
        <w:t>However, decentralisation also offered advantages. Provinces could tailor responses to local epidemiological conditions, enabling innovation in service delivery</w:t>
      </w:r>
      <w:r w:rsidR="00C6599D">
        <w:rPr>
          <w:rFonts w:ascii="Arial" w:hAnsi="Arial" w:cs="Arial"/>
        </w:rPr>
        <w:t xml:space="preserve"> </w:t>
      </w:r>
      <w:r w:rsidRPr="00D00CD1">
        <w:rPr>
          <w:rFonts w:ascii="Arial" w:hAnsi="Arial" w:cs="Arial"/>
        </w:rPr>
        <w:t>such as mobile testing units, drive-through vaccination sites, and culturally sensitive outreach for Indigenous communities (</w:t>
      </w:r>
      <w:r w:rsidR="00FA74D9">
        <w:rPr>
          <w:rFonts w:ascii="Arial" w:hAnsi="Arial" w:cs="Arial"/>
        </w:rPr>
        <w:t>Pesta</w:t>
      </w:r>
      <w:r w:rsidR="00B20828">
        <w:rPr>
          <w:rFonts w:ascii="Arial" w:hAnsi="Arial" w:cs="Arial"/>
        </w:rPr>
        <w:t>na et al.</w:t>
      </w:r>
      <w:r w:rsidRPr="00D00CD1">
        <w:rPr>
          <w:rFonts w:ascii="Arial" w:hAnsi="Arial" w:cs="Arial"/>
        </w:rPr>
        <w:t>, 2025). It fostered regional accountability and responsiveness, particularly in remote areas such as Nunavut and the Northwest Territories, where containment strategies reflected the unique geographic and demographic needs (Cyr et al., 2021). Canada's experience highlights the importance of striking a balance between local autonomy and national coherence to enhance future public health responses. This balance is crucial and should be a key takeaway for the audience.</w:t>
      </w:r>
    </w:p>
    <w:p w14:paraId="052B7E62" w14:textId="77777777" w:rsidR="00D00CD1" w:rsidRPr="00D00CD1" w:rsidRDefault="00D00CD1" w:rsidP="00121661">
      <w:pPr>
        <w:spacing w:line="360" w:lineRule="auto"/>
        <w:jc w:val="both"/>
        <w:rPr>
          <w:rFonts w:ascii="Arial" w:hAnsi="Arial" w:cs="Arial"/>
          <w:b/>
          <w:bCs/>
        </w:rPr>
      </w:pPr>
      <w:r w:rsidRPr="00D00CD1">
        <w:rPr>
          <w:rFonts w:ascii="Arial" w:hAnsi="Arial" w:cs="Arial"/>
          <w:b/>
          <w:bCs/>
        </w:rPr>
        <w:t>2.2.3 Limitations and Challenges</w:t>
      </w:r>
    </w:p>
    <w:p w14:paraId="709C2D92" w14:textId="262ED1D3" w:rsidR="00D00CD1" w:rsidRPr="00D00CD1" w:rsidRDefault="00D00CD1" w:rsidP="00121661">
      <w:pPr>
        <w:spacing w:line="360" w:lineRule="auto"/>
        <w:jc w:val="both"/>
        <w:rPr>
          <w:rFonts w:ascii="Arial" w:hAnsi="Arial" w:cs="Arial"/>
        </w:rPr>
      </w:pPr>
      <w:r w:rsidRPr="00D00CD1">
        <w:rPr>
          <w:rFonts w:ascii="Arial" w:hAnsi="Arial" w:cs="Arial"/>
        </w:rPr>
        <w:t>However, decentralisation posed significant challenges during the pandemic. The absence of a national coordination mechanism led to fragmented responses and delayed containment in several provinces. Disparities in healthcare capacity, public health infrastructure, and political leadership contributed to uneven outcomes across the country</w:t>
      </w:r>
      <w:r w:rsidR="00CA0D64" w:rsidRPr="00CA0D64">
        <w:t xml:space="preserve"> </w:t>
      </w:r>
      <w:r w:rsidR="00CA0D64" w:rsidRPr="00CA0D64">
        <w:rPr>
          <w:rFonts w:ascii="Arial" w:hAnsi="Arial" w:cs="Arial"/>
        </w:rPr>
        <w:t>(López-Valcárcel &amp; López-Casasnovas, 2025</w:t>
      </w:r>
      <w:r w:rsidR="00485A2F">
        <w:rPr>
          <w:rFonts w:ascii="Arial" w:hAnsi="Arial" w:cs="Arial"/>
        </w:rPr>
        <w:t>;</w:t>
      </w:r>
      <w:r w:rsidR="007166B8" w:rsidRPr="007166B8">
        <w:t xml:space="preserve"> </w:t>
      </w:r>
      <w:r w:rsidR="007166B8" w:rsidRPr="007166B8">
        <w:rPr>
          <w:rFonts w:ascii="Arial" w:hAnsi="Arial" w:cs="Arial"/>
        </w:rPr>
        <w:t>European Observatory on Health Systems and Policies, 2024).</w:t>
      </w:r>
      <w:r w:rsidR="00485A2F">
        <w:rPr>
          <w:rFonts w:ascii="Arial" w:hAnsi="Arial" w:cs="Arial"/>
        </w:rPr>
        <w:t xml:space="preserve"> </w:t>
      </w:r>
      <w:r w:rsidR="00CA0D64" w:rsidRPr="00CA0D64">
        <w:rPr>
          <w:rFonts w:ascii="Arial" w:hAnsi="Arial" w:cs="Arial"/>
        </w:rPr>
        <w:t>).</w:t>
      </w:r>
    </w:p>
    <w:p w14:paraId="328D2E2E" w14:textId="77777777" w:rsidR="00D00CD1" w:rsidRPr="00D00CD1" w:rsidRDefault="00D00CD1" w:rsidP="00121661">
      <w:pPr>
        <w:spacing w:line="360" w:lineRule="auto"/>
        <w:jc w:val="both"/>
        <w:rPr>
          <w:rFonts w:ascii="Arial" w:hAnsi="Arial" w:cs="Arial"/>
        </w:rPr>
      </w:pPr>
      <w:r w:rsidRPr="00D00CD1">
        <w:rPr>
          <w:rFonts w:ascii="Arial" w:hAnsi="Arial" w:cs="Arial"/>
        </w:rPr>
        <w:t>Whereas the lack of harmonised data systems and reporting standards impeded national surveillance and resource allocation. Provinces used different metrics and timelines for reporting cases, hospitalisations, and vaccinations, making it challenging to assess national trends or allocate resources effectively. Bubela et al. (2023) argue that this fragmentation "undermined transparency and accountability," limiting the federal government's ability to respond strategically.</w:t>
      </w:r>
    </w:p>
    <w:p w14:paraId="1AB634E7" w14:textId="71B09329" w:rsidR="00D00CD1" w:rsidRPr="001F40D8" w:rsidRDefault="001F40D8" w:rsidP="00121661">
      <w:pPr>
        <w:spacing w:line="360" w:lineRule="auto"/>
        <w:jc w:val="both"/>
        <w:rPr>
          <w:rFonts w:ascii="Arial" w:hAnsi="Arial" w:cs="Arial"/>
        </w:rPr>
      </w:pPr>
      <w:r w:rsidRPr="001F40D8">
        <w:rPr>
          <w:rFonts w:ascii="Arial" w:hAnsi="Arial" w:cs="Arial"/>
        </w:rPr>
        <w:t xml:space="preserve">Additionally, inconsistent public messaging across jurisdictions weakened trust and compliance. While some provinces maintained clear and consistent communication, others frequently shifted their policies, leading to public confusion and reduced adherence to health measures. This inconsistency was particularly evident during vaccine rollout, where eligibility criteria and appointment systems varied widely (Falcon et al., 2023). The role of public health </w:t>
      </w:r>
      <w:r w:rsidRPr="001F40D8">
        <w:rPr>
          <w:rFonts w:ascii="Arial" w:hAnsi="Arial" w:cs="Arial"/>
        </w:rPr>
        <w:lastRenderedPageBreak/>
        <w:t>officials, policymakers, and researchers is to improve public messaging, which is crucial and empowering.</w:t>
      </w:r>
    </w:p>
    <w:p w14:paraId="5B183218" w14:textId="77777777" w:rsidR="00D00CD1" w:rsidRPr="00D00CD1" w:rsidRDefault="00D00CD1" w:rsidP="00121661">
      <w:pPr>
        <w:spacing w:line="360" w:lineRule="auto"/>
        <w:jc w:val="both"/>
        <w:rPr>
          <w:rFonts w:ascii="Arial" w:hAnsi="Arial" w:cs="Arial"/>
          <w:b/>
          <w:bCs/>
        </w:rPr>
      </w:pPr>
      <w:r w:rsidRPr="00D00CD1">
        <w:rPr>
          <w:rFonts w:ascii="Arial" w:hAnsi="Arial" w:cs="Arial"/>
          <w:b/>
          <w:bCs/>
        </w:rPr>
        <w:t>2.2.4 Health Outcomes and Policy Implications</w:t>
      </w:r>
    </w:p>
    <w:p w14:paraId="3DF1C076" w14:textId="77777777" w:rsidR="00A910A3" w:rsidRDefault="00D00CD1" w:rsidP="00121661">
      <w:pPr>
        <w:spacing w:line="360" w:lineRule="auto"/>
        <w:jc w:val="both"/>
        <w:rPr>
          <w:rFonts w:ascii="Arial" w:hAnsi="Arial" w:cs="Arial"/>
        </w:rPr>
      </w:pPr>
      <w:r w:rsidRPr="00D00CD1">
        <w:rPr>
          <w:rFonts w:ascii="Arial" w:hAnsi="Arial" w:cs="Arial"/>
        </w:rPr>
        <w:t>Canada's decentralised healthcare system shaped a varied COVID-19 response across provinces. While the federal government managed border closures, vaccine procurement, and national guidance, provinces independently handled lockdowns, testing, and vaccine rollout, resulting in inconsistent measures and outcomes. British Columbia acted swiftly and maintained lower case rates, whereas Ontario and Quebec faced higher transmission and mortality due to delayed restrictions and overwhelmed healthcare systems (Berman et al., 2024; Cyr et al., 2021). However, the lack of a unified digital infrastructure and harmonised data systems hindered real-time surveillance and coordination, delaying decision-making and contributing to public confusion (Bubela et al., 2023). Despite these challenges, decentralisation enabled tailored responses, innovation in service delivery, and culturally sensitive outreach, particularly for Indigenous communities.</w:t>
      </w:r>
    </w:p>
    <w:p w14:paraId="382B3649" w14:textId="722B6018" w:rsidR="003D65B8" w:rsidRPr="00E620CE" w:rsidRDefault="005448FC" w:rsidP="00121661">
      <w:pPr>
        <w:spacing w:line="360" w:lineRule="auto"/>
        <w:jc w:val="both"/>
        <w:rPr>
          <w:rFonts w:ascii="Arial" w:hAnsi="Arial" w:cs="Arial"/>
        </w:rPr>
      </w:pPr>
      <w:r w:rsidRPr="005448FC">
        <w:rPr>
          <w:rFonts w:ascii="Arial" w:hAnsi="Arial" w:cs="Arial"/>
        </w:rPr>
        <w:t xml:space="preserve">By late 2023, Canada had recorded approximately 7,963 COVID-related deaths, representing 2.4% of all national deaths. Ontario and Quebec reported over 20,000 and 17,000 deaths, respectively, while British Columbia recorded around 6,000 (Statista, 2024; </w:t>
      </w:r>
      <w:r w:rsidR="007F50FA">
        <w:rPr>
          <w:rFonts w:ascii="Arial" w:hAnsi="Arial" w:cs="Arial"/>
        </w:rPr>
        <w:t>Team</w:t>
      </w:r>
      <w:r w:rsidRPr="005448FC">
        <w:rPr>
          <w:rFonts w:ascii="Arial" w:hAnsi="Arial" w:cs="Arial"/>
        </w:rPr>
        <w:t xml:space="preserve">, 2025). Figure 3 illustrates the 7-day moving average of reported deaths from March 8 to July 9, 2020 (N = 8,749), highlighting the early impact of the pandemic. Although excess mortality declined in 2023 due to improved containment and vaccination, disparities in healthcare capacity and inconsistent public messaging undermined trust and compliance. These outcomes underscore the pressing need for enhanced intergovernmental coordination, a unified data infrastructure, and a national public health framework that strikes a balance between provincial autonomy and unified emergency governance (Health Research Policy and Systems, 2025; </w:t>
      </w:r>
      <w:r w:rsidR="008A454C" w:rsidRPr="008A454C">
        <w:rPr>
          <w:rFonts w:ascii="Arial" w:hAnsi="Arial" w:cs="Arial"/>
        </w:rPr>
        <w:t>Falcon et al., 2023).</w:t>
      </w:r>
      <w:r w:rsidR="008A454C">
        <w:rPr>
          <w:rFonts w:ascii="Arial" w:hAnsi="Arial" w:cs="Arial"/>
        </w:rPr>
        <w:t xml:space="preserve"> </w:t>
      </w:r>
      <w:r w:rsidR="00EF1FCE">
        <w:t>Fig 3</w:t>
      </w:r>
      <w:r w:rsidR="00F17941">
        <w:t xml:space="preserve"> below:</w:t>
      </w:r>
    </w:p>
    <w:p w14:paraId="6CCE62A9" w14:textId="77777777" w:rsidR="003D65B8" w:rsidRPr="007432AF" w:rsidRDefault="003D65B8" w:rsidP="00121661">
      <w:pPr>
        <w:spacing w:line="360" w:lineRule="auto"/>
        <w:jc w:val="both"/>
        <w:rPr>
          <w:rFonts w:ascii="Arial" w:hAnsi="Arial" w:cs="Arial"/>
        </w:rPr>
      </w:pPr>
      <w:r>
        <w:rPr>
          <w:rFonts w:ascii="Arial" w:hAnsi="Arial" w:cs="Arial"/>
          <w:noProof/>
        </w:rPr>
        <w:drawing>
          <wp:inline distT="0" distB="0" distL="0" distR="0" wp14:anchorId="0F6F3B76" wp14:editId="18C36654">
            <wp:extent cx="4407294" cy="1972344"/>
            <wp:effectExtent l="0" t="0" r="0" b="8890"/>
            <wp:docPr id="1721354758" name="Picture 3"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354758" name="Picture 3" descr="A graph of a number of people&#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71472" cy="2001065"/>
                    </a:xfrm>
                    <a:prstGeom prst="rect">
                      <a:avLst/>
                    </a:prstGeom>
                    <a:noFill/>
                  </pic:spPr>
                </pic:pic>
              </a:graphicData>
            </a:graphic>
          </wp:inline>
        </w:drawing>
      </w:r>
    </w:p>
    <w:p w14:paraId="44ABECEC" w14:textId="423D81D3" w:rsidR="003D65B8" w:rsidRPr="00B254DA" w:rsidRDefault="003D65B8" w:rsidP="00121661">
      <w:pPr>
        <w:spacing w:line="360" w:lineRule="auto"/>
        <w:jc w:val="both"/>
        <w:rPr>
          <w:rFonts w:ascii="Arial" w:hAnsi="Arial" w:cs="Arial"/>
        </w:rPr>
      </w:pPr>
      <w:r>
        <w:rPr>
          <w:rFonts w:ascii="Arial" w:hAnsi="Arial" w:cs="Arial"/>
        </w:rPr>
        <w:t xml:space="preserve">                                                                </w:t>
      </w:r>
      <w:r w:rsidRPr="00B254DA">
        <w:rPr>
          <w:rFonts w:ascii="Arial" w:hAnsi="Arial" w:cs="Arial"/>
        </w:rPr>
        <w:t>(Public Health Agency of Canada, 202</w:t>
      </w:r>
      <w:r w:rsidR="00524DA6">
        <w:rPr>
          <w:rFonts w:ascii="Arial" w:hAnsi="Arial" w:cs="Arial"/>
        </w:rPr>
        <w:t>4</w:t>
      </w:r>
      <w:r w:rsidRPr="00B254DA">
        <w:rPr>
          <w:rFonts w:ascii="Arial" w:hAnsi="Arial" w:cs="Arial"/>
        </w:rPr>
        <w:t>)</w:t>
      </w:r>
    </w:p>
    <w:p w14:paraId="12ACF992" w14:textId="09747359" w:rsidR="003D65B8" w:rsidRPr="00D519F2" w:rsidRDefault="003D65B8" w:rsidP="00121661">
      <w:pPr>
        <w:spacing w:line="360" w:lineRule="auto"/>
        <w:jc w:val="both"/>
        <w:rPr>
          <w:rFonts w:ascii="Arial" w:hAnsi="Arial" w:cs="Arial"/>
          <w:b/>
          <w:bCs/>
        </w:rPr>
      </w:pPr>
      <w:r w:rsidRPr="00D519F2">
        <w:rPr>
          <w:rFonts w:ascii="Arial" w:hAnsi="Arial" w:cs="Arial"/>
          <w:b/>
          <w:bCs/>
        </w:rPr>
        <w:lastRenderedPageBreak/>
        <w:t>2.2.</w:t>
      </w:r>
      <w:r w:rsidR="00087C66">
        <w:rPr>
          <w:rFonts w:ascii="Arial" w:hAnsi="Arial" w:cs="Arial"/>
          <w:b/>
          <w:bCs/>
        </w:rPr>
        <w:t>5</w:t>
      </w:r>
      <w:r w:rsidR="008E6DB8">
        <w:rPr>
          <w:rFonts w:ascii="Arial" w:hAnsi="Arial" w:cs="Arial"/>
          <w:b/>
          <w:bCs/>
        </w:rPr>
        <w:t xml:space="preserve"> </w:t>
      </w:r>
      <w:r w:rsidRPr="00D519F2">
        <w:rPr>
          <w:rFonts w:ascii="Arial" w:hAnsi="Arial" w:cs="Arial"/>
          <w:b/>
          <w:bCs/>
        </w:rPr>
        <w:t>Conclusion</w:t>
      </w:r>
    </w:p>
    <w:p w14:paraId="3F21698C" w14:textId="6928F2C9" w:rsidR="003D65B8" w:rsidRDefault="006D06DA" w:rsidP="00121661">
      <w:pPr>
        <w:spacing w:line="360" w:lineRule="auto"/>
        <w:jc w:val="both"/>
        <w:rPr>
          <w:rFonts w:ascii="Arial" w:hAnsi="Arial" w:cs="Arial"/>
        </w:rPr>
      </w:pPr>
      <w:r w:rsidRPr="006D06DA">
        <w:rPr>
          <w:rFonts w:ascii="Arial" w:hAnsi="Arial" w:cs="Arial"/>
        </w:rPr>
        <w:t>Canada’s decentralised healthcare system offered flexibility and regional responsiveness during COVID-19 but also revealed significant coordination challenges. The uneven implementation of public health measures and fragmented data systems contributed to delayed responses and variable outcomes. While decentralisation can foster innovation and local engagement, it must balance it with national coherence and infrastructure. Canada’s experience highlights the need for reforms that enhance collaboration, data integration, and emergency governance between the federal and provincial levels of government. Canada must learn from more centralised models, such as South Korea’s, to build a more resilient and responsive public health system.</w:t>
      </w:r>
    </w:p>
    <w:p w14:paraId="36D0995A" w14:textId="77777777" w:rsidR="00D40A01" w:rsidRDefault="00D40A01" w:rsidP="00121661">
      <w:pPr>
        <w:spacing w:line="360" w:lineRule="auto"/>
        <w:jc w:val="both"/>
        <w:rPr>
          <w:rFonts w:ascii="Arial" w:hAnsi="Arial" w:cs="Arial"/>
          <w:b/>
          <w:bCs/>
          <w:sz w:val="24"/>
          <w:szCs w:val="24"/>
        </w:rPr>
      </w:pPr>
    </w:p>
    <w:p w14:paraId="4B234F73" w14:textId="77777777" w:rsidR="00347288" w:rsidRDefault="00347288" w:rsidP="00121661">
      <w:pPr>
        <w:spacing w:line="360" w:lineRule="auto"/>
        <w:jc w:val="both"/>
        <w:rPr>
          <w:rFonts w:ascii="Arial" w:hAnsi="Arial" w:cs="Arial"/>
          <w:b/>
          <w:bCs/>
          <w:sz w:val="24"/>
          <w:szCs w:val="24"/>
        </w:rPr>
      </w:pPr>
    </w:p>
    <w:p w14:paraId="6BEBD633" w14:textId="77777777" w:rsidR="00347288" w:rsidRDefault="00347288" w:rsidP="00121661">
      <w:pPr>
        <w:spacing w:line="360" w:lineRule="auto"/>
        <w:jc w:val="both"/>
        <w:rPr>
          <w:rFonts w:ascii="Arial" w:hAnsi="Arial" w:cs="Arial"/>
          <w:b/>
          <w:bCs/>
          <w:sz w:val="24"/>
          <w:szCs w:val="24"/>
        </w:rPr>
      </w:pPr>
    </w:p>
    <w:p w14:paraId="029CEEF7" w14:textId="77777777" w:rsidR="00347288" w:rsidRDefault="00347288" w:rsidP="00121661">
      <w:pPr>
        <w:spacing w:line="360" w:lineRule="auto"/>
        <w:jc w:val="both"/>
        <w:rPr>
          <w:rFonts w:ascii="Arial" w:hAnsi="Arial" w:cs="Arial"/>
          <w:b/>
          <w:bCs/>
          <w:sz w:val="24"/>
          <w:szCs w:val="24"/>
        </w:rPr>
      </w:pPr>
    </w:p>
    <w:p w14:paraId="5A60233A" w14:textId="77777777" w:rsidR="00347288" w:rsidRDefault="00347288" w:rsidP="00121661">
      <w:pPr>
        <w:spacing w:line="360" w:lineRule="auto"/>
        <w:jc w:val="both"/>
        <w:rPr>
          <w:rFonts w:ascii="Arial" w:hAnsi="Arial" w:cs="Arial"/>
          <w:b/>
          <w:bCs/>
          <w:sz w:val="24"/>
          <w:szCs w:val="24"/>
        </w:rPr>
      </w:pPr>
    </w:p>
    <w:p w14:paraId="3138D4A9" w14:textId="77777777" w:rsidR="00347288" w:rsidRDefault="00347288" w:rsidP="00121661">
      <w:pPr>
        <w:spacing w:line="360" w:lineRule="auto"/>
        <w:jc w:val="both"/>
        <w:rPr>
          <w:rFonts w:ascii="Arial" w:hAnsi="Arial" w:cs="Arial"/>
          <w:b/>
          <w:bCs/>
          <w:sz w:val="24"/>
          <w:szCs w:val="24"/>
        </w:rPr>
      </w:pPr>
    </w:p>
    <w:p w14:paraId="6976D473" w14:textId="77777777" w:rsidR="00347288" w:rsidRDefault="00347288" w:rsidP="00121661">
      <w:pPr>
        <w:spacing w:line="360" w:lineRule="auto"/>
        <w:jc w:val="both"/>
        <w:rPr>
          <w:rFonts w:ascii="Arial" w:hAnsi="Arial" w:cs="Arial"/>
          <w:b/>
          <w:bCs/>
          <w:sz w:val="24"/>
          <w:szCs w:val="24"/>
        </w:rPr>
      </w:pPr>
    </w:p>
    <w:p w14:paraId="22E37E58" w14:textId="77777777" w:rsidR="00347288" w:rsidRDefault="00347288" w:rsidP="00121661">
      <w:pPr>
        <w:spacing w:line="360" w:lineRule="auto"/>
        <w:jc w:val="both"/>
        <w:rPr>
          <w:rFonts w:ascii="Arial" w:hAnsi="Arial" w:cs="Arial"/>
          <w:b/>
          <w:bCs/>
          <w:sz w:val="24"/>
          <w:szCs w:val="24"/>
        </w:rPr>
      </w:pPr>
    </w:p>
    <w:p w14:paraId="1025D6B2" w14:textId="77777777" w:rsidR="00347288" w:rsidRDefault="00347288" w:rsidP="00121661">
      <w:pPr>
        <w:spacing w:line="360" w:lineRule="auto"/>
        <w:jc w:val="both"/>
        <w:rPr>
          <w:rFonts w:ascii="Arial" w:hAnsi="Arial" w:cs="Arial"/>
          <w:b/>
          <w:bCs/>
          <w:sz w:val="24"/>
          <w:szCs w:val="24"/>
        </w:rPr>
      </w:pPr>
    </w:p>
    <w:p w14:paraId="19F3BE7E" w14:textId="77777777" w:rsidR="00347288" w:rsidRDefault="00347288" w:rsidP="00121661">
      <w:pPr>
        <w:spacing w:line="360" w:lineRule="auto"/>
        <w:jc w:val="both"/>
        <w:rPr>
          <w:rFonts w:ascii="Arial" w:hAnsi="Arial" w:cs="Arial"/>
          <w:b/>
          <w:bCs/>
          <w:sz w:val="24"/>
          <w:szCs w:val="24"/>
        </w:rPr>
      </w:pPr>
    </w:p>
    <w:p w14:paraId="3BFD6ACC" w14:textId="77777777" w:rsidR="00591F16" w:rsidRDefault="00591F16" w:rsidP="00121661">
      <w:pPr>
        <w:spacing w:line="360" w:lineRule="auto"/>
        <w:jc w:val="both"/>
        <w:rPr>
          <w:rFonts w:ascii="Arial" w:hAnsi="Arial" w:cs="Arial"/>
          <w:b/>
          <w:bCs/>
          <w:sz w:val="24"/>
          <w:szCs w:val="24"/>
        </w:rPr>
      </w:pPr>
    </w:p>
    <w:p w14:paraId="321EFFF1" w14:textId="77777777" w:rsidR="00591F16" w:rsidRDefault="00591F16" w:rsidP="00121661">
      <w:pPr>
        <w:spacing w:line="360" w:lineRule="auto"/>
        <w:jc w:val="both"/>
        <w:rPr>
          <w:rFonts w:ascii="Arial" w:hAnsi="Arial" w:cs="Arial"/>
          <w:b/>
          <w:bCs/>
          <w:sz w:val="24"/>
          <w:szCs w:val="24"/>
        </w:rPr>
      </w:pPr>
    </w:p>
    <w:p w14:paraId="3ED8181D" w14:textId="77777777" w:rsidR="00591F16" w:rsidRDefault="00591F16" w:rsidP="00121661">
      <w:pPr>
        <w:spacing w:line="360" w:lineRule="auto"/>
        <w:jc w:val="both"/>
        <w:rPr>
          <w:rFonts w:ascii="Arial" w:hAnsi="Arial" w:cs="Arial"/>
          <w:b/>
          <w:bCs/>
          <w:sz w:val="24"/>
          <w:szCs w:val="24"/>
        </w:rPr>
      </w:pPr>
    </w:p>
    <w:p w14:paraId="2B5F8A81" w14:textId="4C750D22" w:rsidR="0084655C" w:rsidRDefault="00347288" w:rsidP="00121661">
      <w:pPr>
        <w:spacing w:line="360" w:lineRule="auto"/>
        <w:jc w:val="both"/>
        <w:rPr>
          <w:rFonts w:ascii="Arial" w:hAnsi="Arial" w:cs="Arial"/>
          <w:b/>
          <w:bCs/>
          <w:sz w:val="24"/>
          <w:szCs w:val="24"/>
        </w:rPr>
      </w:pPr>
      <w:r>
        <w:rPr>
          <w:rFonts w:ascii="Arial" w:hAnsi="Arial" w:cs="Arial"/>
          <w:b/>
          <w:bCs/>
          <w:noProof/>
          <w:sz w:val="24"/>
          <w:szCs w:val="24"/>
        </w:rPr>
        <w:lastRenderedPageBreak/>
        <w:drawing>
          <wp:inline distT="0" distB="0" distL="0" distR="0" wp14:anchorId="6CD6AD09" wp14:editId="6DFA9929">
            <wp:extent cx="3759831" cy="2115590"/>
            <wp:effectExtent l="0" t="0" r="0" b="0"/>
            <wp:docPr id="17005380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00284" cy="2138352"/>
                    </a:xfrm>
                    <a:prstGeom prst="rect">
                      <a:avLst/>
                    </a:prstGeom>
                    <a:noFill/>
                  </pic:spPr>
                </pic:pic>
              </a:graphicData>
            </a:graphic>
          </wp:inline>
        </w:drawing>
      </w:r>
    </w:p>
    <w:p w14:paraId="7DA16A4F" w14:textId="6A4A7034" w:rsidR="00267AE5" w:rsidRPr="00267AE5" w:rsidRDefault="008164F2" w:rsidP="00121661">
      <w:pPr>
        <w:spacing w:line="360" w:lineRule="auto"/>
        <w:jc w:val="both"/>
        <w:rPr>
          <w:rFonts w:ascii="Arial" w:hAnsi="Arial" w:cs="Arial"/>
        </w:rPr>
      </w:pPr>
      <w:r>
        <w:rPr>
          <w:rFonts w:ascii="Arial" w:hAnsi="Arial" w:cs="Arial"/>
        </w:rPr>
        <w:t xml:space="preserve">                                                          </w:t>
      </w:r>
      <w:r w:rsidR="00267AE5" w:rsidRPr="00267AE5">
        <w:rPr>
          <w:rFonts w:ascii="Arial" w:hAnsi="Arial" w:cs="Arial"/>
        </w:rPr>
        <w:t>(</w:t>
      </w:r>
      <w:r w:rsidRPr="00267AE5">
        <w:rPr>
          <w:rFonts w:ascii="Arial" w:hAnsi="Arial" w:cs="Arial"/>
        </w:rPr>
        <w:t>Consulting Bites</w:t>
      </w:r>
      <w:r w:rsidR="00267AE5" w:rsidRPr="00267AE5">
        <w:rPr>
          <w:rFonts w:ascii="Arial" w:hAnsi="Arial" w:cs="Arial"/>
        </w:rPr>
        <w:t>, 2024)</w:t>
      </w:r>
    </w:p>
    <w:p w14:paraId="15701E39" w14:textId="07BD20D6" w:rsidR="003D65B8" w:rsidRDefault="003D65B8" w:rsidP="00121661">
      <w:pPr>
        <w:spacing w:line="360" w:lineRule="auto"/>
        <w:jc w:val="both"/>
        <w:rPr>
          <w:rFonts w:ascii="Arial" w:hAnsi="Arial" w:cs="Arial"/>
        </w:rPr>
      </w:pPr>
      <w:r w:rsidRPr="00710B25">
        <w:rPr>
          <w:rFonts w:ascii="Arial" w:hAnsi="Arial" w:cs="Arial"/>
          <w:b/>
          <w:bCs/>
          <w:sz w:val="24"/>
          <w:szCs w:val="24"/>
        </w:rPr>
        <w:t>3.Leadership styles</w:t>
      </w:r>
    </w:p>
    <w:p w14:paraId="2B2DDB6C" w14:textId="4D527308" w:rsidR="004B2124" w:rsidRDefault="004B2124" w:rsidP="00121661">
      <w:pPr>
        <w:spacing w:line="360" w:lineRule="auto"/>
        <w:jc w:val="both"/>
        <w:rPr>
          <w:rFonts w:ascii="Arial" w:hAnsi="Arial" w:cs="Arial"/>
        </w:rPr>
      </w:pPr>
      <w:r w:rsidRPr="004B2124">
        <w:rPr>
          <w:rFonts w:ascii="Arial" w:hAnsi="Arial" w:cs="Arial"/>
        </w:rPr>
        <w:t>Autocratic, democratic, and laissez-faire systems are foundational to understanding how governments respond to crises like the COVID-19 pandemic. These styles, first defined by Kurt Lewin in 1939, describe how leaders make decisions and engage with their teams (Lewin,</w:t>
      </w:r>
      <w:r w:rsidR="006A2858">
        <w:rPr>
          <w:rFonts w:ascii="Arial" w:hAnsi="Arial" w:cs="Arial"/>
        </w:rPr>
        <w:t xml:space="preserve"> </w:t>
      </w:r>
      <w:r w:rsidR="00702A2C">
        <w:rPr>
          <w:rFonts w:ascii="Arial" w:hAnsi="Arial" w:cs="Arial"/>
        </w:rPr>
        <w:t xml:space="preserve">Lippitt and White, </w:t>
      </w:r>
      <w:r w:rsidRPr="004B2124">
        <w:rPr>
          <w:rFonts w:ascii="Arial" w:hAnsi="Arial" w:cs="Arial"/>
        </w:rPr>
        <w:t>1939; Simply Psychology, 2024). Autocratic leadership involves centralised decision-making with minimal input from others, often effective in emergencies requiring swift action. Democratic leadership encourages participation and consensus, fostering trust and collaboration. Laissez-faire leadership allows autonomy but may lack direction during crises (</w:t>
      </w:r>
      <w:r w:rsidR="005D73D2" w:rsidRPr="005D73D2">
        <w:rPr>
          <w:rFonts w:ascii="Arial" w:hAnsi="Arial" w:cs="Arial"/>
        </w:rPr>
        <w:t>Lewins Leadership Style, 2024</w:t>
      </w:r>
      <w:r w:rsidR="005D73D2">
        <w:rPr>
          <w:rFonts w:ascii="Arial" w:hAnsi="Arial" w:cs="Arial"/>
        </w:rPr>
        <w:t>)</w:t>
      </w:r>
      <w:r w:rsidRPr="004B2124">
        <w:rPr>
          <w:rFonts w:ascii="Arial" w:hAnsi="Arial" w:cs="Arial"/>
        </w:rPr>
        <w:t>. Establishing these frameworks is crucial for assessing how leadership in Spain, South Korea, and Canada influenced their pandemic strategies and outcomes (Lumen Learning, 2024). Understanding these styles enables fair comparison and highlights why the leadership approach matters in public health emergencies</w:t>
      </w:r>
    </w:p>
    <w:p w14:paraId="489DE876" w14:textId="77777777" w:rsidR="0083668D" w:rsidRDefault="0083668D" w:rsidP="00121661">
      <w:pPr>
        <w:spacing w:line="360" w:lineRule="auto"/>
        <w:jc w:val="both"/>
        <w:rPr>
          <w:rFonts w:ascii="Arial" w:hAnsi="Arial" w:cs="Arial"/>
          <w:b/>
          <w:bCs/>
          <w:sz w:val="24"/>
          <w:szCs w:val="24"/>
        </w:rPr>
      </w:pPr>
    </w:p>
    <w:p w14:paraId="6CF0067D" w14:textId="77777777" w:rsidR="0007347B" w:rsidRDefault="0007347B" w:rsidP="00121661">
      <w:pPr>
        <w:spacing w:line="360" w:lineRule="auto"/>
        <w:jc w:val="both"/>
        <w:rPr>
          <w:rFonts w:ascii="Arial" w:hAnsi="Arial" w:cs="Arial"/>
          <w:b/>
          <w:bCs/>
          <w:sz w:val="24"/>
          <w:szCs w:val="24"/>
        </w:rPr>
      </w:pPr>
    </w:p>
    <w:p w14:paraId="5F6D3F18" w14:textId="77777777" w:rsidR="0007347B" w:rsidRDefault="0007347B" w:rsidP="00121661">
      <w:pPr>
        <w:spacing w:line="360" w:lineRule="auto"/>
        <w:jc w:val="both"/>
        <w:rPr>
          <w:rFonts w:ascii="Arial" w:hAnsi="Arial" w:cs="Arial"/>
          <w:b/>
          <w:bCs/>
          <w:sz w:val="24"/>
          <w:szCs w:val="24"/>
        </w:rPr>
      </w:pPr>
    </w:p>
    <w:p w14:paraId="7614C355" w14:textId="77777777" w:rsidR="0007347B" w:rsidRDefault="0007347B" w:rsidP="00121661">
      <w:pPr>
        <w:spacing w:line="360" w:lineRule="auto"/>
        <w:jc w:val="both"/>
        <w:rPr>
          <w:rFonts w:ascii="Arial" w:hAnsi="Arial" w:cs="Arial"/>
          <w:b/>
          <w:bCs/>
          <w:sz w:val="24"/>
          <w:szCs w:val="24"/>
        </w:rPr>
      </w:pPr>
    </w:p>
    <w:p w14:paraId="4E25EB14" w14:textId="77777777" w:rsidR="0007347B" w:rsidRDefault="0007347B" w:rsidP="00121661">
      <w:pPr>
        <w:spacing w:line="360" w:lineRule="auto"/>
        <w:jc w:val="both"/>
        <w:rPr>
          <w:rFonts w:ascii="Arial" w:hAnsi="Arial" w:cs="Arial"/>
          <w:b/>
          <w:bCs/>
          <w:sz w:val="24"/>
          <w:szCs w:val="24"/>
        </w:rPr>
      </w:pPr>
    </w:p>
    <w:p w14:paraId="7CF36B72" w14:textId="77777777" w:rsidR="0007347B" w:rsidRDefault="0007347B" w:rsidP="00121661">
      <w:pPr>
        <w:spacing w:line="360" w:lineRule="auto"/>
        <w:jc w:val="both"/>
        <w:rPr>
          <w:rFonts w:ascii="Arial" w:hAnsi="Arial" w:cs="Arial"/>
          <w:b/>
          <w:bCs/>
          <w:sz w:val="24"/>
          <w:szCs w:val="24"/>
        </w:rPr>
      </w:pPr>
    </w:p>
    <w:p w14:paraId="12BE3E2E" w14:textId="77777777" w:rsidR="0007347B" w:rsidRDefault="0007347B" w:rsidP="00121661">
      <w:pPr>
        <w:spacing w:line="360" w:lineRule="auto"/>
        <w:jc w:val="both"/>
        <w:rPr>
          <w:rFonts w:ascii="Arial" w:hAnsi="Arial" w:cs="Arial"/>
          <w:b/>
          <w:bCs/>
          <w:sz w:val="24"/>
          <w:szCs w:val="24"/>
        </w:rPr>
      </w:pPr>
    </w:p>
    <w:p w14:paraId="47D57E60" w14:textId="77777777" w:rsidR="0007347B" w:rsidRDefault="0007347B" w:rsidP="00121661">
      <w:pPr>
        <w:spacing w:line="360" w:lineRule="auto"/>
        <w:jc w:val="both"/>
        <w:rPr>
          <w:rFonts w:ascii="Arial" w:hAnsi="Arial" w:cs="Arial"/>
          <w:b/>
          <w:bCs/>
          <w:sz w:val="24"/>
          <w:szCs w:val="24"/>
        </w:rPr>
      </w:pPr>
    </w:p>
    <w:p w14:paraId="0605535F" w14:textId="77777777" w:rsidR="0007347B" w:rsidRDefault="0007347B" w:rsidP="00121661">
      <w:pPr>
        <w:spacing w:line="360" w:lineRule="auto"/>
        <w:jc w:val="both"/>
        <w:rPr>
          <w:rFonts w:ascii="Arial" w:hAnsi="Arial" w:cs="Arial"/>
          <w:b/>
          <w:bCs/>
          <w:sz w:val="24"/>
          <w:szCs w:val="24"/>
        </w:rPr>
      </w:pPr>
    </w:p>
    <w:p w14:paraId="1965EBA2" w14:textId="155C1784" w:rsidR="003D65B8" w:rsidRPr="00D91980" w:rsidRDefault="003D65B8" w:rsidP="00121661">
      <w:pPr>
        <w:spacing w:line="360" w:lineRule="auto"/>
        <w:jc w:val="both"/>
        <w:rPr>
          <w:rFonts w:ascii="Arial" w:hAnsi="Arial" w:cs="Arial"/>
          <w:b/>
          <w:bCs/>
          <w:sz w:val="24"/>
          <w:szCs w:val="24"/>
        </w:rPr>
      </w:pPr>
      <w:bookmarkStart w:id="1" w:name="_Hlk213978516"/>
      <w:r w:rsidRPr="00D91980">
        <w:rPr>
          <w:rFonts w:ascii="Arial" w:hAnsi="Arial" w:cs="Arial"/>
          <w:b/>
          <w:bCs/>
          <w:sz w:val="24"/>
          <w:szCs w:val="24"/>
        </w:rPr>
        <w:lastRenderedPageBreak/>
        <w:t>3.1 Leadership Styles in Spain: Pedro Sánchez's Pandemic Response</w:t>
      </w:r>
    </w:p>
    <w:bookmarkEnd w:id="1"/>
    <w:p w14:paraId="175060CA" w14:textId="77777777" w:rsidR="00EC286A" w:rsidRPr="00394734" w:rsidRDefault="00EC286A" w:rsidP="00121661">
      <w:pPr>
        <w:spacing w:line="360" w:lineRule="auto"/>
        <w:jc w:val="both"/>
        <w:rPr>
          <w:rFonts w:ascii="Arial" w:hAnsi="Arial" w:cs="Arial"/>
          <w:b/>
          <w:bCs/>
        </w:rPr>
      </w:pPr>
      <w:r w:rsidRPr="00394734">
        <w:rPr>
          <w:rFonts w:ascii="Arial" w:hAnsi="Arial" w:cs="Arial"/>
          <w:b/>
          <w:bCs/>
        </w:rPr>
        <w:t>3.1.1 Overview of Leadership Context</w:t>
      </w:r>
    </w:p>
    <w:p w14:paraId="019DE0BB" w14:textId="718492C3" w:rsidR="00EC286A" w:rsidRPr="00394734" w:rsidRDefault="00EC286A" w:rsidP="00121661">
      <w:pPr>
        <w:spacing w:line="360" w:lineRule="auto"/>
        <w:jc w:val="both"/>
        <w:rPr>
          <w:rFonts w:ascii="Arial" w:hAnsi="Arial" w:cs="Arial"/>
        </w:rPr>
      </w:pPr>
      <w:r w:rsidRPr="00394734">
        <w:rPr>
          <w:rFonts w:ascii="Arial" w:hAnsi="Arial" w:cs="Arial"/>
        </w:rPr>
        <w:t>Spain's Prime Minister Pedro Sánchez navigated the COVID-19 crisis within a complex decentralised political system, where health competencies are devolved mainly to the country's 17 Autonomous Communities. His leadership style during the pandemic reflected a blend of laissez-faire and situational autocracy, shaped by political constraints, regional dynamics, and evolving public pressure. This duality offers a compelling case study of leadership challenges in decentralised governance, where balancing national authority with regional autonomy is critical</w:t>
      </w:r>
      <w:r w:rsidR="00C3406D" w:rsidRPr="00394734">
        <w:rPr>
          <w:rFonts w:ascii="Arial" w:hAnsi="Arial" w:cs="Arial"/>
        </w:rPr>
        <w:t xml:space="preserve"> (</w:t>
      </w:r>
      <w:r w:rsidR="00C3406D" w:rsidRPr="00394734">
        <w:rPr>
          <w:rFonts w:ascii="Arial" w:hAnsi="Arial" w:cs="Arial"/>
        </w:rPr>
        <w:t>Navarro &amp; Velasco, 2022; Greer et al., 2022).</w:t>
      </w:r>
    </w:p>
    <w:p w14:paraId="20C31404" w14:textId="44BF7865" w:rsidR="00EC286A" w:rsidRPr="00394734" w:rsidRDefault="00EC286A" w:rsidP="00121661">
      <w:pPr>
        <w:spacing w:line="360" w:lineRule="auto"/>
        <w:jc w:val="both"/>
        <w:rPr>
          <w:rFonts w:ascii="Arial" w:hAnsi="Arial" w:cs="Arial"/>
          <w:b/>
          <w:bCs/>
        </w:rPr>
      </w:pPr>
      <w:r w:rsidRPr="00394734">
        <w:rPr>
          <w:rFonts w:ascii="Arial" w:hAnsi="Arial" w:cs="Arial"/>
          <w:b/>
          <w:bCs/>
        </w:rPr>
        <w:t>3.1.2 Initial Autocratic Measures</w:t>
      </w:r>
    </w:p>
    <w:p w14:paraId="64853CE7" w14:textId="071F23E9" w:rsidR="00611BAB" w:rsidRPr="00394734" w:rsidRDefault="00611BAB" w:rsidP="00121661">
      <w:pPr>
        <w:spacing w:line="360" w:lineRule="auto"/>
        <w:jc w:val="both"/>
        <w:rPr>
          <w:rFonts w:ascii="Arial" w:hAnsi="Arial" w:cs="Arial"/>
        </w:rPr>
      </w:pPr>
      <w:r w:rsidRPr="00394734">
        <w:rPr>
          <w:rFonts w:ascii="Arial" w:hAnsi="Arial" w:cs="Arial"/>
        </w:rPr>
        <w:t>At the onset of the pandemic in early 2020, Sánchez adopted a decisive and centralised approach, invoking a nationwide state of alarm and enforcing strict lockdowns. This phase aligned with autocratic leadership, characterised by top-down decision-making and limited consultation. Sánchez's early measures, including mobility restrictions and business closures, were credited with reducing daily infection growth from 35% to 3% within weeks (La Moncloa, 2020; El País, 2020), demonstrating the effectiveness of his leadership in the crisis. However, this centralised control was politically contentious, particularly due to the clash with Spain's tradition of regional autonomy, creating significant tension and challenges for Sánchez.</w:t>
      </w:r>
    </w:p>
    <w:p w14:paraId="57A47050" w14:textId="0E120638" w:rsidR="00EC286A" w:rsidRPr="00394734" w:rsidRDefault="00EC286A" w:rsidP="00121661">
      <w:pPr>
        <w:spacing w:line="360" w:lineRule="auto"/>
        <w:jc w:val="both"/>
        <w:rPr>
          <w:rFonts w:ascii="Arial" w:hAnsi="Arial" w:cs="Arial"/>
          <w:b/>
          <w:bCs/>
        </w:rPr>
      </w:pPr>
      <w:r w:rsidRPr="00394734">
        <w:rPr>
          <w:rFonts w:ascii="Arial" w:hAnsi="Arial" w:cs="Arial"/>
          <w:b/>
          <w:bCs/>
        </w:rPr>
        <w:t>3.1.3 Shift Toward Laissez-Faire Leadership</w:t>
      </w:r>
    </w:p>
    <w:p w14:paraId="5A7587E0" w14:textId="77777777" w:rsidR="00EC286A" w:rsidRPr="00394734" w:rsidRDefault="00EC286A" w:rsidP="00121661">
      <w:pPr>
        <w:spacing w:line="360" w:lineRule="auto"/>
        <w:jc w:val="both"/>
        <w:rPr>
          <w:rFonts w:ascii="Arial" w:hAnsi="Arial" w:cs="Arial"/>
        </w:rPr>
      </w:pPr>
      <w:r w:rsidRPr="00394734">
        <w:rPr>
          <w:rFonts w:ascii="Arial" w:hAnsi="Arial" w:cs="Arial"/>
        </w:rPr>
        <w:t>As the pandemic progressed, Sánchez transitioned toward a hands-off, decentralised strategy, delegating key decisions such as curfews, school closures, and local lockdowns to regional governments. This shift reflected a laissez-faire leadership style, where the central government provided broad guidelines but refrained from enforcing uniform measures. According to Politico, Sánchez "wanted regional leaders to make the hard choices," distancing himself from unpopular restrictions during the second wave (Gallardo, 2020). This approach aligns with the Tannenbaum and Schmidt Leadership Continuum, which suggests that leadership can range from authoritarian to participative depending on situational factors. Sánchez's movement along this continuum from directive to delegative was influenced by political pressures and the need to respect regional governance.</w:t>
      </w:r>
    </w:p>
    <w:p w14:paraId="69EA7BE8" w14:textId="77777777" w:rsidR="00EC286A" w:rsidRPr="00394734" w:rsidRDefault="00EC286A" w:rsidP="00121661">
      <w:pPr>
        <w:spacing w:line="360" w:lineRule="auto"/>
        <w:jc w:val="both"/>
        <w:rPr>
          <w:rFonts w:ascii="Arial" w:hAnsi="Arial" w:cs="Arial"/>
          <w:b/>
          <w:bCs/>
        </w:rPr>
      </w:pPr>
      <w:r w:rsidRPr="00394734">
        <w:rPr>
          <w:rFonts w:ascii="Arial" w:hAnsi="Arial" w:cs="Arial"/>
          <w:b/>
          <w:bCs/>
        </w:rPr>
        <w:t>3.1.4 Use of Transformational Rhetoric</w:t>
      </w:r>
    </w:p>
    <w:p w14:paraId="63A063D2" w14:textId="77777777" w:rsidR="00EC286A" w:rsidRPr="00394734" w:rsidRDefault="00EC286A" w:rsidP="00121661">
      <w:pPr>
        <w:spacing w:line="360" w:lineRule="auto"/>
        <w:jc w:val="both"/>
        <w:rPr>
          <w:rFonts w:ascii="Arial" w:hAnsi="Arial" w:cs="Arial"/>
        </w:rPr>
      </w:pPr>
      <w:r w:rsidRPr="00394734">
        <w:rPr>
          <w:rFonts w:ascii="Arial" w:hAnsi="Arial" w:cs="Arial"/>
        </w:rPr>
        <w:t xml:space="preserve">Critically, Sánchez's leadership also incorporated transformational rhetoric, advocating unity and social solidarity. He frequently emphasised the need to "defeat the pandemic without leaving anyone behind," calling for cross-party cooperation and inclusive recovery plans (La </w:t>
      </w:r>
      <w:r w:rsidRPr="00394734">
        <w:rPr>
          <w:rFonts w:ascii="Arial" w:hAnsi="Arial" w:cs="Arial"/>
        </w:rPr>
        <w:lastRenderedPageBreak/>
        <w:t>Moncloa, 2020). However, critics argue that robust coordination mechanisms did not match this rhetoric and that the lack of a unified digital infrastructure hindered real-time data sharing and outbreak surveillance. This criticism is particularly relevant in the context of the COVID-19 pandemic, where timely and accurate data is crucial for effective decision-making. The Contingency Leadership Model, which suggests that effective leadership depends on the match between leadership style and situational demands (Fiedler, 1967), is particularly relevant here. Sánchez's initial autocratic stance was effective during the emergency phase, but his later laissez-faire approach proved less suited to managing prolonged, complex coordination across regions.</w:t>
      </w:r>
    </w:p>
    <w:p w14:paraId="1B2268C0" w14:textId="35FB6EC0" w:rsidR="00EC286A" w:rsidRPr="00394734" w:rsidRDefault="00EC286A" w:rsidP="00121661">
      <w:pPr>
        <w:spacing w:line="360" w:lineRule="auto"/>
        <w:jc w:val="both"/>
        <w:rPr>
          <w:rFonts w:ascii="Arial" w:hAnsi="Arial" w:cs="Arial"/>
          <w:b/>
          <w:bCs/>
        </w:rPr>
      </w:pPr>
      <w:r w:rsidRPr="00394734">
        <w:rPr>
          <w:rFonts w:ascii="Arial" w:hAnsi="Arial" w:cs="Arial"/>
          <w:b/>
          <w:bCs/>
        </w:rPr>
        <w:t>3.1.5 Leadership Outcomes and Governance Gaps</w:t>
      </w:r>
    </w:p>
    <w:p w14:paraId="73AAF52F" w14:textId="77777777" w:rsidR="004404F7" w:rsidRPr="004404F7" w:rsidRDefault="004404F7" w:rsidP="004404F7">
      <w:pPr>
        <w:spacing w:line="360" w:lineRule="auto"/>
        <w:jc w:val="both"/>
        <w:rPr>
          <w:rFonts w:ascii="Arial" w:hAnsi="Arial" w:cs="Arial"/>
        </w:rPr>
      </w:pPr>
      <w:r w:rsidRPr="004404F7">
        <w:rPr>
          <w:rFonts w:ascii="Arial" w:hAnsi="Arial" w:cs="Arial"/>
        </w:rPr>
        <w:t>The advantages of Sánchez's leadership were evident in his initial decisiveness, which led to highly effective early containment measures. His respect for regional autonomy and his ability to pivot between leadership styles demonstrated situational awareness and political pragmatism. The early invocation of a state of alarm enabled swift national action, significantly reducing infection rates and mobilising emergency resources efficiently (Greer et al., 2022). These aspects of his leadership were not only efficient but also highly practical in the early stages of the crisis, demonstrating his ability to make quick and decisive decisions in the face of a rapidly evolving situation.</w:t>
      </w:r>
    </w:p>
    <w:p w14:paraId="008D04DD" w14:textId="77777777" w:rsidR="004404F7" w:rsidRPr="004404F7" w:rsidRDefault="004404F7" w:rsidP="004404F7">
      <w:pPr>
        <w:spacing w:line="360" w:lineRule="auto"/>
        <w:jc w:val="both"/>
        <w:rPr>
          <w:rFonts w:ascii="Arial" w:hAnsi="Arial" w:cs="Arial"/>
        </w:rPr>
      </w:pPr>
      <w:r w:rsidRPr="004404F7">
        <w:rPr>
          <w:rFonts w:ascii="Arial" w:hAnsi="Arial" w:cs="Arial"/>
        </w:rPr>
        <w:t>However, the decentralised phase exposed significant governance gaps. The lack of precise coordination mechanisms and harmonised national guidance led to delayed responses in some regions and inconsistent public messaging. These disparities eroded public trust and complicated containment efforts, underscoring the pressing and urgent need for improved coordination. The absence of a unified digital infrastructure further hindered real-time data sharing and outbreak surveillance, limiting the effectiveness of regional decision-making (López-Valcárcel &amp; López-Casasnovas, 2025). The urgent need for robust legal frameworks to support emergency governance across jurisdictions was evident as Spain struggled to maintain coherence in its pandemic strategy (Navarro &amp; Velasco, 2022).</w:t>
      </w:r>
    </w:p>
    <w:p w14:paraId="0502919B" w14:textId="77777777" w:rsidR="007F0171" w:rsidRPr="00394734" w:rsidRDefault="004404F7" w:rsidP="004404F7">
      <w:pPr>
        <w:spacing w:line="360" w:lineRule="auto"/>
        <w:jc w:val="both"/>
        <w:rPr>
          <w:rFonts w:ascii="Arial" w:hAnsi="Arial" w:cs="Arial"/>
        </w:rPr>
      </w:pPr>
      <w:r w:rsidRPr="004404F7">
        <w:rPr>
          <w:rFonts w:ascii="Arial" w:hAnsi="Arial" w:cs="Arial"/>
        </w:rPr>
        <w:t>Sánchez's leadership highlights the tension between adaptive strategy and institutional capacity. While his flexibility allowed for responsiveness, it also revealed the structural limitations of Spain's decentralised system during a national crisis. These limitations include the lack of a central authority to enforce national policies, the varying capabilities of regional governments, and the potential for conflicting strategies and priorities among regions. These structural limitations posed significant challenges during the crisis, underscoring the crucial need for a more coordinated and cohesive approach to crisis management in a decentralised system (Greer et al., 2022).</w:t>
      </w:r>
    </w:p>
    <w:p w14:paraId="4D61A872" w14:textId="1D37E96C" w:rsidR="004404F7" w:rsidRPr="004404F7" w:rsidRDefault="004404F7" w:rsidP="004404F7">
      <w:pPr>
        <w:spacing w:line="360" w:lineRule="auto"/>
        <w:jc w:val="both"/>
        <w:rPr>
          <w:rFonts w:ascii="Arial" w:hAnsi="Arial" w:cs="Arial"/>
        </w:rPr>
      </w:pPr>
      <w:r w:rsidRPr="004404F7">
        <w:rPr>
          <w:rFonts w:ascii="Arial" w:hAnsi="Arial" w:cs="Arial"/>
          <w:b/>
          <w:bCs/>
        </w:rPr>
        <w:lastRenderedPageBreak/>
        <w:t>3.1.6 Theoretical Reflection</w:t>
      </w:r>
    </w:p>
    <w:p w14:paraId="3687F861" w14:textId="77777777" w:rsidR="004404F7" w:rsidRPr="004404F7" w:rsidRDefault="004404F7" w:rsidP="004404F7">
      <w:pPr>
        <w:spacing w:line="360" w:lineRule="auto"/>
        <w:jc w:val="both"/>
        <w:rPr>
          <w:rFonts w:ascii="Arial" w:hAnsi="Arial" w:cs="Arial"/>
        </w:rPr>
      </w:pPr>
      <w:r w:rsidRPr="004404F7">
        <w:rPr>
          <w:rFonts w:ascii="Arial" w:hAnsi="Arial" w:cs="Arial"/>
        </w:rPr>
        <w:t>From a theoretical perspective, Sánchez's leadership illustrates the tension between autocratic control and distributed decision-making in a decentralised system. His case highlights the importance of adaptive leadership, a crucial quality in striking a balance between central authority and local flexibility, particularly in prolonged crises where public trust and institutional capacity are essential (Heifetz, Grashow &amp; Linsky, 2009). While autocratic measures can deliver rapid results in emergencies, they may be unsustainable or politically unviable in federated democracies. Conversely, laissez-faire leadership, as demonstrated by Sánchez, can foster regional innovation and adaptability. However, it also risks incoherence without strong coordination (Navarro &amp; Velasco, 2022).</w:t>
      </w:r>
    </w:p>
    <w:p w14:paraId="7B94500D" w14:textId="77777777" w:rsidR="00F41694" w:rsidRPr="00F41694" w:rsidRDefault="00F41694" w:rsidP="00F41694">
      <w:pPr>
        <w:spacing w:line="360" w:lineRule="auto"/>
        <w:jc w:val="both"/>
        <w:rPr>
          <w:rFonts w:ascii="Arial" w:hAnsi="Arial" w:cs="Arial"/>
          <w:b/>
          <w:bCs/>
        </w:rPr>
      </w:pPr>
      <w:r w:rsidRPr="00F41694">
        <w:rPr>
          <w:rFonts w:ascii="Arial" w:hAnsi="Arial" w:cs="Arial"/>
          <w:b/>
          <w:bCs/>
        </w:rPr>
        <w:t>3.1.7 Conclusion</w:t>
      </w:r>
    </w:p>
    <w:p w14:paraId="03D0033B" w14:textId="77777777" w:rsidR="00F41694" w:rsidRPr="00F41694" w:rsidRDefault="00F41694" w:rsidP="00F41694">
      <w:pPr>
        <w:spacing w:line="360" w:lineRule="auto"/>
        <w:jc w:val="both"/>
        <w:rPr>
          <w:rFonts w:ascii="Arial" w:hAnsi="Arial" w:cs="Arial"/>
        </w:rPr>
      </w:pPr>
      <w:r w:rsidRPr="00F41694">
        <w:rPr>
          <w:rFonts w:ascii="Arial" w:hAnsi="Arial" w:cs="Arial"/>
        </w:rPr>
        <w:t>In conclusion, Pedro Sánchez's pandemic leadership was marked by strategic shifts between autocratic and laissez-faire styles, reflecting Spain's decentralised governance and political landscape. His approach yielded mixed outcomes, with effective early containment followed by uneven regional responses. National leaders must enhance coordination to improve crisis management, highlighting the urgent need for action. An integrated digital infrastructure and clearer legal frameworks are also necessary to facilitate a more effective and cohesive response during future public health emergencies (López-Valcárcel &amp; López-Casasnovas, 2025).</w:t>
      </w:r>
    </w:p>
    <w:p w14:paraId="70B22BCE" w14:textId="77777777" w:rsidR="00537E31" w:rsidRPr="00394734" w:rsidRDefault="00537E31" w:rsidP="00121661">
      <w:pPr>
        <w:spacing w:line="360" w:lineRule="auto"/>
        <w:jc w:val="both"/>
        <w:rPr>
          <w:rFonts w:ascii="Arial" w:hAnsi="Arial" w:cs="Arial"/>
          <w:b/>
          <w:bCs/>
        </w:rPr>
      </w:pPr>
    </w:p>
    <w:p w14:paraId="17BB1762" w14:textId="77777777" w:rsidR="00537E31" w:rsidRPr="00394734" w:rsidRDefault="00537E31" w:rsidP="00121661">
      <w:pPr>
        <w:spacing w:line="360" w:lineRule="auto"/>
        <w:jc w:val="both"/>
        <w:rPr>
          <w:rFonts w:ascii="Arial" w:hAnsi="Arial" w:cs="Arial"/>
          <w:b/>
          <w:bCs/>
        </w:rPr>
      </w:pPr>
    </w:p>
    <w:p w14:paraId="7091CB8E" w14:textId="77777777" w:rsidR="00537E31" w:rsidRPr="00394734" w:rsidRDefault="00537E31" w:rsidP="00121661">
      <w:pPr>
        <w:spacing w:line="360" w:lineRule="auto"/>
        <w:jc w:val="both"/>
        <w:rPr>
          <w:rFonts w:ascii="Arial" w:hAnsi="Arial" w:cs="Arial"/>
          <w:b/>
          <w:bCs/>
        </w:rPr>
      </w:pPr>
    </w:p>
    <w:p w14:paraId="04D9E3A8" w14:textId="77777777" w:rsidR="00537E31" w:rsidRPr="00394734" w:rsidRDefault="00537E31" w:rsidP="00121661">
      <w:pPr>
        <w:spacing w:line="360" w:lineRule="auto"/>
        <w:jc w:val="both"/>
        <w:rPr>
          <w:rFonts w:ascii="Arial" w:hAnsi="Arial" w:cs="Arial"/>
          <w:b/>
          <w:bCs/>
        </w:rPr>
      </w:pPr>
    </w:p>
    <w:p w14:paraId="1D0CA796" w14:textId="77777777" w:rsidR="00537E31" w:rsidRPr="00394734" w:rsidRDefault="00537E31" w:rsidP="00121661">
      <w:pPr>
        <w:spacing w:line="360" w:lineRule="auto"/>
        <w:jc w:val="both"/>
        <w:rPr>
          <w:rFonts w:ascii="Arial" w:hAnsi="Arial" w:cs="Arial"/>
          <w:b/>
          <w:bCs/>
        </w:rPr>
      </w:pPr>
    </w:p>
    <w:p w14:paraId="70A4BF75" w14:textId="77777777" w:rsidR="00537E31" w:rsidRPr="00394734" w:rsidRDefault="00537E31" w:rsidP="00121661">
      <w:pPr>
        <w:spacing w:line="360" w:lineRule="auto"/>
        <w:jc w:val="both"/>
        <w:rPr>
          <w:rFonts w:ascii="Arial" w:hAnsi="Arial" w:cs="Arial"/>
          <w:b/>
          <w:bCs/>
        </w:rPr>
      </w:pPr>
    </w:p>
    <w:p w14:paraId="1181686E" w14:textId="77777777" w:rsidR="00537E31" w:rsidRPr="00394734" w:rsidRDefault="00537E31" w:rsidP="00121661">
      <w:pPr>
        <w:spacing w:line="360" w:lineRule="auto"/>
        <w:jc w:val="both"/>
        <w:rPr>
          <w:rFonts w:ascii="Arial" w:hAnsi="Arial" w:cs="Arial"/>
          <w:b/>
          <w:bCs/>
        </w:rPr>
      </w:pPr>
    </w:p>
    <w:p w14:paraId="2D72AE90" w14:textId="77777777" w:rsidR="00537E31" w:rsidRPr="00394734" w:rsidRDefault="00537E31" w:rsidP="00121661">
      <w:pPr>
        <w:spacing w:line="360" w:lineRule="auto"/>
        <w:jc w:val="both"/>
        <w:rPr>
          <w:rFonts w:ascii="Arial" w:hAnsi="Arial" w:cs="Arial"/>
          <w:b/>
          <w:bCs/>
        </w:rPr>
      </w:pPr>
    </w:p>
    <w:p w14:paraId="2BE1EFB0" w14:textId="77777777" w:rsidR="00EC7999" w:rsidRDefault="00EC7999" w:rsidP="00121661">
      <w:pPr>
        <w:spacing w:line="360" w:lineRule="auto"/>
        <w:jc w:val="both"/>
        <w:rPr>
          <w:rFonts w:ascii="Arial" w:hAnsi="Arial" w:cs="Arial"/>
          <w:b/>
          <w:bCs/>
          <w:sz w:val="24"/>
          <w:szCs w:val="24"/>
        </w:rPr>
      </w:pPr>
    </w:p>
    <w:p w14:paraId="5A230938" w14:textId="77777777" w:rsidR="00EC7999" w:rsidRDefault="00EC7999" w:rsidP="00121661">
      <w:pPr>
        <w:spacing w:line="360" w:lineRule="auto"/>
        <w:jc w:val="both"/>
        <w:rPr>
          <w:rFonts w:ascii="Arial" w:hAnsi="Arial" w:cs="Arial"/>
          <w:b/>
          <w:bCs/>
          <w:sz w:val="24"/>
          <w:szCs w:val="24"/>
        </w:rPr>
      </w:pPr>
    </w:p>
    <w:p w14:paraId="5986D4A6" w14:textId="15B4F4E1" w:rsidR="003D65B8" w:rsidRPr="00C40855" w:rsidRDefault="003D65B8" w:rsidP="00121661">
      <w:pPr>
        <w:spacing w:line="360" w:lineRule="auto"/>
        <w:jc w:val="both"/>
        <w:rPr>
          <w:rFonts w:ascii="Arial" w:hAnsi="Arial" w:cs="Arial"/>
          <w:b/>
          <w:bCs/>
          <w:sz w:val="24"/>
          <w:szCs w:val="24"/>
        </w:rPr>
      </w:pPr>
      <w:r w:rsidRPr="00C40855">
        <w:rPr>
          <w:rFonts w:ascii="Arial" w:hAnsi="Arial" w:cs="Arial"/>
          <w:b/>
          <w:bCs/>
          <w:sz w:val="24"/>
          <w:szCs w:val="24"/>
        </w:rPr>
        <w:lastRenderedPageBreak/>
        <w:t>3.2 Leadership Styles in South Korea: President Moon Jae-in's Pandemic Response</w:t>
      </w:r>
    </w:p>
    <w:p w14:paraId="74E69E54" w14:textId="77777777" w:rsidR="00C109D5" w:rsidRPr="00C109D5" w:rsidRDefault="00C109D5" w:rsidP="00C109D5">
      <w:pPr>
        <w:spacing w:line="360" w:lineRule="auto"/>
        <w:jc w:val="both"/>
        <w:rPr>
          <w:rFonts w:ascii="Arial" w:hAnsi="Arial" w:cs="Arial"/>
          <w:b/>
          <w:bCs/>
        </w:rPr>
      </w:pPr>
      <w:r w:rsidRPr="00C109D5">
        <w:rPr>
          <w:rFonts w:ascii="Arial" w:hAnsi="Arial" w:cs="Arial"/>
          <w:b/>
          <w:bCs/>
        </w:rPr>
        <w:t>3.2.1 Overview of Leadership Context</w:t>
      </w:r>
    </w:p>
    <w:p w14:paraId="4E54E9C3" w14:textId="12D9A624" w:rsidR="00C109D5" w:rsidRPr="00C109D5" w:rsidRDefault="00C109D5" w:rsidP="00C109D5">
      <w:pPr>
        <w:spacing w:line="360" w:lineRule="auto"/>
        <w:jc w:val="both"/>
        <w:rPr>
          <w:rFonts w:ascii="Arial" w:hAnsi="Arial" w:cs="Arial"/>
        </w:rPr>
      </w:pPr>
      <w:r w:rsidRPr="00C109D5">
        <w:rPr>
          <w:rFonts w:ascii="Arial" w:hAnsi="Arial" w:cs="Arial"/>
        </w:rPr>
        <w:t>President Moon Jae-in led South Korea’s COVID-19 response within a highly centralised governance model, where the national government held strong authority over public health policy and emergency management. His leadership combined a proactive, team-oriented strategy with autocratic execution, shaped by cultural expectations, institutional capacity, and the urgency of crisis. This combination enabled swift decision-making while maintaining public trust, rooted in South Korea’s collectivist culture and high institutional confidence (Lee</w:t>
      </w:r>
      <w:r w:rsidR="0089482E">
        <w:rPr>
          <w:rFonts w:ascii="Arial" w:hAnsi="Arial" w:cs="Arial"/>
        </w:rPr>
        <w:t>, Hwang &amp; Moon</w:t>
      </w:r>
      <w:r w:rsidRPr="00C109D5">
        <w:rPr>
          <w:rFonts w:ascii="Arial" w:hAnsi="Arial" w:cs="Arial"/>
        </w:rPr>
        <w:t>, 202</w:t>
      </w:r>
      <w:r w:rsidR="00C20E96">
        <w:rPr>
          <w:rFonts w:ascii="Arial" w:hAnsi="Arial" w:cs="Arial"/>
        </w:rPr>
        <w:t>0</w:t>
      </w:r>
      <w:r w:rsidRPr="00C109D5">
        <w:rPr>
          <w:rFonts w:ascii="Arial" w:hAnsi="Arial" w:cs="Arial"/>
        </w:rPr>
        <w:t>).</w:t>
      </w:r>
    </w:p>
    <w:p w14:paraId="2A98B163" w14:textId="77777777" w:rsidR="00C109D5" w:rsidRPr="00C109D5" w:rsidRDefault="00C109D5" w:rsidP="00C109D5">
      <w:pPr>
        <w:spacing w:line="360" w:lineRule="auto"/>
        <w:jc w:val="both"/>
        <w:rPr>
          <w:rFonts w:ascii="Arial" w:hAnsi="Arial" w:cs="Arial"/>
          <w:b/>
          <w:bCs/>
        </w:rPr>
      </w:pPr>
      <w:r w:rsidRPr="00C109D5">
        <w:rPr>
          <w:rFonts w:ascii="Arial" w:hAnsi="Arial" w:cs="Arial"/>
          <w:b/>
          <w:bCs/>
        </w:rPr>
        <w:t>3.2.2 Strategic Leadership and Centralised Control</w:t>
      </w:r>
    </w:p>
    <w:p w14:paraId="3ED9EABF" w14:textId="7F9F0507" w:rsidR="00C109D5" w:rsidRPr="00C109D5" w:rsidRDefault="00C109D5" w:rsidP="00C109D5">
      <w:pPr>
        <w:spacing w:line="360" w:lineRule="auto"/>
        <w:jc w:val="both"/>
        <w:rPr>
          <w:rFonts w:ascii="Arial" w:hAnsi="Arial" w:cs="Arial"/>
        </w:rPr>
      </w:pPr>
      <w:r w:rsidRPr="00C109D5">
        <w:rPr>
          <w:rFonts w:ascii="Arial" w:hAnsi="Arial" w:cs="Arial"/>
        </w:rPr>
        <w:t>Moon’s administration adopted a ‘whole-of-government’ strategy, which involved coordinating all relevant ministries and agencies under the Korea Disease Control and Prevention Agency (KDCA). This ensured alignment across government bodies and facilitated rapid decision-making. His leadership featured decisive, top-down actions</w:t>
      </w:r>
      <w:r>
        <w:rPr>
          <w:rFonts w:ascii="Arial" w:hAnsi="Arial" w:cs="Arial"/>
        </w:rPr>
        <w:t xml:space="preserve"> </w:t>
      </w:r>
      <w:r w:rsidRPr="00C109D5">
        <w:rPr>
          <w:rFonts w:ascii="Arial" w:hAnsi="Arial" w:cs="Arial"/>
        </w:rPr>
        <w:t>such as border closures, mass testing, and digital contact tracing</w:t>
      </w:r>
      <w:r>
        <w:rPr>
          <w:rFonts w:ascii="Arial" w:hAnsi="Arial" w:cs="Arial"/>
        </w:rPr>
        <w:t xml:space="preserve"> </w:t>
      </w:r>
      <w:r w:rsidRPr="00C109D5">
        <w:rPr>
          <w:rFonts w:ascii="Arial" w:hAnsi="Arial" w:cs="Arial"/>
        </w:rPr>
        <w:t>implemented with minimal public consultation, reflecting an autocratic style focused on efficiency and control (Hong, 2024). According to Behavioural Theory, this aligns with task-oriented leadership, which emphasises structure, performance, and objectives (Northouse, 2021).</w:t>
      </w:r>
    </w:p>
    <w:p w14:paraId="490F7BAD" w14:textId="024BEA63" w:rsidR="00C109D5" w:rsidRPr="00C109D5" w:rsidRDefault="00C109D5" w:rsidP="00C109D5">
      <w:pPr>
        <w:spacing w:line="360" w:lineRule="auto"/>
        <w:jc w:val="both"/>
        <w:rPr>
          <w:rFonts w:ascii="Arial" w:hAnsi="Arial" w:cs="Arial"/>
        </w:rPr>
      </w:pPr>
      <w:r w:rsidRPr="00C109D5">
        <w:rPr>
          <w:rFonts w:ascii="Arial" w:hAnsi="Arial" w:cs="Arial"/>
        </w:rPr>
        <w:t>Moon also demonstrated transformational leadership by empowering health experts to lead public communication and holding regular press briefings to maintain transparency (</w:t>
      </w:r>
      <w:r w:rsidR="00C20E96">
        <w:rPr>
          <w:rFonts w:ascii="Arial" w:hAnsi="Arial" w:cs="Arial"/>
        </w:rPr>
        <w:t>M</w:t>
      </w:r>
      <w:r w:rsidR="001A778D">
        <w:rPr>
          <w:rFonts w:ascii="Arial" w:hAnsi="Arial" w:cs="Arial"/>
        </w:rPr>
        <w:t>athieu</w:t>
      </w:r>
      <w:r w:rsidRPr="00C109D5">
        <w:rPr>
          <w:rFonts w:ascii="Arial" w:hAnsi="Arial" w:cs="Arial"/>
        </w:rPr>
        <w:t xml:space="preserve"> et al., 202</w:t>
      </w:r>
      <w:r w:rsidR="001A778D">
        <w:rPr>
          <w:rFonts w:ascii="Arial" w:hAnsi="Arial" w:cs="Arial"/>
        </w:rPr>
        <w:t>0</w:t>
      </w:r>
      <w:r w:rsidRPr="00C109D5">
        <w:rPr>
          <w:rFonts w:ascii="Arial" w:hAnsi="Arial" w:cs="Arial"/>
        </w:rPr>
        <w:t>). This dual approach</w:t>
      </w:r>
      <w:r>
        <w:rPr>
          <w:rFonts w:ascii="Arial" w:hAnsi="Arial" w:cs="Arial"/>
        </w:rPr>
        <w:t xml:space="preserve"> </w:t>
      </w:r>
      <w:r w:rsidRPr="00C109D5">
        <w:rPr>
          <w:rFonts w:ascii="Arial" w:hAnsi="Arial" w:cs="Arial"/>
        </w:rPr>
        <w:t>directive in execution, participative in communication</w:t>
      </w:r>
      <w:r>
        <w:rPr>
          <w:rFonts w:ascii="Arial" w:hAnsi="Arial" w:cs="Arial"/>
        </w:rPr>
        <w:t xml:space="preserve"> </w:t>
      </w:r>
      <w:r w:rsidRPr="00C109D5">
        <w:rPr>
          <w:rFonts w:ascii="Arial" w:hAnsi="Arial" w:cs="Arial"/>
        </w:rPr>
        <w:t>allowed swift action while preserving public confidence. His leadership also aligns with the Contingency Leadership Model, which suggests effectiveness depends on context. In South Korea’s case, a centralised, directive style suited the high-trust, high-compliance environment during a public health emergency (Fiedler, 1967).</w:t>
      </w:r>
    </w:p>
    <w:p w14:paraId="18706DDA" w14:textId="77777777" w:rsidR="00965D18" w:rsidRPr="00965D18" w:rsidRDefault="00965D18" w:rsidP="00965D18">
      <w:pPr>
        <w:spacing w:line="360" w:lineRule="auto"/>
        <w:jc w:val="both"/>
        <w:rPr>
          <w:rFonts w:ascii="Arial" w:hAnsi="Arial" w:cs="Arial"/>
          <w:b/>
          <w:bCs/>
        </w:rPr>
      </w:pPr>
      <w:r w:rsidRPr="00965D18">
        <w:rPr>
          <w:rFonts w:ascii="Arial" w:hAnsi="Arial" w:cs="Arial"/>
          <w:b/>
          <w:bCs/>
        </w:rPr>
        <w:t>3.2.3 Cultural Alignment and Team Orientation</w:t>
      </w:r>
    </w:p>
    <w:p w14:paraId="2C3306F5" w14:textId="77777777" w:rsidR="00965D18" w:rsidRPr="00965D18" w:rsidRDefault="00965D18" w:rsidP="00965D18">
      <w:pPr>
        <w:spacing w:line="360" w:lineRule="auto"/>
        <w:jc w:val="both"/>
        <w:rPr>
          <w:rFonts w:ascii="Arial" w:hAnsi="Arial" w:cs="Arial"/>
        </w:rPr>
      </w:pPr>
      <w:r w:rsidRPr="00965D18">
        <w:rPr>
          <w:rFonts w:ascii="Arial" w:hAnsi="Arial" w:cs="Arial"/>
        </w:rPr>
        <w:t xml:space="preserve">Moon’s leadership is closely aligned with South Korea’s collectivist values, which emphasise group harmony, respect for authority, and institutional trust. His team-oriented approach has fostered collaboration between central and local governments, technology firms, and civil society. This inclusive coordination has promoted compliance and reduced resistance to strict measures, as citizens view the response as a shared national effort (Jeong &amp; Kim, 2024). Within the Tannenbaum and Schmidt Leadership Continuum, Moon’s style has shifted </w:t>
      </w:r>
      <w:r w:rsidRPr="00965D18">
        <w:rPr>
          <w:rFonts w:ascii="Arial" w:hAnsi="Arial" w:cs="Arial"/>
        </w:rPr>
        <w:lastRenderedPageBreak/>
        <w:t>between directive and participative modes depending on the crisis phase, demonstrating his adaptability and understanding of the local culture.</w:t>
      </w:r>
    </w:p>
    <w:p w14:paraId="3023609E" w14:textId="77777777" w:rsidR="00965D18" w:rsidRPr="00965D18" w:rsidRDefault="00965D18" w:rsidP="00965D18">
      <w:pPr>
        <w:spacing w:line="360" w:lineRule="auto"/>
        <w:jc w:val="both"/>
        <w:rPr>
          <w:rFonts w:ascii="Arial" w:hAnsi="Arial" w:cs="Arial"/>
        </w:rPr>
      </w:pPr>
      <w:r w:rsidRPr="00965D18">
        <w:rPr>
          <w:rFonts w:ascii="Arial" w:hAnsi="Arial" w:cs="Arial"/>
        </w:rPr>
        <w:t>This cultural alignment enabled the rapid deployment of digital tools such as the Self-Quarantine Safety Protection App and the Epidemiological Investigation Support System, which were widely accepted despite privacy concerns. Their success stemmed not only from technological capacity but also from leadership that resonated with societal norms and expectations (World Bank, 2023; UN DESA, 2023).</w:t>
      </w:r>
    </w:p>
    <w:p w14:paraId="6B425564" w14:textId="77777777" w:rsidR="00965D18" w:rsidRPr="00965D18" w:rsidRDefault="00965D18" w:rsidP="00965D18">
      <w:pPr>
        <w:spacing w:line="360" w:lineRule="auto"/>
        <w:jc w:val="both"/>
        <w:rPr>
          <w:rFonts w:ascii="Arial" w:hAnsi="Arial" w:cs="Arial"/>
          <w:b/>
          <w:bCs/>
        </w:rPr>
      </w:pPr>
      <w:r w:rsidRPr="00965D18">
        <w:rPr>
          <w:rFonts w:ascii="Arial" w:hAnsi="Arial" w:cs="Arial"/>
          <w:b/>
          <w:bCs/>
        </w:rPr>
        <w:t>3.2.4 Leadership Impact and Governance Trade-offs</w:t>
      </w:r>
    </w:p>
    <w:p w14:paraId="69E79BA1" w14:textId="6AD2E027" w:rsidR="00965D18" w:rsidRPr="00965D18" w:rsidRDefault="00965D18" w:rsidP="00965D18">
      <w:pPr>
        <w:spacing w:line="360" w:lineRule="auto"/>
        <w:jc w:val="both"/>
        <w:rPr>
          <w:rFonts w:ascii="Arial" w:hAnsi="Arial" w:cs="Arial"/>
        </w:rPr>
      </w:pPr>
      <w:r w:rsidRPr="00965D18">
        <w:rPr>
          <w:rFonts w:ascii="Arial" w:hAnsi="Arial" w:cs="Arial"/>
        </w:rPr>
        <w:t>Moon’s leadership has yielded significant advantages. South Korea has achieved rapid containment, maintained low mortality rates of approximately 0.13% by mid-2022, and avoided nationwide lockdowns, thereby minimising economic disruption (SGI, 2022). Clear delegation to health experts and consistent messaging have built public trust and enabled swift policy implementation. The KDCA’s leadership, backed by Moon’s political support, has ensured that scientific expertise guides decisions. His support has been crucial in empowering the KDCA to act independently, a key factor in South Korea’s success (Hong, 2024).</w:t>
      </w:r>
    </w:p>
    <w:p w14:paraId="0560020B" w14:textId="754A69EB" w:rsidR="00C109D5" w:rsidRPr="00C109D5" w:rsidRDefault="00C109D5" w:rsidP="00C109D5">
      <w:pPr>
        <w:spacing w:line="360" w:lineRule="auto"/>
        <w:jc w:val="both"/>
        <w:rPr>
          <w:rFonts w:ascii="Arial" w:hAnsi="Arial" w:cs="Arial"/>
        </w:rPr>
      </w:pPr>
      <w:r w:rsidRPr="00C109D5">
        <w:rPr>
          <w:rFonts w:ascii="Arial" w:hAnsi="Arial" w:cs="Arial"/>
        </w:rPr>
        <w:t>However, this approach raised concerns. The use of surveillance technologies for contact tracing, while effective, sparked debates over civil liberties. Despite anonymisation, critics argued these measures risked infringing on privacy rights (</w:t>
      </w:r>
      <w:r w:rsidR="00443F9C">
        <w:rPr>
          <w:rFonts w:ascii="Arial" w:hAnsi="Arial" w:cs="Arial"/>
        </w:rPr>
        <w:t>Math</w:t>
      </w:r>
      <w:r w:rsidR="00E55C4D">
        <w:rPr>
          <w:rFonts w:ascii="Arial" w:hAnsi="Arial" w:cs="Arial"/>
        </w:rPr>
        <w:t>ieu et al, 2020</w:t>
      </w:r>
      <w:r w:rsidRPr="00C109D5">
        <w:rPr>
          <w:rFonts w:ascii="Arial" w:hAnsi="Arial" w:cs="Arial"/>
        </w:rPr>
        <w:t>). Additionally, the centralised model limited input from opposition parties and regional leaders, prompting questions about democratic inclusiveness and long-term institutional flexibility (</w:t>
      </w:r>
      <w:r w:rsidR="00686D9F">
        <w:rPr>
          <w:rFonts w:ascii="Arial" w:hAnsi="Arial" w:cs="Arial"/>
        </w:rPr>
        <w:t>Lim</w:t>
      </w:r>
      <w:r w:rsidR="00E55CA4">
        <w:rPr>
          <w:rFonts w:ascii="Arial" w:hAnsi="Arial" w:cs="Arial"/>
        </w:rPr>
        <w:t xml:space="preserve"> &amp; Sohn</w:t>
      </w:r>
      <w:r w:rsidRPr="00C109D5">
        <w:rPr>
          <w:rFonts w:ascii="Arial" w:hAnsi="Arial" w:cs="Arial"/>
        </w:rPr>
        <w:t>, 202</w:t>
      </w:r>
      <w:r w:rsidR="00E55CA4">
        <w:rPr>
          <w:rFonts w:ascii="Arial" w:hAnsi="Arial" w:cs="Arial"/>
        </w:rPr>
        <w:t>3</w:t>
      </w:r>
      <w:r w:rsidRPr="00C109D5">
        <w:rPr>
          <w:rFonts w:ascii="Arial" w:hAnsi="Arial" w:cs="Arial"/>
        </w:rPr>
        <w:t>). These critiques highlight trade-offs in authoritative crisis leadership</w:t>
      </w:r>
      <w:r w:rsidR="0022129C">
        <w:rPr>
          <w:rFonts w:ascii="Arial" w:hAnsi="Arial" w:cs="Arial"/>
        </w:rPr>
        <w:t xml:space="preserve"> </w:t>
      </w:r>
      <w:r w:rsidRPr="00C109D5">
        <w:rPr>
          <w:rFonts w:ascii="Arial" w:hAnsi="Arial" w:cs="Arial"/>
        </w:rPr>
        <w:t>highly effective in the short term, but potentially problematic without accountability and transparency.</w:t>
      </w:r>
    </w:p>
    <w:p w14:paraId="4F3B1412" w14:textId="45F1AD68" w:rsidR="00C109D5" w:rsidRPr="00E54DE1" w:rsidRDefault="00C109D5" w:rsidP="00C109D5">
      <w:pPr>
        <w:spacing w:line="360" w:lineRule="auto"/>
        <w:jc w:val="both"/>
        <w:rPr>
          <w:rFonts w:ascii="Arial" w:hAnsi="Arial" w:cs="Arial"/>
          <w:b/>
          <w:bCs/>
        </w:rPr>
      </w:pPr>
      <w:r w:rsidRPr="00E54DE1">
        <w:rPr>
          <w:rFonts w:ascii="Arial" w:hAnsi="Arial" w:cs="Arial"/>
          <w:b/>
          <w:bCs/>
        </w:rPr>
        <w:t>3.2.5 Theoretical Reflection</w:t>
      </w:r>
    </w:p>
    <w:p w14:paraId="287DD999" w14:textId="2000B90C" w:rsidR="00C109D5" w:rsidRPr="00C109D5" w:rsidRDefault="00C109D5" w:rsidP="00C109D5">
      <w:pPr>
        <w:spacing w:line="360" w:lineRule="auto"/>
        <w:jc w:val="both"/>
        <w:rPr>
          <w:rFonts w:ascii="Arial" w:hAnsi="Arial" w:cs="Arial"/>
        </w:rPr>
      </w:pPr>
      <w:r w:rsidRPr="00C109D5">
        <w:rPr>
          <w:rFonts w:ascii="Arial" w:hAnsi="Arial" w:cs="Arial"/>
        </w:rPr>
        <w:t>Moon’s leadership exemplifies the effectiveness of authoritative leadership in crisis, especially when paired with transparency and institutional trust. His style combined transformational elements</w:t>
      </w:r>
      <w:r w:rsidR="00E54DE1">
        <w:rPr>
          <w:rFonts w:ascii="Arial" w:hAnsi="Arial" w:cs="Arial"/>
        </w:rPr>
        <w:t xml:space="preserve"> </w:t>
      </w:r>
      <w:r w:rsidRPr="00C109D5">
        <w:rPr>
          <w:rFonts w:ascii="Arial" w:hAnsi="Arial" w:cs="Arial"/>
        </w:rPr>
        <w:t>motivating collective action and fostering unity</w:t>
      </w:r>
      <w:r w:rsidR="00E55C4D">
        <w:rPr>
          <w:rFonts w:ascii="Arial" w:hAnsi="Arial" w:cs="Arial"/>
        </w:rPr>
        <w:t xml:space="preserve"> </w:t>
      </w:r>
      <w:r w:rsidRPr="00C109D5">
        <w:rPr>
          <w:rFonts w:ascii="Arial" w:hAnsi="Arial" w:cs="Arial"/>
        </w:rPr>
        <w:t>with directive control to ensure the rapid execution of policy. This hybrid model proved effective in South Korea’s context, where cultural norms and institutional strength supported a centralised response.</w:t>
      </w:r>
    </w:p>
    <w:p w14:paraId="7F117B00" w14:textId="45BB0AFC" w:rsidR="00C109D5" w:rsidRPr="00C109D5" w:rsidRDefault="00C109D5" w:rsidP="00C109D5">
      <w:pPr>
        <w:spacing w:line="360" w:lineRule="auto"/>
        <w:jc w:val="both"/>
        <w:rPr>
          <w:rFonts w:ascii="Arial" w:hAnsi="Arial" w:cs="Arial"/>
        </w:rPr>
      </w:pPr>
      <w:r w:rsidRPr="00C109D5">
        <w:rPr>
          <w:rFonts w:ascii="Arial" w:hAnsi="Arial" w:cs="Arial"/>
        </w:rPr>
        <w:t>Theoretically, Moon’s leadership aligns with the Contingency Model, which argues that no single style is universally effective; success depends on the fit between leadership and context (Fiedler, 1967). In South Korea’s high-trust, high-capacity system, a directive yet transparent approach was optimal. His ability to shift along the Tannenbaum and Schmidt Continuum</w:t>
      </w:r>
      <w:r w:rsidR="00E54DE1">
        <w:rPr>
          <w:rFonts w:ascii="Arial" w:hAnsi="Arial" w:cs="Arial"/>
        </w:rPr>
        <w:t xml:space="preserve"> </w:t>
      </w:r>
      <w:r w:rsidRPr="00C109D5">
        <w:rPr>
          <w:rFonts w:ascii="Arial" w:hAnsi="Arial" w:cs="Arial"/>
        </w:rPr>
        <w:t>from autocratic to participative</w:t>
      </w:r>
      <w:r w:rsidR="00E54DE1">
        <w:rPr>
          <w:rFonts w:ascii="Arial" w:hAnsi="Arial" w:cs="Arial"/>
        </w:rPr>
        <w:t xml:space="preserve"> </w:t>
      </w:r>
      <w:r w:rsidRPr="00C109D5">
        <w:rPr>
          <w:rFonts w:ascii="Arial" w:hAnsi="Arial" w:cs="Arial"/>
        </w:rPr>
        <w:t xml:space="preserve">demonstrates the value of adaptive leadership in managing </w:t>
      </w:r>
      <w:r w:rsidRPr="00C109D5">
        <w:rPr>
          <w:rFonts w:ascii="Arial" w:hAnsi="Arial" w:cs="Arial"/>
        </w:rPr>
        <w:lastRenderedPageBreak/>
        <w:t>prolonged crises. This adaptability should resonate with audiences as a vital trait in crisis management.</w:t>
      </w:r>
    </w:p>
    <w:p w14:paraId="5CA8A696" w14:textId="77777777" w:rsidR="00C109D5" w:rsidRPr="00E54DE1" w:rsidRDefault="00C109D5" w:rsidP="00C109D5">
      <w:pPr>
        <w:spacing w:line="360" w:lineRule="auto"/>
        <w:jc w:val="both"/>
        <w:rPr>
          <w:rFonts w:ascii="Arial" w:hAnsi="Arial" w:cs="Arial"/>
          <w:b/>
          <w:bCs/>
        </w:rPr>
      </w:pPr>
      <w:r w:rsidRPr="00E54DE1">
        <w:rPr>
          <w:rFonts w:ascii="Arial" w:hAnsi="Arial" w:cs="Arial"/>
          <w:b/>
          <w:bCs/>
        </w:rPr>
        <w:t>3.2.6 Conclusion</w:t>
      </w:r>
    </w:p>
    <w:p w14:paraId="6D08D4E5" w14:textId="4D0B9E6F" w:rsidR="003D65B8" w:rsidRDefault="00C109D5" w:rsidP="00C109D5">
      <w:pPr>
        <w:spacing w:line="360" w:lineRule="auto"/>
        <w:jc w:val="both"/>
        <w:rPr>
          <w:rFonts w:ascii="Arial" w:hAnsi="Arial" w:cs="Arial"/>
        </w:rPr>
      </w:pPr>
      <w:r w:rsidRPr="00C109D5">
        <w:rPr>
          <w:rFonts w:ascii="Arial" w:hAnsi="Arial" w:cs="Arial"/>
        </w:rPr>
        <w:t>President Moon Jae-in’s leadership during COVID-19 exemplified a proactive, centralised approach that balanced authority with public engagement. His strategy delivered strong health outcomes, showing the value of decisive leadership in emergencies. However, it also underscored the need for civil liberty safeguards and inclusive governance. Moon’s leadership offers a compelling example of how cultural alignment, institutional trust, and adaptive strategy shape effective crisis management. It also highlights the importance of balancing efficiency with democratic accountability, a crucial consideration for future public health leadership.</w:t>
      </w:r>
    </w:p>
    <w:p w14:paraId="2012974B" w14:textId="77777777" w:rsidR="009A0318" w:rsidRDefault="009A0318" w:rsidP="00121661">
      <w:pPr>
        <w:spacing w:line="360" w:lineRule="auto"/>
        <w:jc w:val="both"/>
        <w:rPr>
          <w:rFonts w:ascii="Arial" w:hAnsi="Arial" w:cs="Arial"/>
          <w:b/>
          <w:bCs/>
          <w:sz w:val="24"/>
          <w:szCs w:val="24"/>
        </w:rPr>
      </w:pPr>
    </w:p>
    <w:p w14:paraId="150F2188" w14:textId="77777777" w:rsidR="009A0318" w:rsidRDefault="009A0318" w:rsidP="00121661">
      <w:pPr>
        <w:spacing w:line="360" w:lineRule="auto"/>
        <w:jc w:val="both"/>
        <w:rPr>
          <w:rFonts w:ascii="Arial" w:hAnsi="Arial" w:cs="Arial"/>
          <w:b/>
          <w:bCs/>
          <w:sz w:val="24"/>
          <w:szCs w:val="24"/>
        </w:rPr>
      </w:pPr>
    </w:p>
    <w:p w14:paraId="35207D7A" w14:textId="77777777" w:rsidR="009A0318" w:rsidRDefault="009A0318" w:rsidP="00121661">
      <w:pPr>
        <w:spacing w:line="360" w:lineRule="auto"/>
        <w:jc w:val="both"/>
        <w:rPr>
          <w:rFonts w:ascii="Arial" w:hAnsi="Arial" w:cs="Arial"/>
          <w:b/>
          <w:bCs/>
          <w:sz w:val="24"/>
          <w:szCs w:val="24"/>
        </w:rPr>
      </w:pPr>
    </w:p>
    <w:p w14:paraId="0A2E0197" w14:textId="77777777" w:rsidR="009A0318" w:rsidRDefault="009A0318" w:rsidP="00121661">
      <w:pPr>
        <w:spacing w:line="360" w:lineRule="auto"/>
        <w:jc w:val="both"/>
        <w:rPr>
          <w:rFonts w:ascii="Arial" w:hAnsi="Arial" w:cs="Arial"/>
          <w:b/>
          <w:bCs/>
          <w:sz w:val="24"/>
          <w:szCs w:val="24"/>
        </w:rPr>
      </w:pPr>
    </w:p>
    <w:p w14:paraId="681AC8DF" w14:textId="77777777" w:rsidR="009A0318" w:rsidRDefault="009A0318" w:rsidP="00121661">
      <w:pPr>
        <w:spacing w:line="360" w:lineRule="auto"/>
        <w:jc w:val="both"/>
        <w:rPr>
          <w:rFonts w:ascii="Arial" w:hAnsi="Arial" w:cs="Arial"/>
          <w:b/>
          <w:bCs/>
          <w:sz w:val="24"/>
          <w:szCs w:val="24"/>
        </w:rPr>
      </w:pPr>
    </w:p>
    <w:p w14:paraId="1410D561" w14:textId="77777777" w:rsidR="009A0318" w:rsidRDefault="009A0318" w:rsidP="00121661">
      <w:pPr>
        <w:spacing w:line="360" w:lineRule="auto"/>
        <w:jc w:val="both"/>
        <w:rPr>
          <w:rFonts w:ascii="Arial" w:hAnsi="Arial" w:cs="Arial"/>
          <w:b/>
          <w:bCs/>
          <w:sz w:val="24"/>
          <w:szCs w:val="24"/>
        </w:rPr>
      </w:pPr>
    </w:p>
    <w:p w14:paraId="18EEA156" w14:textId="77777777" w:rsidR="009A0318" w:rsidRDefault="009A0318" w:rsidP="00121661">
      <w:pPr>
        <w:spacing w:line="360" w:lineRule="auto"/>
        <w:jc w:val="both"/>
        <w:rPr>
          <w:rFonts w:ascii="Arial" w:hAnsi="Arial" w:cs="Arial"/>
          <w:b/>
          <w:bCs/>
          <w:sz w:val="24"/>
          <w:szCs w:val="24"/>
        </w:rPr>
      </w:pPr>
    </w:p>
    <w:p w14:paraId="1FD4614D" w14:textId="77777777" w:rsidR="009A0318" w:rsidRDefault="009A0318" w:rsidP="00121661">
      <w:pPr>
        <w:spacing w:line="360" w:lineRule="auto"/>
        <w:jc w:val="both"/>
        <w:rPr>
          <w:rFonts w:ascii="Arial" w:hAnsi="Arial" w:cs="Arial"/>
          <w:b/>
          <w:bCs/>
          <w:sz w:val="24"/>
          <w:szCs w:val="24"/>
        </w:rPr>
      </w:pPr>
    </w:p>
    <w:p w14:paraId="373A1E37" w14:textId="77777777" w:rsidR="009A0318" w:rsidRDefault="009A0318" w:rsidP="00121661">
      <w:pPr>
        <w:spacing w:line="360" w:lineRule="auto"/>
        <w:jc w:val="both"/>
        <w:rPr>
          <w:rFonts w:ascii="Arial" w:hAnsi="Arial" w:cs="Arial"/>
          <w:b/>
          <w:bCs/>
          <w:sz w:val="24"/>
          <w:szCs w:val="24"/>
        </w:rPr>
      </w:pPr>
    </w:p>
    <w:p w14:paraId="3677FBF5" w14:textId="77777777" w:rsidR="009A0318" w:rsidRDefault="009A0318" w:rsidP="00121661">
      <w:pPr>
        <w:spacing w:line="360" w:lineRule="auto"/>
        <w:jc w:val="both"/>
        <w:rPr>
          <w:rFonts w:ascii="Arial" w:hAnsi="Arial" w:cs="Arial"/>
          <w:b/>
          <w:bCs/>
          <w:sz w:val="24"/>
          <w:szCs w:val="24"/>
        </w:rPr>
      </w:pPr>
    </w:p>
    <w:p w14:paraId="754DF06C" w14:textId="77777777" w:rsidR="009A0318" w:rsidRDefault="009A0318" w:rsidP="00121661">
      <w:pPr>
        <w:spacing w:line="360" w:lineRule="auto"/>
        <w:jc w:val="both"/>
        <w:rPr>
          <w:rFonts w:ascii="Arial" w:hAnsi="Arial" w:cs="Arial"/>
          <w:b/>
          <w:bCs/>
          <w:sz w:val="24"/>
          <w:szCs w:val="24"/>
        </w:rPr>
      </w:pPr>
    </w:p>
    <w:p w14:paraId="7C894F39" w14:textId="77777777" w:rsidR="009A0318" w:rsidRDefault="009A0318" w:rsidP="00121661">
      <w:pPr>
        <w:spacing w:line="360" w:lineRule="auto"/>
        <w:jc w:val="both"/>
        <w:rPr>
          <w:rFonts w:ascii="Arial" w:hAnsi="Arial" w:cs="Arial"/>
          <w:b/>
          <w:bCs/>
          <w:sz w:val="24"/>
          <w:szCs w:val="24"/>
        </w:rPr>
      </w:pPr>
    </w:p>
    <w:p w14:paraId="3D0580F1" w14:textId="77777777" w:rsidR="009A0318" w:rsidRDefault="009A0318" w:rsidP="00121661">
      <w:pPr>
        <w:spacing w:line="360" w:lineRule="auto"/>
        <w:jc w:val="both"/>
        <w:rPr>
          <w:rFonts w:ascii="Arial" w:hAnsi="Arial" w:cs="Arial"/>
          <w:b/>
          <w:bCs/>
          <w:sz w:val="24"/>
          <w:szCs w:val="24"/>
        </w:rPr>
      </w:pPr>
    </w:p>
    <w:p w14:paraId="37084408" w14:textId="77777777" w:rsidR="009A0318" w:rsidRDefault="009A0318" w:rsidP="00121661">
      <w:pPr>
        <w:spacing w:line="360" w:lineRule="auto"/>
        <w:jc w:val="both"/>
        <w:rPr>
          <w:rFonts w:ascii="Arial" w:hAnsi="Arial" w:cs="Arial"/>
          <w:b/>
          <w:bCs/>
          <w:sz w:val="24"/>
          <w:szCs w:val="24"/>
        </w:rPr>
      </w:pPr>
    </w:p>
    <w:p w14:paraId="0D84362E" w14:textId="77777777" w:rsidR="009A0318" w:rsidRDefault="009A0318" w:rsidP="00121661">
      <w:pPr>
        <w:spacing w:line="360" w:lineRule="auto"/>
        <w:jc w:val="both"/>
        <w:rPr>
          <w:rFonts w:ascii="Arial" w:hAnsi="Arial" w:cs="Arial"/>
          <w:b/>
          <w:bCs/>
          <w:sz w:val="24"/>
          <w:szCs w:val="24"/>
        </w:rPr>
      </w:pPr>
    </w:p>
    <w:p w14:paraId="5B634D23" w14:textId="77777777" w:rsidR="009A0318" w:rsidRDefault="009A0318" w:rsidP="00121661">
      <w:pPr>
        <w:spacing w:line="360" w:lineRule="auto"/>
        <w:jc w:val="both"/>
        <w:rPr>
          <w:rFonts w:ascii="Arial" w:hAnsi="Arial" w:cs="Arial"/>
          <w:b/>
          <w:bCs/>
          <w:sz w:val="24"/>
          <w:szCs w:val="24"/>
        </w:rPr>
      </w:pPr>
    </w:p>
    <w:p w14:paraId="23F5A7AF" w14:textId="77777777" w:rsidR="009A0318" w:rsidRDefault="009A0318" w:rsidP="00121661">
      <w:pPr>
        <w:spacing w:line="360" w:lineRule="auto"/>
        <w:jc w:val="both"/>
        <w:rPr>
          <w:rFonts w:ascii="Arial" w:hAnsi="Arial" w:cs="Arial"/>
          <w:b/>
          <w:bCs/>
          <w:sz w:val="24"/>
          <w:szCs w:val="24"/>
        </w:rPr>
      </w:pPr>
    </w:p>
    <w:p w14:paraId="756410FD" w14:textId="0B9310BC" w:rsidR="003D65B8" w:rsidRPr="007E1C92" w:rsidRDefault="003D65B8" w:rsidP="00121661">
      <w:pPr>
        <w:spacing w:line="360" w:lineRule="auto"/>
        <w:jc w:val="both"/>
        <w:rPr>
          <w:rFonts w:ascii="Arial" w:hAnsi="Arial" w:cs="Arial"/>
          <w:b/>
          <w:bCs/>
          <w:sz w:val="24"/>
          <w:szCs w:val="24"/>
        </w:rPr>
      </w:pPr>
      <w:r w:rsidRPr="007E1C92">
        <w:rPr>
          <w:rFonts w:ascii="Arial" w:hAnsi="Arial" w:cs="Arial"/>
          <w:b/>
          <w:bCs/>
          <w:sz w:val="24"/>
          <w:szCs w:val="24"/>
        </w:rPr>
        <w:lastRenderedPageBreak/>
        <w:t>3.3 Leadership Styles in Canada: Prime Minister Justin Trudeau’s Pandemic Response</w:t>
      </w:r>
    </w:p>
    <w:p w14:paraId="158114B0" w14:textId="77777777" w:rsidR="0006291E" w:rsidRPr="0006291E" w:rsidRDefault="0006291E" w:rsidP="00121661">
      <w:pPr>
        <w:spacing w:line="360" w:lineRule="auto"/>
        <w:jc w:val="both"/>
        <w:rPr>
          <w:rFonts w:ascii="Arial" w:hAnsi="Arial" w:cs="Arial"/>
          <w:b/>
          <w:bCs/>
        </w:rPr>
      </w:pPr>
      <w:r w:rsidRPr="0006291E">
        <w:rPr>
          <w:rFonts w:ascii="Arial" w:hAnsi="Arial" w:cs="Arial"/>
          <w:b/>
          <w:bCs/>
        </w:rPr>
        <w:t>3.3.1 Overview of Leadership Context</w:t>
      </w:r>
    </w:p>
    <w:p w14:paraId="140368CD" w14:textId="77777777" w:rsidR="0006291E" w:rsidRPr="0006291E" w:rsidRDefault="0006291E" w:rsidP="00121661">
      <w:pPr>
        <w:spacing w:line="360" w:lineRule="auto"/>
        <w:jc w:val="both"/>
        <w:rPr>
          <w:rFonts w:ascii="Arial" w:hAnsi="Arial" w:cs="Arial"/>
        </w:rPr>
      </w:pPr>
      <w:r w:rsidRPr="0006291E">
        <w:rPr>
          <w:rFonts w:ascii="Arial" w:hAnsi="Arial" w:cs="Arial"/>
        </w:rPr>
        <w:t>Prime Minister Justin Trudeau led Canada’s COVID-19 response within a decentralised federal system, where provinces and territories hold primary responsibility for healthcare delivery and public health measures. The federal government, by contrast, plays a coordinating and funding role, particularly through the Canada Health Act. Trudeau’s leadership style was predominantly democratic and collaborative, shaped by Canada’s political culture, which values consultation, inclusivity, and respect for provincial autonomy (Bubela et al., 2023). This context required a leadership approach that could unify diverse jurisdictions while navigating constitutional limits on federal authority.</w:t>
      </w:r>
    </w:p>
    <w:p w14:paraId="678B894D" w14:textId="77777777" w:rsidR="00AA12B1" w:rsidRPr="00AA12B1" w:rsidRDefault="00AA12B1" w:rsidP="00AA12B1">
      <w:pPr>
        <w:spacing w:line="360" w:lineRule="auto"/>
        <w:jc w:val="both"/>
        <w:rPr>
          <w:rFonts w:ascii="Arial" w:hAnsi="Arial" w:cs="Arial"/>
          <w:b/>
          <w:bCs/>
        </w:rPr>
      </w:pPr>
      <w:r w:rsidRPr="00AA12B1">
        <w:rPr>
          <w:rFonts w:ascii="Arial" w:hAnsi="Arial" w:cs="Arial"/>
          <w:b/>
          <w:bCs/>
        </w:rPr>
        <w:t>3.3.2 Inclusive Leadership and Consultation</w:t>
      </w:r>
    </w:p>
    <w:p w14:paraId="6F1F47FB" w14:textId="77777777" w:rsidR="00AA12B1" w:rsidRPr="00AA12B1" w:rsidRDefault="00AA12B1" w:rsidP="00AA12B1">
      <w:pPr>
        <w:spacing w:line="360" w:lineRule="auto"/>
        <w:jc w:val="both"/>
        <w:rPr>
          <w:rFonts w:ascii="Arial" w:hAnsi="Arial" w:cs="Arial"/>
        </w:rPr>
      </w:pPr>
      <w:r w:rsidRPr="00AA12B1">
        <w:rPr>
          <w:rFonts w:ascii="Arial" w:hAnsi="Arial" w:cs="Arial"/>
        </w:rPr>
        <w:t>Trudeau’s leadership during the pandemic demonstrated inclusive governance, with regular consultations held. He held frequent meetings with provincial premiers through the First Ministers’ conferences, supported expert-led briefings, and prioritised transparent public communication (Global News, 2021; CBC News, 2020). His government coordinated national efforts, including vaccine procurement, border controls, and financial support programs, while provinces managed lockdowns, testing, and healthcare delivery (Allin et al., 2021). This approach aligns with democratic and participative leadership theories, which emphasise shared decision-making, stakeholder engagement, and consensus-building (Northouse, 2021).</w:t>
      </w:r>
    </w:p>
    <w:p w14:paraId="4C093ADA" w14:textId="77777777" w:rsidR="00AA12B1" w:rsidRPr="00AA12B1" w:rsidRDefault="00AA12B1" w:rsidP="00AA12B1">
      <w:pPr>
        <w:spacing w:line="360" w:lineRule="auto"/>
        <w:jc w:val="both"/>
        <w:rPr>
          <w:rFonts w:ascii="Arial" w:hAnsi="Arial" w:cs="Arial"/>
        </w:rPr>
      </w:pPr>
      <w:r w:rsidRPr="00AA12B1">
        <w:rPr>
          <w:rFonts w:ascii="Arial" w:hAnsi="Arial" w:cs="Arial"/>
        </w:rPr>
        <w:t>Trudeau’s emphasis on public trust and expert guidance was evident in his reliance on Canada’s Chief Public Health Officer, Dr Theresa Tam, to lead national briefings. This delegation of authority to scientific experts reflects a team-oriented leadership style, fostering credibility and depoliticising health messaging (Canada.ca, 2025; CBC News, 2025). His inclusive tone and empathetic communication, often referencing the collective struggle and resilience of Canadians, reinforced a sense of national solidarity.</w:t>
      </w:r>
    </w:p>
    <w:p w14:paraId="061B1DCC" w14:textId="77777777" w:rsidR="00AA12B1" w:rsidRPr="00AA12B1" w:rsidRDefault="00AA12B1" w:rsidP="00AA12B1">
      <w:pPr>
        <w:spacing w:line="360" w:lineRule="auto"/>
        <w:jc w:val="both"/>
        <w:rPr>
          <w:rFonts w:ascii="Arial" w:hAnsi="Arial" w:cs="Arial"/>
          <w:b/>
          <w:bCs/>
        </w:rPr>
      </w:pPr>
      <w:r w:rsidRPr="00AA12B1">
        <w:rPr>
          <w:rFonts w:ascii="Arial" w:hAnsi="Arial" w:cs="Arial"/>
          <w:b/>
          <w:bCs/>
        </w:rPr>
        <w:t>3.3.3 Balancing Unity and Autonomy</w:t>
      </w:r>
    </w:p>
    <w:p w14:paraId="5952D70D" w14:textId="77777777" w:rsidR="00AA12B1" w:rsidRPr="00AA12B1" w:rsidRDefault="00AA12B1" w:rsidP="00AA12B1">
      <w:pPr>
        <w:spacing w:line="360" w:lineRule="auto"/>
        <w:jc w:val="both"/>
        <w:rPr>
          <w:rFonts w:ascii="Arial" w:hAnsi="Arial" w:cs="Arial"/>
        </w:rPr>
      </w:pPr>
      <w:r w:rsidRPr="00AA12B1">
        <w:rPr>
          <w:rFonts w:ascii="Arial" w:hAnsi="Arial" w:cs="Arial"/>
        </w:rPr>
        <w:t xml:space="preserve">Trudeau’s leadership sought to balance national unity with provincial autonomy, a delicate task in Canada’s federated system. His transformational messaging, including phrases like “we are all in this together,” aimed to inspire collective action and reinforce shared responsibility (Cyr et al., 2021). However, the federal government’s limited jurisdiction over health policy meant that Trudeau could not enforce uniform standards across provinces. Provinces implemented </w:t>
      </w:r>
      <w:r w:rsidRPr="00AA12B1">
        <w:rPr>
          <w:rFonts w:ascii="Arial" w:hAnsi="Arial" w:cs="Arial"/>
        </w:rPr>
        <w:lastRenderedPageBreak/>
        <w:t>varying public health measures, including different mask mandates, school closures, and vaccine rollout strategies (Broschek, 2022).</w:t>
      </w:r>
    </w:p>
    <w:p w14:paraId="575C3C4B" w14:textId="77777777" w:rsidR="00AA12B1" w:rsidRPr="00AA12B1" w:rsidRDefault="00AA12B1" w:rsidP="00AA12B1">
      <w:pPr>
        <w:spacing w:line="360" w:lineRule="auto"/>
        <w:jc w:val="both"/>
        <w:rPr>
          <w:rFonts w:ascii="Arial" w:hAnsi="Arial" w:cs="Arial"/>
        </w:rPr>
      </w:pPr>
      <w:r w:rsidRPr="00AA12B1">
        <w:rPr>
          <w:rFonts w:ascii="Arial" w:hAnsi="Arial" w:cs="Arial"/>
        </w:rPr>
        <w:t>This tension illustrates the Tannenbaum and Schmidt Leadership Continuum, where Trudeau operated closer to the participative end encouraging provincial discretion rather than imposing federal directives. While this approach respected constitutional boundaries and local contexts, it also contributed to fragmented responses and public confusion, particularly when provinces adopted divergent policies (Allin et al., 2021).</w:t>
      </w:r>
    </w:p>
    <w:p w14:paraId="78CC61DA" w14:textId="77777777" w:rsidR="00AA12B1" w:rsidRPr="00ED27E1" w:rsidRDefault="00AA12B1" w:rsidP="00AA12B1">
      <w:pPr>
        <w:spacing w:line="360" w:lineRule="auto"/>
        <w:jc w:val="both"/>
        <w:rPr>
          <w:rFonts w:ascii="Arial" w:hAnsi="Arial" w:cs="Arial"/>
          <w:b/>
          <w:bCs/>
        </w:rPr>
      </w:pPr>
      <w:r w:rsidRPr="00ED27E1">
        <w:rPr>
          <w:rFonts w:ascii="Arial" w:hAnsi="Arial" w:cs="Arial"/>
          <w:b/>
          <w:bCs/>
        </w:rPr>
        <w:t>3.3.4 Leadership Outcomes and Coordination Challenges</w:t>
      </w:r>
    </w:p>
    <w:p w14:paraId="53D2E64C" w14:textId="77777777" w:rsidR="00AA12B1" w:rsidRPr="00AA12B1" w:rsidRDefault="00AA12B1" w:rsidP="00AA12B1">
      <w:pPr>
        <w:spacing w:line="360" w:lineRule="auto"/>
        <w:jc w:val="both"/>
        <w:rPr>
          <w:rFonts w:ascii="Arial" w:hAnsi="Arial" w:cs="Arial"/>
        </w:rPr>
      </w:pPr>
      <w:r w:rsidRPr="00AA12B1">
        <w:rPr>
          <w:rFonts w:ascii="Arial" w:hAnsi="Arial" w:cs="Arial"/>
        </w:rPr>
        <w:t>The advantages of Trudeau’s leadership included inclusive governance, high levels of public trust, and adaptability to regional needs. His collaborative style, demonstrated in initiatives such as the development of mobile testing units and culturally tailored outreach for Indigenous communities, enabled provinces to innovate in service delivery (Health Research Policy and Systems, 2025). The federal government’s financial support programs, including the Canada Emergency Response Benefit (CERB), were widely praised for mitigating economic hardship and reinforcing social cohesion (CBC News, 2020; Ranosa, 2020).</w:t>
      </w:r>
    </w:p>
    <w:p w14:paraId="2E699DE5" w14:textId="77777777" w:rsidR="00AA12B1" w:rsidRPr="00AA12B1" w:rsidRDefault="00AA12B1" w:rsidP="00AA12B1">
      <w:pPr>
        <w:spacing w:line="360" w:lineRule="auto"/>
        <w:jc w:val="both"/>
        <w:rPr>
          <w:rFonts w:ascii="Arial" w:hAnsi="Arial" w:cs="Arial"/>
        </w:rPr>
      </w:pPr>
      <w:r w:rsidRPr="00AA12B1">
        <w:rPr>
          <w:rFonts w:ascii="Arial" w:hAnsi="Arial" w:cs="Arial"/>
        </w:rPr>
        <w:t>However, the disadvantages were also significant. The lack of a unified digital infrastructure and fragmented data systems across provinces hindered real-time surveillance and national coordination (Bubela et al., 2023). Inconsistent public messaging and delayed containment in provinces such as Alberta and Ontario revealed the limitations of a purely collaborative approach during a fast-moving crisis, cautioning against over-reliance on consensus in emergencies (Allin et al., 2021). Trudeau’s leadership, while inclusive, sometimes lacked the decisiveness and speed required in such contexts.</w:t>
      </w:r>
    </w:p>
    <w:p w14:paraId="0479D5D9" w14:textId="77777777" w:rsidR="00AA12B1" w:rsidRPr="00ED27E1" w:rsidRDefault="00AA12B1" w:rsidP="00AA12B1">
      <w:pPr>
        <w:spacing w:line="360" w:lineRule="auto"/>
        <w:jc w:val="both"/>
        <w:rPr>
          <w:rFonts w:ascii="Arial" w:hAnsi="Arial" w:cs="Arial"/>
          <w:b/>
          <w:bCs/>
        </w:rPr>
      </w:pPr>
      <w:r w:rsidRPr="00ED27E1">
        <w:rPr>
          <w:rFonts w:ascii="Arial" w:hAnsi="Arial" w:cs="Arial"/>
          <w:b/>
          <w:bCs/>
        </w:rPr>
        <w:t>3.3.5 Theoretical Reflection</w:t>
      </w:r>
    </w:p>
    <w:p w14:paraId="0F5DD8CB" w14:textId="428FDE99" w:rsidR="00AA12B1" w:rsidRPr="00AA12B1" w:rsidRDefault="00AA12B1" w:rsidP="00AA12B1">
      <w:pPr>
        <w:spacing w:line="360" w:lineRule="auto"/>
        <w:jc w:val="both"/>
        <w:rPr>
          <w:rFonts w:ascii="Arial" w:hAnsi="Arial" w:cs="Arial"/>
        </w:rPr>
      </w:pPr>
      <w:r w:rsidRPr="00AA12B1">
        <w:rPr>
          <w:rFonts w:ascii="Arial" w:hAnsi="Arial" w:cs="Arial"/>
        </w:rPr>
        <w:t>Trudeau’s leadership aligns with democratic and participative leadership theories, which prioritise stakeholder input, transparency, and shared responsibility (Northouse, 2021). These qualities are valuable in building trust and legitimacy, especially in pluralistic societies. However, as Contingency Leadership Theory suggests, the effectiveness of a leadership style depends on the situation (Fiedler, 1967). In crisis settings that demand rapid, coordinated action, participative leadership may be too slow or fragmented to deliver optimal outcomes.</w:t>
      </w:r>
    </w:p>
    <w:p w14:paraId="057AC6FF" w14:textId="1923E99A" w:rsidR="00AA12B1" w:rsidRPr="00AA12B1" w:rsidRDefault="00AA12B1" w:rsidP="00AA12B1">
      <w:pPr>
        <w:spacing w:line="360" w:lineRule="auto"/>
        <w:jc w:val="both"/>
        <w:rPr>
          <w:rFonts w:ascii="Arial" w:hAnsi="Arial" w:cs="Arial"/>
        </w:rPr>
      </w:pPr>
      <w:r w:rsidRPr="00AA12B1">
        <w:rPr>
          <w:rFonts w:ascii="Arial" w:hAnsi="Arial" w:cs="Arial"/>
        </w:rPr>
        <w:t>Trudeau’s case underscores the importance of adaptive leadership</w:t>
      </w:r>
      <w:r w:rsidR="00534A24">
        <w:rPr>
          <w:rFonts w:ascii="Arial" w:hAnsi="Arial" w:cs="Arial"/>
        </w:rPr>
        <w:t xml:space="preserve"> </w:t>
      </w:r>
      <w:r w:rsidRPr="00AA12B1">
        <w:rPr>
          <w:rFonts w:ascii="Arial" w:hAnsi="Arial" w:cs="Arial"/>
        </w:rPr>
        <w:t>the ability to pivot between collaboration and command depending on the phase of the crisis. While his democratic style fostered unity and resilience, it also exposed the need for stronger federal tools to coordinate national responses in future emergencies (Broschek, 2022).</w:t>
      </w:r>
    </w:p>
    <w:p w14:paraId="4020D9F5" w14:textId="5230CE99" w:rsidR="003D65B8" w:rsidRPr="0033409B" w:rsidRDefault="003D65B8" w:rsidP="00121661">
      <w:pPr>
        <w:spacing w:line="360" w:lineRule="auto"/>
        <w:jc w:val="both"/>
        <w:rPr>
          <w:rFonts w:ascii="Arial" w:hAnsi="Arial" w:cs="Arial"/>
          <w:b/>
          <w:bCs/>
        </w:rPr>
      </w:pPr>
      <w:r>
        <w:rPr>
          <w:rFonts w:ascii="Arial" w:hAnsi="Arial" w:cs="Arial"/>
          <w:b/>
          <w:bCs/>
        </w:rPr>
        <w:lastRenderedPageBreak/>
        <w:t>3.</w:t>
      </w:r>
      <w:r w:rsidRPr="0033409B">
        <w:rPr>
          <w:rFonts w:ascii="Arial" w:hAnsi="Arial" w:cs="Arial"/>
          <w:b/>
          <w:bCs/>
        </w:rPr>
        <w:t>3.6 Conclusion</w:t>
      </w:r>
    </w:p>
    <w:p w14:paraId="47566205" w14:textId="6CD8A559" w:rsidR="003D65B8" w:rsidRDefault="003D65B8" w:rsidP="00121661">
      <w:pPr>
        <w:spacing w:line="360" w:lineRule="auto"/>
        <w:jc w:val="both"/>
        <w:rPr>
          <w:rFonts w:ascii="Arial" w:hAnsi="Arial" w:cs="Arial"/>
        </w:rPr>
      </w:pPr>
      <w:r w:rsidRPr="00F637AD">
        <w:rPr>
          <w:rFonts w:ascii="Arial" w:hAnsi="Arial" w:cs="Arial"/>
        </w:rPr>
        <w:t>Prime Minister Justin Trudeau’s leadership during COVID-19 reflected Canada’s federated governance structure and cultural values. His democratic, inclusive style promoted trust, cooperation, and regional responsiveness. However, it also faced limitations in coordination, speed, and national coherence. The Canadian experience underscores the importance of flexible leadership models that can strike a balance between collaboration and decisive action. Going forward, reforms that strengthen intergovernmental coordination, data integration, and emergency governance will be essential to enhance Canada’s pandemic preparedness and response.</w:t>
      </w:r>
      <w:r w:rsidR="00E7198B">
        <w:rPr>
          <w:rFonts w:ascii="Arial" w:hAnsi="Arial" w:cs="Arial"/>
        </w:rPr>
        <w:t xml:space="preserve"> </w:t>
      </w:r>
      <w:r w:rsidR="001564A0">
        <w:rPr>
          <w:rFonts w:ascii="Arial" w:hAnsi="Arial" w:cs="Arial"/>
        </w:rPr>
        <w:t>(</w:t>
      </w:r>
      <w:r w:rsidR="00E7198B">
        <w:rPr>
          <w:rFonts w:ascii="Arial" w:hAnsi="Arial" w:cs="Arial"/>
        </w:rPr>
        <w:t>A</w:t>
      </w:r>
      <w:r w:rsidR="00CE599B">
        <w:rPr>
          <w:rFonts w:ascii="Arial" w:hAnsi="Arial" w:cs="Arial"/>
        </w:rPr>
        <w:t xml:space="preserve"> critical reflection of </w:t>
      </w:r>
      <w:r w:rsidR="00252B71">
        <w:rPr>
          <w:rFonts w:ascii="Arial" w:hAnsi="Arial" w:cs="Arial"/>
        </w:rPr>
        <w:t xml:space="preserve">each of </w:t>
      </w:r>
      <w:r w:rsidR="00ED0EF7">
        <w:rPr>
          <w:rFonts w:ascii="Arial" w:hAnsi="Arial" w:cs="Arial"/>
        </w:rPr>
        <w:t>leaders’</w:t>
      </w:r>
      <w:r w:rsidR="00252B71">
        <w:rPr>
          <w:rFonts w:ascii="Arial" w:hAnsi="Arial" w:cs="Arial"/>
        </w:rPr>
        <w:t xml:space="preserve"> </w:t>
      </w:r>
      <w:r w:rsidR="00ED0EF7">
        <w:rPr>
          <w:rFonts w:ascii="Arial" w:hAnsi="Arial" w:cs="Arial"/>
        </w:rPr>
        <w:t>style is</w:t>
      </w:r>
      <w:r w:rsidR="00252B71">
        <w:rPr>
          <w:rFonts w:ascii="Arial" w:hAnsi="Arial" w:cs="Arial"/>
        </w:rPr>
        <w:t xml:space="preserve"> </w:t>
      </w:r>
      <w:r w:rsidR="00181E30">
        <w:rPr>
          <w:rFonts w:ascii="Arial" w:hAnsi="Arial" w:cs="Arial"/>
        </w:rPr>
        <w:t>attached in the appendix</w:t>
      </w:r>
      <w:r w:rsidR="001564A0">
        <w:rPr>
          <w:rFonts w:ascii="Arial" w:hAnsi="Arial" w:cs="Arial"/>
        </w:rPr>
        <w:t>)</w:t>
      </w:r>
      <w:r w:rsidR="00CE599B">
        <w:rPr>
          <w:rFonts w:ascii="Arial" w:hAnsi="Arial" w:cs="Arial"/>
        </w:rPr>
        <w:t xml:space="preserve"> </w:t>
      </w:r>
    </w:p>
    <w:p w14:paraId="5A183276" w14:textId="225D701C" w:rsidR="003D65B8" w:rsidRPr="0033409B" w:rsidRDefault="003D65B8" w:rsidP="00121661">
      <w:pPr>
        <w:spacing w:line="360" w:lineRule="auto"/>
        <w:jc w:val="both"/>
        <w:rPr>
          <w:rFonts w:ascii="Arial" w:hAnsi="Arial" w:cs="Arial"/>
          <w:b/>
          <w:bCs/>
        </w:rPr>
      </w:pPr>
      <w:r>
        <w:rPr>
          <w:rFonts w:ascii="Arial" w:hAnsi="Arial" w:cs="Arial"/>
          <w:b/>
          <w:bCs/>
        </w:rPr>
        <w:t>4</w:t>
      </w:r>
      <w:r w:rsidR="001B1731">
        <w:rPr>
          <w:rFonts w:ascii="Arial" w:hAnsi="Arial" w:cs="Arial"/>
          <w:b/>
          <w:bCs/>
        </w:rPr>
        <w:t>.</w:t>
      </w:r>
      <w:r>
        <w:rPr>
          <w:rFonts w:ascii="Arial" w:hAnsi="Arial" w:cs="Arial"/>
          <w:b/>
          <w:bCs/>
        </w:rPr>
        <w:t xml:space="preserve"> </w:t>
      </w:r>
      <w:r w:rsidRPr="0033409B">
        <w:rPr>
          <w:rFonts w:ascii="Arial" w:hAnsi="Arial" w:cs="Arial"/>
          <w:b/>
          <w:bCs/>
        </w:rPr>
        <w:t>Conclusion</w:t>
      </w:r>
      <w:r w:rsidR="002C6837">
        <w:rPr>
          <w:rFonts w:ascii="Arial" w:hAnsi="Arial" w:cs="Arial"/>
          <w:b/>
          <w:bCs/>
        </w:rPr>
        <w:t xml:space="preserve"> of the Report</w:t>
      </w:r>
    </w:p>
    <w:p w14:paraId="6D54BD32" w14:textId="77777777" w:rsidR="003D65B8" w:rsidRPr="00913ACD" w:rsidRDefault="003D65B8" w:rsidP="00121661">
      <w:pPr>
        <w:spacing w:line="360" w:lineRule="auto"/>
        <w:jc w:val="both"/>
        <w:rPr>
          <w:rFonts w:ascii="Arial" w:hAnsi="Arial" w:cs="Arial"/>
        </w:rPr>
      </w:pPr>
      <w:r w:rsidRPr="00913ACD">
        <w:rPr>
          <w:rFonts w:ascii="Arial" w:hAnsi="Arial" w:cs="Arial"/>
        </w:rPr>
        <w:t>This report underscores the critical role of leadership and governance structures in shaping national pandemic responses. Pedro Sánchez’s shift from autocratic to laissez-faire leadership in Spain reflected the tension between central authority and regional autonomy, revealing coordination gaps in a decentralised system. Moon Jae-in’s directive leadership in South Korea, supported by collectivist cultural norms and institutional trust, demonstrated the effectiveness of centralised control paired with transformational messaging. Justin Trudeau’s democratic and participatory style fostered public trust and inclusivity in Canada but struggled with speed and coherence due to the limited authority of the federal government.</w:t>
      </w:r>
    </w:p>
    <w:p w14:paraId="1F47AAE9" w14:textId="77777777" w:rsidR="002B65C9" w:rsidRPr="002B65C9" w:rsidRDefault="002B65C9" w:rsidP="00121661">
      <w:pPr>
        <w:spacing w:line="360" w:lineRule="auto"/>
        <w:jc w:val="both"/>
        <w:rPr>
          <w:rFonts w:ascii="Arial" w:hAnsi="Arial" w:cs="Arial"/>
        </w:rPr>
      </w:pPr>
      <w:r w:rsidRPr="002B65C9">
        <w:rPr>
          <w:rFonts w:ascii="Arial" w:hAnsi="Arial" w:cs="Arial"/>
        </w:rPr>
        <w:t>The Tannenbaum and Schmidt Leadership Continuum, Behavioural Theory, and Contingency Leadership Model, all significant theoretical frameworks, have been instrumental in shedding light on how each leader’s style either aligns or conflicts with their national context. This analysis underscores that leadership effectiveness is not solely determined by style, but by its harmony with institutional capacity, cultural norms, and crisis demands.</w:t>
      </w:r>
    </w:p>
    <w:p w14:paraId="0FF269D4" w14:textId="11EC748F" w:rsidR="002B65C9" w:rsidRDefault="002B65C9" w:rsidP="00121661">
      <w:pPr>
        <w:spacing w:line="360" w:lineRule="auto"/>
        <w:jc w:val="both"/>
        <w:rPr>
          <w:rFonts w:ascii="Arial" w:hAnsi="Arial" w:cs="Arial"/>
        </w:rPr>
      </w:pPr>
      <w:r w:rsidRPr="002B65C9">
        <w:rPr>
          <w:rFonts w:ascii="Arial" w:hAnsi="Arial" w:cs="Arial"/>
        </w:rPr>
        <w:t>Future public health emergencies will necessitate adaptive leadership</w:t>
      </w:r>
      <w:r w:rsidR="003D6B53">
        <w:rPr>
          <w:rFonts w:ascii="Arial" w:hAnsi="Arial" w:cs="Arial"/>
        </w:rPr>
        <w:t xml:space="preserve"> </w:t>
      </w:r>
      <w:r w:rsidRPr="002B65C9">
        <w:rPr>
          <w:rFonts w:ascii="Arial" w:hAnsi="Arial" w:cs="Arial"/>
        </w:rPr>
        <w:t>strategic, flexible, and responsive to evolving conditions. It is crucial to be prepared and proactive. Success will hinge on robust coordination mechanisms, an integrated digital infrastructure, transparent communication, and culturally attuned governance that can strike a balance between efficiency and democratic accountability.</w:t>
      </w:r>
    </w:p>
    <w:p w14:paraId="691BAEFE" w14:textId="77777777" w:rsidR="002B65C9" w:rsidRDefault="002B65C9" w:rsidP="00121661">
      <w:pPr>
        <w:spacing w:line="360" w:lineRule="auto"/>
        <w:jc w:val="both"/>
        <w:rPr>
          <w:rFonts w:ascii="Arial" w:hAnsi="Arial" w:cs="Arial"/>
        </w:rPr>
      </w:pPr>
    </w:p>
    <w:p w14:paraId="582F5426" w14:textId="77777777" w:rsidR="002B65C9" w:rsidRDefault="002B65C9" w:rsidP="00121661">
      <w:pPr>
        <w:spacing w:line="360" w:lineRule="auto"/>
        <w:jc w:val="both"/>
        <w:rPr>
          <w:rFonts w:ascii="Arial" w:hAnsi="Arial" w:cs="Arial"/>
        </w:rPr>
      </w:pPr>
    </w:p>
    <w:p w14:paraId="699793D2" w14:textId="77777777" w:rsidR="00614BF3" w:rsidRDefault="00614BF3" w:rsidP="00121661">
      <w:pPr>
        <w:spacing w:line="360" w:lineRule="auto"/>
        <w:jc w:val="both"/>
        <w:rPr>
          <w:rFonts w:ascii="Arial" w:hAnsi="Arial" w:cs="Arial"/>
        </w:rPr>
      </w:pPr>
    </w:p>
    <w:p w14:paraId="271C7E4D" w14:textId="77777777" w:rsidR="00475593" w:rsidRDefault="00475593" w:rsidP="00121661">
      <w:pPr>
        <w:spacing w:line="360" w:lineRule="auto"/>
        <w:jc w:val="both"/>
        <w:rPr>
          <w:rFonts w:ascii="Arial" w:hAnsi="Arial" w:cs="Arial"/>
          <w:b/>
          <w:bCs/>
          <w:sz w:val="24"/>
          <w:szCs w:val="24"/>
        </w:rPr>
      </w:pPr>
    </w:p>
    <w:p w14:paraId="4DDC73F2" w14:textId="2185DA82" w:rsidR="00F5592D" w:rsidRPr="003727BB" w:rsidRDefault="00F5592D" w:rsidP="00121661">
      <w:pPr>
        <w:spacing w:line="360" w:lineRule="auto"/>
        <w:jc w:val="both"/>
        <w:rPr>
          <w:rFonts w:ascii="Arial" w:hAnsi="Arial" w:cs="Arial"/>
          <w:b/>
          <w:bCs/>
          <w:sz w:val="24"/>
          <w:szCs w:val="24"/>
        </w:rPr>
      </w:pPr>
      <w:r w:rsidRPr="003727BB">
        <w:rPr>
          <w:rFonts w:ascii="Arial" w:hAnsi="Arial" w:cs="Arial"/>
          <w:b/>
          <w:bCs/>
          <w:sz w:val="24"/>
          <w:szCs w:val="24"/>
        </w:rPr>
        <w:lastRenderedPageBreak/>
        <w:t>Reference List</w:t>
      </w:r>
    </w:p>
    <w:p w14:paraId="15114F57" w14:textId="77777777" w:rsidR="00614BF3" w:rsidRPr="005B0F1E" w:rsidRDefault="00614BF3" w:rsidP="005B0F1E">
      <w:pPr>
        <w:spacing w:line="360" w:lineRule="auto"/>
        <w:rPr>
          <w:rFonts w:ascii="Arial" w:hAnsi="Arial" w:cs="Arial"/>
        </w:rPr>
      </w:pPr>
      <w:r w:rsidRPr="005B0F1E">
        <w:rPr>
          <w:rFonts w:ascii="Arial" w:hAnsi="Arial" w:cs="Arial"/>
        </w:rPr>
        <w:t xml:space="preserve">Abimbola, S., Baatiema, L., &amp; Bigdeli, M. (2019) The impacts of decentralization on health system equity, efficiency and resilience: a realist synthesis of the evidence. </w:t>
      </w:r>
      <w:r w:rsidRPr="005B0F1E">
        <w:rPr>
          <w:rFonts w:ascii="Arial" w:hAnsi="Arial" w:cs="Arial"/>
          <w:i/>
          <w:iCs/>
        </w:rPr>
        <w:t>Health policy and planning,</w:t>
      </w:r>
      <w:r w:rsidRPr="005B0F1E">
        <w:rPr>
          <w:rFonts w:ascii="Arial" w:hAnsi="Arial" w:cs="Arial"/>
        </w:rPr>
        <w:t xml:space="preserve"> 34(8), 605–617. Available at: </w:t>
      </w:r>
      <w:hyperlink r:id="rId22" w:history="1">
        <w:r w:rsidRPr="005B0F1E">
          <w:rPr>
            <w:rStyle w:val="Hyperlink"/>
            <w:rFonts w:ascii="Arial" w:hAnsi="Arial" w:cs="Arial"/>
          </w:rPr>
          <w:t>https://doi.org/10.1093/heapol/czz055</w:t>
        </w:r>
      </w:hyperlink>
    </w:p>
    <w:p w14:paraId="541D7DA4" w14:textId="77777777" w:rsidR="00614BF3" w:rsidRPr="005B0F1E" w:rsidRDefault="00614BF3" w:rsidP="005B0F1E">
      <w:pPr>
        <w:spacing w:line="360" w:lineRule="auto"/>
        <w:rPr>
          <w:rFonts w:ascii="Arial" w:hAnsi="Arial" w:cs="Arial"/>
        </w:rPr>
      </w:pPr>
      <w:r w:rsidRPr="005B0F1E">
        <w:rPr>
          <w:rFonts w:ascii="Arial" w:hAnsi="Arial" w:cs="Arial"/>
        </w:rPr>
        <w:t>Amodio, E., Vitale, F., Cimino, L., Casuccio, A., &amp; Tramuto, F. (2020) Outbreak of Novel Coronavirus (SARS-Cov-2): First Evidences From International Scientific Literature and Pending Questions</w:t>
      </w:r>
      <w:r w:rsidRPr="005B0F1E">
        <w:rPr>
          <w:rFonts w:ascii="Arial" w:hAnsi="Arial" w:cs="Arial"/>
          <w:i/>
          <w:iCs/>
        </w:rPr>
        <w:t>. Healthcare (Basel, Switzerland)</w:t>
      </w:r>
      <w:r w:rsidRPr="005B0F1E">
        <w:rPr>
          <w:rFonts w:ascii="Arial" w:hAnsi="Arial" w:cs="Arial"/>
        </w:rPr>
        <w:t xml:space="preserve">, 8(1), 51. Available at: </w:t>
      </w:r>
      <w:hyperlink r:id="rId23" w:history="1">
        <w:r w:rsidRPr="005B0F1E">
          <w:rPr>
            <w:rStyle w:val="Hyperlink"/>
            <w:rFonts w:ascii="Arial" w:hAnsi="Arial" w:cs="Arial"/>
          </w:rPr>
          <w:t>https://doi.org/10.3390/healthcare8010051</w:t>
        </w:r>
      </w:hyperlink>
    </w:p>
    <w:p w14:paraId="0A69EFE5" w14:textId="77777777" w:rsidR="00614BF3" w:rsidRPr="005B0F1E" w:rsidRDefault="00614BF3" w:rsidP="005B0F1E">
      <w:pPr>
        <w:spacing w:line="360" w:lineRule="auto"/>
        <w:rPr>
          <w:rFonts w:ascii="Arial" w:hAnsi="Arial" w:cs="Arial"/>
        </w:rPr>
      </w:pPr>
      <w:r w:rsidRPr="005B0F1E">
        <w:rPr>
          <w:rFonts w:ascii="Arial" w:hAnsi="Arial" w:cs="Arial"/>
        </w:rPr>
        <w:t xml:space="preserve">Allin, S., Fitzpatrick, T., Marchildon, G.P. &amp; Quesnel-Vallée, A. (2021) ‘The federal government and Canada’s COVID-19 responses: from “we’re ready, we’re prepared” to “fires are burning”’, </w:t>
      </w:r>
      <w:r w:rsidRPr="005B0F1E">
        <w:rPr>
          <w:rFonts w:ascii="Arial" w:hAnsi="Arial" w:cs="Arial"/>
          <w:i/>
          <w:iCs/>
        </w:rPr>
        <w:t>Health Economics, Policy and Law</w:t>
      </w:r>
      <w:r w:rsidRPr="005B0F1E">
        <w:rPr>
          <w:rFonts w:ascii="Arial" w:hAnsi="Arial" w:cs="Arial"/>
        </w:rPr>
        <w:t xml:space="preserve">, 17(S1), pp. 64–81. Cambridge University Press. Available at: </w:t>
      </w:r>
      <w:hyperlink r:id="rId24" w:history="1">
        <w:r w:rsidRPr="005B0F1E">
          <w:rPr>
            <w:rStyle w:val="Hyperlink"/>
            <w:rFonts w:ascii="Arial" w:hAnsi="Arial" w:cs="Arial"/>
          </w:rPr>
          <w:t>https://doi.org/10.1017/S1744133121000181</w:t>
        </w:r>
      </w:hyperlink>
      <w:r w:rsidRPr="005B0F1E">
        <w:rPr>
          <w:rFonts w:ascii="Arial" w:hAnsi="Arial" w:cs="Arial"/>
        </w:rPr>
        <w:t xml:space="preserve"> </w:t>
      </w:r>
    </w:p>
    <w:p w14:paraId="1D24EC93" w14:textId="77777777" w:rsidR="00614BF3" w:rsidRPr="005B0F1E" w:rsidRDefault="00614BF3" w:rsidP="005B0F1E">
      <w:pPr>
        <w:spacing w:line="360" w:lineRule="auto"/>
        <w:rPr>
          <w:rFonts w:ascii="Arial" w:hAnsi="Arial" w:cs="Arial"/>
        </w:rPr>
      </w:pPr>
      <w:r w:rsidRPr="005B0F1E">
        <w:rPr>
          <w:rFonts w:ascii="Arial" w:hAnsi="Arial" w:cs="Arial"/>
        </w:rPr>
        <w:t xml:space="preserve">Argimon, I. (2025) Digital transformation in Spain’s health system post-COVID. </w:t>
      </w:r>
      <w:r w:rsidRPr="005B0F1E">
        <w:rPr>
          <w:rFonts w:ascii="Arial" w:hAnsi="Arial" w:cs="Arial"/>
          <w:i/>
          <w:iCs/>
        </w:rPr>
        <w:t>Revista Española de Salud Pública,</w:t>
      </w:r>
      <w:r w:rsidRPr="005B0F1E">
        <w:rPr>
          <w:rFonts w:ascii="Arial" w:hAnsi="Arial" w:cs="Arial"/>
        </w:rPr>
        <w:t xml:space="preserve"> 99(1), pp.45–58.</w:t>
      </w:r>
    </w:p>
    <w:p w14:paraId="2C9488B6" w14:textId="77777777" w:rsidR="00614BF3" w:rsidRPr="005B0F1E" w:rsidRDefault="00614BF3" w:rsidP="005B0F1E">
      <w:pPr>
        <w:spacing w:line="360" w:lineRule="auto"/>
        <w:rPr>
          <w:rFonts w:ascii="Arial" w:hAnsi="Arial" w:cs="Arial"/>
        </w:rPr>
      </w:pPr>
      <w:r w:rsidRPr="005B0F1E">
        <w:rPr>
          <w:rFonts w:ascii="Arial" w:hAnsi="Arial" w:cs="Arial"/>
        </w:rPr>
        <w:t xml:space="preserve">Berman, P., Cheng, M., Bridget, E., Brubacher, L. J., &amp; Ruck, C. (2024) How Public Health Organizational Structure Affected the Response to the COVID-19 Pandemic: A Case Study in British Columbia, </w:t>
      </w:r>
      <w:r w:rsidRPr="005B0F1E">
        <w:rPr>
          <w:rFonts w:ascii="Arial" w:hAnsi="Arial" w:cs="Arial"/>
          <w:i/>
          <w:iCs/>
        </w:rPr>
        <w:t>Canada. International journal of public health</w:t>
      </w:r>
      <w:r w:rsidRPr="005B0F1E">
        <w:rPr>
          <w:rFonts w:ascii="Arial" w:hAnsi="Arial" w:cs="Arial"/>
        </w:rPr>
        <w:t xml:space="preserve">, 69, 1606638. Available at: </w:t>
      </w:r>
      <w:hyperlink r:id="rId25" w:history="1">
        <w:r w:rsidRPr="005B0F1E">
          <w:rPr>
            <w:rStyle w:val="Hyperlink"/>
            <w:rFonts w:ascii="Arial" w:hAnsi="Arial" w:cs="Arial"/>
          </w:rPr>
          <w:t>https://doi.org/10.3389/ijph.2024.1606638</w:t>
        </w:r>
      </w:hyperlink>
      <w:r w:rsidRPr="005B0F1E">
        <w:rPr>
          <w:rFonts w:ascii="Arial" w:hAnsi="Arial" w:cs="Arial"/>
        </w:rPr>
        <w:t xml:space="preserve"> </w:t>
      </w:r>
    </w:p>
    <w:p w14:paraId="594D88A1" w14:textId="77777777" w:rsidR="00614BF3" w:rsidRPr="005B0F1E" w:rsidRDefault="00614BF3" w:rsidP="005B0F1E">
      <w:pPr>
        <w:spacing w:line="360" w:lineRule="auto"/>
        <w:rPr>
          <w:rFonts w:ascii="Arial" w:hAnsi="Arial" w:cs="Arial"/>
          <w:i/>
          <w:iCs/>
        </w:rPr>
      </w:pPr>
      <w:r w:rsidRPr="005B0F1E">
        <w:rPr>
          <w:rFonts w:ascii="Arial" w:hAnsi="Arial" w:cs="Arial"/>
        </w:rPr>
        <w:t xml:space="preserve">Bernal-Delgado, Enrique &amp; Garrido, Rosa &amp; Ridao-López, Manuel &amp; G. Abiétar, Daniel &amp; Angulo-Pueyo, Ester &amp; Hernandez-Quevedo, Cristina &amp; Oliva-Moreno, Juan. (2024) </w:t>
      </w:r>
      <w:r w:rsidRPr="005B0F1E">
        <w:rPr>
          <w:rFonts w:ascii="Arial" w:hAnsi="Arial" w:cs="Arial"/>
          <w:i/>
          <w:iCs/>
        </w:rPr>
        <w:t>Health Systems in Transition Spain 2024. Chage all the ands</w:t>
      </w:r>
    </w:p>
    <w:p w14:paraId="0E7F7284" w14:textId="77777777" w:rsidR="00614BF3" w:rsidRPr="005B0F1E" w:rsidRDefault="00614BF3" w:rsidP="005B0F1E">
      <w:pPr>
        <w:spacing w:line="360" w:lineRule="auto"/>
        <w:rPr>
          <w:rFonts w:ascii="Arial" w:hAnsi="Arial" w:cs="Arial"/>
        </w:rPr>
      </w:pPr>
      <w:r w:rsidRPr="005B0F1E">
        <w:rPr>
          <w:rFonts w:ascii="Arial" w:hAnsi="Arial" w:cs="Arial"/>
        </w:rPr>
        <w:t xml:space="preserve">Broschek, J. (2022) ‘Federalism, political leadership and the COVID-19 pandemic: explaining Canada’s tale of two federations’, </w:t>
      </w:r>
      <w:r w:rsidRPr="005B0F1E">
        <w:rPr>
          <w:rFonts w:ascii="Arial" w:hAnsi="Arial" w:cs="Arial"/>
          <w:i/>
          <w:iCs/>
        </w:rPr>
        <w:t>Territory, Politics, Governance</w:t>
      </w:r>
      <w:r w:rsidRPr="005B0F1E">
        <w:rPr>
          <w:rFonts w:ascii="Arial" w:hAnsi="Arial" w:cs="Arial"/>
        </w:rPr>
        <w:t xml:space="preserve">, 10(6), pp. 779–798. Available at: </w:t>
      </w:r>
      <w:hyperlink r:id="rId26" w:history="1">
        <w:r w:rsidRPr="005B0F1E">
          <w:rPr>
            <w:rStyle w:val="Hyperlink"/>
            <w:rFonts w:ascii="Arial" w:hAnsi="Arial" w:cs="Arial"/>
          </w:rPr>
          <w:t>https://doi.org/10.1080/21622671.2022.2101513</w:t>
        </w:r>
      </w:hyperlink>
      <w:r w:rsidRPr="005B0F1E">
        <w:rPr>
          <w:rFonts w:ascii="Arial" w:hAnsi="Arial" w:cs="Arial"/>
        </w:rPr>
        <w:t xml:space="preserve">  </w:t>
      </w:r>
    </w:p>
    <w:p w14:paraId="4A58E641" w14:textId="77777777" w:rsidR="00614BF3" w:rsidRPr="005B0F1E" w:rsidRDefault="00614BF3" w:rsidP="005B0F1E">
      <w:pPr>
        <w:spacing w:line="360" w:lineRule="auto"/>
        <w:rPr>
          <w:rFonts w:ascii="Arial" w:hAnsi="Arial" w:cs="Arial"/>
        </w:rPr>
      </w:pPr>
      <w:r w:rsidRPr="005B0F1E">
        <w:rPr>
          <w:rFonts w:ascii="Arial" w:hAnsi="Arial" w:cs="Arial"/>
        </w:rPr>
        <w:t xml:space="preserve">Bubela, T., Flood, C. M., McGrail, K., Straus, S. E., &amp; Mishra, S. (2023). How Canada's decentralised covid-19 response affected public health data and decision making. </w:t>
      </w:r>
      <w:r w:rsidRPr="005B0F1E">
        <w:rPr>
          <w:rFonts w:ascii="Arial" w:hAnsi="Arial" w:cs="Arial"/>
          <w:i/>
          <w:iCs/>
        </w:rPr>
        <w:t xml:space="preserve">BMJ </w:t>
      </w:r>
      <w:r w:rsidRPr="005B0F1E">
        <w:rPr>
          <w:rFonts w:ascii="Arial" w:hAnsi="Arial" w:cs="Arial"/>
        </w:rPr>
        <w:t xml:space="preserve">(Clinical research ed.), 382, e075665. </w:t>
      </w:r>
      <w:hyperlink r:id="rId27" w:history="1">
        <w:r w:rsidRPr="005B0F1E">
          <w:rPr>
            <w:rStyle w:val="Hyperlink"/>
            <w:rFonts w:ascii="Arial" w:hAnsi="Arial" w:cs="Arial"/>
          </w:rPr>
          <w:t>https://doi.org/10.1136/bmj-2023-075665</w:t>
        </w:r>
      </w:hyperlink>
    </w:p>
    <w:p w14:paraId="4F861D36" w14:textId="553F3A89" w:rsidR="00614BF3" w:rsidRPr="005B0F1E" w:rsidRDefault="00614BF3" w:rsidP="005B0F1E">
      <w:pPr>
        <w:spacing w:line="360" w:lineRule="auto"/>
        <w:rPr>
          <w:rFonts w:ascii="Arial" w:hAnsi="Arial" w:cs="Arial"/>
        </w:rPr>
      </w:pPr>
      <w:r w:rsidRPr="005B0F1E">
        <w:rPr>
          <w:rFonts w:ascii="Arial" w:hAnsi="Arial" w:cs="Arial"/>
        </w:rPr>
        <w:t xml:space="preserve">Boasson, E.L. </w:t>
      </w:r>
      <w:r w:rsidR="005468A2" w:rsidRPr="005B0F1E">
        <w:rPr>
          <w:rFonts w:ascii="Arial" w:hAnsi="Arial" w:cs="Arial"/>
        </w:rPr>
        <w:t xml:space="preserve">&amp; </w:t>
      </w:r>
      <w:r w:rsidRPr="005B0F1E">
        <w:rPr>
          <w:rFonts w:ascii="Arial" w:hAnsi="Arial" w:cs="Arial"/>
        </w:rPr>
        <w:t xml:space="preserve">Tatham, M., 2023. Climate policy: from complexity to consensus? </w:t>
      </w:r>
      <w:r w:rsidRPr="005B0F1E">
        <w:rPr>
          <w:rFonts w:ascii="Arial" w:hAnsi="Arial" w:cs="Arial"/>
          <w:i/>
          <w:iCs/>
        </w:rPr>
        <w:t>Journal of European Public Policy,</w:t>
      </w:r>
      <w:r w:rsidRPr="005B0F1E">
        <w:rPr>
          <w:rFonts w:ascii="Arial" w:hAnsi="Arial" w:cs="Arial"/>
        </w:rPr>
        <w:t xml:space="preserve"> 30(3), pp.401-424.</w:t>
      </w:r>
    </w:p>
    <w:p w14:paraId="671B7309" w14:textId="77777777" w:rsidR="00614BF3" w:rsidRPr="005B0F1E" w:rsidRDefault="00614BF3" w:rsidP="005B0F1E">
      <w:pPr>
        <w:spacing w:line="360" w:lineRule="auto"/>
        <w:rPr>
          <w:rFonts w:ascii="Arial" w:hAnsi="Arial" w:cs="Arial"/>
        </w:rPr>
      </w:pPr>
      <w:r w:rsidRPr="005B0F1E">
        <w:rPr>
          <w:rFonts w:ascii="Arial" w:hAnsi="Arial" w:cs="Arial"/>
        </w:rPr>
        <w:t xml:space="preserve">Canada.ca (2025) </w:t>
      </w:r>
      <w:r w:rsidRPr="005B0F1E">
        <w:rPr>
          <w:rFonts w:ascii="Arial" w:hAnsi="Arial" w:cs="Arial"/>
          <w:i/>
          <w:iCs/>
        </w:rPr>
        <w:t>Dr Theresa Tam  Chief Public Health Officer of Canada. Government of Canada.</w:t>
      </w:r>
      <w:r w:rsidRPr="005B0F1E">
        <w:rPr>
          <w:rFonts w:ascii="Arial" w:hAnsi="Arial" w:cs="Arial"/>
        </w:rPr>
        <w:t xml:space="preserve"> Available at: </w:t>
      </w:r>
      <w:hyperlink r:id="rId28" w:history="1">
        <w:r w:rsidRPr="005B0F1E">
          <w:rPr>
            <w:rStyle w:val="Hyperlink"/>
            <w:rFonts w:ascii="Arial" w:hAnsi="Arial" w:cs="Arial"/>
          </w:rPr>
          <w:t>https://www.canada.ca/en/women-gender-equality/commemorations-celebrations/women-impact/stem/theresa-tam.html</w:t>
        </w:r>
      </w:hyperlink>
      <w:r w:rsidRPr="005B0F1E">
        <w:rPr>
          <w:rFonts w:ascii="Arial" w:hAnsi="Arial" w:cs="Arial"/>
        </w:rPr>
        <w:t xml:space="preserve">  (Accessed 15 November 2025).</w:t>
      </w:r>
    </w:p>
    <w:p w14:paraId="1FE8E220" w14:textId="4BE485FB" w:rsidR="0030053F" w:rsidRPr="005B0F1E" w:rsidRDefault="0030053F" w:rsidP="005B0F1E">
      <w:pPr>
        <w:spacing w:line="360" w:lineRule="auto"/>
        <w:rPr>
          <w:rFonts w:ascii="Arial" w:hAnsi="Arial" w:cs="Arial"/>
        </w:rPr>
      </w:pPr>
      <w:r w:rsidRPr="005B0F1E">
        <w:rPr>
          <w:rFonts w:ascii="Arial" w:hAnsi="Arial" w:cs="Arial"/>
        </w:rPr>
        <w:lastRenderedPageBreak/>
        <w:t>Cat</w:t>
      </w:r>
      <w:r w:rsidR="001D0247" w:rsidRPr="005B0F1E">
        <w:rPr>
          <w:rFonts w:ascii="Arial" w:hAnsi="Arial" w:cs="Arial"/>
        </w:rPr>
        <w:t xml:space="preserve">herine, C.D. </w:t>
      </w:r>
      <w:r w:rsidRPr="005B0F1E">
        <w:rPr>
          <w:rFonts w:ascii="Arial" w:hAnsi="Arial" w:cs="Arial"/>
        </w:rPr>
        <w:t>(2025)</w:t>
      </w:r>
      <w:r w:rsidRPr="005B0F1E">
        <w:rPr>
          <w:rFonts w:ascii="Arial" w:hAnsi="Arial" w:cs="Arial"/>
          <w:i/>
          <w:iCs/>
        </w:rPr>
        <w:t xml:space="preserve"> Britannica</w:t>
      </w:r>
      <w:r w:rsidRPr="005B0F1E">
        <w:rPr>
          <w:rFonts w:ascii="Arial" w:hAnsi="Arial" w:cs="Arial"/>
        </w:rPr>
        <w:t xml:space="preserve">. Available at: </w:t>
      </w:r>
      <w:hyperlink r:id="rId29" w:history="1">
        <w:r w:rsidRPr="005B0F1E">
          <w:rPr>
            <w:rStyle w:val="Hyperlink"/>
            <w:rFonts w:ascii="Arial" w:hAnsi="Arial" w:cs="Arial"/>
          </w:rPr>
          <w:t>https://www.britannica.com/place/SouthKorea</w:t>
        </w:r>
      </w:hyperlink>
      <w:r w:rsidRPr="005B0F1E">
        <w:rPr>
          <w:rFonts w:ascii="Arial" w:hAnsi="Arial" w:cs="Arial"/>
        </w:rPr>
        <w:t xml:space="preserve"> (Accessed: 9 November 2025).</w:t>
      </w:r>
    </w:p>
    <w:p w14:paraId="231918FB" w14:textId="03FA735A" w:rsidR="00614BF3" w:rsidRPr="005B0F1E" w:rsidRDefault="00614BF3" w:rsidP="005B0F1E">
      <w:pPr>
        <w:spacing w:line="360" w:lineRule="auto"/>
        <w:rPr>
          <w:rFonts w:ascii="Arial" w:hAnsi="Arial" w:cs="Arial"/>
        </w:rPr>
      </w:pPr>
      <w:r w:rsidRPr="005B0F1E">
        <w:rPr>
          <w:rFonts w:ascii="Arial" w:hAnsi="Arial" w:cs="Arial"/>
        </w:rPr>
        <w:t xml:space="preserve">CBC News (2020) </w:t>
      </w:r>
      <w:r w:rsidRPr="005B0F1E">
        <w:rPr>
          <w:rFonts w:ascii="Arial" w:hAnsi="Arial" w:cs="Arial"/>
          <w:i/>
          <w:iCs/>
        </w:rPr>
        <w:t>Trudeau promises more Canadians will be covered by COVID-19 emergency benefit.</w:t>
      </w:r>
      <w:r w:rsidRPr="005B0F1E">
        <w:rPr>
          <w:rFonts w:ascii="Arial" w:hAnsi="Arial" w:cs="Arial"/>
        </w:rPr>
        <w:t xml:space="preserve"> 6 April. Available at: </w:t>
      </w:r>
      <w:hyperlink r:id="rId30" w:history="1">
        <w:r w:rsidRPr="005B0F1E">
          <w:rPr>
            <w:rStyle w:val="Hyperlink"/>
            <w:rFonts w:ascii="Arial" w:hAnsi="Arial" w:cs="Arial"/>
          </w:rPr>
          <w:t>https://www.cbc.ca/news/politics/cerb-covid19-benefits-trudeau-1.5523052</w:t>
        </w:r>
      </w:hyperlink>
      <w:r w:rsidRPr="005B0F1E">
        <w:rPr>
          <w:rFonts w:ascii="Arial" w:hAnsi="Arial" w:cs="Arial"/>
        </w:rPr>
        <w:t xml:space="preserve">  (Accessed 15 November 2025).</w:t>
      </w:r>
    </w:p>
    <w:p w14:paraId="14E02090" w14:textId="77777777" w:rsidR="00614BF3" w:rsidRPr="005B0F1E" w:rsidRDefault="00614BF3" w:rsidP="005B0F1E">
      <w:pPr>
        <w:spacing w:line="360" w:lineRule="auto"/>
        <w:rPr>
          <w:rFonts w:ascii="Arial" w:hAnsi="Arial" w:cs="Arial"/>
        </w:rPr>
      </w:pPr>
      <w:r w:rsidRPr="005B0F1E">
        <w:rPr>
          <w:rFonts w:ascii="Arial" w:hAnsi="Arial" w:cs="Arial"/>
        </w:rPr>
        <w:t xml:space="preserve">CBC News (2025) </w:t>
      </w:r>
      <w:r w:rsidRPr="005B0F1E">
        <w:rPr>
          <w:rFonts w:ascii="Arial" w:hAnsi="Arial" w:cs="Arial"/>
          <w:i/>
          <w:iCs/>
        </w:rPr>
        <w:t>Canada’s top doctor Theresa Tam leaving role at end of term June 20</w:t>
      </w:r>
      <w:r w:rsidRPr="005B0F1E">
        <w:rPr>
          <w:rFonts w:ascii="Arial" w:hAnsi="Arial" w:cs="Arial"/>
        </w:rPr>
        <w:t xml:space="preserve">. Available at: </w:t>
      </w:r>
      <w:hyperlink r:id="rId31" w:history="1">
        <w:r w:rsidRPr="005B0F1E">
          <w:rPr>
            <w:rStyle w:val="Hyperlink"/>
            <w:rFonts w:ascii="Arial" w:hAnsi="Arial" w:cs="Arial"/>
          </w:rPr>
          <w:t>https://www.cbc.ca/news/politics/theresa-tam-leaving-job-1.7560739</w:t>
        </w:r>
      </w:hyperlink>
      <w:r w:rsidRPr="005B0F1E">
        <w:rPr>
          <w:rFonts w:ascii="Arial" w:hAnsi="Arial" w:cs="Arial"/>
        </w:rPr>
        <w:t xml:space="preserve">  (Accessed 15 November 2025).</w:t>
      </w:r>
    </w:p>
    <w:p w14:paraId="754E03CF" w14:textId="77777777" w:rsidR="00614BF3" w:rsidRPr="005B0F1E" w:rsidRDefault="00614BF3" w:rsidP="005B0F1E">
      <w:pPr>
        <w:spacing w:line="360" w:lineRule="auto"/>
        <w:rPr>
          <w:rFonts w:ascii="Arial" w:hAnsi="Arial" w:cs="Arial"/>
        </w:rPr>
      </w:pPr>
      <w:r w:rsidRPr="005B0F1E">
        <w:rPr>
          <w:rFonts w:ascii="Arial" w:hAnsi="Arial" w:cs="Arial"/>
        </w:rPr>
        <w:t xml:space="preserve">Checkland, P. &amp; Haynes, M. (2006) Varieties of systems thinking: The case of soft systems methodology. </w:t>
      </w:r>
      <w:r w:rsidRPr="005B0F1E">
        <w:rPr>
          <w:rFonts w:ascii="Arial" w:hAnsi="Arial" w:cs="Arial"/>
          <w:i/>
          <w:iCs/>
        </w:rPr>
        <w:t>System Dynamics Review</w:t>
      </w:r>
      <w:r w:rsidRPr="005B0F1E">
        <w:rPr>
          <w:rFonts w:ascii="Arial" w:hAnsi="Arial" w:cs="Arial"/>
        </w:rPr>
        <w:t xml:space="preserve">. 10. 189 - 197. Available at: </w:t>
      </w:r>
      <w:hyperlink r:id="rId32" w:history="1">
        <w:r w:rsidRPr="005B0F1E">
          <w:rPr>
            <w:rStyle w:val="Hyperlink"/>
            <w:rFonts w:ascii="Arial" w:hAnsi="Arial" w:cs="Arial"/>
          </w:rPr>
          <w:t>https://doi.org/10.1002/sdr.4260100207</w:t>
        </w:r>
      </w:hyperlink>
      <w:r w:rsidRPr="005B0F1E">
        <w:rPr>
          <w:rFonts w:ascii="Arial" w:hAnsi="Arial" w:cs="Arial"/>
        </w:rPr>
        <w:t xml:space="preserve"> </w:t>
      </w:r>
    </w:p>
    <w:p w14:paraId="4CF511B0" w14:textId="77777777" w:rsidR="00614BF3" w:rsidRPr="005B0F1E" w:rsidRDefault="00614BF3" w:rsidP="005B0F1E">
      <w:pPr>
        <w:spacing w:line="360" w:lineRule="auto"/>
        <w:rPr>
          <w:rFonts w:ascii="Arial" w:hAnsi="Arial" w:cs="Arial"/>
        </w:rPr>
      </w:pPr>
      <w:r w:rsidRPr="005B0F1E">
        <w:rPr>
          <w:rFonts w:ascii="Arial" w:hAnsi="Arial" w:cs="Arial"/>
        </w:rPr>
        <w:t xml:space="preserve">Consulting Bites (2024) </w:t>
      </w:r>
      <w:r w:rsidRPr="005B0F1E">
        <w:rPr>
          <w:rFonts w:ascii="Arial" w:hAnsi="Arial" w:cs="Arial"/>
          <w:i/>
          <w:iCs/>
        </w:rPr>
        <w:t>Leadership styles explained by Kurt Lewin - Autocratic, Democratic, Laissez-Faire, Transformational</w:t>
      </w:r>
      <w:r w:rsidRPr="005B0F1E">
        <w:rPr>
          <w:rFonts w:ascii="Arial" w:hAnsi="Arial" w:cs="Arial"/>
        </w:rPr>
        <w:t xml:space="preserve">. Available at:  </w:t>
      </w:r>
      <w:hyperlink r:id="rId33" w:history="1">
        <w:r w:rsidRPr="005B0F1E">
          <w:rPr>
            <w:rStyle w:val="Hyperlink"/>
            <w:rFonts w:ascii="Arial" w:hAnsi="Arial" w:cs="Arial"/>
          </w:rPr>
          <w:t>https://www.youtube.com/watch?v=e8IHjPAJewo</w:t>
        </w:r>
      </w:hyperlink>
      <w:r w:rsidRPr="005B0F1E">
        <w:rPr>
          <w:rFonts w:ascii="Arial" w:hAnsi="Arial" w:cs="Arial"/>
        </w:rPr>
        <w:t xml:space="preserve"> (Accessed: 15 November 2025).</w:t>
      </w:r>
    </w:p>
    <w:p w14:paraId="70B45F95" w14:textId="77777777" w:rsidR="00614BF3" w:rsidRPr="005B0F1E" w:rsidRDefault="00614BF3" w:rsidP="005B0F1E">
      <w:pPr>
        <w:spacing w:line="360" w:lineRule="auto"/>
        <w:rPr>
          <w:rFonts w:ascii="Arial" w:hAnsi="Arial" w:cs="Arial"/>
        </w:rPr>
      </w:pPr>
      <w:r w:rsidRPr="005B0F1E">
        <w:rPr>
          <w:rFonts w:ascii="Arial" w:hAnsi="Arial" w:cs="Arial"/>
        </w:rPr>
        <w:t>Cyr, C., Bélanger, É. &amp; Turgeon, L. (2021) ‘Political communication and leadership during COVID-19 in Canada’</w:t>
      </w:r>
      <w:r w:rsidRPr="005B0F1E">
        <w:rPr>
          <w:rFonts w:ascii="Arial" w:hAnsi="Arial" w:cs="Arial"/>
          <w:i/>
          <w:iCs/>
        </w:rPr>
        <w:t>, Canadian Journal of Political Science</w:t>
      </w:r>
      <w:r w:rsidRPr="005B0F1E">
        <w:rPr>
          <w:rFonts w:ascii="Arial" w:hAnsi="Arial" w:cs="Arial"/>
        </w:rPr>
        <w:t xml:space="preserve">, 54(2), pp. 379–387. Available at: </w:t>
      </w:r>
      <w:hyperlink r:id="rId34" w:history="1">
        <w:r w:rsidRPr="005B0F1E">
          <w:rPr>
            <w:rStyle w:val="Hyperlink"/>
            <w:rFonts w:ascii="Arial" w:hAnsi="Arial" w:cs="Arial"/>
          </w:rPr>
          <w:t>https://doi.org/10.1017/S0008423921000372</w:t>
        </w:r>
      </w:hyperlink>
      <w:r w:rsidRPr="005B0F1E">
        <w:rPr>
          <w:rFonts w:ascii="Arial" w:hAnsi="Arial" w:cs="Arial"/>
        </w:rPr>
        <w:t xml:space="preserve">  </w:t>
      </w:r>
    </w:p>
    <w:p w14:paraId="52C3BE61" w14:textId="77777777" w:rsidR="00614BF3" w:rsidRPr="005B0F1E" w:rsidRDefault="00614BF3" w:rsidP="005B0F1E">
      <w:pPr>
        <w:spacing w:line="360" w:lineRule="auto"/>
        <w:rPr>
          <w:rFonts w:ascii="Arial" w:hAnsi="Arial" w:cs="Arial"/>
        </w:rPr>
      </w:pPr>
      <w:r w:rsidRPr="005B0F1E">
        <w:rPr>
          <w:rFonts w:ascii="Arial" w:hAnsi="Arial" w:cs="Arial"/>
        </w:rPr>
        <w:t xml:space="preserve">Cyr, A., Mondal, P., &amp; Hansen, G. (2021) An Inconsistent Canadian Provincial and Territorial Response During the Early COVID-19 Pandemic. </w:t>
      </w:r>
      <w:r w:rsidRPr="005B0F1E">
        <w:rPr>
          <w:rFonts w:ascii="Arial" w:hAnsi="Arial" w:cs="Arial"/>
          <w:i/>
          <w:iCs/>
        </w:rPr>
        <w:t>Frontiers in public health</w:t>
      </w:r>
      <w:r w:rsidRPr="005B0F1E">
        <w:rPr>
          <w:rFonts w:ascii="Arial" w:hAnsi="Arial" w:cs="Arial"/>
        </w:rPr>
        <w:t xml:space="preserve">, 9, 708903. </w:t>
      </w:r>
      <w:hyperlink r:id="rId35" w:history="1">
        <w:r w:rsidRPr="005B0F1E">
          <w:rPr>
            <w:rStyle w:val="Hyperlink"/>
            <w:rFonts w:ascii="Arial" w:hAnsi="Arial" w:cs="Arial"/>
          </w:rPr>
          <w:t>https://doi.org/10.3389/fpubh.2021.708903</w:t>
        </w:r>
      </w:hyperlink>
      <w:r w:rsidRPr="005B0F1E">
        <w:rPr>
          <w:rFonts w:ascii="Arial" w:hAnsi="Arial" w:cs="Arial"/>
        </w:rPr>
        <w:t xml:space="preserve"> </w:t>
      </w:r>
    </w:p>
    <w:p w14:paraId="3A6B74C4" w14:textId="77777777" w:rsidR="00614BF3" w:rsidRPr="005B0F1E" w:rsidRDefault="00614BF3" w:rsidP="005B0F1E">
      <w:pPr>
        <w:spacing w:line="360" w:lineRule="auto"/>
        <w:rPr>
          <w:rFonts w:ascii="Arial" w:hAnsi="Arial" w:cs="Arial"/>
        </w:rPr>
      </w:pPr>
      <w:r w:rsidRPr="005B0F1E">
        <w:rPr>
          <w:rFonts w:ascii="Arial" w:hAnsi="Arial" w:cs="Arial"/>
        </w:rPr>
        <w:t>de Diego-Cordero, R., Rey-Reyes, A., Vega-Escaño, J., Lucchetti, G. &amp; Badanta, B. (2023) Spiritual needs during COVID-19 pandemic in the perceptions of Spanish emergency critical care health professionals</w:t>
      </w:r>
      <w:r w:rsidRPr="005B0F1E">
        <w:rPr>
          <w:rFonts w:ascii="Arial" w:hAnsi="Arial" w:cs="Arial"/>
          <w:i/>
          <w:iCs/>
        </w:rPr>
        <w:t>. Intensive &amp; Critical Care Nursing,</w:t>
      </w:r>
      <w:r w:rsidRPr="005B0F1E">
        <w:rPr>
          <w:rFonts w:ascii="Arial" w:hAnsi="Arial" w:cs="Arial"/>
        </w:rPr>
        <w:t xml:space="preserve"> 76, p.103373. Available at: </w:t>
      </w:r>
      <w:hyperlink r:id="rId36" w:history="1">
        <w:r w:rsidRPr="005B0F1E">
          <w:rPr>
            <w:rStyle w:val="Hyperlink"/>
            <w:rFonts w:ascii="Arial" w:hAnsi="Arial" w:cs="Arial"/>
          </w:rPr>
          <w:t>https://doi.org/10.1016/j.iccn.2022.103373</w:t>
        </w:r>
      </w:hyperlink>
      <w:r w:rsidRPr="005B0F1E">
        <w:rPr>
          <w:rFonts w:ascii="Arial" w:hAnsi="Arial" w:cs="Arial"/>
        </w:rPr>
        <w:t xml:space="preserve">  </w:t>
      </w:r>
    </w:p>
    <w:p w14:paraId="476B61C3" w14:textId="77777777" w:rsidR="00614BF3" w:rsidRPr="005B0F1E" w:rsidRDefault="00614BF3" w:rsidP="005B0F1E">
      <w:pPr>
        <w:spacing w:line="360" w:lineRule="auto"/>
        <w:rPr>
          <w:rFonts w:ascii="Arial" w:hAnsi="Arial" w:cs="Arial"/>
        </w:rPr>
      </w:pPr>
      <w:r w:rsidRPr="005B0F1E">
        <w:rPr>
          <w:rFonts w:ascii="Arial" w:hAnsi="Arial" w:cs="Arial"/>
        </w:rPr>
        <w:t xml:space="preserve">Desgourdes, B., González, M. &amp; López-Valcárcel, B.G. (2023) Regional disparities in Spain’s COVID-19 response: A health systems perspective. </w:t>
      </w:r>
      <w:r w:rsidRPr="005B0F1E">
        <w:rPr>
          <w:rFonts w:ascii="Arial" w:hAnsi="Arial" w:cs="Arial"/>
          <w:i/>
          <w:iCs/>
        </w:rPr>
        <w:t xml:space="preserve">International Journal of Health Planning and Management, </w:t>
      </w:r>
      <w:r w:rsidRPr="005B0F1E">
        <w:rPr>
          <w:rFonts w:ascii="Arial" w:hAnsi="Arial" w:cs="Arial"/>
        </w:rPr>
        <w:t>38(3), pp.678–695.</w:t>
      </w:r>
    </w:p>
    <w:p w14:paraId="7D925884" w14:textId="77777777" w:rsidR="00614BF3" w:rsidRPr="005B0F1E" w:rsidRDefault="00614BF3" w:rsidP="005B0F1E">
      <w:pPr>
        <w:spacing w:line="360" w:lineRule="auto"/>
        <w:rPr>
          <w:rFonts w:ascii="Arial" w:hAnsi="Arial" w:cs="Arial"/>
        </w:rPr>
      </w:pPr>
      <w:r w:rsidRPr="005B0F1E">
        <w:rPr>
          <w:rFonts w:ascii="Arial" w:hAnsi="Arial" w:cs="Arial"/>
        </w:rPr>
        <w:t xml:space="preserve">Dougherty, S., Lorenzoni, L., Marino, A., &amp; Murtin, F. (2022) The impact of decentralisation on the performance of health care systems: a non-linear relationship. </w:t>
      </w:r>
      <w:r w:rsidRPr="005B0F1E">
        <w:rPr>
          <w:rFonts w:ascii="Arial" w:hAnsi="Arial" w:cs="Arial"/>
          <w:i/>
          <w:iCs/>
        </w:rPr>
        <w:t>The European journal of health economics : HEPAC : health economics in prevention and care,</w:t>
      </w:r>
      <w:r w:rsidRPr="005B0F1E">
        <w:rPr>
          <w:rFonts w:ascii="Arial" w:hAnsi="Arial" w:cs="Arial"/>
        </w:rPr>
        <w:t xml:space="preserve"> 23(4), 705–715. Available at: </w:t>
      </w:r>
      <w:hyperlink r:id="rId37" w:history="1">
        <w:r w:rsidRPr="005B0F1E">
          <w:rPr>
            <w:rStyle w:val="Hyperlink"/>
            <w:rFonts w:ascii="Arial" w:hAnsi="Arial" w:cs="Arial"/>
          </w:rPr>
          <w:t>https://doi.org/10.1007/s10198-021-01390-1</w:t>
        </w:r>
      </w:hyperlink>
      <w:r w:rsidRPr="005B0F1E">
        <w:rPr>
          <w:rFonts w:ascii="Arial" w:hAnsi="Arial" w:cs="Arial"/>
        </w:rPr>
        <w:t xml:space="preserve"> </w:t>
      </w:r>
    </w:p>
    <w:p w14:paraId="725AC89F" w14:textId="77777777" w:rsidR="00614BF3" w:rsidRPr="005B0F1E" w:rsidRDefault="00614BF3" w:rsidP="005B0F1E">
      <w:pPr>
        <w:spacing w:line="360" w:lineRule="auto"/>
        <w:rPr>
          <w:rFonts w:ascii="Arial" w:hAnsi="Arial" w:cs="Arial"/>
        </w:rPr>
      </w:pPr>
      <w:r w:rsidRPr="005B0F1E">
        <w:rPr>
          <w:rFonts w:ascii="Arial" w:hAnsi="Arial" w:cs="Arial"/>
        </w:rPr>
        <w:lastRenderedPageBreak/>
        <w:t xml:space="preserve">El País (2020) </w:t>
      </w:r>
      <w:r w:rsidRPr="005B0F1E">
        <w:rPr>
          <w:rFonts w:ascii="Arial" w:hAnsi="Arial" w:cs="Arial"/>
          <w:i/>
          <w:iCs/>
        </w:rPr>
        <w:t>Spain declares state of alarm to tackle coronavirus crisis.</w:t>
      </w:r>
      <w:r w:rsidRPr="005B0F1E">
        <w:rPr>
          <w:rFonts w:ascii="Arial" w:hAnsi="Arial" w:cs="Arial"/>
        </w:rPr>
        <w:t xml:space="preserve"> El País, 14 March. Available at: </w:t>
      </w:r>
      <w:hyperlink r:id="rId38" w:history="1">
        <w:r w:rsidRPr="005B0F1E">
          <w:rPr>
            <w:rStyle w:val="Hyperlink"/>
            <w:rFonts w:ascii="Arial" w:hAnsi="Arial" w:cs="Arial"/>
          </w:rPr>
          <w:t>https://english.elpais.com/society/2020-03-14/spain-declares-state-of-alarm-to-tackle-coronavirus-crisis.html</w:t>
        </w:r>
      </w:hyperlink>
      <w:r w:rsidRPr="005B0F1E">
        <w:rPr>
          <w:rFonts w:ascii="Arial" w:hAnsi="Arial" w:cs="Arial"/>
        </w:rPr>
        <w:t xml:space="preserve">  (Accessed 12 November 2025).</w:t>
      </w:r>
    </w:p>
    <w:p w14:paraId="1FCF6197" w14:textId="77777777" w:rsidR="00614BF3" w:rsidRPr="005B0F1E" w:rsidRDefault="00614BF3" w:rsidP="005B0F1E">
      <w:pPr>
        <w:spacing w:line="360" w:lineRule="auto"/>
        <w:rPr>
          <w:rFonts w:ascii="Arial" w:hAnsi="Arial" w:cs="Arial"/>
        </w:rPr>
      </w:pPr>
      <w:r w:rsidRPr="005B0F1E">
        <w:rPr>
          <w:rFonts w:ascii="Arial" w:hAnsi="Arial" w:cs="Arial"/>
        </w:rPr>
        <w:t xml:space="preserve">European Observatory on Health Systems and Policies (2024) Spain: </w:t>
      </w:r>
      <w:r w:rsidRPr="005B0F1E">
        <w:rPr>
          <w:rFonts w:ascii="Arial" w:hAnsi="Arial" w:cs="Arial"/>
          <w:i/>
          <w:iCs/>
        </w:rPr>
        <w:t>Health System Review</w:t>
      </w:r>
      <w:r w:rsidRPr="005B0F1E">
        <w:rPr>
          <w:rFonts w:ascii="Arial" w:hAnsi="Arial" w:cs="Arial"/>
        </w:rPr>
        <w:t xml:space="preserve">. Available at: </w:t>
      </w:r>
      <w:hyperlink r:id="rId39" w:history="1">
        <w:r w:rsidRPr="005B0F1E">
          <w:rPr>
            <w:rStyle w:val="Hyperlink"/>
            <w:rFonts w:ascii="Arial" w:hAnsi="Arial" w:cs="Arial"/>
          </w:rPr>
          <w:t>https://eurohealthobservatory.who.int/publications/i/spain-health-system-review-2024</w:t>
        </w:r>
      </w:hyperlink>
      <w:r w:rsidRPr="005B0F1E">
        <w:rPr>
          <w:rFonts w:ascii="Arial" w:hAnsi="Arial" w:cs="Arial"/>
        </w:rPr>
        <w:t xml:space="preserve">  (Accessed 10 November 2025).</w:t>
      </w:r>
    </w:p>
    <w:p w14:paraId="71DFB1FF" w14:textId="77777777" w:rsidR="00614BF3" w:rsidRPr="005B0F1E" w:rsidRDefault="00614BF3" w:rsidP="005B0F1E">
      <w:pPr>
        <w:spacing w:line="360" w:lineRule="auto"/>
        <w:rPr>
          <w:rFonts w:ascii="Arial" w:hAnsi="Arial" w:cs="Arial"/>
        </w:rPr>
      </w:pPr>
      <w:r w:rsidRPr="005B0F1E">
        <w:rPr>
          <w:rFonts w:ascii="Arial" w:hAnsi="Arial" w:cs="Arial"/>
        </w:rPr>
        <w:t>Falcon, M., Rodríguez</w:t>
      </w:r>
      <w:r w:rsidRPr="005B0F1E">
        <w:rPr>
          <w:rFonts w:ascii="Cambria Math" w:hAnsi="Cambria Math" w:cs="Cambria Math"/>
        </w:rPr>
        <w:t>‑</w:t>
      </w:r>
      <w:r w:rsidRPr="005B0F1E">
        <w:rPr>
          <w:rFonts w:ascii="Arial" w:hAnsi="Arial" w:cs="Arial"/>
        </w:rPr>
        <w:t>Blázquez, C., Romay</w:t>
      </w:r>
      <w:r w:rsidRPr="005B0F1E">
        <w:rPr>
          <w:rFonts w:ascii="Cambria Math" w:hAnsi="Cambria Math" w:cs="Cambria Math"/>
        </w:rPr>
        <w:t>‑</w:t>
      </w:r>
      <w:r w:rsidRPr="005B0F1E">
        <w:rPr>
          <w:rFonts w:ascii="Arial" w:hAnsi="Arial" w:cs="Arial"/>
        </w:rPr>
        <w:t>Barja, M., Ayala, A., Burgos, A., De Tena</w:t>
      </w:r>
      <w:r w:rsidRPr="005B0F1E">
        <w:rPr>
          <w:rFonts w:ascii="Cambria Math" w:hAnsi="Cambria Math" w:cs="Cambria Math"/>
        </w:rPr>
        <w:t>‑</w:t>
      </w:r>
      <w:r w:rsidRPr="005B0F1E">
        <w:rPr>
          <w:rFonts w:ascii="Arial" w:hAnsi="Arial" w:cs="Arial"/>
        </w:rPr>
        <w:t>Dávila, M.J. &amp; Forjaz, M.J. (2023) ‘COVID</w:t>
      </w:r>
      <w:r w:rsidRPr="005B0F1E">
        <w:rPr>
          <w:rFonts w:ascii="Cambria Math" w:hAnsi="Cambria Math" w:cs="Cambria Math"/>
        </w:rPr>
        <w:t>‑</w:t>
      </w:r>
      <w:r w:rsidRPr="005B0F1E">
        <w:rPr>
          <w:rFonts w:ascii="Arial" w:hAnsi="Arial" w:cs="Arial"/>
        </w:rPr>
        <w:t xml:space="preserve">19 vaccine hesitancy in Spain and associated factors’, </w:t>
      </w:r>
      <w:r w:rsidRPr="005B0F1E">
        <w:rPr>
          <w:rFonts w:ascii="Arial" w:hAnsi="Arial" w:cs="Arial"/>
          <w:i/>
          <w:iCs/>
        </w:rPr>
        <w:t>Frontiers in Public Health,</w:t>
      </w:r>
      <w:r w:rsidRPr="005B0F1E">
        <w:rPr>
          <w:rFonts w:ascii="Arial" w:hAnsi="Arial" w:cs="Arial"/>
        </w:rPr>
        <w:t xml:space="preserve"> 11, 1129079. Available at: </w:t>
      </w:r>
      <w:hyperlink r:id="rId40" w:history="1">
        <w:r w:rsidRPr="005B0F1E">
          <w:rPr>
            <w:rStyle w:val="Hyperlink"/>
            <w:rFonts w:ascii="Arial" w:hAnsi="Arial" w:cs="Arial"/>
          </w:rPr>
          <w:t>https://doi.org/10.3389/fpubh.2023.1129079</w:t>
        </w:r>
      </w:hyperlink>
      <w:r w:rsidRPr="005B0F1E">
        <w:rPr>
          <w:rFonts w:ascii="Arial" w:hAnsi="Arial" w:cs="Arial"/>
        </w:rPr>
        <w:t xml:space="preserve">  </w:t>
      </w:r>
    </w:p>
    <w:p w14:paraId="2DBC832B" w14:textId="77777777" w:rsidR="00614BF3" w:rsidRPr="005B0F1E" w:rsidRDefault="00614BF3" w:rsidP="005B0F1E">
      <w:pPr>
        <w:spacing w:line="360" w:lineRule="auto"/>
        <w:rPr>
          <w:rFonts w:ascii="Arial" w:hAnsi="Arial" w:cs="Arial"/>
        </w:rPr>
      </w:pPr>
      <w:r w:rsidRPr="005B0F1E">
        <w:rPr>
          <w:rFonts w:ascii="Arial" w:hAnsi="Arial" w:cs="Arial"/>
        </w:rPr>
        <w:t xml:space="preserve">Fiedler, F.E. (1967) </w:t>
      </w:r>
      <w:r w:rsidRPr="005B0F1E">
        <w:rPr>
          <w:rFonts w:ascii="Arial" w:hAnsi="Arial" w:cs="Arial"/>
          <w:i/>
          <w:iCs/>
        </w:rPr>
        <w:t>A Theory of Leadership Effectiveness</w:t>
      </w:r>
      <w:r w:rsidRPr="005B0F1E">
        <w:rPr>
          <w:rFonts w:ascii="Arial" w:hAnsi="Arial" w:cs="Arial"/>
        </w:rPr>
        <w:t>. New York: McGraw-Hill.</w:t>
      </w:r>
    </w:p>
    <w:p w14:paraId="3400C218" w14:textId="77777777" w:rsidR="00614BF3" w:rsidRPr="005B0F1E" w:rsidRDefault="00614BF3" w:rsidP="005B0F1E">
      <w:pPr>
        <w:spacing w:line="360" w:lineRule="auto"/>
        <w:rPr>
          <w:rFonts w:ascii="Arial" w:hAnsi="Arial" w:cs="Arial"/>
        </w:rPr>
      </w:pPr>
      <w:r w:rsidRPr="005B0F1E">
        <w:rPr>
          <w:rFonts w:ascii="Arial" w:hAnsi="Arial" w:cs="Arial"/>
        </w:rPr>
        <w:t xml:space="preserve">Gallardo, C. (2020) </w:t>
      </w:r>
      <w:r w:rsidRPr="005B0F1E">
        <w:rPr>
          <w:rFonts w:ascii="Arial" w:hAnsi="Arial" w:cs="Arial"/>
          <w:i/>
          <w:iCs/>
        </w:rPr>
        <w:t xml:space="preserve">Spain’s Sánchez pushes regions to take responsibility for coronavirus measures. </w:t>
      </w:r>
      <w:r w:rsidRPr="005B0F1E">
        <w:rPr>
          <w:rFonts w:ascii="Arial" w:hAnsi="Arial" w:cs="Arial"/>
        </w:rPr>
        <w:t xml:space="preserve">Politico, 28 October. Available at: </w:t>
      </w:r>
      <w:hyperlink r:id="rId41" w:history="1">
        <w:r w:rsidRPr="005B0F1E">
          <w:rPr>
            <w:rStyle w:val="Hyperlink"/>
            <w:rFonts w:ascii="Arial" w:hAnsi="Arial" w:cs="Arial"/>
          </w:rPr>
          <w:t>https://www.politico.eu/article/spain-pedro-sanchez-pushes-regions-responsibility-coronavirus-measures/</w:t>
        </w:r>
      </w:hyperlink>
      <w:r w:rsidRPr="005B0F1E">
        <w:rPr>
          <w:rFonts w:ascii="Arial" w:hAnsi="Arial" w:cs="Arial"/>
        </w:rPr>
        <w:t xml:space="preserve">  (Accessed 11 November 2025).</w:t>
      </w:r>
    </w:p>
    <w:p w14:paraId="1C22D269" w14:textId="77777777" w:rsidR="00614BF3" w:rsidRPr="005B0F1E" w:rsidRDefault="00614BF3" w:rsidP="005B0F1E">
      <w:pPr>
        <w:spacing w:line="360" w:lineRule="auto"/>
        <w:rPr>
          <w:rFonts w:ascii="Arial" w:hAnsi="Arial" w:cs="Arial"/>
        </w:rPr>
      </w:pPr>
      <w:r w:rsidRPr="005B0F1E">
        <w:rPr>
          <w:rFonts w:ascii="Arial" w:hAnsi="Arial" w:cs="Arial"/>
        </w:rPr>
        <w:t xml:space="preserve">Global News (2021) </w:t>
      </w:r>
      <w:r w:rsidRPr="005B0F1E">
        <w:rPr>
          <w:rFonts w:ascii="Arial" w:hAnsi="Arial" w:cs="Arial"/>
          <w:i/>
          <w:iCs/>
        </w:rPr>
        <w:t>Inside Trudeau’s premiers’ meetings: New records reveal PM’s strategy on issues from Biden to COVID</w:t>
      </w:r>
      <w:r w:rsidRPr="005B0F1E">
        <w:rPr>
          <w:rFonts w:ascii="Arial" w:hAnsi="Arial" w:cs="Arial"/>
        </w:rPr>
        <w:t xml:space="preserve">. 4 July. Available at: </w:t>
      </w:r>
      <w:hyperlink r:id="rId42" w:history="1">
        <w:r w:rsidRPr="005B0F1E">
          <w:rPr>
            <w:rStyle w:val="Hyperlink"/>
            <w:rFonts w:ascii="Arial" w:hAnsi="Arial" w:cs="Arial"/>
          </w:rPr>
          <w:t>https://globalnews.ca/news/8001907/inside-trudeaus-premiers-meetings-new-records-reveal-pms-strategy-on-issues-from-biden-to-covid/</w:t>
        </w:r>
      </w:hyperlink>
      <w:r w:rsidRPr="005B0F1E">
        <w:rPr>
          <w:rFonts w:ascii="Arial" w:hAnsi="Arial" w:cs="Arial"/>
        </w:rPr>
        <w:t xml:space="preserve"> (Accessed: 14 November 2025).</w:t>
      </w:r>
    </w:p>
    <w:p w14:paraId="7EEEC8C1" w14:textId="77777777" w:rsidR="00614BF3" w:rsidRPr="005B0F1E" w:rsidRDefault="00614BF3" w:rsidP="005B0F1E">
      <w:pPr>
        <w:spacing w:line="360" w:lineRule="auto"/>
        <w:rPr>
          <w:rFonts w:ascii="Arial" w:hAnsi="Arial" w:cs="Arial"/>
        </w:rPr>
      </w:pPr>
      <w:r w:rsidRPr="005B0F1E">
        <w:rPr>
          <w:rFonts w:ascii="Arial" w:hAnsi="Arial" w:cs="Arial"/>
        </w:rPr>
        <w:t xml:space="preserve">Greer, S. L., King, E. J., da Fonseca, E. M., &amp; Peralta-Santos, A. (2020) The comparative politics of COVID-19: The need to understand government responses. </w:t>
      </w:r>
      <w:r w:rsidRPr="005B0F1E">
        <w:rPr>
          <w:rFonts w:ascii="Arial" w:hAnsi="Arial" w:cs="Arial"/>
          <w:i/>
          <w:iCs/>
        </w:rPr>
        <w:t>Global public health</w:t>
      </w:r>
      <w:r w:rsidRPr="005B0F1E">
        <w:rPr>
          <w:rFonts w:ascii="Arial" w:hAnsi="Arial" w:cs="Arial"/>
        </w:rPr>
        <w:t xml:space="preserve">, 15(9), 1413–1416.Available at: </w:t>
      </w:r>
      <w:hyperlink r:id="rId43" w:history="1">
        <w:r w:rsidRPr="005B0F1E">
          <w:rPr>
            <w:rStyle w:val="Hyperlink"/>
            <w:rFonts w:ascii="Arial" w:hAnsi="Arial" w:cs="Arial"/>
          </w:rPr>
          <w:t>https://doi.org/10.1080/17441692.2020.1783340</w:t>
        </w:r>
      </w:hyperlink>
    </w:p>
    <w:p w14:paraId="29988050" w14:textId="77777777" w:rsidR="00614BF3" w:rsidRPr="005B0F1E" w:rsidRDefault="00614BF3" w:rsidP="005B0F1E">
      <w:pPr>
        <w:spacing w:line="360" w:lineRule="auto"/>
        <w:rPr>
          <w:rFonts w:ascii="Arial" w:hAnsi="Arial" w:cs="Arial"/>
        </w:rPr>
      </w:pPr>
      <w:r w:rsidRPr="005B0F1E">
        <w:rPr>
          <w:rFonts w:ascii="Arial" w:hAnsi="Arial" w:cs="Arial"/>
        </w:rPr>
        <w:t xml:space="preserve">Greer, S.L., King, E.J., Massard da Fonseca, E. &amp; Peralta-Santos, A. (2022) Everything you always wanted to know about European Union health policies but were afraid to ask. </w:t>
      </w:r>
      <w:r w:rsidRPr="005B0F1E">
        <w:rPr>
          <w:rFonts w:ascii="Arial" w:hAnsi="Arial" w:cs="Arial"/>
          <w:i/>
          <w:iCs/>
        </w:rPr>
        <w:t>World Health Organization</w:t>
      </w:r>
      <w:r w:rsidRPr="005B0F1E">
        <w:rPr>
          <w:rFonts w:ascii="Arial" w:hAnsi="Arial" w:cs="Arial"/>
        </w:rPr>
        <w:t xml:space="preserve">, Regional Office for Europe. (Chapter on Spain’s decentralised COVID-19 response). Available at: </w:t>
      </w:r>
      <w:hyperlink r:id="rId44" w:history="1">
        <w:r w:rsidRPr="005B0F1E">
          <w:rPr>
            <w:rStyle w:val="Hyperlink"/>
            <w:rFonts w:ascii="Arial" w:hAnsi="Arial" w:cs="Arial"/>
          </w:rPr>
          <w:t>https://apps.who.int/iris/handle/10665/352336</w:t>
        </w:r>
      </w:hyperlink>
      <w:r w:rsidRPr="005B0F1E">
        <w:rPr>
          <w:rFonts w:ascii="Arial" w:hAnsi="Arial" w:cs="Arial"/>
        </w:rPr>
        <w:t xml:space="preserve">  (Accessed 15 November 2025).</w:t>
      </w:r>
    </w:p>
    <w:p w14:paraId="5A7F3BA0" w14:textId="77777777" w:rsidR="00614BF3" w:rsidRPr="005B0F1E" w:rsidRDefault="00614BF3" w:rsidP="005B0F1E">
      <w:pPr>
        <w:spacing w:line="360" w:lineRule="auto"/>
        <w:rPr>
          <w:rFonts w:ascii="Arial" w:hAnsi="Arial" w:cs="Arial"/>
        </w:rPr>
      </w:pPr>
      <w:r w:rsidRPr="005B0F1E">
        <w:rPr>
          <w:rFonts w:ascii="Arial" w:hAnsi="Arial" w:cs="Arial"/>
        </w:rPr>
        <w:t xml:space="preserve">Han, C., Jang, H. &amp; Oh, J. (2023) 'Excess mortality during the Coronavirus disease pandemic in Korea,' </w:t>
      </w:r>
      <w:r w:rsidRPr="005B0F1E">
        <w:rPr>
          <w:rFonts w:ascii="Arial" w:hAnsi="Arial" w:cs="Arial"/>
          <w:i/>
          <w:iCs/>
        </w:rPr>
        <w:t>BMC Public Health</w:t>
      </w:r>
      <w:r w:rsidRPr="005B0F1E">
        <w:rPr>
          <w:rFonts w:ascii="Arial" w:hAnsi="Arial" w:cs="Arial"/>
        </w:rPr>
        <w:t xml:space="preserve">, 23(1), p. 1698.Available at: </w:t>
      </w:r>
      <w:hyperlink r:id="rId45" w:history="1">
        <w:r w:rsidRPr="005B0F1E">
          <w:rPr>
            <w:rStyle w:val="Hyperlink"/>
            <w:rFonts w:ascii="Arial" w:hAnsi="Arial" w:cs="Arial"/>
          </w:rPr>
          <w:t>https://doi.org/10.1186/s12889-023-16546-2</w:t>
        </w:r>
      </w:hyperlink>
      <w:r w:rsidRPr="005B0F1E">
        <w:rPr>
          <w:rFonts w:ascii="Arial" w:hAnsi="Arial" w:cs="Arial"/>
        </w:rPr>
        <w:t xml:space="preserve"> </w:t>
      </w:r>
    </w:p>
    <w:p w14:paraId="5E1F5CAA" w14:textId="77777777" w:rsidR="00614BF3" w:rsidRPr="005B0F1E" w:rsidRDefault="00614BF3" w:rsidP="005B0F1E">
      <w:pPr>
        <w:spacing w:line="360" w:lineRule="auto"/>
        <w:rPr>
          <w:rFonts w:ascii="Arial" w:hAnsi="Arial" w:cs="Arial"/>
        </w:rPr>
      </w:pPr>
      <w:r w:rsidRPr="005B0F1E">
        <w:rPr>
          <w:rFonts w:ascii="Arial" w:hAnsi="Arial" w:cs="Arial"/>
        </w:rPr>
        <w:t xml:space="preserve">Huang, H.Y., Lin, Y.C.D., Li, J., Huang, K.Y., Shrestha, S., Hong, H.C., Tang, Y., Chen, Y.G., Jin, C.N., Yu, Y. &amp; Xu, J.T. (2020) miRTarBase 2020: updates to the experimentally validated microRNA–target interaction database. </w:t>
      </w:r>
      <w:r w:rsidRPr="005B0F1E">
        <w:rPr>
          <w:rFonts w:ascii="Arial" w:hAnsi="Arial" w:cs="Arial"/>
          <w:i/>
          <w:iCs/>
        </w:rPr>
        <w:t>Nucleic acids research</w:t>
      </w:r>
      <w:r w:rsidRPr="005B0F1E">
        <w:rPr>
          <w:rFonts w:ascii="Arial" w:hAnsi="Arial" w:cs="Arial"/>
        </w:rPr>
        <w:t>, 48(D1), pp.D148-D154.</w:t>
      </w:r>
    </w:p>
    <w:p w14:paraId="7432C30A" w14:textId="77777777" w:rsidR="00614BF3" w:rsidRPr="005B0F1E" w:rsidRDefault="00614BF3" w:rsidP="005B0F1E">
      <w:pPr>
        <w:spacing w:line="360" w:lineRule="auto"/>
        <w:rPr>
          <w:rFonts w:ascii="Arial" w:hAnsi="Arial" w:cs="Arial"/>
        </w:rPr>
      </w:pPr>
      <w:r w:rsidRPr="005B0F1E">
        <w:rPr>
          <w:rFonts w:ascii="Arial" w:hAnsi="Arial" w:cs="Arial"/>
        </w:rPr>
        <w:lastRenderedPageBreak/>
        <w:t xml:space="preserve">Heifetz, R., Grashow, A. &amp; Linsky, M. (2009) </w:t>
      </w:r>
      <w:r w:rsidRPr="005B0F1E">
        <w:rPr>
          <w:rFonts w:ascii="Arial" w:hAnsi="Arial" w:cs="Arial"/>
          <w:i/>
          <w:iCs/>
        </w:rPr>
        <w:t>The Practice of Adaptive Leadership: Tools and Tactics for Changing Your Organisation and the World</w:t>
      </w:r>
      <w:r w:rsidRPr="005B0F1E">
        <w:rPr>
          <w:rFonts w:ascii="Arial" w:hAnsi="Arial" w:cs="Arial"/>
        </w:rPr>
        <w:t>. Boston: Harvard Business Press.</w:t>
      </w:r>
    </w:p>
    <w:p w14:paraId="5A715C4E" w14:textId="77777777" w:rsidR="00614BF3" w:rsidRPr="005B0F1E" w:rsidRDefault="00614BF3" w:rsidP="005B0F1E">
      <w:pPr>
        <w:spacing w:line="360" w:lineRule="auto"/>
        <w:rPr>
          <w:rFonts w:ascii="Arial" w:hAnsi="Arial" w:cs="Arial"/>
        </w:rPr>
      </w:pPr>
      <w:r w:rsidRPr="005B0F1E">
        <w:rPr>
          <w:rFonts w:ascii="Arial" w:hAnsi="Arial" w:cs="Arial"/>
        </w:rPr>
        <w:t xml:space="preserve">Hong, S.Y. and Lim, J.H. (2023) 'Why is Success of South Korea’s Covid-19 Response Fading?' </w:t>
      </w:r>
      <w:r w:rsidRPr="005B0F1E">
        <w:rPr>
          <w:rFonts w:ascii="Arial" w:hAnsi="Arial" w:cs="Arial"/>
          <w:i/>
          <w:iCs/>
        </w:rPr>
        <w:t>International Journal of Social Determinants of Health and Health Services,</w:t>
      </w:r>
      <w:r w:rsidRPr="005B0F1E">
        <w:rPr>
          <w:rFonts w:ascii="Arial" w:hAnsi="Arial" w:cs="Arial"/>
        </w:rPr>
        <w:t xml:space="preserve"> 53(3), pp. 323–330.Available at: </w:t>
      </w:r>
      <w:hyperlink r:id="rId46" w:history="1">
        <w:r w:rsidRPr="005B0F1E">
          <w:rPr>
            <w:rStyle w:val="Hyperlink"/>
            <w:rFonts w:ascii="Arial" w:hAnsi="Arial" w:cs="Arial"/>
          </w:rPr>
          <w:t>https://doi.org/10.1177/27551938231165154</w:t>
        </w:r>
      </w:hyperlink>
      <w:r w:rsidRPr="005B0F1E">
        <w:rPr>
          <w:rFonts w:ascii="Arial" w:hAnsi="Arial" w:cs="Arial"/>
        </w:rPr>
        <w:t xml:space="preserve"> </w:t>
      </w:r>
    </w:p>
    <w:p w14:paraId="49EEF7F9" w14:textId="77777777" w:rsidR="00614BF3" w:rsidRPr="005B0F1E" w:rsidRDefault="00614BF3" w:rsidP="005B0F1E">
      <w:pPr>
        <w:spacing w:line="360" w:lineRule="auto"/>
        <w:rPr>
          <w:rFonts w:ascii="Arial" w:hAnsi="Arial" w:cs="Arial"/>
        </w:rPr>
      </w:pPr>
      <w:r w:rsidRPr="005B0F1E">
        <w:rPr>
          <w:rFonts w:ascii="Arial" w:hAnsi="Arial" w:cs="Arial"/>
        </w:rPr>
        <w:t xml:space="preserve">Hong, S.A. (2024) 'Toward better pandemic governance and preparedness: South Korea’s whole-of-nation approach to COVID-19,' </w:t>
      </w:r>
      <w:r w:rsidRPr="005B0F1E">
        <w:rPr>
          <w:rFonts w:ascii="Arial" w:hAnsi="Arial" w:cs="Arial"/>
          <w:i/>
          <w:iCs/>
        </w:rPr>
        <w:t>BMC Public Health,</w:t>
      </w:r>
      <w:r w:rsidRPr="005B0F1E">
        <w:rPr>
          <w:rFonts w:ascii="Arial" w:hAnsi="Arial" w:cs="Arial"/>
        </w:rPr>
        <w:t xml:space="preserve"> 24(1), p. 2126. Available at: </w:t>
      </w:r>
      <w:hyperlink r:id="rId47" w:history="1">
        <w:r w:rsidRPr="005B0F1E">
          <w:rPr>
            <w:rStyle w:val="Hyperlink"/>
            <w:rFonts w:ascii="Arial" w:hAnsi="Arial" w:cs="Arial"/>
          </w:rPr>
          <w:t>https://doi.org/10.1186/s12889-024-19655-8</w:t>
        </w:r>
      </w:hyperlink>
      <w:r w:rsidRPr="005B0F1E">
        <w:rPr>
          <w:rFonts w:ascii="Arial" w:hAnsi="Arial" w:cs="Arial"/>
        </w:rPr>
        <w:t>.</w:t>
      </w:r>
    </w:p>
    <w:p w14:paraId="6FABEAEA" w14:textId="77777777" w:rsidR="00614BF3" w:rsidRPr="005B0F1E" w:rsidRDefault="00614BF3" w:rsidP="005B0F1E">
      <w:pPr>
        <w:spacing w:line="360" w:lineRule="auto"/>
        <w:rPr>
          <w:rFonts w:ascii="Arial" w:hAnsi="Arial" w:cs="Arial"/>
          <w:i/>
          <w:iCs/>
        </w:rPr>
      </w:pPr>
      <w:r w:rsidRPr="005B0F1E">
        <w:rPr>
          <w:rFonts w:ascii="Arial" w:hAnsi="Arial" w:cs="Arial"/>
        </w:rPr>
        <w:t xml:space="preserve">Jeong, B.G. &amp; Kim, S.J. (2024) Pandemic Governance: The Collaboration Dynamics of Government and Civil Society during COVID-19 in South Korea. </w:t>
      </w:r>
      <w:r w:rsidRPr="005B0F1E">
        <w:rPr>
          <w:rFonts w:ascii="Arial" w:hAnsi="Arial" w:cs="Arial"/>
          <w:i/>
          <w:iCs/>
        </w:rPr>
        <w:t>International Centre for Not-for-Profit Law</w:t>
      </w:r>
      <w:r w:rsidRPr="005B0F1E">
        <w:rPr>
          <w:rFonts w:ascii="Arial" w:hAnsi="Arial" w:cs="Arial"/>
        </w:rPr>
        <w:t xml:space="preserve"> (ICNL). Available at: </w:t>
      </w:r>
      <w:hyperlink r:id="rId48" w:history="1">
        <w:r w:rsidRPr="005B0F1E">
          <w:rPr>
            <w:rStyle w:val="Hyperlink"/>
            <w:rFonts w:ascii="Arial" w:hAnsi="Arial" w:cs="Arial"/>
          </w:rPr>
          <w:t>https://www.icnl.org/wp-content/uploads/2024-Korea-Pandemic-Report-vf.pdf</w:t>
        </w:r>
      </w:hyperlink>
      <w:r w:rsidRPr="005B0F1E">
        <w:rPr>
          <w:rFonts w:ascii="Arial" w:hAnsi="Arial" w:cs="Arial"/>
        </w:rPr>
        <w:t xml:space="preserve">  (Accessed 12 November 2025).</w:t>
      </w:r>
    </w:p>
    <w:p w14:paraId="315FFC95" w14:textId="48A0C495" w:rsidR="00614BF3" w:rsidRPr="005B0F1E" w:rsidRDefault="00614BF3" w:rsidP="005B0F1E">
      <w:pPr>
        <w:spacing w:line="360" w:lineRule="auto"/>
        <w:rPr>
          <w:rFonts w:ascii="Arial" w:hAnsi="Arial" w:cs="Arial"/>
        </w:rPr>
      </w:pPr>
      <w:r w:rsidRPr="005B0F1E">
        <w:rPr>
          <w:rFonts w:ascii="Arial" w:hAnsi="Arial" w:cs="Arial"/>
        </w:rPr>
        <w:t xml:space="preserve">I•CONnect (2024) </w:t>
      </w:r>
      <w:r w:rsidRPr="005B0F1E">
        <w:rPr>
          <w:rFonts w:ascii="Arial" w:hAnsi="Arial" w:cs="Arial"/>
          <w:i/>
          <w:iCs/>
        </w:rPr>
        <w:t xml:space="preserve">Emergency Law in Spain: </w:t>
      </w:r>
      <w:r w:rsidR="001D766D" w:rsidRPr="005B0F1E">
        <w:rPr>
          <w:rFonts w:ascii="Arial" w:hAnsi="Arial" w:cs="Arial"/>
          <w:i/>
          <w:iCs/>
        </w:rPr>
        <w:t>The</w:t>
      </w:r>
      <w:r w:rsidRPr="005B0F1E">
        <w:rPr>
          <w:rFonts w:ascii="Arial" w:hAnsi="Arial" w:cs="Arial"/>
          <w:i/>
          <w:iCs/>
        </w:rPr>
        <w:t xml:space="preserve"> Spanish Constitutional Court’s case law.</w:t>
      </w:r>
      <w:r w:rsidRPr="005B0F1E">
        <w:rPr>
          <w:rFonts w:ascii="Arial" w:hAnsi="Arial" w:cs="Arial"/>
        </w:rPr>
        <w:t xml:space="preserve"> Available at: </w:t>
      </w:r>
      <w:hyperlink r:id="rId49" w:history="1">
        <w:r w:rsidRPr="005B0F1E">
          <w:rPr>
            <w:rStyle w:val="Hyperlink"/>
            <w:rFonts w:ascii="Arial" w:hAnsi="Arial" w:cs="Arial"/>
          </w:rPr>
          <w:t>https://www.iconnectblog.com/emergency-law-in-spain-the-spanish-constitutional-courts-case-law/</w:t>
        </w:r>
      </w:hyperlink>
      <w:r w:rsidRPr="005B0F1E">
        <w:rPr>
          <w:rFonts w:ascii="Arial" w:hAnsi="Arial" w:cs="Arial"/>
        </w:rPr>
        <w:t xml:space="preserve"> (Accessed: 13 November 2025).</w:t>
      </w:r>
    </w:p>
    <w:p w14:paraId="341324D4" w14:textId="1FAC6931" w:rsidR="002C4672" w:rsidRPr="005B0F1E" w:rsidRDefault="002C4672" w:rsidP="005B0F1E">
      <w:pPr>
        <w:spacing w:line="360" w:lineRule="auto"/>
        <w:rPr>
          <w:rFonts w:ascii="Arial" w:hAnsi="Arial" w:cs="Arial"/>
        </w:rPr>
      </w:pPr>
      <w:r w:rsidRPr="005B0F1E">
        <w:rPr>
          <w:rFonts w:ascii="Arial" w:hAnsi="Arial" w:cs="Arial"/>
        </w:rPr>
        <w:t>I</w:t>
      </w:r>
      <w:r w:rsidR="00D4557E" w:rsidRPr="005B0F1E">
        <w:rPr>
          <w:rFonts w:ascii="Arial" w:hAnsi="Arial" w:cs="Arial"/>
        </w:rPr>
        <w:t>m, H-Bae</w:t>
      </w:r>
      <w:r w:rsidR="00442DA4" w:rsidRPr="005B0F1E">
        <w:rPr>
          <w:rFonts w:ascii="Arial" w:hAnsi="Arial" w:cs="Arial"/>
        </w:rPr>
        <w:t xml:space="preserve">g. </w:t>
      </w:r>
      <w:bookmarkStart w:id="2" w:name="_Hlk214151660"/>
      <w:r w:rsidR="00442DA4" w:rsidRPr="005B0F1E">
        <w:rPr>
          <w:rFonts w:ascii="Arial" w:hAnsi="Arial" w:cs="Arial"/>
        </w:rPr>
        <w:t>(2025)</w:t>
      </w:r>
      <w:r w:rsidR="00442DA4" w:rsidRPr="005B0F1E">
        <w:rPr>
          <w:rFonts w:ascii="Arial" w:hAnsi="Arial" w:cs="Arial"/>
          <w:i/>
          <w:iCs/>
        </w:rPr>
        <w:t xml:space="preserve"> </w:t>
      </w:r>
      <w:r w:rsidR="00442DA4" w:rsidRPr="005B0F1E">
        <w:rPr>
          <w:rFonts w:ascii="Arial" w:hAnsi="Arial" w:cs="Arial"/>
          <w:i/>
          <w:iCs/>
        </w:rPr>
        <w:t>Britannica</w:t>
      </w:r>
      <w:r w:rsidR="00442DA4" w:rsidRPr="005B0F1E">
        <w:rPr>
          <w:rFonts w:ascii="Arial" w:hAnsi="Arial" w:cs="Arial"/>
        </w:rPr>
        <w:t xml:space="preserve">. Available at: </w:t>
      </w:r>
      <w:hyperlink r:id="rId50" w:history="1">
        <w:r w:rsidR="00442DA4" w:rsidRPr="005B0F1E">
          <w:rPr>
            <w:rStyle w:val="Hyperlink"/>
            <w:rFonts w:ascii="Arial" w:hAnsi="Arial" w:cs="Arial"/>
          </w:rPr>
          <w:t>https://www.britannica.com/place/SouthKorea</w:t>
        </w:r>
      </w:hyperlink>
      <w:r w:rsidR="00442DA4" w:rsidRPr="005B0F1E">
        <w:rPr>
          <w:rFonts w:ascii="Arial" w:hAnsi="Arial" w:cs="Arial"/>
        </w:rPr>
        <w:t xml:space="preserve"> (Accessed: 9 November 2025).</w:t>
      </w:r>
    </w:p>
    <w:bookmarkEnd w:id="2"/>
    <w:p w14:paraId="4A69B76C" w14:textId="5432988C" w:rsidR="00614BF3" w:rsidRPr="005B0F1E" w:rsidRDefault="00614BF3" w:rsidP="005B0F1E">
      <w:pPr>
        <w:spacing w:line="360" w:lineRule="auto"/>
        <w:rPr>
          <w:rFonts w:ascii="Arial" w:hAnsi="Arial" w:cs="Arial"/>
        </w:rPr>
      </w:pPr>
      <w:r w:rsidRPr="005B0F1E">
        <w:rPr>
          <w:rFonts w:ascii="Arial" w:hAnsi="Arial" w:cs="Arial"/>
        </w:rPr>
        <w:t xml:space="preserve">Kim, S.-W. (2022) 'COVID-19 outbreak in Daegu City, Korea and response to COVID-19: How have we dealt and what are the lessons?' </w:t>
      </w:r>
      <w:r w:rsidRPr="005B0F1E">
        <w:rPr>
          <w:rFonts w:ascii="Arial" w:hAnsi="Arial" w:cs="Arial"/>
          <w:i/>
          <w:iCs/>
        </w:rPr>
        <w:t>Journal of Korean Medical Science</w:t>
      </w:r>
      <w:r w:rsidRPr="005B0F1E">
        <w:rPr>
          <w:rFonts w:ascii="Arial" w:hAnsi="Arial" w:cs="Arial"/>
        </w:rPr>
        <w:t xml:space="preserve">, 37(50), p. e356.Available at: </w:t>
      </w:r>
      <w:hyperlink r:id="rId51" w:history="1">
        <w:r w:rsidRPr="005B0F1E">
          <w:rPr>
            <w:rStyle w:val="Hyperlink"/>
            <w:rFonts w:ascii="Arial" w:hAnsi="Arial" w:cs="Arial"/>
          </w:rPr>
          <w:t>https://doi.org/10.3346/jkms.2022.37.e356</w:t>
        </w:r>
      </w:hyperlink>
      <w:r w:rsidRPr="005B0F1E">
        <w:rPr>
          <w:rFonts w:ascii="Arial" w:hAnsi="Arial" w:cs="Arial"/>
        </w:rPr>
        <w:t xml:space="preserve"> </w:t>
      </w:r>
    </w:p>
    <w:p w14:paraId="54AE7529" w14:textId="77777777" w:rsidR="00614BF3" w:rsidRPr="005B0F1E" w:rsidRDefault="00614BF3" w:rsidP="005B0F1E">
      <w:pPr>
        <w:spacing w:line="360" w:lineRule="auto"/>
        <w:rPr>
          <w:rFonts w:ascii="Arial" w:hAnsi="Arial" w:cs="Arial"/>
        </w:rPr>
      </w:pPr>
      <w:r w:rsidRPr="005B0F1E">
        <w:rPr>
          <w:rFonts w:ascii="Arial" w:hAnsi="Arial" w:cs="Arial"/>
        </w:rPr>
        <w:t xml:space="preserve">La Moncloa (2020) Government decrees state of emergency to stop spread of coronavirus COVID-19. 14 March 2020. </w:t>
      </w:r>
      <w:r w:rsidRPr="005B0F1E">
        <w:rPr>
          <w:rFonts w:ascii="Arial" w:hAnsi="Arial" w:cs="Arial"/>
          <w:i/>
          <w:iCs/>
        </w:rPr>
        <w:t>Government of Spain, Council of Ministers</w:t>
      </w:r>
      <w:r w:rsidRPr="005B0F1E">
        <w:rPr>
          <w:rFonts w:ascii="Arial" w:hAnsi="Arial" w:cs="Arial"/>
        </w:rPr>
        <w:t xml:space="preserve">. Available at: </w:t>
      </w:r>
      <w:hyperlink r:id="rId52" w:history="1">
        <w:r w:rsidRPr="005B0F1E">
          <w:rPr>
            <w:rStyle w:val="Hyperlink"/>
            <w:rFonts w:ascii="Arial" w:hAnsi="Arial" w:cs="Arial"/>
          </w:rPr>
          <w:t>https://www.lamoncloa.gob.es/lang/en/gobierno/councilministers/Paginas/2020/20200314council-extr.aspx</w:t>
        </w:r>
      </w:hyperlink>
      <w:r w:rsidRPr="005B0F1E">
        <w:rPr>
          <w:rFonts w:ascii="Arial" w:hAnsi="Arial" w:cs="Arial"/>
        </w:rPr>
        <w:t xml:space="preserve">  (Accessed 15 November 2025).</w:t>
      </w:r>
    </w:p>
    <w:p w14:paraId="43D1984F" w14:textId="77777777" w:rsidR="00614BF3" w:rsidRPr="005B0F1E" w:rsidRDefault="00614BF3" w:rsidP="005B0F1E">
      <w:pPr>
        <w:spacing w:line="360" w:lineRule="auto"/>
        <w:rPr>
          <w:rFonts w:ascii="Arial" w:hAnsi="Arial" w:cs="Arial"/>
        </w:rPr>
      </w:pPr>
      <w:r w:rsidRPr="005B0F1E">
        <w:rPr>
          <w:rFonts w:ascii="Arial" w:hAnsi="Arial" w:cs="Arial"/>
        </w:rPr>
        <w:t xml:space="preserve">Lewins Leadership Style (2024) </w:t>
      </w:r>
      <w:r w:rsidRPr="005B0F1E">
        <w:rPr>
          <w:rFonts w:ascii="Arial" w:hAnsi="Arial" w:cs="Arial"/>
          <w:i/>
          <w:iCs/>
        </w:rPr>
        <w:t>Leadership success</w:t>
      </w:r>
      <w:r w:rsidRPr="005B0F1E">
        <w:rPr>
          <w:rFonts w:ascii="Arial" w:hAnsi="Arial" w:cs="Arial"/>
        </w:rPr>
        <w:t xml:space="preserve">, 2 October. Available at: </w:t>
      </w:r>
      <w:hyperlink r:id="rId53" w:history="1">
        <w:r w:rsidRPr="005B0F1E">
          <w:rPr>
            <w:rStyle w:val="Hyperlink"/>
            <w:rFonts w:ascii="Arial" w:hAnsi="Arial" w:cs="Arial"/>
          </w:rPr>
          <w:t>https://www.leadershipsuccess.co/leadership-styles/lewins-leadership-styles</w:t>
        </w:r>
      </w:hyperlink>
      <w:r w:rsidRPr="005B0F1E">
        <w:rPr>
          <w:rFonts w:ascii="Arial" w:hAnsi="Arial" w:cs="Arial"/>
        </w:rPr>
        <w:t xml:space="preserve"> (Accessed 10 Nov. 2025).</w:t>
      </w:r>
    </w:p>
    <w:p w14:paraId="5ACCF68C" w14:textId="77777777" w:rsidR="00614BF3" w:rsidRPr="005B0F1E" w:rsidRDefault="00614BF3" w:rsidP="005B0F1E">
      <w:pPr>
        <w:spacing w:line="360" w:lineRule="auto"/>
        <w:rPr>
          <w:rFonts w:ascii="Arial" w:hAnsi="Arial" w:cs="Arial"/>
        </w:rPr>
      </w:pPr>
      <w:r w:rsidRPr="005B0F1E">
        <w:rPr>
          <w:rFonts w:ascii="Arial" w:hAnsi="Arial" w:cs="Arial"/>
        </w:rPr>
        <w:t xml:space="preserve">Lee, S., Hwang, C. and Moon, M.J. (2020) Policy learning and crisis policy-making: quadruple-loop learning and COVID-19 responses in South Korea. </w:t>
      </w:r>
      <w:r w:rsidRPr="005B0F1E">
        <w:rPr>
          <w:rFonts w:ascii="Arial" w:hAnsi="Arial" w:cs="Arial"/>
          <w:i/>
          <w:iCs/>
        </w:rPr>
        <w:t>Policy and Society,</w:t>
      </w:r>
      <w:r w:rsidRPr="005B0F1E">
        <w:rPr>
          <w:rFonts w:ascii="Arial" w:hAnsi="Arial" w:cs="Arial"/>
        </w:rPr>
        <w:t xml:space="preserve"> 39(3), pp.363-381.</w:t>
      </w:r>
    </w:p>
    <w:p w14:paraId="6C73710B" w14:textId="77777777" w:rsidR="0037025D" w:rsidRPr="005B0F1E" w:rsidRDefault="0037025D" w:rsidP="005B0F1E">
      <w:pPr>
        <w:spacing w:line="360" w:lineRule="auto"/>
        <w:rPr>
          <w:rFonts w:ascii="Arial" w:hAnsi="Arial" w:cs="Arial"/>
        </w:rPr>
      </w:pPr>
    </w:p>
    <w:p w14:paraId="041B4FA0" w14:textId="2D9027C1" w:rsidR="00614BF3" w:rsidRPr="005B0F1E" w:rsidRDefault="00614BF3" w:rsidP="005B0F1E">
      <w:pPr>
        <w:spacing w:line="360" w:lineRule="auto"/>
        <w:rPr>
          <w:rFonts w:ascii="Arial" w:hAnsi="Arial" w:cs="Arial"/>
        </w:rPr>
      </w:pPr>
      <w:r w:rsidRPr="005B0F1E">
        <w:rPr>
          <w:rFonts w:ascii="Arial" w:hAnsi="Arial" w:cs="Arial"/>
        </w:rPr>
        <w:lastRenderedPageBreak/>
        <w:t xml:space="preserve">Lim, S., &amp; Sohn, M. (2023)  How to cope with emerging viral diseases: lessons from South Korea's strategy for COVID-19, and collateral damage to cardiometabolic health. </w:t>
      </w:r>
      <w:r w:rsidRPr="005B0F1E">
        <w:rPr>
          <w:rFonts w:ascii="Arial" w:hAnsi="Arial" w:cs="Arial"/>
          <w:i/>
          <w:iCs/>
        </w:rPr>
        <w:t>The Lancet regional health. Western Pacific</w:t>
      </w:r>
      <w:r w:rsidRPr="005B0F1E">
        <w:rPr>
          <w:rFonts w:ascii="Arial" w:hAnsi="Arial" w:cs="Arial"/>
        </w:rPr>
        <w:t xml:space="preserve">, 30, 100581. Available at: </w:t>
      </w:r>
      <w:hyperlink r:id="rId54" w:history="1">
        <w:r w:rsidRPr="005B0F1E">
          <w:rPr>
            <w:rStyle w:val="Hyperlink"/>
            <w:rFonts w:ascii="Arial" w:hAnsi="Arial" w:cs="Arial"/>
          </w:rPr>
          <w:t>https://doi.org/10.1016/j.lanwpc.2022.100581</w:t>
        </w:r>
      </w:hyperlink>
      <w:r w:rsidRPr="005B0F1E">
        <w:rPr>
          <w:rFonts w:ascii="Arial" w:hAnsi="Arial" w:cs="Arial"/>
        </w:rPr>
        <w:t xml:space="preserve"> </w:t>
      </w:r>
    </w:p>
    <w:p w14:paraId="26CA5CC8" w14:textId="77777777" w:rsidR="00614BF3" w:rsidRPr="005B0F1E" w:rsidRDefault="00614BF3" w:rsidP="005B0F1E">
      <w:pPr>
        <w:spacing w:line="360" w:lineRule="auto"/>
        <w:rPr>
          <w:rFonts w:ascii="Arial" w:hAnsi="Arial" w:cs="Arial"/>
        </w:rPr>
      </w:pPr>
      <w:r w:rsidRPr="005B0F1E">
        <w:rPr>
          <w:rFonts w:ascii="Arial" w:hAnsi="Arial" w:cs="Arial"/>
        </w:rPr>
        <w:t xml:space="preserve">Lewin, K., Lippitt, R. and White, R.K. (1939) Patterns of aggressive behavior in experimentally created “social climates”. </w:t>
      </w:r>
      <w:r w:rsidRPr="005B0F1E">
        <w:rPr>
          <w:rFonts w:ascii="Arial" w:hAnsi="Arial" w:cs="Arial"/>
          <w:i/>
          <w:iCs/>
        </w:rPr>
        <w:t>The Journal of social psychology</w:t>
      </w:r>
      <w:r w:rsidRPr="005B0F1E">
        <w:rPr>
          <w:rFonts w:ascii="Arial" w:hAnsi="Arial" w:cs="Arial"/>
        </w:rPr>
        <w:t>, 10(2), pp.269-299.</w:t>
      </w:r>
    </w:p>
    <w:p w14:paraId="3C562C37" w14:textId="712EDB82" w:rsidR="00614BF3" w:rsidRPr="005B0F1E" w:rsidRDefault="00614BF3" w:rsidP="005B0F1E">
      <w:pPr>
        <w:spacing w:line="360" w:lineRule="auto"/>
        <w:rPr>
          <w:rFonts w:ascii="Arial" w:hAnsi="Arial" w:cs="Arial"/>
        </w:rPr>
      </w:pPr>
      <w:r w:rsidRPr="005B0F1E">
        <w:rPr>
          <w:rFonts w:ascii="Arial" w:hAnsi="Arial" w:cs="Arial"/>
        </w:rPr>
        <w:t xml:space="preserve">López-Valcárcel, B. G., &amp; Lopez-Casasnovas, G. (2025) Has regional decentralisation saved lives during the COVID-19 pandemic? </w:t>
      </w:r>
      <w:r w:rsidRPr="005B0F1E">
        <w:rPr>
          <w:rFonts w:ascii="Arial" w:hAnsi="Arial" w:cs="Arial"/>
          <w:i/>
          <w:iCs/>
        </w:rPr>
        <w:t>Health economics, policy, and law</w:t>
      </w:r>
      <w:r w:rsidRPr="005B0F1E">
        <w:rPr>
          <w:rFonts w:ascii="Arial" w:hAnsi="Arial" w:cs="Arial"/>
        </w:rPr>
        <w:t xml:space="preserve">, 20(3), 297–312. Available at: </w:t>
      </w:r>
      <w:hyperlink r:id="rId55" w:history="1">
        <w:r w:rsidRPr="005B0F1E">
          <w:rPr>
            <w:rStyle w:val="Hyperlink"/>
            <w:rFonts w:ascii="Arial" w:hAnsi="Arial" w:cs="Arial"/>
          </w:rPr>
          <w:t>https://doi.org/10.1017/S1744133125000052</w:t>
        </w:r>
      </w:hyperlink>
      <w:r w:rsidRPr="005B0F1E">
        <w:rPr>
          <w:rFonts w:ascii="Arial" w:hAnsi="Arial" w:cs="Arial"/>
        </w:rPr>
        <w:t xml:space="preserve"> </w:t>
      </w:r>
    </w:p>
    <w:p w14:paraId="50EAFF5D" w14:textId="77777777" w:rsidR="00614BF3" w:rsidRPr="005B0F1E" w:rsidRDefault="00614BF3" w:rsidP="005B0F1E">
      <w:pPr>
        <w:spacing w:line="360" w:lineRule="auto"/>
        <w:rPr>
          <w:rFonts w:ascii="Arial" w:hAnsi="Arial" w:cs="Arial"/>
        </w:rPr>
      </w:pPr>
      <w:r w:rsidRPr="005B0F1E">
        <w:rPr>
          <w:rFonts w:ascii="Arial" w:hAnsi="Arial" w:cs="Arial"/>
        </w:rPr>
        <w:t>Lumen Learning (2024</w:t>
      </w:r>
      <w:r w:rsidRPr="005B0F1E">
        <w:rPr>
          <w:rFonts w:ascii="Arial" w:hAnsi="Arial" w:cs="Arial"/>
          <w:i/>
          <w:iCs/>
        </w:rPr>
        <w:t>) Leadership Styles</w:t>
      </w:r>
      <w:r w:rsidRPr="005B0F1E">
        <w:rPr>
          <w:rFonts w:ascii="Arial" w:hAnsi="Arial" w:cs="Arial"/>
        </w:rPr>
        <w:t xml:space="preserve">. Available at: </w:t>
      </w:r>
      <w:hyperlink r:id="rId56" w:history="1">
        <w:r w:rsidRPr="005B0F1E">
          <w:rPr>
            <w:rStyle w:val="Hyperlink"/>
            <w:rFonts w:ascii="Arial" w:hAnsi="Arial" w:cs="Arial"/>
          </w:rPr>
          <w:t>https://courses.lumenlearning.com/wm-organizationalbehavior/chapter/leadership-styles/</w:t>
        </w:r>
      </w:hyperlink>
      <w:r w:rsidRPr="005B0F1E">
        <w:rPr>
          <w:rFonts w:ascii="Arial" w:hAnsi="Arial" w:cs="Arial"/>
        </w:rPr>
        <w:t xml:space="preserve">  (Accessed 10 Nov. 2025).</w:t>
      </w:r>
    </w:p>
    <w:p w14:paraId="62537444" w14:textId="77777777" w:rsidR="00614BF3" w:rsidRPr="005B0F1E" w:rsidRDefault="00614BF3" w:rsidP="005B0F1E">
      <w:pPr>
        <w:spacing w:line="360" w:lineRule="auto"/>
        <w:rPr>
          <w:rFonts w:ascii="Arial" w:hAnsi="Arial" w:cs="Arial"/>
        </w:rPr>
      </w:pPr>
      <w:r w:rsidRPr="005B0F1E">
        <w:rPr>
          <w:rFonts w:ascii="Arial" w:hAnsi="Arial" w:cs="Arial"/>
        </w:rPr>
        <w:t xml:space="preserve">Mangaliso, M.P., Knipes, B.J., Gazillo, S.A. &amp; McGuinness, M. (2025) 'Strategies for Responding to Organizational Crises: Empirical insights and a Proposed model,' </w:t>
      </w:r>
      <w:r w:rsidRPr="005B0F1E">
        <w:rPr>
          <w:rFonts w:ascii="Arial" w:hAnsi="Arial" w:cs="Arial"/>
          <w:i/>
          <w:iCs/>
        </w:rPr>
        <w:t xml:space="preserve">in Intech Open eBooks. </w:t>
      </w:r>
      <w:r w:rsidRPr="005B0F1E">
        <w:rPr>
          <w:rFonts w:ascii="Arial" w:hAnsi="Arial" w:cs="Arial"/>
        </w:rPr>
        <w:t xml:space="preserve">Available at: </w:t>
      </w:r>
      <w:hyperlink r:id="rId57" w:history="1">
        <w:r w:rsidRPr="005B0F1E">
          <w:rPr>
            <w:rStyle w:val="Hyperlink"/>
            <w:rFonts w:ascii="Arial" w:hAnsi="Arial" w:cs="Arial"/>
          </w:rPr>
          <w:t>https://doi.org/10.5772/intechopen.1008672</w:t>
        </w:r>
      </w:hyperlink>
      <w:r w:rsidRPr="005B0F1E">
        <w:rPr>
          <w:rFonts w:ascii="Arial" w:hAnsi="Arial" w:cs="Arial"/>
        </w:rPr>
        <w:t xml:space="preserve"> </w:t>
      </w:r>
    </w:p>
    <w:p w14:paraId="36A03A9B" w14:textId="77777777" w:rsidR="00614BF3" w:rsidRPr="005B0F1E" w:rsidRDefault="00614BF3" w:rsidP="005B0F1E">
      <w:pPr>
        <w:spacing w:line="360" w:lineRule="auto"/>
        <w:rPr>
          <w:rFonts w:ascii="Arial" w:hAnsi="Arial" w:cs="Arial"/>
        </w:rPr>
      </w:pPr>
      <w:r w:rsidRPr="005B0F1E">
        <w:rPr>
          <w:rFonts w:ascii="Arial" w:hAnsi="Arial" w:cs="Arial"/>
        </w:rPr>
        <w:t xml:space="preserve">Mathieu, E., Ritchie, H., Rodés-Guirao, L., Appel, C., Gavrilov, D., Giattino, C., Hasell, J., Macdonald, B., Dattani, S., Beltekian, D., Ortiz-Ospina, E. &amp; Roser, M. (2020) Excess mortality during the Coronavirus pandemic (COVID-19). </w:t>
      </w:r>
      <w:r w:rsidRPr="005B0F1E">
        <w:rPr>
          <w:rFonts w:ascii="Arial" w:hAnsi="Arial" w:cs="Arial"/>
          <w:i/>
          <w:iCs/>
        </w:rPr>
        <w:t>Our World in Data</w:t>
      </w:r>
      <w:r w:rsidRPr="005B0F1E">
        <w:rPr>
          <w:rFonts w:ascii="Arial" w:hAnsi="Arial" w:cs="Arial"/>
        </w:rPr>
        <w:t xml:space="preserve">. Available at: </w:t>
      </w:r>
      <w:hyperlink r:id="rId58" w:history="1">
        <w:r w:rsidRPr="005B0F1E">
          <w:rPr>
            <w:rStyle w:val="Hyperlink"/>
            <w:rFonts w:ascii="Arial" w:hAnsi="Arial" w:cs="Arial"/>
          </w:rPr>
          <w:t>https://ourworldindata.org/excess-mortality-covid</w:t>
        </w:r>
      </w:hyperlink>
      <w:r w:rsidRPr="005B0F1E">
        <w:rPr>
          <w:rFonts w:ascii="Arial" w:hAnsi="Arial" w:cs="Arial"/>
        </w:rPr>
        <w:t xml:space="preserve"> (Accessed 15 November 2025).</w:t>
      </w:r>
    </w:p>
    <w:p w14:paraId="3BF52759" w14:textId="77777777" w:rsidR="00614BF3" w:rsidRPr="005B0F1E" w:rsidRDefault="00614BF3" w:rsidP="005B0F1E">
      <w:pPr>
        <w:spacing w:line="360" w:lineRule="auto"/>
        <w:rPr>
          <w:rFonts w:ascii="Arial" w:hAnsi="Arial" w:cs="Arial"/>
        </w:rPr>
      </w:pPr>
      <w:r w:rsidRPr="005B0F1E">
        <w:rPr>
          <w:rFonts w:ascii="Arial" w:hAnsi="Arial" w:cs="Arial"/>
        </w:rPr>
        <w:t xml:space="preserve">Navarro, C. &amp; Velasco, F. (2022) ‘From centralisation to new ways of multi-level coordination: Spain’s intergovernmental response to the COVID-19 pandemic’, </w:t>
      </w:r>
      <w:r w:rsidRPr="006B02A6">
        <w:rPr>
          <w:rFonts w:ascii="Arial" w:hAnsi="Arial" w:cs="Arial"/>
          <w:i/>
          <w:iCs/>
        </w:rPr>
        <w:t>Local Government Studies, 4</w:t>
      </w:r>
      <w:r w:rsidRPr="005B0F1E">
        <w:rPr>
          <w:rFonts w:ascii="Arial" w:hAnsi="Arial" w:cs="Arial"/>
        </w:rPr>
        <w:t xml:space="preserve">8(2), pp. 191–210. Available at: </w:t>
      </w:r>
      <w:hyperlink r:id="rId59" w:history="1">
        <w:r w:rsidRPr="005B0F1E">
          <w:rPr>
            <w:rStyle w:val="Hyperlink"/>
            <w:rFonts w:ascii="Arial" w:hAnsi="Arial" w:cs="Arial"/>
          </w:rPr>
          <w:t>https://doi.org/10.1080/03003930.2022.2042683</w:t>
        </w:r>
      </w:hyperlink>
      <w:r w:rsidRPr="005B0F1E">
        <w:rPr>
          <w:rFonts w:ascii="Arial" w:hAnsi="Arial" w:cs="Arial"/>
        </w:rPr>
        <w:t xml:space="preserve">  </w:t>
      </w:r>
    </w:p>
    <w:p w14:paraId="0808F924" w14:textId="7105AC65" w:rsidR="00141E29" w:rsidRPr="005B0F1E" w:rsidRDefault="00141E29" w:rsidP="005B0F1E">
      <w:pPr>
        <w:spacing w:line="360" w:lineRule="auto"/>
        <w:rPr>
          <w:rFonts w:ascii="Arial" w:hAnsi="Arial" w:cs="Arial"/>
        </w:rPr>
      </w:pPr>
      <w:r w:rsidRPr="005B0F1E">
        <w:rPr>
          <w:rFonts w:ascii="Arial" w:hAnsi="Arial" w:cs="Arial"/>
        </w:rPr>
        <w:t>Ni</w:t>
      </w:r>
      <w:r w:rsidR="00CB1509" w:rsidRPr="005B0F1E">
        <w:rPr>
          <w:rFonts w:ascii="Arial" w:hAnsi="Arial" w:cs="Arial"/>
        </w:rPr>
        <w:t xml:space="preserve">cholson, N.L. (2025) </w:t>
      </w:r>
      <w:bookmarkStart w:id="3" w:name="_Hlk214151593"/>
      <w:r w:rsidR="00CB1509" w:rsidRPr="005B0F1E">
        <w:rPr>
          <w:rFonts w:ascii="Arial" w:hAnsi="Arial" w:cs="Arial"/>
          <w:i/>
          <w:iCs/>
        </w:rPr>
        <w:t>Britannica</w:t>
      </w:r>
      <w:r w:rsidR="00070796" w:rsidRPr="005B0F1E">
        <w:rPr>
          <w:rFonts w:ascii="Arial" w:hAnsi="Arial" w:cs="Arial"/>
        </w:rPr>
        <w:t>.</w:t>
      </w:r>
      <w:r w:rsidR="00BB7D76" w:rsidRPr="005B0F1E">
        <w:rPr>
          <w:rFonts w:ascii="Arial" w:hAnsi="Arial" w:cs="Arial"/>
        </w:rPr>
        <w:t xml:space="preserve"> </w:t>
      </w:r>
      <w:r w:rsidR="005073B9" w:rsidRPr="005B0F1E">
        <w:rPr>
          <w:rFonts w:ascii="Arial" w:hAnsi="Arial" w:cs="Arial"/>
        </w:rPr>
        <w:t xml:space="preserve">Available at: </w:t>
      </w:r>
      <w:hyperlink r:id="rId60" w:history="1">
        <w:r w:rsidR="00862A00" w:rsidRPr="005B0F1E">
          <w:rPr>
            <w:rStyle w:val="Hyperlink"/>
            <w:rFonts w:ascii="Arial" w:hAnsi="Arial" w:cs="Arial"/>
          </w:rPr>
          <w:t>https://www.britannica.com/place/SouthKorea</w:t>
        </w:r>
      </w:hyperlink>
      <w:r w:rsidR="00862A00" w:rsidRPr="005B0F1E">
        <w:rPr>
          <w:rFonts w:ascii="Arial" w:hAnsi="Arial" w:cs="Arial"/>
        </w:rPr>
        <w:t xml:space="preserve"> (Accessed: 9 November 2025).</w:t>
      </w:r>
      <w:bookmarkEnd w:id="3"/>
    </w:p>
    <w:p w14:paraId="46F34F68" w14:textId="333B611A" w:rsidR="00614BF3" w:rsidRPr="005B0F1E" w:rsidRDefault="00614BF3" w:rsidP="005B0F1E">
      <w:pPr>
        <w:spacing w:line="360" w:lineRule="auto"/>
        <w:rPr>
          <w:rFonts w:ascii="Arial" w:hAnsi="Arial" w:cs="Arial"/>
          <w:i/>
          <w:iCs/>
        </w:rPr>
      </w:pPr>
      <w:r w:rsidRPr="005B0F1E">
        <w:rPr>
          <w:rFonts w:ascii="Arial" w:hAnsi="Arial" w:cs="Arial"/>
        </w:rPr>
        <w:t xml:space="preserve">Northouse, P.G. (2021) Leadership: Theory and Practice. 9th ed. Thousand Oaks: </w:t>
      </w:r>
      <w:r w:rsidRPr="005B0F1E">
        <w:rPr>
          <w:rFonts w:ascii="Arial" w:hAnsi="Arial" w:cs="Arial"/>
          <w:i/>
          <w:iCs/>
        </w:rPr>
        <w:t>Sage Publications.</w:t>
      </w:r>
      <w:bookmarkStart w:id="4" w:name="_Hlk214067861"/>
    </w:p>
    <w:bookmarkEnd w:id="4"/>
    <w:p w14:paraId="1D95D749" w14:textId="7F844DD6" w:rsidR="00A265E5" w:rsidRPr="005B0F1E" w:rsidRDefault="00614BF3" w:rsidP="005B0F1E">
      <w:pPr>
        <w:spacing w:line="360" w:lineRule="auto"/>
        <w:rPr>
          <w:rFonts w:ascii="Arial" w:hAnsi="Arial" w:cs="Arial"/>
        </w:rPr>
      </w:pPr>
      <w:r w:rsidRPr="005B0F1E">
        <w:rPr>
          <w:rFonts w:ascii="Arial" w:hAnsi="Arial" w:cs="Arial"/>
        </w:rPr>
        <w:t xml:space="preserve">Pekar, J., Lytras, S., Ghafari, M., Magee, A., Parker, E., Wang, Y., Ji, X., Havens, J., Katzourakis, A., Vasylyeva, T., Suchard, M., Hughes, A., Hughes, J., Rambaut, A., Robertson, D., Dellicour, S., Worobey, M., Wertheim, J. &amp; Lemey, P. (2025) The recency and geographical origins of the bat viruses ancestral to SARS-CoV and SARS-CoV-2, volume 188, </w:t>
      </w:r>
      <w:r w:rsidRPr="005B0F1E">
        <w:rPr>
          <w:rFonts w:ascii="Arial" w:hAnsi="Arial" w:cs="Arial"/>
          <w:i/>
          <w:iCs/>
        </w:rPr>
        <w:t>Cell</w:t>
      </w:r>
      <w:r w:rsidRPr="005B0F1E">
        <w:rPr>
          <w:rFonts w:ascii="Arial" w:hAnsi="Arial" w:cs="Arial"/>
        </w:rPr>
        <w:t xml:space="preserve">. Available at: </w:t>
      </w:r>
      <w:hyperlink r:id="rId61" w:history="1">
        <w:r w:rsidRPr="005B0F1E">
          <w:rPr>
            <w:rStyle w:val="Hyperlink"/>
            <w:rFonts w:ascii="Arial" w:hAnsi="Arial" w:cs="Arial"/>
          </w:rPr>
          <w:t>https://doi.org/101.016/j.cell.2025.03.035</w:t>
        </w:r>
      </w:hyperlink>
      <w:r w:rsidRPr="005B0F1E">
        <w:rPr>
          <w:rFonts w:ascii="Arial" w:hAnsi="Arial" w:cs="Arial"/>
        </w:rPr>
        <w:t xml:space="preserve">    </w:t>
      </w:r>
    </w:p>
    <w:p w14:paraId="68C183D1" w14:textId="77777777" w:rsidR="0037025D" w:rsidRPr="005B0F1E" w:rsidRDefault="0037025D" w:rsidP="005B0F1E">
      <w:pPr>
        <w:spacing w:line="360" w:lineRule="auto"/>
        <w:rPr>
          <w:rFonts w:ascii="Arial" w:hAnsi="Arial" w:cs="Arial"/>
        </w:rPr>
      </w:pPr>
    </w:p>
    <w:p w14:paraId="75DBAD95" w14:textId="57D19033" w:rsidR="00614BF3" w:rsidRPr="005B0F1E" w:rsidRDefault="00614BF3" w:rsidP="005B0F1E">
      <w:pPr>
        <w:spacing w:line="360" w:lineRule="auto"/>
        <w:rPr>
          <w:rFonts w:ascii="Arial" w:hAnsi="Arial" w:cs="Arial"/>
        </w:rPr>
      </w:pPr>
      <w:r w:rsidRPr="005B0F1E">
        <w:rPr>
          <w:rFonts w:ascii="Arial" w:hAnsi="Arial" w:cs="Arial"/>
        </w:rPr>
        <w:t xml:space="preserve">Pestana, D., Joshi, D., Duan, E., Fowler, R., Tsang, J. &amp; Binnie, A. (2025) The burden of COVID-19 care in community and academic intensive care units in Ontario, Canada: a retrospective cohort study. </w:t>
      </w:r>
      <w:r w:rsidRPr="005B0F1E">
        <w:rPr>
          <w:rFonts w:ascii="Arial" w:hAnsi="Arial" w:cs="Arial"/>
          <w:i/>
          <w:iCs/>
        </w:rPr>
        <w:t>Canadian Journal of Anesthesia/Journal canadien d'anesthésie</w:t>
      </w:r>
      <w:r w:rsidRPr="005B0F1E">
        <w:rPr>
          <w:rFonts w:ascii="Arial" w:hAnsi="Arial" w:cs="Arial"/>
        </w:rPr>
        <w:t>, 72(3), pp.481-491.</w:t>
      </w:r>
    </w:p>
    <w:p w14:paraId="079F33A1" w14:textId="77777777" w:rsidR="00614BF3" w:rsidRPr="005B0F1E" w:rsidRDefault="00614BF3" w:rsidP="005B0F1E">
      <w:pPr>
        <w:spacing w:line="360" w:lineRule="auto"/>
        <w:rPr>
          <w:rFonts w:ascii="Arial" w:hAnsi="Arial" w:cs="Arial"/>
        </w:rPr>
      </w:pPr>
      <w:r w:rsidRPr="005B0F1E">
        <w:rPr>
          <w:rFonts w:ascii="Arial" w:hAnsi="Arial" w:cs="Arial"/>
        </w:rPr>
        <w:t xml:space="preserve">Public Health Agency of Canada (2024) </w:t>
      </w:r>
      <w:r w:rsidRPr="005B0F1E">
        <w:rPr>
          <w:rFonts w:ascii="Arial" w:hAnsi="Arial" w:cs="Arial"/>
          <w:i/>
          <w:iCs/>
        </w:rPr>
        <w:t>Public Health Agency of Canada’s COVID-19 response: Lessons learned.</w:t>
      </w:r>
      <w:r w:rsidRPr="005B0F1E">
        <w:rPr>
          <w:rFonts w:ascii="Arial" w:hAnsi="Arial" w:cs="Arial"/>
        </w:rPr>
        <w:t xml:space="preserve"> Available at: </w:t>
      </w:r>
      <w:hyperlink r:id="rId62" w:history="1">
        <w:r w:rsidRPr="005B0F1E">
          <w:rPr>
            <w:rStyle w:val="Hyperlink"/>
            <w:rFonts w:ascii="Arial" w:hAnsi="Arial" w:cs="Arial"/>
          </w:rPr>
          <w:t>https://www.canada.ca/en/public-health/corporate/transparency/corporate-management-reporting/evaluation/covid-19-response-lessons-learned-summary.html</w:t>
        </w:r>
      </w:hyperlink>
      <w:r w:rsidRPr="005B0F1E">
        <w:rPr>
          <w:rFonts w:ascii="Arial" w:hAnsi="Arial" w:cs="Arial"/>
        </w:rPr>
        <w:t xml:space="preserve"> (Accessed: 14 November 2025). </w:t>
      </w:r>
    </w:p>
    <w:p w14:paraId="018C5CC4" w14:textId="77777777" w:rsidR="00614BF3" w:rsidRPr="005B0F1E" w:rsidRDefault="00614BF3" w:rsidP="005B0F1E">
      <w:pPr>
        <w:spacing w:line="360" w:lineRule="auto"/>
        <w:rPr>
          <w:rFonts w:ascii="Arial" w:hAnsi="Arial" w:cs="Arial"/>
        </w:rPr>
      </w:pPr>
      <w:r w:rsidRPr="005B0F1E">
        <w:rPr>
          <w:rFonts w:ascii="Arial" w:hAnsi="Arial" w:cs="Arial"/>
        </w:rPr>
        <w:t xml:space="preserve">Ranosa, R. (2020) </w:t>
      </w:r>
      <w:r w:rsidRPr="005B0F1E">
        <w:rPr>
          <w:rFonts w:ascii="Arial" w:hAnsi="Arial" w:cs="Arial"/>
          <w:i/>
          <w:iCs/>
        </w:rPr>
        <w:t>Trudeau to CERB recipients: “No one will be left behind”.</w:t>
      </w:r>
      <w:r w:rsidRPr="005B0F1E">
        <w:rPr>
          <w:rFonts w:ascii="Arial" w:hAnsi="Arial" w:cs="Arial"/>
        </w:rPr>
        <w:t xml:space="preserve"> HRD Canada, 5 August. Available at: </w:t>
      </w:r>
      <w:hyperlink r:id="rId63" w:history="1">
        <w:r w:rsidRPr="005B0F1E">
          <w:rPr>
            <w:rStyle w:val="Hyperlink"/>
            <w:rFonts w:ascii="Arial" w:hAnsi="Arial" w:cs="Arial"/>
          </w:rPr>
          <w:t>https://www.hcamag.com/ca/news/general/trudeau-to-cerb-recipients-no-one-will-be-left-behind/229852</w:t>
        </w:r>
      </w:hyperlink>
      <w:r w:rsidRPr="005B0F1E">
        <w:rPr>
          <w:rFonts w:ascii="Arial" w:hAnsi="Arial" w:cs="Arial"/>
        </w:rPr>
        <w:t xml:space="preserve">  (Accessed 15 November 2025).</w:t>
      </w:r>
    </w:p>
    <w:p w14:paraId="00CF844D" w14:textId="77777777" w:rsidR="00614BF3" w:rsidRPr="005B0F1E" w:rsidRDefault="00614BF3" w:rsidP="005B0F1E">
      <w:pPr>
        <w:spacing w:line="360" w:lineRule="auto"/>
        <w:rPr>
          <w:rFonts w:ascii="Arial" w:hAnsi="Arial" w:cs="Arial"/>
        </w:rPr>
      </w:pPr>
      <w:r w:rsidRPr="005B0F1E">
        <w:rPr>
          <w:rFonts w:ascii="Arial" w:hAnsi="Arial" w:cs="Arial"/>
        </w:rPr>
        <w:t xml:space="preserve">Sánchez-Bayón, A., González-Arnedo, E. &amp;  Andreu-Escario, Á. (2022) 'Spanish healthcare sector management in the COVID-19 Crisis under the perspective of Austrian Economics and New-Institutional Economics,' </w:t>
      </w:r>
      <w:r w:rsidRPr="005B0F1E">
        <w:rPr>
          <w:rFonts w:ascii="Arial" w:hAnsi="Arial" w:cs="Arial"/>
          <w:i/>
          <w:iCs/>
        </w:rPr>
        <w:t>Frontiers in Public Health</w:t>
      </w:r>
      <w:r w:rsidRPr="005B0F1E">
        <w:rPr>
          <w:rFonts w:ascii="Arial" w:hAnsi="Arial" w:cs="Arial"/>
        </w:rPr>
        <w:t xml:space="preserve">, 10, p. 801525.Available at: </w:t>
      </w:r>
      <w:hyperlink r:id="rId64" w:history="1">
        <w:r w:rsidRPr="005B0F1E">
          <w:rPr>
            <w:rStyle w:val="Hyperlink"/>
            <w:rFonts w:ascii="Arial" w:hAnsi="Arial" w:cs="Arial"/>
          </w:rPr>
          <w:t>https://doi.org/10.3389/fpubh.2022.801525</w:t>
        </w:r>
      </w:hyperlink>
      <w:r w:rsidRPr="005B0F1E">
        <w:rPr>
          <w:rFonts w:ascii="Arial" w:hAnsi="Arial" w:cs="Arial"/>
        </w:rPr>
        <w:t xml:space="preserve"> </w:t>
      </w:r>
    </w:p>
    <w:p w14:paraId="34134130" w14:textId="77777777" w:rsidR="00614BF3" w:rsidRPr="005B0F1E" w:rsidRDefault="00614BF3" w:rsidP="005B0F1E">
      <w:pPr>
        <w:spacing w:line="360" w:lineRule="auto"/>
        <w:rPr>
          <w:rFonts w:ascii="Arial" w:hAnsi="Arial" w:cs="Arial"/>
        </w:rPr>
      </w:pPr>
      <w:r w:rsidRPr="005B0F1E">
        <w:rPr>
          <w:rFonts w:ascii="Arial" w:hAnsi="Arial" w:cs="Arial"/>
        </w:rPr>
        <w:t xml:space="preserve">Serrat, O. ( 2017) The five whys technique. In Knowledge solutions: </w:t>
      </w:r>
      <w:r w:rsidRPr="005B0F1E">
        <w:rPr>
          <w:rFonts w:ascii="Arial" w:hAnsi="Arial" w:cs="Arial"/>
          <w:i/>
          <w:iCs/>
        </w:rPr>
        <w:t xml:space="preserve">Tools, methods, and approaches to drive organizational performance </w:t>
      </w:r>
      <w:r w:rsidRPr="005B0F1E">
        <w:rPr>
          <w:rFonts w:ascii="Arial" w:hAnsi="Arial" w:cs="Arial"/>
        </w:rPr>
        <w:t>(pp. 307-310). Singapore: Springer Singapore.</w:t>
      </w:r>
    </w:p>
    <w:p w14:paraId="61B88ACA" w14:textId="77777777" w:rsidR="00614BF3" w:rsidRPr="005B0F1E" w:rsidRDefault="00614BF3" w:rsidP="005B0F1E">
      <w:pPr>
        <w:spacing w:line="360" w:lineRule="auto"/>
        <w:rPr>
          <w:rFonts w:ascii="Arial" w:hAnsi="Arial" w:cs="Arial"/>
        </w:rPr>
      </w:pPr>
      <w:r w:rsidRPr="005B0F1E">
        <w:rPr>
          <w:rFonts w:ascii="Arial" w:hAnsi="Arial" w:cs="Arial"/>
        </w:rPr>
        <w:t xml:space="preserve">Simply Psychology (2024) </w:t>
      </w:r>
      <w:r w:rsidRPr="005B0F1E">
        <w:rPr>
          <w:rFonts w:ascii="Arial" w:hAnsi="Arial" w:cs="Arial"/>
          <w:i/>
          <w:iCs/>
        </w:rPr>
        <w:t>Leadership Styles and Frameworks You Should Know.</w:t>
      </w:r>
      <w:r w:rsidRPr="005B0F1E">
        <w:rPr>
          <w:rFonts w:ascii="Arial" w:hAnsi="Arial" w:cs="Arial"/>
        </w:rPr>
        <w:t xml:space="preserve"> Available at: </w:t>
      </w:r>
      <w:hyperlink r:id="rId65" w:history="1">
        <w:r w:rsidRPr="005B0F1E">
          <w:rPr>
            <w:rStyle w:val="Hyperlink"/>
            <w:rFonts w:ascii="Arial" w:hAnsi="Arial" w:cs="Arial"/>
          </w:rPr>
          <w:t>https://www.simplypsychology.org/leadership-styles.html</w:t>
        </w:r>
      </w:hyperlink>
      <w:r w:rsidRPr="005B0F1E">
        <w:rPr>
          <w:rFonts w:ascii="Arial" w:hAnsi="Arial" w:cs="Arial"/>
        </w:rPr>
        <w:t xml:space="preserve"> (Accessed 10 November 2025).</w:t>
      </w:r>
    </w:p>
    <w:p w14:paraId="7FB14959" w14:textId="77777777" w:rsidR="00614BF3" w:rsidRPr="005B0F1E" w:rsidRDefault="00614BF3" w:rsidP="005B0F1E">
      <w:pPr>
        <w:spacing w:line="360" w:lineRule="auto"/>
        <w:rPr>
          <w:rFonts w:ascii="Arial" w:hAnsi="Arial" w:cs="Arial"/>
        </w:rPr>
      </w:pPr>
      <w:r w:rsidRPr="005B0F1E">
        <w:rPr>
          <w:rFonts w:ascii="Arial" w:hAnsi="Arial" w:cs="Arial"/>
        </w:rPr>
        <w:t xml:space="preserve">SGI (2022) </w:t>
      </w:r>
      <w:r w:rsidRPr="005B0F1E">
        <w:rPr>
          <w:rFonts w:ascii="Arial" w:hAnsi="Arial" w:cs="Arial"/>
          <w:i/>
          <w:iCs/>
        </w:rPr>
        <w:t>South Korea Country Report Sustainable Governance Indicators. Bertelsmann Stiftung.</w:t>
      </w:r>
      <w:r w:rsidRPr="005B0F1E">
        <w:rPr>
          <w:rFonts w:ascii="Arial" w:hAnsi="Arial" w:cs="Arial"/>
        </w:rPr>
        <w:t xml:space="preserve"> Available </w:t>
      </w:r>
      <w:hyperlink r:id="rId66" w:history="1">
        <w:r w:rsidRPr="005B0F1E">
          <w:rPr>
            <w:rStyle w:val="Hyperlink"/>
            <w:rFonts w:ascii="Arial" w:hAnsi="Arial" w:cs="Arial"/>
          </w:rPr>
          <w:t>https://www.sginetwork.org/docs/2022/country/SGI2022_South_Korea.pdf</w:t>
        </w:r>
      </w:hyperlink>
      <w:r w:rsidRPr="005B0F1E">
        <w:rPr>
          <w:rFonts w:ascii="Arial" w:hAnsi="Arial" w:cs="Arial"/>
        </w:rPr>
        <w:t xml:space="preserve">  (Accessed 15 November 2025).</w:t>
      </w:r>
    </w:p>
    <w:p w14:paraId="15BDCA89" w14:textId="6325F447" w:rsidR="00907F6B" w:rsidRPr="005B0F1E" w:rsidRDefault="00A71072" w:rsidP="005B0F1E">
      <w:pPr>
        <w:spacing w:line="360" w:lineRule="auto"/>
        <w:rPr>
          <w:rFonts w:ascii="Arial" w:hAnsi="Arial" w:cs="Arial"/>
        </w:rPr>
      </w:pPr>
      <w:r w:rsidRPr="005B0F1E">
        <w:rPr>
          <w:rFonts w:ascii="Arial" w:hAnsi="Arial" w:cs="Arial"/>
        </w:rPr>
        <w:t xml:space="preserve">Smith, C.D. (2025) </w:t>
      </w:r>
      <w:r w:rsidRPr="005B0F1E">
        <w:rPr>
          <w:rFonts w:ascii="Arial" w:hAnsi="Arial" w:cs="Arial"/>
          <w:i/>
          <w:iCs/>
        </w:rPr>
        <w:t>Britannic</w:t>
      </w:r>
      <w:r w:rsidR="00E62578" w:rsidRPr="005B0F1E">
        <w:rPr>
          <w:rFonts w:ascii="Arial" w:hAnsi="Arial" w:cs="Arial"/>
        </w:rPr>
        <w:t xml:space="preserve">. Available at: </w:t>
      </w:r>
      <w:hyperlink r:id="rId67" w:history="1">
        <w:r w:rsidR="00FD6254" w:rsidRPr="005B0F1E">
          <w:rPr>
            <w:rStyle w:val="Hyperlink"/>
            <w:rFonts w:ascii="Arial" w:hAnsi="Arial" w:cs="Arial"/>
          </w:rPr>
          <w:t>https://www.britannica.com/place/Spain</w:t>
        </w:r>
      </w:hyperlink>
      <w:r w:rsidR="00FD6254" w:rsidRPr="005B0F1E">
        <w:rPr>
          <w:rFonts w:ascii="Arial" w:hAnsi="Arial" w:cs="Arial"/>
        </w:rPr>
        <w:t>. (Accessed: 12 November 2025).</w:t>
      </w:r>
    </w:p>
    <w:p w14:paraId="4F57DB4F" w14:textId="7C098EF2" w:rsidR="00614BF3" w:rsidRPr="005B0F1E" w:rsidRDefault="00614BF3" w:rsidP="005B0F1E">
      <w:pPr>
        <w:spacing w:line="360" w:lineRule="auto"/>
        <w:rPr>
          <w:rFonts w:ascii="Arial" w:hAnsi="Arial" w:cs="Arial"/>
        </w:rPr>
      </w:pPr>
      <w:r w:rsidRPr="005B0F1E">
        <w:rPr>
          <w:rFonts w:ascii="Arial" w:hAnsi="Arial" w:cs="Arial"/>
        </w:rPr>
        <w:t>Song, S., &amp; Lim, D. (2025) Impact of the COVID-19 Pandemic on Life Expectancy in South Korea, 2019-2022</w:t>
      </w:r>
      <w:r w:rsidRPr="005B0F1E">
        <w:rPr>
          <w:rFonts w:ascii="Arial" w:hAnsi="Arial" w:cs="Arial"/>
          <w:i/>
          <w:iCs/>
        </w:rPr>
        <w:t>. Healthcare (Basel, Switzerland),</w:t>
      </w:r>
      <w:r w:rsidRPr="005B0F1E">
        <w:rPr>
          <w:rFonts w:ascii="Arial" w:hAnsi="Arial" w:cs="Arial"/>
        </w:rPr>
        <w:t xml:space="preserve"> 13(3), 258. Available at: </w:t>
      </w:r>
      <w:hyperlink r:id="rId68" w:history="1">
        <w:r w:rsidRPr="005B0F1E">
          <w:rPr>
            <w:rStyle w:val="Hyperlink"/>
            <w:rFonts w:ascii="Arial" w:hAnsi="Arial" w:cs="Arial"/>
          </w:rPr>
          <w:t>https://doi.org/10.3390/healthcare13030258</w:t>
        </w:r>
      </w:hyperlink>
      <w:r w:rsidRPr="005B0F1E">
        <w:rPr>
          <w:rFonts w:ascii="Arial" w:hAnsi="Arial" w:cs="Arial"/>
        </w:rPr>
        <w:t xml:space="preserve"> </w:t>
      </w:r>
    </w:p>
    <w:p w14:paraId="788548D4" w14:textId="77777777" w:rsidR="00614BF3" w:rsidRPr="005B0F1E" w:rsidRDefault="00614BF3" w:rsidP="005B0F1E">
      <w:pPr>
        <w:spacing w:line="360" w:lineRule="auto"/>
        <w:rPr>
          <w:rFonts w:ascii="Arial" w:hAnsi="Arial" w:cs="Arial"/>
        </w:rPr>
      </w:pPr>
      <w:r w:rsidRPr="005B0F1E">
        <w:rPr>
          <w:rFonts w:ascii="Arial" w:hAnsi="Arial" w:cs="Arial"/>
        </w:rPr>
        <w:t xml:space="preserve">Spijker, J.J.A. &amp; Trias-Llimós, S. (2023) Cause-specific mortality in Spain during the pandemic: educational differences and its impact on life expectancy. </w:t>
      </w:r>
      <w:r w:rsidRPr="005B0F1E">
        <w:rPr>
          <w:rFonts w:ascii="Arial" w:hAnsi="Arial" w:cs="Arial"/>
          <w:i/>
          <w:iCs/>
        </w:rPr>
        <w:t>European Journal of Public Health</w:t>
      </w:r>
      <w:r w:rsidRPr="005B0F1E">
        <w:rPr>
          <w:rFonts w:ascii="Arial" w:hAnsi="Arial" w:cs="Arial"/>
        </w:rPr>
        <w:t xml:space="preserve">, 33(3), pp.543–549. Available at: </w:t>
      </w:r>
      <w:hyperlink r:id="rId69" w:history="1">
        <w:r w:rsidRPr="005B0F1E">
          <w:rPr>
            <w:rStyle w:val="Hyperlink"/>
            <w:rFonts w:ascii="Arial" w:hAnsi="Arial" w:cs="Arial"/>
          </w:rPr>
          <w:t>https://doi.org/10.1093/eurpub/ckad036</w:t>
        </w:r>
      </w:hyperlink>
      <w:r w:rsidRPr="005B0F1E">
        <w:rPr>
          <w:rFonts w:ascii="Arial" w:hAnsi="Arial" w:cs="Arial"/>
        </w:rPr>
        <w:t xml:space="preserve">  </w:t>
      </w:r>
    </w:p>
    <w:p w14:paraId="2C47D2C5" w14:textId="77777777" w:rsidR="00614BF3" w:rsidRPr="005B0F1E" w:rsidRDefault="00614BF3" w:rsidP="005B0F1E">
      <w:pPr>
        <w:spacing w:line="360" w:lineRule="auto"/>
        <w:rPr>
          <w:rFonts w:ascii="Arial" w:hAnsi="Arial" w:cs="Arial"/>
        </w:rPr>
      </w:pPr>
      <w:r w:rsidRPr="005B0F1E">
        <w:rPr>
          <w:rFonts w:ascii="Arial" w:hAnsi="Arial" w:cs="Arial"/>
        </w:rPr>
        <w:lastRenderedPageBreak/>
        <w:t xml:space="preserve">Statista (2024) </w:t>
      </w:r>
      <w:r w:rsidRPr="005B0F1E">
        <w:rPr>
          <w:rFonts w:ascii="Arial" w:hAnsi="Arial" w:cs="Arial"/>
          <w:i/>
          <w:iCs/>
        </w:rPr>
        <w:t>COVID deaths by province or territory Canada 2023</w:t>
      </w:r>
      <w:r w:rsidRPr="005B0F1E">
        <w:rPr>
          <w:rFonts w:ascii="Arial" w:hAnsi="Arial" w:cs="Arial"/>
        </w:rPr>
        <w:t xml:space="preserve"> . Available at: </w:t>
      </w:r>
      <w:hyperlink r:id="rId70" w:history="1">
        <w:r w:rsidRPr="005B0F1E">
          <w:rPr>
            <w:rStyle w:val="Hyperlink"/>
            <w:rFonts w:ascii="Arial" w:hAnsi="Arial" w:cs="Arial"/>
          </w:rPr>
          <w:t>https://www.statista.com/statistics/1107079/covid19-deaths-by-province-territory-canada/?srsltid=AfmBOoonPEpI4AXQA6XtxIFRCga7sCNIWmHGvV7IyXotG1MoONKj0qUH</w:t>
        </w:r>
      </w:hyperlink>
      <w:r w:rsidRPr="005B0F1E">
        <w:rPr>
          <w:rFonts w:ascii="Arial" w:hAnsi="Arial" w:cs="Arial"/>
        </w:rPr>
        <w:t xml:space="preserve"> (Accessed: 9 November 2025) .</w:t>
      </w:r>
    </w:p>
    <w:p w14:paraId="5A6D9CD1" w14:textId="77777777" w:rsidR="00614BF3" w:rsidRPr="005B0F1E" w:rsidRDefault="00614BF3" w:rsidP="005B0F1E">
      <w:pPr>
        <w:spacing w:line="360" w:lineRule="auto"/>
        <w:rPr>
          <w:rFonts w:ascii="Arial" w:hAnsi="Arial" w:cs="Arial"/>
        </w:rPr>
      </w:pPr>
      <w:r w:rsidRPr="005B0F1E">
        <w:rPr>
          <w:rFonts w:ascii="Arial" w:hAnsi="Arial" w:cs="Arial"/>
        </w:rPr>
        <w:t>Statista (2025)</w:t>
      </w:r>
      <w:r w:rsidRPr="005B0F1E">
        <w:rPr>
          <w:rFonts w:ascii="Arial" w:hAnsi="Arial" w:cs="Arial"/>
          <w:i/>
          <w:iCs/>
        </w:rPr>
        <w:t xml:space="preserve"> COVID-19 cases by region in Spain 2023.</w:t>
      </w:r>
      <w:r w:rsidRPr="005B0F1E">
        <w:rPr>
          <w:rFonts w:ascii="Arial" w:hAnsi="Arial" w:cs="Arial"/>
        </w:rPr>
        <w:t xml:space="preserve"> Available at: </w:t>
      </w:r>
      <w:hyperlink r:id="rId71" w:history="1">
        <w:r w:rsidRPr="005B0F1E">
          <w:rPr>
            <w:rStyle w:val="Hyperlink"/>
            <w:rFonts w:ascii="Arial" w:hAnsi="Arial" w:cs="Arial"/>
          </w:rPr>
          <w:t>https://www.statista.com/statistics/1102882/cases-of-coronavirus-confirmed-in-spain-in-2020-by-region/?srsltid=AfmBOop35mt2hYLSy6w0MfvAF4sVKEVU1w-J5nis5sdiCuMM5B55-mh0</w:t>
        </w:r>
      </w:hyperlink>
      <w:r w:rsidRPr="005B0F1E">
        <w:rPr>
          <w:rFonts w:ascii="Arial" w:hAnsi="Arial" w:cs="Arial"/>
        </w:rPr>
        <w:t xml:space="preserve"> (Accessed: 12 November 2025).</w:t>
      </w:r>
    </w:p>
    <w:p w14:paraId="3A25E22E" w14:textId="77777777" w:rsidR="00614BF3" w:rsidRPr="005B0F1E" w:rsidRDefault="00614BF3" w:rsidP="005B0F1E">
      <w:pPr>
        <w:spacing w:line="360" w:lineRule="auto"/>
        <w:rPr>
          <w:rFonts w:ascii="Arial" w:hAnsi="Arial" w:cs="Arial"/>
        </w:rPr>
      </w:pPr>
      <w:r w:rsidRPr="005B0F1E">
        <w:rPr>
          <w:rFonts w:ascii="Arial" w:hAnsi="Arial" w:cs="Arial"/>
        </w:rPr>
        <w:t xml:space="preserve">Team, D.I. (2025) </w:t>
      </w:r>
      <w:r w:rsidRPr="005B0F1E">
        <w:rPr>
          <w:rFonts w:ascii="Arial" w:hAnsi="Arial" w:cs="Arial"/>
          <w:i/>
          <w:iCs/>
        </w:rPr>
        <w:t>COVID-19 deaths in Canada (2020–2023): A Four-Year Summary of the pandemic’s toll - TheDataInsider.</w:t>
      </w:r>
      <w:r w:rsidRPr="005B0F1E">
        <w:rPr>
          <w:rFonts w:ascii="Arial" w:hAnsi="Arial" w:cs="Arial"/>
        </w:rPr>
        <w:t xml:space="preserve"> Available at: </w:t>
      </w:r>
      <w:hyperlink r:id="rId72" w:history="1">
        <w:r w:rsidRPr="005B0F1E">
          <w:rPr>
            <w:rStyle w:val="Hyperlink"/>
            <w:rFonts w:ascii="Arial" w:hAnsi="Arial" w:cs="Arial"/>
          </w:rPr>
          <w:t>https://thedatainsider.com/covid-19-deaths-canada/</w:t>
        </w:r>
      </w:hyperlink>
      <w:r w:rsidRPr="005B0F1E">
        <w:rPr>
          <w:rFonts w:ascii="Arial" w:hAnsi="Arial" w:cs="Arial"/>
        </w:rPr>
        <w:t xml:space="preserve"> (Accessed 10 November 2025).</w:t>
      </w:r>
    </w:p>
    <w:p w14:paraId="5A62D9E6" w14:textId="77777777" w:rsidR="00614BF3" w:rsidRPr="005B0F1E" w:rsidRDefault="00614BF3" w:rsidP="005B0F1E">
      <w:pPr>
        <w:spacing w:line="360" w:lineRule="auto"/>
        <w:rPr>
          <w:rFonts w:ascii="Arial" w:hAnsi="Arial" w:cs="Arial"/>
        </w:rPr>
      </w:pPr>
      <w:r w:rsidRPr="005B0F1E">
        <w:rPr>
          <w:rFonts w:ascii="Arial" w:hAnsi="Arial" w:cs="Arial"/>
        </w:rPr>
        <w:t xml:space="preserve">UN DESA (2023) </w:t>
      </w:r>
      <w:r w:rsidRPr="005B0F1E">
        <w:rPr>
          <w:rFonts w:ascii="Arial" w:hAnsi="Arial" w:cs="Arial"/>
          <w:i/>
          <w:iCs/>
        </w:rPr>
        <w:t>Self-Quarantine Safety Protection App  Digital Government Compendium</w:t>
      </w:r>
      <w:r w:rsidRPr="005B0F1E">
        <w:rPr>
          <w:rFonts w:ascii="Arial" w:hAnsi="Arial" w:cs="Arial"/>
        </w:rPr>
        <w:t xml:space="preserve">. United Nations Department of Economic and Social Affairs. Available at: </w:t>
      </w:r>
      <w:hyperlink r:id="rId73" w:history="1">
        <w:r w:rsidRPr="005B0F1E">
          <w:rPr>
            <w:rStyle w:val="Hyperlink"/>
            <w:rFonts w:ascii="Arial" w:hAnsi="Arial" w:cs="Arial"/>
          </w:rPr>
          <w:t>https://publicadministration.desa.un.org/good-practices-for-digital-government/compendium/self-quarantine-safety-protection-app</w:t>
        </w:r>
      </w:hyperlink>
      <w:r w:rsidRPr="005B0F1E">
        <w:rPr>
          <w:rFonts w:ascii="Arial" w:hAnsi="Arial" w:cs="Arial"/>
        </w:rPr>
        <w:t xml:space="preserve">  (Accessed 15 November 2025).</w:t>
      </w:r>
    </w:p>
    <w:p w14:paraId="1D4E2892" w14:textId="77777777" w:rsidR="00614BF3" w:rsidRPr="005B0F1E" w:rsidRDefault="00614BF3" w:rsidP="005B0F1E">
      <w:pPr>
        <w:spacing w:line="360" w:lineRule="auto"/>
        <w:rPr>
          <w:rFonts w:ascii="Arial" w:hAnsi="Arial" w:cs="Arial"/>
        </w:rPr>
      </w:pPr>
      <w:r w:rsidRPr="005B0F1E">
        <w:rPr>
          <w:rFonts w:ascii="Arial" w:hAnsi="Arial" w:cs="Arial"/>
        </w:rPr>
        <w:t xml:space="preserve">Vilar-Rodríguez, M., Pons-Pons, J. &amp; Gálvez, L.(2025) Health decentralisation and regional inequalities in Spain. </w:t>
      </w:r>
      <w:r w:rsidRPr="005B0F1E">
        <w:rPr>
          <w:rFonts w:ascii="Arial" w:hAnsi="Arial" w:cs="Arial"/>
          <w:i/>
          <w:iCs/>
        </w:rPr>
        <w:t>Social History of Medicine,</w:t>
      </w:r>
      <w:r w:rsidRPr="005B0F1E">
        <w:rPr>
          <w:rFonts w:ascii="Arial" w:hAnsi="Arial" w:cs="Arial"/>
        </w:rPr>
        <w:t xml:space="preserve"> 38(1), pp.112–130.</w:t>
      </w:r>
    </w:p>
    <w:p w14:paraId="5A771E9D" w14:textId="77777777" w:rsidR="00614BF3" w:rsidRPr="005B0F1E" w:rsidRDefault="00614BF3" w:rsidP="005B0F1E">
      <w:pPr>
        <w:spacing w:line="360" w:lineRule="auto"/>
        <w:rPr>
          <w:rFonts w:ascii="Arial" w:hAnsi="Arial" w:cs="Arial"/>
        </w:rPr>
      </w:pPr>
      <w:r w:rsidRPr="005B0F1E">
        <w:rPr>
          <w:rFonts w:ascii="Arial" w:hAnsi="Arial" w:cs="Arial"/>
        </w:rPr>
        <w:t xml:space="preserve">Wang, H., Marquez, P.V. and Hwang, I. (2024) 'Learning from South Korea: Building resilient health systems for pandemic preparedness,' </w:t>
      </w:r>
      <w:r w:rsidRPr="005B0F1E">
        <w:rPr>
          <w:rFonts w:ascii="Arial" w:hAnsi="Arial" w:cs="Arial"/>
          <w:i/>
          <w:iCs/>
        </w:rPr>
        <w:t>World Bank Blogs</w:t>
      </w:r>
      <w:r w:rsidRPr="005B0F1E">
        <w:rPr>
          <w:rFonts w:ascii="Arial" w:hAnsi="Arial" w:cs="Arial"/>
        </w:rPr>
        <w:t xml:space="preserve">, 16 March. Available at: </w:t>
      </w:r>
      <w:hyperlink r:id="rId74" w:history="1">
        <w:r w:rsidRPr="005B0F1E">
          <w:rPr>
            <w:rStyle w:val="Hyperlink"/>
            <w:rFonts w:ascii="Arial" w:hAnsi="Arial" w:cs="Arial"/>
          </w:rPr>
          <w:t>https://blogs.worldbank.org/en/health/learning-south-korea-building-resilient-health-systems-pandemic-preparedness</w:t>
        </w:r>
      </w:hyperlink>
      <w:r w:rsidRPr="005B0F1E">
        <w:rPr>
          <w:rFonts w:ascii="Arial" w:hAnsi="Arial" w:cs="Arial"/>
        </w:rPr>
        <w:t xml:space="preserve"> (Accessed: 9 November 2025).</w:t>
      </w:r>
    </w:p>
    <w:p w14:paraId="26DE4201" w14:textId="77777777" w:rsidR="00614BF3" w:rsidRPr="005B0F1E" w:rsidRDefault="00614BF3" w:rsidP="005B0F1E">
      <w:pPr>
        <w:spacing w:line="360" w:lineRule="auto"/>
        <w:rPr>
          <w:rFonts w:ascii="Arial" w:hAnsi="Arial" w:cs="Arial"/>
        </w:rPr>
      </w:pPr>
      <w:r w:rsidRPr="005B0F1E">
        <w:rPr>
          <w:rFonts w:ascii="Arial" w:hAnsi="Arial" w:cs="Arial"/>
        </w:rPr>
        <w:t xml:space="preserve">World Bank (2023) Learning from Korea’s Digital Response to COVID-19: Public Health Measures through Open Data and Contact Tracing. </w:t>
      </w:r>
      <w:r w:rsidRPr="005B0F1E">
        <w:rPr>
          <w:rFonts w:ascii="Arial" w:hAnsi="Arial" w:cs="Arial"/>
          <w:i/>
          <w:iCs/>
        </w:rPr>
        <w:t>World Bank Open Learning Campus</w:t>
      </w:r>
      <w:r w:rsidRPr="005B0F1E">
        <w:rPr>
          <w:rFonts w:ascii="Arial" w:hAnsi="Arial" w:cs="Arial"/>
        </w:rPr>
        <w:t xml:space="preserve">. Available at: </w:t>
      </w:r>
      <w:hyperlink r:id="rId75" w:history="1">
        <w:r w:rsidRPr="005B0F1E">
          <w:rPr>
            <w:rStyle w:val="Hyperlink"/>
            <w:rFonts w:ascii="Arial" w:hAnsi="Arial" w:cs="Arial"/>
          </w:rPr>
          <w:t>https://www.worldbank.org/en/olc/course/58259</w:t>
        </w:r>
      </w:hyperlink>
      <w:r w:rsidRPr="005B0F1E">
        <w:rPr>
          <w:rFonts w:ascii="Arial" w:hAnsi="Arial" w:cs="Arial"/>
        </w:rPr>
        <w:t xml:space="preserve">  (Accessed 15 November 2025).</w:t>
      </w:r>
    </w:p>
    <w:p w14:paraId="3796F974" w14:textId="77777777" w:rsidR="00614BF3" w:rsidRPr="005B0F1E" w:rsidRDefault="00614BF3" w:rsidP="005B0F1E">
      <w:pPr>
        <w:spacing w:line="360" w:lineRule="auto"/>
        <w:rPr>
          <w:rFonts w:ascii="Arial" w:hAnsi="Arial" w:cs="Arial"/>
        </w:rPr>
      </w:pPr>
      <w:r w:rsidRPr="005B0F1E">
        <w:rPr>
          <w:rFonts w:ascii="Arial" w:hAnsi="Arial" w:cs="Arial"/>
        </w:rPr>
        <w:t xml:space="preserve">World Health Organization (2023) </w:t>
      </w:r>
      <w:r w:rsidRPr="005B0F1E">
        <w:rPr>
          <w:rFonts w:ascii="Arial" w:hAnsi="Arial" w:cs="Arial"/>
          <w:i/>
          <w:iCs/>
        </w:rPr>
        <w:t>Coronavirus disease (COVID-19) pandemic</w:t>
      </w:r>
      <w:r w:rsidRPr="005B0F1E">
        <w:rPr>
          <w:rFonts w:ascii="Arial" w:hAnsi="Arial" w:cs="Arial"/>
        </w:rPr>
        <w:t xml:space="preserve">. Available at: </w:t>
      </w:r>
      <w:hyperlink r:id="rId76" w:history="1">
        <w:r w:rsidRPr="005B0F1E">
          <w:rPr>
            <w:rStyle w:val="Hyperlink"/>
            <w:rFonts w:ascii="Arial" w:hAnsi="Arial" w:cs="Arial"/>
          </w:rPr>
          <w:t>https://www.who.int/emergencies/diseases/novel-coronavirus-2019</w:t>
        </w:r>
      </w:hyperlink>
      <w:r w:rsidRPr="005B0F1E">
        <w:rPr>
          <w:rFonts w:ascii="Arial" w:hAnsi="Arial" w:cs="Arial"/>
        </w:rPr>
        <w:t xml:space="preserve"> (Accessed 10 November 2025).</w:t>
      </w:r>
    </w:p>
    <w:p w14:paraId="7DBC9B8C" w14:textId="70AE770C" w:rsidR="00D55D0C" w:rsidRPr="005B0F1E" w:rsidRDefault="00614BF3" w:rsidP="005B0F1E">
      <w:pPr>
        <w:spacing w:line="360" w:lineRule="auto"/>
        <w:rPr>
          <w:rFonts w:ascii="Arial" w:hAnsi="Arial" w:cs="Arial"/>
        </w:rPr>
      </w:pPr>
      <w:r w:rsidRPr="005B0F1E">
        <w:rPr>
          <w:rFonts w:ascii="Arial" w:hAnsi="Arial" w:cs="Arial"/>
        </w:rPr>
        <w:t>Worldometer (2024</w:t>
      </w:r>
      <w:r w:rsidRPr="005B0F1E">
        <w:rPr>
          <w:rFonts w:ascii="Arial" w:hAnsi="Arial" w:cs="Arial"/>
          <w:i/>
          <w:iCs/>
        </w:rPr>
        <w:t xml:space="preserve">) COVID-19 Coronavirus Pandemic </w:t>
      </w:r>
      <w:r w:rsidR="004C79F5" w:rsidRPr="005B0F1E">
        <w:rPr>
          <w:rFonts w:ascii="Arial" w:hAnsi="Arial" w:cs="Arial"/>
          <w:i/>
          <w:iCs/>
        </w:rPr>
        <w:t xml:space="preserve"> </w:t>
      </w:r>
      <w:r w:rsidRPr="005B0F1E">
        <w:rPr>
          <w:rFonts w:ascii="Arial" w:hAnsi="Arial" w:cs="Arial"/>
          <w:i/>
          <w:iCs/>
        </w:rPr>
        <w:t>Spain</w:t>
      </w:r>
      <w:r w:rsidRPr="005B0F1E">
        <w:rPr>
          <w:rFonts w:ascii="Arial" w:hAnsi="Arial" w:cs="Arial"/>
        </w:rPr>
        <w:t xml:space="preserve">. Available at: </w:t>
      </w:r>
      <w:hyperlink r:id="rId77" w:history="1">
        <w:r w:rsidRPr="005B0F1E">
          <w:rPr>
            <w:rStyle w:val="Hyperlink"/>
            <w:rFonts w:ascii="Arial" w:hAnsi="Arial" w:cs="Arial"/>
          </w:rPr>
          <w:t>https://www.world</w:t>
        </w:r>
      </w:hyperlink>
      <w:r w:rsidRPr="005B0F1E">
        <w:rPr>
          <w:rFonts w:ascii="Arial" w:hAnsi="Arial" w:cs="Arial"/>
        </w:rPr>
        <w:t xml:space="preserve"> (Accessed: 29 October 2025).</w:t>
      </w:r>
    </w:p>
    <w:p w14:paraId="542340CB" w14:textId="2B45F62E" w:rsidR="00614BF3" w:rsidRPr="005B0F1E" w:rsidRDefault="00614BF3" w:rsidP="005B0F1E">
      <w:pPr>
        <w:spacing w:line="360" w:lineRule="auto"/>
        <w:rPr>
          <w:rFonts w:ascii="Arial" w:hAnsi="Arial" w:cs="Arial"/>
        </w:rPr>
      </w:pPr>
      <w:r w:rsidRPr="005B0F1E">
        <w:rPr>
          <w:rFonts w:ascii="Arial" w:hAnsi="Arial" w:cs="Arial"/>
        </w:rPr>
        <w:lastRenderedPageBreak/>
        <w:t xml:space="preserve">Zhou, H. et al. (2021) 'Identification of novel bat coronaviruses sheds light on the evolutionary origins of SARS-CoV-2 and related viruses,' </w:t>
      </w:r>
      <w:r w:rsidRPr="005B0F1E">
        <w:rPr>
          <w:rFonts w:ascii="Arial" w:hAnsi="Arial" w:cs="Arial"/>
          <w:i/>
          <w:iCs/>
        </w:rPr>
        <w:t>Cell</w:t>
      </w:r>
      <w:r w:rsidRPr="005B0F1E">
        <w:rPr>
          <w:rFonts w:ascii="Arial" w:hAnsi="Arial" w:cs="Arial"/>
        </w:rPr>
        <w:t>, 184(17), pp. 4380-4391.e14. Available at :</w:t>
      </w:r>
      <w:hyperlink r:id="rId78" w:history="1">
        <w:r w:rsidRPr="005B0F1E">
          <w:rPr>
            <w:rStyle w:val="Hyperlink"/>
            <w:rFonts w:ascii="Arial" w:hAnsi="Arial" w:cs="Arial"/>
          </w:rPr>
          <w:t>https://doi.org/10.1016/j.cell.2021.06.008</w:t>
        </w:r>
      </w:hyperlink>
      <w:r w:rsidRPr="005B0F1E">
        <w:rPr>
          <w:rFonts w:ascii="Arial" w:hAnsi="Arial" w:cs="Arial"/>
        </w:rPr>
        <w:t xml:space="preserve"> </w:t>
      </w:r>
    </w:p>
    <w:p w14:paraId="67799C96" w14:textId="77777777" w:rsidR="00614BF3" w:rsidRPr="005B0F1E" w:rsidRDefault="00614BF3" w:rsidP="005B0F1E">
      <w:pPr>
        <w:spacing w:line="360" w:lineRule="auto"/>
        <w:rPr>
          <w:rFonts w:ascii="Arial" w:hAnsi="Arial" w:cs="Arial"/>
        </w:rPr>
      </w:pPr>
    </w:p>
    <w:p w14:paraId="3AFF8C8A" w14:textId="77777777" w:rsidR="00F42D29" w:rsidRDefault="00F42D29" w:rsidP="00121661">
      <w:pPr>
        <w:spacing w:line="360" w:lineRule="auto"/>
        <w:jc w:val="both"/>
        <w:rPr>
          <w:rFonts w:ascii="Arial" w:hAnsi="Arial" w:cs="Arial"/>
          <w:b/>
          <w:bCs/>
          <w:sz w:val="24"/>
          <w:szCs w:val="24"/>
        </w:rPr>
      </w:pPr>
    </w:p>
    <w:p w14:paraId="6339E44E" w14:textId="77777777" w:rsidR="00F42D29" w:rsidRDefault="00F42D29" w:rsidP="00121661">
      <w:pPr>
        <w:spacing w:line="360" w:lineRule="auto"/>
        <w:jc w:val="both"/>
        <w:rPr>
          <w:rFonts w:ascii="Arial" w:hAnsi="Arial" w:cs="Arial"/>
          <w:b/>
          <w:bCs/>
          <w:sz w:val="24"/>
          <w:szCs w:val="24"/>
        </w:rPr>
      </w:pPr>
    </w:p>
    <w:p w14:paraId="5D4107FA" w14:textId="77777777" w:rsidR="00F42D29" w:rsidRDefault="00F42D29" w:rsidP="00121661">
      <w:pPr>
        <w:spacing w:line="360" w:lineRule="auto"/>
        <w:jc w:val="both"/>
        <w:rPr>
          <w:rFonts w:ascii="Arial" w:hAnsi="Arial" w:cs="Arial"/>
          <w:b/>
          <w:bCs/>
          <w:sz w:val="24"/>
          <w:szCs w:val="24"/>
        </w:rPr>
      </w:pPr>
    </w:p>
    <w:p w14:paraId="6BD0C2A9" w14:textId="77777777" w:rsidR="00F42D29" w:rsidRDefault="00F42D29" w:rsidP="00121661">
      <w:pPr>
        <w:spacing w:line="360" w:lineRule="auto"/>
        <w:jc w:val="both"/>
        <w:rPr>
          <w:rFonts w:ascii="Arial" w:hAnsi="Arial" w:cs="Arial"/>
          <w:b/>
          <w:bCs/>
          <w:sz w:val="24"/>
          <w:szCs w:val="24"/>
        </w:rPr>
      </w:pPr>
    </w:p>
    <w:p w14:paraId="2C3F3B6F" w14:textId="77777777" w:rsidR="00F42D29" w:rsidRDefault="00F42D29" w:rsidP="00121661">
      <w:pPr>
        <w:spacing w:line="360" w:lineRule="auto"/>
        <w:jc w:val="both"/>
        <w:rPr>
          <w:rFonts w:ascii="Arial" w:hAnsi="Arial" w:cs="Arial"/>
          <w:b/>
          <w:bCs/>
          <w:sz w:val="24"/>
          <w:szCs w:val="24"/>
        </w:rPr>
      </w:pPr>
    </w:p>
    <w:p w14:paraId="44F2AC9D" w14:textId="77777777" w:rsidR="00F42D29" w:rsidRDefault="00F42D29" w:rsidP="00121661">
      <w:pPr>
        <w:spacing w:line="360" w:lineRule="auto"/>
        <w:jc w:val="both"/>
        <w:rPr>
          <w:rFonts w:ascii="Arial" w:hAnsi="Arial" w:cs="Arial"/>
          <w:b/>
          <w:bCs/>
          <w:sz w:val="24"/>
          <w:szCs w:val="24"/>
        </w:rPr>
      </w:pPr>
    </w:p>
    <w:p w14:paraId="7C473943" w14:textId="77777777" w:rsidR="00F42D29" w:rsidRDefault="00F42D29" w:rsidP="00121661">
      <w:pPr>
        <w:spacing w:line="360" w:lineRule="auto"/>
        <w:jc w:val="both"/>
        <w:rPr>
          <w:rFonts w:ascii="Arial" w:hAnsi="Arial" w:cs="Arial"/>
          <w:b/>
          <w:bCs/>
          <w:sz w:val="24"/>
          <w:szCs w:val="24"/>
        </w:rPr>
      </w:pPr>
    </w:p>
    <w:p w14:paraId="0AF7CC1C" w14:textId="77777777" w:rsidR="00F42D29" w:rsidRDefault="00F42D29" w:rsidP="00121661">
      <w:pPr>
        <w:spacing w:line="360" w:lineRule="auto"/>
        <w:jc w:val="both"/>
        <w:rPr>
          <w:rFonts w:ascii="Arial" w:hAnsi="Arial" w:cs="Arial"/>
          <w:b/>
          <w:bCs/>
          <w:sz w:val="24"/>
          <w:szCs w:val="24"/>
        </w:rPr>
      </w:pPr>
    </w:p>
    <w:p w14:paraId="35DF1E8E" w14:textId="77777777" w:rsidR="00F42D29" w:rsidRDefault="00F42D29" w:rsidP="00121661">
      <w:pPr>
        <w:spacing w:line="360" w:lineRule="auto"/>
        <w:jc w:val="both"/>
        <w:rPr>
          <w:rFonts w:ascii="Arial" w:hAnsi="Arial" w:cs="Arial"/>
          <w:b/>
          <w:bCs/>
          <w:sz w:val="24"/>
          <w:szCs w:val="24"/>
        </w:rPr>
      </w:pPr>
    </w:p>
    <w:p w14:paraId="6AFABD97" w14:textId="77777777" w:rsidR="00F42D29" w:rsidRDefault="00F42D29" w:rsidP="00121661">
      <w:pPr>
        <w:spacing w:line="360" w:lineRule="auto"/>
        <w:jc w:val="both"/>
        <w:rPr>
          <w:rFonts w:ascii="Arial" w:hAnsi="Arial" w:cs="Arial"/>
          <w:b/>
          <w:bCs/>
          <w:sz w:val="24"/>
          <w:szCs w:val="24"/>
        </w:rPr>
      </w:pPr>
    </w:p>
    <w:p w14:paraId="602894F3" w14:textId="77777777" w:rsidR="00F42D29" w:rsidRDefault="00F42D29" w:rsidP="00121661">
      <w:pPr>
        <w:spacing w:line="360" w:lineRule="auto"/>
        <w:jc w:val="both"/>
        <w:rPr>
          <w:rFonts w:ascii="Arial" w:hAnsi="Arial" w:cs="Arial"/>
          <w:b/>
          <w:bCs/>
          <w:sz w:val="24"/>
          <w:szCs w:val="24"/>
        </w:rPr>
      </w:pPr>
    </w:p>
    <w:p w14:paraId="317C270A" w14:textId="77777777" w:rsidR="00F42D29" w:rsidRDefault="00F42D29" w:rsidP="00121661">
      <w:pPr>
        <w:spacing w:line="360" w:lineRule="auto"/>
        <w:jc w:val="both"/>
        <w:rPr>
          <w:rFonts w:ascii="Arial" w:hAnsi="Arial" w:cs="Arial"/>
          <w:b/>
          <w:bCs/>
          <w:sz w:val="24"/>
          <w:szCs w:val="24"/>
        </w:rPr>
      </w:pPr>
    </w:p>
    <w:p w14:paraId="2BEDD1D9" w14:textId="77777777" w:rsidR="00F42D29" w:rsidRDefault="00F42D29" w:rsidP="00121661">
      <w:pPr>
        <w:spacing w:line="360" w:lineRule="auto"/>
        <w:jc w:val="both"/>
        <w:rPr>
          <w:rFonts w:ascii="Arial" w:hAnsi="Arial" w:cs="Arial"/>
          <w:b/>
          <w:bCs/>
          <w:sz w:val="24"/>
          <w:szCs w:val="24"/>
        </w:rPr>
      </w:pPr>
    </w:p>
    <w:p w14:paraId="3396B0F3" w14:textId="77777777" w:rsidR="00F42D29" w:rsidRDefault="00F42D29" w:rsidP="00121661">
      <w:pPr>
        <w:spacing w:line="360" w:lineRule="auto"/>
        <w:jc w:val="both"/>
        <w:rPr>
          <w:rFonts w:ascii="Arial" w:hAnsi="Arial" w:cs="Arial"/>
          <w:b/>
          <w:bCs/>
          <w:sz w:val="24"/>
          <w:szCs w:val="24"/>
        </w:rPr>
      </w:pPr>
    </w:p>
    <w:p w14:paraId="5B49CBD9" w14:textId="77777777" w:rsidR="00F42D29" w:rsidRDefault="00F42D29" w:rsidP="00121661">
      <w:pPr>
        <w:spacing w:line="360" w:lineRule="auto"/>
        <w:jc w:val="both"/>
        <w:rPr>
          <w:rFonts w:ascii="Arial" w:hAnsi="Arial" w:cs="Arial"/>
          <w:b/>
          <w:bCs/>
          <w:sz w:val="24"/>
          <w:szCs w:val="24"/>
        </w:rPr>
      </w:pPr>
    </w:p>
    <w:p w14:paraId="55424BB0" w14:textId="77777777" w:rsidR="00F42D29" w:rsidRDefault="00F42D29" w:rsidP="00121661">
      <w:pPr>
        <w:spacing w:line="360" w:lineRule="auto"/>
        <w:jc w:val="both"/>
        <w:rPr>
          <w:rFonts w:ascii="Arial" w:hAnsi="Arial" w:cs="Arial"/>
          <w:b/>
          <w:bCs/>
          <w:sz w:val="24"/>
          <w:szCs w:val="24"/>
        </w:rPr>
      </w:pPr>
    </w:p>
    <w:p w14:paraId="2332319F" w14:textId="77777777" w:rsidR="00F42D29" w:rsidRDefault="00F42D29" w:rsidP="00121661">
      <w:pPr>
        <w:spacing w:line="360" w:lineRule="auto"/>
        <w:jc w:val="both"/>
        <w:rPr>
          <w:rFonts w:ascii="Arial" w:hAnsi="Arial" w:cs="Arial"/>
          <w:b/>
          <w:bCs/>
          <w:sz w:val="24"/>
          <w:szCs w:val="24"/>
        </w:rPr>
      </w:pPr>
    </w:p>
    <w:p w14:paraId="2544DF74" w14:textId="77777777" w:rsidR="00F42D29" w:rsidRDefault="00F42D29" w:rsidP="00121661">
      <w:pPr>
        <w:spacing w:line="360" w:lineRule="auto"/>
        <w:jc w:val="both"/>
        <w:rPr>
          <w:rFonts w:ascii="Arial" w:hAnsi="Arial" w:cs="Arial"/>
          <w:b/>
          <w:bCs/>
          <w:sz w:val="24"/>
          <w:szCs w:val="24"/>
        </w:rPr>
      </w:pPr>
    </w:p>
    <w:p w14:paraId="69537227" w14:textId="77777777" w:rsidR="00F42D29" w:rsidRDefault="00F42D29" w:rsidP="00121661">
      <w:pPr>
        <w:spacing w:line="360" w:lineRule="auto"/>
        <w:jc w:val="both"/>
        <w:rPr>
          <w:rFonts w:ascii="Arial" w:hAnsi="Arial" w:cs="Arial"/>
          <w:b/>
          <w:bCs/>
          <w:sz w:val="24"/>
          <w:szCs w:val="24"/>
        </w:rPr>
      </w:pPr>
    </w:p>
    <w:p w14:paraId="18280E65" w14:textId="77777777" w:rsidR="00F42D29" w:rsidRDefault="00F42D29" w:rsidP="00121661">
      <w:pPr>
        <w:spacing w:line="360" w:lineRule="auto"/>
        <w:jc w:val="both"/>
        <w:rPr>
          <w:rFonts w:ascii="Arial" w:hAnsi="Arial" w:cs="Arial"/>
          <w:b/>
          <w:bCs/>
          <w:sz w:val="24"/>
          <w:szCs w:val="24"/>
        </w:rPr>
      </w:pPr>
    </w:p>
    <w:p w14:paraId="1291B5BA" w14:textId="77777777" w:rsidR="00F42D29" w:rsidRDefault="00F42D29" w:rsidP="00121661">
      <w:pPr>
        <w:spacing w:line="360" w:lineRule="auto"/>
        <w:jc w:val="both"/>
        <w:rPr>
          <w:rFonts w:ascii="Arial" w:hAnsi="Arial" w:cs="Arial"/>
          <w:b/>
          <w:bCs/>
          <w:sz w:val="24"/>
          <w:szCs w:val="24"/>
        </w:rPr>
      </w:pPr>
    </w:p>
    <w:p w14:paraId="48EFE311" w14:textId="7AF5558B" w:rsidR="00ED0EF7" w:rsidRPr="003727BB" w:rsidRDefault="00ED0EF7" w:rsidP="00121661">
      <w:pPr>
        <w:spacing w:line="360" w:lineRule="auto"/>
        <w:jc w:val="both"/>
        <w:rPr>
          <w:rFonts w:ascii="Arial" w:hAnsi="Arial" w:cs="Arial"/>
          <w:b/>
          <w:bCs/>
          <w:sz w:val="24"/>
          <w:szCs w:val="24"/>
        </w:rPr>
      </w:pPr>
      <w:r w:rsidRPr="003727BB">
        <w:rPr>
          <w:rFonts w:ascii="Arial" w:hAnsi="Arial" w:cs="Arial"/>
          <w:b/>
          <w:bCs/>
          <w:sz w:val="24"/>
          <w:szCs w:val="24"/>
        </w:rPr>
        <w:lastRenderedPageBreak/>
        <w:t>Appendix</w:t>
      </w:r>
      <w:r w:rsidR="003727BB" w:rsidRPr="003727BB">
        <w:rPr>
          <w:rFonts w:ascii="Arial" w:hAnsi="Arial" w:cs="Arial"/>
          <w:b/>
          <w:bCs/>
          <w:sz w:val="24"/>
          <w:szCs w:val="24"/>
        </w:rPr>
        <w:t xml:space="preserve"> </w:t>
      </w:r>
    </w:p>
    <w:p w14:paraId="5B1C2E8D" w14:textId="749C5E0F" w:rsidR="00ED0EF7" w:rsidRPr="00ED0EF7" w:rsidRDefault="00ED0EF7" w:rsidP="00ED0EF7">
      <w:pPr>
        <w:spacing w:line="360" w:lineRule="auto"/>
        <w:jc w:val="both"/>
        <w:rPr>
          <w:rFonts w:ascii="Arial" w:hAnsi="Arial" w:cs="Arial"/>
        </w:rPr>
      </w:pPr>
      <w:r w:rsidRPr="00ED0EF7">
        <w:rPr>
          <w:rFonts w:ascii="Arial" w:hAnsi="Arial" w:cs="Arial"/>
        </w:rPr>
        <w:t>Critical Reflection</w:t>
      </w:r>
      <w:r w:rsidR="00A34483">
        <w:rPr>
          <w:rFonts w:ascii="Arial" w:hAnsi="Arial" w:cs="Arial"/>
        </w:rPr>
        <w:t xml:space="preserve"> on Lead</w:t>
      </w:r>
      <w:r w:rsidR="00C26759">
        <w:rPr>
          <w:rFonts w:ascii="Arial" w:hAnsi="Arial" w:cs="Arial"/>
        </w:rPr>
        <w:t>ership Style’s</w:t>
      </w:r>
    </w:p>
    <w:p w14:paraId="6332AF43" w14:textId="77777777" w:rsidR="00ED0EF7" w:rsidRPr="00ED0EF7" w:rsidRDefault="00ED0EF7" w:rsidP="00ED0EF7">
      <w:pPr>
        <w:spacing w:line="360" w:lineRule="auto"/>
        <w:jc w:val="both"/>
        <w:rPr>
          <w:rFonts w:ascii="Arial" w:hAnsi="Arial" w:cs="Arial"/>
        </w:rPr>
      </w:pPr>
      <w:r w:rsidRPr="00ED0EF7">
        <w:rPr>
          <w:rFonts w:ascii="Arial" w:hAnsi="Arial" w:cs="Arial"/>
        </w:rPr>
        <w:t>Each leader’s style reflected their country’s political structure and cultural expectations but not without trade-offs. Sánchez’s pivot from autocratic to laissez-faire leadership demonstrated political pragmatism, but it also exposed Spain’s weak coordination mechanisms and digital infrastructure. His failure to sustain a unified national strategy led to fragmented containment, eroding public trust.</w:t>
      </w:r>
    </w:p>
    <w:p w14:paraId="2A7A8797" w14:textId="77777777" w:rsidR="00ED0EF7" w:rsidRPr="00ED0EF7" w:rsidRDefault="00ED0EF7" w:rsidP="00ED0EF7">
      <w:pPr>
        <w:spacing w:line="360" w:lineRule="auto"/>
        <w:jc w:val="both"/>
        <w:rPr>
          <w:rFonts w:ascii="Arial" w:hAnsi="Arial" w:cs="Arial"/>
        </w:rPr>
      </w:pPr>
      <w:r w:rsidRPr="00ED0EF7">
        <w:rPr>
          <w:rFonts w:ascii="Arial" w:hAnsi="Arial" w:cs="Arial"/>
        </w:rPr>
        <w:t>In contrast, Moon Jae-in’s directive leadership style was a success story. It facilitated swift and centralised action, leading to strong health outcomes. However, his reliance on surveillance and the limited input from opposition groups raised concerns about civil liberties and democratic oversight. His success was context-dependent, enabled by South Korea’s collectivist culture and institutional trust.</w:t>
      </w:r>
    </w:p>
    <w:p w14:paraId="39B07510" w14:textId="77777777" w:rsidR="00ED0EF7" w:rsidRPr="00ED0EF7" w:rsidRDefault="00ED0EF7" w:rsidP="00ED0EF7">
      <w:pPr>
        <w:spacing w:line="360" w:lineRule="auto"/>
        <w:jc w:val="both"/>
        <w:rPr>
          <w:rFonts w:ascii="Arial" w:hAnsi="Arial" w:cs="Arial"/>
        </w:rPr>
      </w:pPr>
      <w:r w:rsidRPr="00ED0EF7">
        <w:rPr>
          <w:rFonts w:ascii="Arial" w:hAnsi="Arial" w:cs="Arial"/>
        </w:rPr>
        <w:t>Trudeau’s democratic and inclusive approach, although lacking the decisiveness needed in a fast-moving crisis, fostered public trust and respected provincial autonomy. His leadership underscored the importance of consensus-based governance in emergencies, where speed and uniformity are often crucial.</w:t>
      </w:r>
    </w:p>
    <w:p w14:paraId="777CD44F" w14:textId="731DD994" w:rsidR="00ED0EF7" w:rsidRDefault="00ED0EF7" w:rsidP="00ED0EF7">
      <w:pPr>
        <w:spacing w:line="360" w:lineRule="auto"/>
        <w:jc w:val="both"/>
        <w:rPr>
          <w:rFonts w:ascii="Arial" w:hAnsi="Arial" w:cs="Arial"/>
        </w:rPr>
      </w:pPr>
      <w:r w:rsidRPr="00ED0EF7">
        <w:rPr>
          <w:rFonts w:ascii="Arial" w:hAnsi="Arial" w:cs="Arial"/>
        </w:rPr>
        <w:t>Ultimately, the comparison underscores that no single leadership style is universally effective. It highlights the urgent need for adaptive leadership, capable of shifting between command and collaboration, in navigating prolonged, complex crises like a pandemic.</w:t>
      </w:r>
      <w:r w:rsidR="00AC2C30">
        <w:rPr>
          <w:rFonts w:ascii="Arial" w:hAnsi="Arial" w:cs="Arial"/>
        </w:rPr>
        <w:t xml:space="preserve"> </w:t>
      </w:r>
      <w:r w:rsidRPr="00ED0EF7">
        <w:rPr>
          <w:rFonts w:ascii="Arial" w:hAnsi="Arial" w:cs="Arial"/>
        </w:rPr>
        <w:t>Leaders must strike a balance between decisiveness and inclusivity, as well as central authority and local responsiveness, to effectively navigate future public health emergencies.</w:t>
      </w:r>
    </w:p>
    <w:p w14:paraId="45FBBEA2" w14:textId="77777777" w:rsidR="00ED0EF7" w:rsidRDefault="00ED0EF7" w:rsidP="00121661">
      <w:pPr>
        <w:spacing w:line="360" w:lineRule="auto"/>
        <w:jc w:val="both"/>
        <w:rPr>
          <w:rFonts w:ascii="Arial" w:hAnsi="Arial" w:cs="Arial"/>
        </w:rPr>
      </w:pPr>
    </w:p>
    <w:p w14:paraId="0BA83696" w14:textId="77777777" w:rsidR="00ED0EF7" w:rsidRDefault="00ED0EF7" w:rsidP="00121661">
      <w:pPr>
        <w:spacing w:line="360" w:lineRule="auto"/>
        <w:jc w:val="both"/>
        <w:rPr>
          <w:rFonts w:ascii="Arial" w:hAnsi="Arial" w:cs="Arial"/>
        </w:rPr>
      </w:pPr>
    </w:p>
    <w:p w14:paraId="51C58D30" w14:textId="77777777" w:rsidR="00ED0EF7" w:rsidRDefault="00ED0EF7" w:rsidP="00121661">
      <w:pPr>
        <w:spacing w:line="360" w:lineRule="auto"/>
        <w:jc w:val="both"/>
        <w:rPr>
          <w:rFonts w:ascii="Arial" w:hAnsi="Arial" w:cs="Arial"/>
        </w:rPr>
      </w:pPr>
    </w:p>
    <w:p w14:paraId="2989DCBC" w14:textId="77777777" w:rsidR="00ED0EF7" w:rsidRDefault="00ED0EF7" w:rsidP="00121661">
      <w:pPr>
        <w:spacing w:line="360" w:lineRule="auto"/>
        <w:jc w:val="both"/>
        <w:rPr>
          <w:rFonts w:ascii="Arial" w:hAnsi="Arial" w:cs="Arial"/>
        </w:rPr>
      </w:pPr>
    </w:p>
    <w:p w14:paraId="187E5AC7" w14:textId="77777777" w:rsidR="00ED0EF7" w:rsidRDefault="00ED0EF7" w:rsidP="00121661">
      <w:pPr>
        <w:spacing w:line="360" w:lineRule="auto"/>
        <w:jc w:val="both"/>
        <w:rPr>
          <w:rFonts w:ascii="Arial" w:hAnsi="Arial" w:cs="Arial"/>
        </w:rPr>
      </w:pPr>
    </w:p>
    <w:p w14:paraId="74CA5DAC" w14:textId="77777777" w:rsidR="00ED0EF7" w:rsidRDefault="00ED0EF7" w:rsidP="00121661">
      <w:pPr>
        <w:spacing w:line="360" w:lineRule="auto"/>
        <w:jc w:val="both"/>
        <w:rPr>
          <w:rFonts w:ascii="Arial" w:hAnsi="Arial" w:cs="Arial"/>
        </w:rPr>
      </w:pPr>
    </w:p>
    <w:p w14:paraId="35A60AB0" w14:textId="77777777" w:rsidR="00ED0EF7" w:rsidRDefault="00ED0EF7" w:rsidP="00121661">
      <w:pPr>
        <w:spacing w:line="360" w:lineRule="auto"/>
        <w:jc w:val="both"/>
        <w:rPr>
          <w:rFonts w:ascii="Arial" w:hAnsi="Arial" w:cs="Arial"/>
        </w:rPr>
      </w:pPr>
    </w:p>
    <w:p w14:paraId="75D6D081" w14:textId="77777777" w:rsidR="00ED0EF7" w:rsidRDefault="00ED0EF7" w:rsidP="00121661">
      <w:pPr>
        <w:spacing w:line="360" w:lineRule="auto"/>
        <w:jc w:val="both"/>
        <w:rPr>
          <w:rFonts w:ascii="Arial" w:hAnsi="Arial" w:cs="Arial"/>
        </w:rPr>
      </w:pPr>
    </w:p>
    <w:p w14:paraId="53827345" w14:textId="77777777" w:rsidR="00ED0EF7" w:rsidRPr="003D65B8" w:rsidRDefault="00ED0EF7" w:rsidP="00121661">
      <w:pPr>
        <w:spacing w:line="360" w:lineRule="auto"/>
        <w:jc w:val="both"/>
        <w:rPr>
          <w:rFonts w:ascii="Arial" w:hAnsi="Arial" w:cs="Arial"/>
        </w:rPr>
      </w:pPr>
    </w:p>
    <w:sectPr w:rsidR="00ED0EF7" w:rsidRPr="003D65B8" w:rsidSect="00530F12">
      <w:footerReference w:type="default" r:id="rId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BA583" w14:textId="77777777" w:rsidR="00A83CB4" w:rsidRDefault="00A83CB4" w:rsidP="00F10615">
      <w:pPr>
        <w:spacing w:after="0" w:line="240" w:lineRule="auto"/>
      </w:pPr>
      <w:r>
        <w:separator/>
      </w:r>
    </w:p>
  </w:endnote>
  <w:endnote w:type="continuationSeparator" w:id="0">
    <w:p w14:paraId="7EDA0E49" w14:textId="77777777" w:rsidR="00A83CB4" w:rsidRDefault="00A83CB4" w:rsidP="00F10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8120957"/>
      <w:docPartObj>
        <w:docPartGallery w:val="Page Numbers (Bottom of Page)"/>
        <w:docPartUnique/>
      </w:docPartObj>
    </w:sdtPr>
    <w:sdtEndPr>
      <w:rPr>
        <w:noProof/>
      </w:rPr>
    </w:sdtEndPr>
    <w:sdtContent>
      <w:p w14:paraId="08AEAE2A" w14:textId="4157A37D" w:rsidR="00F10615" w:rsidRDefault="00F106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B17253" w14:textId="77777777" w:rsidR="00F10615" w:rsidRDefault="00F10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9E1A0" w14:textId="77777777" w:rsidR="00A83CB4" w:rsidRDefault="00A83CB4" w:rsidP="00F10615">
      <w:pPr>
        <w:spacing w:after="0" w:line="240" w:lineRule="auto"/>
      </w:pPr>
      <w:r>
        <w:separator/>
      </w:r>
    </w:p>
  </w:footnote>
  <w:footnote w:type="continuationSeparator" w:id="0">
    <w:p w14:paraId="19EE9015" w14:textId="77777777" w:rsidR="00A83CB4" w:rsidRDefault="00A83CB4" w:rsidP="00F106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CA0AD7"/>
    <w:multiLevelType w:val="multilevel"/>
    <w:tmpl w:val="08D2DEE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30810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CE8"/>
    <w:rsid w:val="0000084C"/>
    <w:rsid w:val="00005D5D"/>
    <w:rsid w:val="000234D0"/>
    <w:rsid w:val="0002489B"/>
    <w:rsid w:val="00031ACA"/>
    <w:rsid w:val="00051CE1"/>
    <w:rsid w:val="0006291E"/>
    <w:rsid w:val="00065445"/>
    <w:rsid w:val="00070796"/>
    <w:rsid w:val="0007347B"/>
    <w:rsid w:val="00073481"/>
    <w:rsid w:val="00087C66"/>
    <w:rsid w:val="00095B7C"/>
    <w:rsid w:val="000B6686"/>
    <w:rsid w:val="000C0B28"/>
    <w:rsid w:val="000D106A"/>
    <w:rsid w:val="000D2965"/>
    <w:rsid w:val="000F2603"/>
    <w:rsid w:val="00106A16"/>
    <w:rsid w:val="0011776D"/>
    <w:rsid w:val="00120AA4"/>
    <w:rsid w:val="00121661"/>
    <w:rsid w:val="00122A93"/>
    <w:rsid w:val="00132164"/>
    <w:rsid w:val="001324F3"/>
    <w:rsid w:val="00141E29"/>
    <w:rsid w:val="0015329F"/>
    <w:rsid w:val="001564A0"/>
    <w:rsid w:val="00157046"/>
    <w:rsid w:val="00160302"/>
    <w:rsid w:val="00162EB8"/>
    <w:rsid w:val="00166A3F"/>
    <w:rsid w:val="0017246C"/>
    <w:rsid w:val="00173F65"/>
    <w:rsid w:val="00181E30"/>
    <w:rsid w:val="00183E07"/>
    <w:rsid w:val="001A778D"/>
    <w:rsid w:val="001B1731"/>
    <w:rsid w:val="001B3645"/>
    <w:rsid w:val="001B3687"/>
    <w:rsid w:val="001C224C"/>
    <w:rsid w:val="001C39F1"/>
    <w:rsid w:val="001C50C3"/>
    <w:rsid w:val="001C7A0E"/>
    <w:rsid w:val="001D0247"/>
    <w:rsid w:val="001D30EA"/>
    <w:rsid w:val="001D7163"/>
    <w:rsid w:val="001D766D"/>
    <w:rsid w:val="001F40D8"/>
    <w:rsid w:val="001F7FAE"/>
    <w:rsid w:val="0020226C"/>
    <w:rsid w:val="00210ECA"/>
    <w:rsid w:val="002171E7"/>
    <w:rsid w:val="00220B3C"/>
    <w:rsid w:val="0022129C"/>
    <w:rsid w:val="00231603"/>
    <w:rsid w:val="002353E8"/>
    <w:rsid w:val="002405C6"/>
    <w:rsid w:val="00252B71"/>
    <w:rsid w:val="00255406"/>
    <w:rsid w:val="00267AE5"/>
    <w:rsid w:val="00287C58"/>
    <w:rsid w:val="002A06D5"/>
    <w:rsid w:val="002A2BC4"/>
    <w:rsid w:val="002A568E"/>
    <w:rsid w:val="002B1316"/>
    <w:rsid w:val="002B3B47"/>
    <w:rsid w:val="002B65C9"/>
    <w:rsid w:val="002C4672"/>
    <w:rsid w:val="002C6837"/>
    <w:rsid w:val="002C6901"/>
    <w:rsid w:val="002C6E12"/>
    <w:rsid w:val="002D3383"/>
    <w:rsid w:val="002E6A73"/>
    <w:rsid w:val="002F7663"/>
    <w:rsid w:val="0030053F"/>
    <w:rsid w:val="00307445"/>
    <w:rsid w:val="00313774"/>
    <w:rsid w:val="00322998"/>
    <w:rsid w:val="00331581"/>
    <w:rsid w:val="0033363B"/>
    <w:rsid w:val="003360FD"/>
    <w:rsid w:val="00344740"/>
    <w:rsid w:val="00347288"/>
    <w:rsid w:val="0037025D"/>
    <w:rsid w:val="003727BB"/>
    <w:rsid w:val="00372CE8"/>
    <w:rsid w:val="003744F8"/>
    <w:rsid w:val="00383CCA"/>
    <w:rsid w:val="0038777C"/>
    <w:rsid w:val="00394734"/>
    <w:rsid w:val="003A6363"/>
    <w:rsid w:val="003B1278"/>
    <w:rsid w:val="003B7353"/>
    <w:rsid w:val="003C2403"/>
    <w:rsid w:val="003C2BAD"/>
    <w:rsid w:val="003C3ACB"/>
    <w:rsid w:val="003C7A8D"/>
    <w:rsid w:val="003D0104"/>
    <w:rsid w:val="003D65B8"/>
    <w:rsid w:val="003D6B53"/>
    <w:rsid w:val="003E038B"/>
    <w:rsid w:val="003E0E83"/>
    <w:rsid w:val="003E1D1E"/>
    <w:rsid w:val="003E22C7"/>
    <w:rsid w:val="003E6EAB"/>
    <w:rsid w:val="004062A7"/>
    <w:rsid w:val="00407001"/>
    <w:rsid w:val="00417267"/>
    <w:rsid w:val="004200E4"/>
    <w:rsid w:val="004209D7"/>
    <w:rsid w:val="004404F7"/>
    <w:rsid w:val="00442DA4"/>
    <w:rsid w:val="00443F9C"/>
    <w:rsid w:val="00450554"/>
    <w:rsid w:val="00466419"/>
    <w:rsid w:val="00475593"/>
    <w:rsid w:val="00477B42"/>
    <w:rsid w:val="00485A2F"/>
    <w:rsid w:val="0048623B"/>
    <w:rsid w:val="00492D59"/>
    <w:rsid w:val="004A2189"/>
    <w:rsid w:val="004B08E8"/>
    <w:rsid w:val="004B2124"/>
    <w:rsid w:val="004B5377"/>
    <w:rsid w:val="004C2A92"/>
    <w:rsid w:val="004C515B"/>
    <w:rsid w:val="004C79F5"/>
    <w:rsid w:val="004D0516"/>
    <w:rsid w:val="004D5B57"/>
    <w:rsid w:val="004F06ED"/>
    <w:rsid w:val="005073B9"/>
    <w:rsid w:val="0051613D"/>
    <w:rsid w:val="00524DA6"/>
    <w:rsid w:val="00530F12"/>
    <w:rsid w:val="00534A24"/>
    <w:rsid w:val="005375B8"/>
    <w:rsid w:val="00537E31"/>
    <w:rsid w:val="005448FC"/>
    <w:rsid w:val="005468A2"/>
    <w:rsid w:val="0055063A"/>
    <w:rsid w:val="00552843"/>
    <w:rsid w:val="0055459C"/>
    <w:rsid w:val="00562C53"/>
    <w:rsid w:val="00563859"/>
    <w:rsid w:val="00575143"/>
    <w:rsid w:val="00576617"/>
    <w:rsid w:val="00591F16"/>
    <w:rsid w:val="00597C49"/>
    <w:rsid w:val="005A0EC4"/>
    <w:rsid w:val="005B0F1E"/>
    <w:rsid w:val="005B23C7"/>
    <w:rsid w:val="005B6881"/>
    <w:rsid w:val="005C45A9"/>
    <w:rsid w:val="005C5B2B"/>
    <w:rsid w:val="005C736B"/>
    <w:rsid w:val="005D72B2"/>
    <w:rsid w:val="005D73D2"/>
    <w:rsid w:val="005F6058"/>
    <w:rsid w:val="00610CFA"/>
    <w:rsid w:val="0061193B"/>
    <w:rsid w:val="00611BAB"/>
    <w:rsid w:val="00613139"/>
    <w:rsid w:val="00614A69"/>
    <w:rsid w:val="00614BF3"/>
    <w:rsid w:val="006270B6"/>
    <w:rsid w:val="00631371"/>
    <w:rsid w:val="00631A7D"/>
    <w:rsid w:val="0064180D"/>
    <w:rsid w:val="00652F53"/>
    <w:rsid w:val="0066231B"/>
    <w:rsid w:val="006716C2"/>
    <w:rsid w:val="006733D7"/>
    <w:rsid w:val="00686D9F"/>
    <w:rsid w:val="00693145"/>
    <w:rsid w:val="006A2858"/>
    <w:rsid w:val="006A5C1D"/>
    <w:rsid w:val="006B02A6"/>
    <w:rsid w:val="006B1795"/>
    <w:rsid w:val="006B6409"/>
    <w:rsid w:val="006C61F6"/>
    <w:rsid w:val="006D06DA"/>
    <w:rsid w:val="006E60A3"/>
    <w:rsid w:val="00702A2C"/>
    <w:rsid w:val="00706DA0"/>
    <w:rsid w:val="007166B8"/>
    <w:rsid w:val="00727B6E"/>
    <w:rsid w:val="0073099A"/>
    <w:rsid w:val="00741957"/>
    <w:rsid w:val="0075559E"/>
    <w:rsid w:val="0075797C"/>
    <w:rsid w:val="007854E1"/>
    <w:rsid w:val="0078623E"/>
    <w:rsid w:val="00796702"/>
    <w:rsid w:val="00796F82"/>
    <w:rsid w:val="007A3D7D"/>
    <w:rsid w:val="007A6A2A"/>
    <w:rsid w:val="007A7DE4"/>
    <w:rsid w:val="007C03EA"/>
    <w:rsid w:val="007C1B47"/>
    <w:rsid w:val="007D0652"/>
    <w:rsid w:val="007D3A66"/>
    <w:rsid w:val="007D76EA"/>
    <w:rsid w:val="007E2112"/>
    <w:rsid w:val="007F0171"/>
    <w:rsid w:val="007F2AA9"/>
    <w:rsid w:val="007F50FA"/>
    <w:rsid w:val="007F57A2"/>
    <w:rsid w:val="00810C81"/>
    <w:rsid w:val="00812A16"/>
    <w:rsid w:val="00815DB2"/>
    <w:rsid w:val="008164F2"/>
    <w:rsid w:val="00824E92"/>
    <w:rsid w:val="0082551D"/>
    <w:rsid w:val="00830477"/>
    <w:rsid w:val="0083668D"/>
    <w:rsid w:val="0084057D"/>
    <w:rsid w:val="00844A38"/>
    <w:rsid w:val="0084655C"/>
    <w:rsid w:val="00856C3D"/>
    <w:rsid w:val="00861A45"/>
    <w:rsid w:val="00862A00"/>
    <w:rsid w:val="008709F5"/>
    <w:rsid w:val="00873878"/>
    <w:rsid w:val="0088480D"/>
    <w:rsid w:val="00885CA2"/>
    <w:rsid w:val="00890631"/>
    <w:rsid w:val="0089482E"/>
    <w:rsid w:val="008977D6"/>
    <w:rsid w:val="008A454C"/>
    <w:rsid w:val="008A50F8"/>
    <w:rsid w:val="008A58CF"/>
    <w:rsid w:val="008C0324"/>
    <w:rsid w:val="008C1B0F"/>
    <w:rsid w:val="008C56BC"/>
    <w:rsid w:val="008C64C8"/>
    <w:rsid w:val="008D2578"/>
    <w:rsid w:val="008E6DB8"/>
    <w:rsid w:val="008F1BC7"/>
    <w:rsid w:val="008F37EA"/>
    <w:rsid w:val="0090343A"/>
    <w:rsid w:val="00907F6B"/>
    <w:rsid w:val="00910AFA"/>
    <w:rsid w:val="00917BCE"/>
    <w:rsid w:val="009215E3"/>
    <w:rsid w:val="00922B00"/>
    <w:rsid w:val="00933425"/>
    <w:rsid w:val="00933B02"/>
    <w:rsid w:val="00963F86"/>
    <w:rsid w:val="00965D18"/>
    <w:rsid w:val="009817E8"/>
    <w:rsid w:val="00983816"/>
    <w:rsid w:val="00990DAB"/>
    <w:rsid w:val="009A0318"/>
    <w:rsid w:val="009A3CAB"/>
    <w:rsid w:val="009A5E3F"/>
    <w:rsid w:val="009B216C"/>
    <w:rsid w:val="009B5B74"/>
    <w:rsid w:val="009B5EDB"/>
    <w:rsid w:val="009B793F"/>
    <w:rsid w:val="009C08F9"/>
    <w:rsid w:val="009F2C52"/>
    <w:rsid w:val="009F6D9F"/>
    <w:rsid w:val="00A04707"/>
    <w:rsid w:val="00A15312"/>
    <w:rsid w:val="00A17772"/>
    <w:rsid w:val="00A265E5"/>
    <w:rsid w:val="00A343DB"/>
    <w:rsid w:val="00A34483"/>
    <w:rsid w:val="00A35029"/>
    <w:rsid w:val="00A365B4"/>
    <w:rsid w:val="00A37576"/>
    <w:rsid w:val="00A37D11"/>
    <w:rsid w:val="00A7083F"/>
    <w:rsid w:val="00A71072"/>
    <w:rsid w:val="00A7357D"/>
    <w:rsid w:val="00A819C4"/>
    <w:rsid w:val="00A83CB4"/>
    <w:rsid w:val="00A910A3"/>
    <w:rsid w:val="00A93132"/>
    <w:rsid w:val="00A9463F"/>
    <w:rsid w:val="00A9697F"/>
    <w:rsid w:val="00AA0883"/>
    <w:rsid w:val="00AA12B1"/>
    <w:rsid w:val="00AA49B3"/>
    <w:rsid w:val="00AA5976"/>
    <w:rsid w:val="00AB0B36"/>
    <w:rsid w:val="00AB139A"/>
    <w:rsid w:val="00AB49B4"/>
    <w:rsid w:val="00AC1F0B"/>
    <w:rsid w:val="00AC2C30"/>
    <w:rsid w:val="00AC7199"/>
    <w:rsid w:val="00AD147B"/>
    <w:rsid w:val="00AD789D"/>
    <w:rsid w:val="00AF460A"/>
    <w:rsid w:val="00B020F7"/>
    <w:rsid w:val="00B101E9"/>
    <w:rsid w:val="00B20828"/>
    <w:rsid w:val="00B23C7F"/>
    <w:rsid w:val="00B30990"/>
    <w:rsid w:val="00B31676"/>
    <w:rsid w:val="00B318C4"/>
    <w:rsid w:val="00B40789"/>
    <w:rsid w:val="00B45F59"/>
    <w:rsid w:val="00B4768A"/>
    <w:rsid w:val="00B47E9F"/>
    <w:rsid w:val="00B515F2"/>
    <w:rsid w:val="00B53031"/>
    <w:rsid w:val="00B53397"/>
    <w:rsid w:val="00B649D3"/>
    <w:rsid w:val="00B721C8"/>
    <w:rsid w:val="00B8797D"/>
    <w:rsid w:val="00BA59DA"/>
    <w:rsid w:val="00BB1D9E"/>
    <w:rsid w:val="00BB26FA"/>
    <w:rsid w:val="00BB68EB"/>
    <w:rsid w:val="00BB7D76"/>
    <w:rsid w:val="00BD09F6"/>
    <w:rsid w:val="00BD67AD"/>
    <w:rsid w:val="00BD6AB9"/>
    <w:rsid w:val="00BD7377"/>
    <w:rsid w:val="00BD74DF"/>
    <w:rsid w:val="00C109D5"/>
    <w:rsid w:val="00C1762D"/>
    <w:rsid w:val="00C20E96"/>
    <w:rsid w:val="00C26759"/>
    <w:rsid w:val="00C3406D"/>
    <w:rsid w:val="00C3648D"/>
    <w:rsid w:val="00C44A4C"/>
    <w:rsid w:val="00C52F83"/>
    <w:rsid w:val="00C6599D"/>
    <w:rsid w:val="00C84CE1"/>
    <w:rsid w:val="00CA0D64"/>
    <w:rsid w:val="00CA5B31"/>
    <w:rsid w:val="00CB1509"/>
    <w:rsid w:val="00CB6122"/>
    <w:rsid w:val="00CC1D88"/>
    <w:rsid w:val="00CC3372"/>
    <w:rsid w:val="00CC428E"/>
    <w:rsid w:val="00CC79B0"/>
    <w:rsid w:val="00CD366E"/>
    <w:rsid w:val="00CE394D"/>
    <w:rsid w:val="00CE599B"/>
    <w:rsid w:val="00CF1DCC"/>
    <w:rsid w:val="00CF492B"/>
    <w:rsid w:val="00CF4FDE"/>
    <w:rsid w:val="00CF5C4C"/>
    <w:rsid w:val="00D00CD1"/>
    <w:rsid w:val="00D07AD2"/>
    <w:rsid w:val="00D2057B"/>
    <w:rsid w:val="00D227E4"/>
    <w:rsid w:val="00D26F25"/>
    <w:rsid w:val="00D40A01"/>
    <w:rsid w:val="00D4557E"/>
    <w:rsid w:val="00D4572F"/>
    <w:rsid w:val="00D46142"/>
    <w:rsid w:val="00D52A5F"/>
    <w:rsid w:val="00D55D0C"/>
    <w:rsid w:val="00D71A49"/>
    <w:rsid w:val="00D917FF"/>
    <w:rsid w:val="00DA7261"/>
    <w:rsid w:val="00DC4589"/>
    <w:rsid w:val="00DD058D"/>
    <w:rsid w:val="00DD2A7C"/>
    <w:rsid w:val="00DD7B12"/>
    <w:rsid w:val="00E01600"/>
    <w:rsid w:val="00E0231C"/>
    <w:rsid w:val="00E03295"/>
    <w:rsid w:val="00E06158"/>
    <w:rsid w:val="00E10AF6"/>
    <w:rsid w:val="00E13E3C"/>
    <w:rsid w:val="00E20540"/>
    <w:rsid w:val="00E2217A"/>
    <w:rsid w:val="00E241A4"/>
    <w:rsid w:val="00E30094"/>
    <w:rsid w:val="00E36E3C"/>
    <w:rsid w:val="00E4408D"/>
    <w:rsid w:val="00E543EC"/>
    <w:rsid w:val="00E54DE1"/>
    <w:rsid w:val="00E55C4D"/>
    <w:rsid w:val="00E55CA4"/>
    <w:rsid w:val="00E620CE"/>
    <w:rsid w:val="00E62578"/>
    <w:rsid w:val="00E6694C"/>
    <w:rsid w:val="00E704BF"/>
    <w:rsid w:val="00E71286"/>
    <w:rsid w:val="00E7198B"/>
    <w:rsid w:val="00E84856"/>
    <w:rsid w:val="00EA670A"/>
    <w:rsid w:val="00EB3FCF"/>
    <w:rsid w:val="00EB4697"/>
    <w:rsid w:val="00EC286A"/>
    <w:rsid w:val="00EC320B"/>
    <w:rsid w:val="00EC3B74"/>
    <w:rsid w:val="00EC695A"/>
    <w:rsid w:val="00EC7999"/>
    <w:rsid w:val="00ED0EF7"/>
    <w:rsid w:val="00ED27E1"/>
    <w:rsid w:val="00EF1FCE"/>
    <w:rsid w:val="00F10615"/>
    <w:rsid w:val="00F130D7"/>
    <w:rsid w:val="00F17489"/>
    <w:rsid w:val="00F17941"/>
    <w:rsid w:val="00F27F79"/>
    <w:rsid w:val="00F34F30"/>
    <w:rsid w:val="00F374F1"/>
    <w:rsid w:val="00F3756B"/>
    <w:rsid w:val="00F40ACC"/>
    <w:rsid w:val="00F41694"/>
    <w:rsid w:val="00F426C6"/>
    <w:rsid w:val="00F42A9D"/>
    <w:rsid w:val="00F42D29"/>
    <w:rsid w:val="00F53F99"/>
    <w:rsid w:val="00F5592D"/>
    <w:rsid w:val="00F710D1"/>
    <w:rsid w:val="00F71EFE"/>
    <w:rsid w:val="00F734E1"/>
    <w:rsid w:val="00F83EA1"/>
    <w:rsid w:val="00FA4FA3"/>
    <w:rsid w:val="00FA74D9"/>
    <w:rsid w:val="00FB1915"/>
    <w:rsid w:val="00FC148D"/>
    <w:rsid w:val="00FC1E79"/>
    <w:rsid w:val="00FD04DC"/>
    <w:rsid w:val="00FD6254"/>
    <w:rsid w:val="00FD68BE"/>
    <w:rsid w:val="00FE0ECE"/>
    <w:rsid w:val="00FE3BF0"/>
    <w:rsid w:val="00FF03AC"/>
    <w:rsid w:val="00FF6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F8972"/>
  <w15:chartTrackingRefBased/>
  <w15:docId w15:val="{588C3172-9F4D-40DA-98E9-99CAB39EA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77C"/>
  </w:style>
  <w:style w:type="paragraph" w:styleId="Heading1">
    <w:name w:val="heading 1"/>
    <w:basedOn w:val="Normal"/>
    <w:next w:val="Normal"/>
    <w:link w:val="Heading1Char"/>
    <w:uiPriority w:val="9"/>
    <w:qFormat/>
    <w:rsid w:val="00372C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2C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2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2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2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2C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2C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2C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2C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C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2C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2C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2C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2C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2C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2C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2C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2CE8"/>
    <w:rPr>
      <w:rFonts w:eastAsiaTheme="majorEastAsia" w:cstheme="majorBidi"/>
      <w:color w:val="272727" w:themeColor="text1" w:themeTint="D8"/>
    </w:rPr>
  </w:style>
  <w:style w:type="paragraph" w:styleId="Title">
    <w:name w:val="Title"/>
    <w:basedOn w:val="Normal"/>
    <w:next w:val="Normal"/>
    <w:link w:val="TitleChar"/>
    <w:uiPriority w:val="10"/>
    <w:qFormat/>
    <w:rsid w:val="00372C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C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C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2CE8"/>
    <w:pPr>
      <w:spacing w:before="160"/>
      <w:jc w:val="center"/>
    </w:pPr>
    <w:rPr>
      <w:i/>
      <w:iCs/>
      <w:color w:val="404040" w:themeColor="text1" w:themeTint="BF"/>
    </w:rPr>
  </w:style>
  <w:style w:type="character" w:customStyle="1" w:styleId="QuoteChar">
    <w:name w:val="Quote Char"/>
    <w:basedOn w:val="DefaultParagraphFont"/>
    <w:link w:val="Quote"/>
    <w:uiPriority w:val="29"/>
    <w:rsid w:val="00372CE8"/>
    <w:rPr>
      <w:i/>
      <w:iCs/>
      <w:color w:val="404040" w:themeColor="text1" w:themeTint="BF"/>
    </w:rPr>
  </w:style>
  <w:style w:type="paragraph" w:styleId="ListParagraph">
    <w:name w:val="List Paragraph"/>
    <w:basedOn w:val="Normal"/>
    <w:uiPriority w:val="34"/>
    <w:qFormat/>
    <w:rsid w:val="00372CE8"/>
    <w:pPr>
      <w:ind w:left="720"/>
      <w:contextualSpacing/>
    </w:pPr>
  </w:style>
  <w:style w:type="character" w:styleId="IntenseEmphasis">
    <w:name w:val="Intense Emphasis"/>
    <w:basedOn w:val="DefaultParagraphFont"/>
    <w:uiPriority w:val="21"/>
    <w:qFormat/>
    <w:rsid w:val="00372CE8"/>
    <w:rPr>
      <w:i/>
      <w:iCs/>
      <w:color w:val="0F4761" w:themeColor="accent1" w:themeShade="BF"/>
    </w:rPr>
  </w:style>
  <w:style w:type="paragraph" w:styleId="IntenseQuote">
    <w:name w:val="Intense Quote"/>
    <w:basedOn w:val="Normal"/>
    <w:next w:val="Normal"/>
    <w:link w:val="IntenseQuoteChar"/>
    <w:uiPriority w:val="30"/>
    <w:qFormat/>
    <w:rsid w:val="00372C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2CE8"/>
    <w:rPr>
      <w:i/>
      <w:iCs/>
      <w:color w:val="0F4761" w:themeColor="accent1" w:themeShade="BF"/>
    </w:rPr>
  </w:style>
  <w:style w:type="character" w:styleId="IntenseReference">
    <w:name w:val="Intense Reference"/>
    <w:basedOn w:val="DefaultParagraphFont"/>
    <w:uiPriority w:val="32"/>
    <w:qFormat/>
    <w:rsid w:val="00372CE8"/>
    <w:rPr>
      <w:b/>
      <w:bCs/>
      <w:smallCaps/>
      <w:color w:val="0F4761" w:themeColor="accent1" w:themeShade="BF"/>
      <w:spacing w:val="5"/>
    </w:rPr>
  </w:style>
  <w:style w:type="paragraph" w:styleId="Header">
    <w:name w:val="header"/>
    <w:basedOn w:val="Normal"/>
    <w:link w:val="HeaderChar"/>
    <w:uiPriority w:val="99"/>
    <w:unhideWhenUsed/>
    <w:rsid w:val="00F106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615"/>
  </w:style>
  <w:style w:type="paragraph" w:styleId="Footer">
    <w:name w:val="footer"/>
    <w:basedOn w:val="Normal"/>
    <w:link w:val="FooterChar"/>
    <w:uiPriority w:val="99"/>
    <w:unhideWhenUsed/>
    <w:rsid w:val="00F10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615"/>
  </w:style>
  <w:style w:type="paragraph" w:styleId="NoSpacing">
    <w:name w:val="No Spacing"/>
    <w:uiPriority w:val="1"/>
    <w:qFormat/>
    <w:rsid w:val="00530F12"/>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F53F9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53F9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F53F9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53F99"/>
    <w:pPr>
      <w:spacing w:after="100"/>
      <w:ind w:left="440"/>
    </w:pPr>
    <w:rPr>
      <w:rFonts w:eastAsiaTheme="minorEastAsia" w:cs="Times New Roman"/>
      <w:kern w:val="0"/>
      <w:lang w:val="en-US"/>
      <w14:ligatures w14:val="none"/>
    </w:rPr>
  </w:style>
  <w:style w:type="table" w:styleId="TableGrid">
    <w:name w:val="Table Grid"/>
    <w:basedOn w:val="TableNormal"/>
    <w:uiPriority w:val="39"/>
    <w:rsid w:val="00231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4BF3"/>
    <w:rPr>
      <w:color w:val="467886" w:themeColor="hyperlink"/>
      <w:u w:val="single"/>
    </w:rPr>
  </w:style>
  <w:style w:type="character" w:styleId="UnresolvedMention">
    <w:name w:val="Unresolved Mention"/>
    <w:basedOn w:val="DefaultParagraphFont"/>
    <w:uiPriority w:val="99"/>
    <w:semiHidden/>
    <w:unhideWhenUsed/>
    <w:rsid w:val="00FD62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21622671.2022.2101513" TargetMode="External"/><Relationship Id="rId21" Type="http://schemas.openxmlformats.org/officeDocument/2006/relationships/image" Target="media/image12.png"/><Relationship Id="rId42" Type="http://schemas.openxmlformats.org/officeDocument/2006/relationships/hyperlink" Target="https://globalnews.ca/news/8001907/inside-trudeaus-premiers-meetings-new-records-reveal-pms-strategy-on-issues-from-biden-to-covid/" TargetMode="External"/><Relationship Id="rId47" Type="http://schemas.openxmlformats.org/officeDocument/2006/relationships/hyperlink" Target="https://doi.org/10.1186/s12889-024-19655-8" TargetMode="External"/><Relationship Id="rId63" Type="http://schemas.openxmlformats.org/officeDocument/2006/relationships/hyperlink" Target="https://www.hcamag.com/ca/news/general/trudeau-to-cerb-recipients-no-one-will-be-left-behind/229852" TargetMode="External"/><Relationship Id="rId68" Type="http://schemas.openxmlformats.org/officeDocument/2006/relationships/hyperlink" Target="https://doi.org/10.3390/healthcare13030258" TargetMode="Externa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hyperlink" Target="https://doi.org/10.1002/sdr.4260100207" TargetMode="External"/><Relationship Id="rId37" Type="http://schemas.openxmlformats.org/officeDocument/2006/relationships/hyperlink" Target="https://doi.org/10.1007/s10198-021-01390-1" TargetMode="External"/><Relationship Id="rId53" Type="http://schemas.openxmlformats.org/officeDocument/2006/relationships/hyperlink" Target="https://www.leadershipsuccess.co/leadership-styles/lewins-leadership-styles" TargetMode="External"/><Relationship Id="rId58" Type="http://schemas.openxmlformats.org/officeDocument/2006/relationships/hyperlink" Target="https://ourworldindata.org/excess-mortality-covid" TargetMode="External"/><Relationship Id="rId74" Type="http://schemas.openxmlformats.org/officeDocument/2006/relationships/hyperlink" Target="https://blogs.worldbank.org/en/health/learning-south-korea-building-resilient-health-systems-pandemic-preparedness" TargetMode="External"/><Relationship Id="rId79" Type="http://schemas.openxmlformats.org/officeDocument/2006/relationships/footer" Target="footer1.xml"/><Relationship Id="rId5" Type="http://schemas.openxmlformats.org/officeDocument/2006/relationships/styles" Target="styles.xml"/><Relationship Id="rId61" Type="http://schemas.openxmlformats.org/officeDocument/2006/relationships/hyperlink" Target="https://doi.org/101.016/j.cell.2025.03.035" TargetMode="External"/><Relationship Id="rId82"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hyperlink" Target="https://doi.org/10.1093/heapol/czz055" TargetMode="External"/><Relationship Id="rId27" Type="http://schemas.openxmlformats.org/officeDocument/2006/relationships/hyperlink" Target="https://doi.org/10.1136/bmj-2023-075665" TargetMode="External"/><Relationship Id="rId30" Type="http://schemas.openxmlformats.org/officeDocument/2006/relationships/hyperlink" Target="https://www.cbc.ca/news/politics/cerb-covid19-benefits-trudeau-1.5523052" TargetMode="External"/><Relationship Id="rId35" Type="http://schemas.openxmlformats.org/officeDocument/2006/relationships/hyperlink" Target="https://doi.org/10.3389/fpubh.2021.708903" TargetMode="External"/><Relationship Id="rId43" Type="http://schemas.openxmlformats.org/officeDocument/2006/relationships/hyperlink" Target="https://doi.org/10.1080/17441692.2020.1783340" TargetMode="External"/><Relationship Id="rId48" Type="http://schemas.openxmlformats.org/officeDocument/2006/relationships/hyperlink" Target="https://www.icnl.org/wp-content/uploads/2024-Korea-Pandemic-Report-vf.pdf" TargetMode="External"/><Relationship Id="rId56" Type="http://schemas.openxmlformats.org/officeDocument/2006/relationships/hyperlink" Target="https://courses.lumenlearning.com/wm-organizationalbehavior/chapter/leadership-styles/" TargetMode="External"/><Relationship Id="rId64" Type="http://schemas.openxmlformats.org/officeDocument/2006/relationships/hyperlink" Target="https://doi.org/10.3389/fpubh.2022.801525" TargetMode="External"/><Relationship Id="rId69" Type="http://schemas.openxmlformats.org/officeDocument/2006/relationships/hyperlink" Target="https://doi.org/10.1093/eurpub/ckad036" TargetMode="External"/><Relationship Id="rId77" Type="http://schemas.openxmlformats.org/officeDocument/2006/relationships/hyperlink" Target="https://www.world" TargetMode="External"/><Relationship Id="rId8" Type="http://schemas.openxmlformats.org/officeDocument/2006/relationships/footnotes" Target="footnotes.xml"/><Relationship Id="rId51" Type="http://schemas.openxmlformats.org/officeDocument/2006/relationships/hyperlink" Target="https://doi.org/10.3346/jkms.2022.37.e356" TargetMode="External"/><Relationship Id="rId72" Type="http://schemas.openxmlformats.org/officeDocument/2006/relationships/hyperlink" Target="https://thedatainsider.com/covid-19-deaths-canada/"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3389/ijph.2024.1606638" TargetMode="External"/><Relationship Id="rId33" Type="http://schemas.openxmlformats.org/officeDocument/2006/relationships/hyperlink" Target="https://www.youtube.com/watch?v=e8IHjPAJewo" TargetMode="External"/><Relationship Id="rId38" Type="http://schemas.openxmlformats.org/officeDocument/2006/relationships/hyperlink" Target="https://english.elpais.com/society/2020-03-14/spain-declares-state-of-alarm-to-tackle-coronavirus-crisis.html" TargetMode="External"/><Relationship Id="rId46" Type="http://schemas.openxmlformats.org/officeDocument/2006/relationships/hyperlink" Target="https://doi.org/10.1177/27551938231165154" TargetMode="External"/><Relationship Id="rId59" Type="http://schemas.openxmlformats.org/officeDocument/2006/relationships/hyperlink" Target="https://doi.org/10.1080/03003930.2022.2042683" TargetMode="External"/><Relationship Id="rId67" Type="http://schemas.openxmlformats.org/officeDocument/2006/relationships/hyperlink" Target="https://www.britannica.com/place/Spain" TargetMode="External"/><Relationship Id="rId20" Type="http://schemas.openxmlformats.org/officeDocument/2006/relationships/image" Target="media/image11.png"/><Relationship Id="rId41" Type="http://schemas.openxmlformats.org/officeDocument/2006/relationships/hyperlink" Target="https://www.politico.eu/article/spain-pedro-sanchez-pushes-regions-responsibility-coronavirus-measures/" TargetMode="External"/><Relationship Id="rId54" Type="http://schemas.openxmlformats.org/officeDocument/2006/relationships/hyperlink" Target="https://doi.org/10.1016/j.lanwpc.2022.100581" TargetMode="External"/><Relationship Id="rId62" Type="http://schemas.openxmlformats.org/officeDocument/2006/relationships/hyperlink" Target="https://www.canada.ca/en/public-health/corporate/transparency/corporate-management-reporting/evaluation/covid-19-response-lessons-learned-summary.html" TargetMode="External"/><Relationship Id="rId70" Type="http://schemas.openxmlformats.org/officeDocument/2006/relationships/hyperlink" Target="https://www.statista.com/statistics/1107079/covid19-deaths-by-province-territory-canada/?srsltid=AfmBOoonPEpI4AXQA6XtxIFRCga7sCNIWmHGvV7IyXotG1MoONKj0qUH" TargetMode="External"/><Relationship Id="rId75" Type="http://schemas.openxmlformats.org/officeDocument/2006/relationships/hyperlink" Target="https://www.worldbank.org/en/olc/course/58259"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doi.org/10.3390/healthcare8010051" TargetMode="External"/><Relationship Id="rId28" Type="http://schemas.openxmlformats.org/officeDocument/2006/relationships/hyperlink" Target="https://www.canada.ca/en/women-gender-equality/commemorations-celebrations/women-impact/stem/theresa-tam.html" TargetMode="External"/><Relationship Id="rId36" Type="http://schemas.openxmlformats.org/officeDocument/2006/relationships/hyperlink" Target="https://doi.org/10.1016/j.iccn.2022.103373" TargetMode="External"/><Relationship Id="rId49" Type="http://schemas.openxmlformats.org/officeDocument/2006/relationships/hyperlink" Target="https://www.iconnectblog.com/emergency-law-in-spain-the-spanish-constitutional-courts-case-law/" TargetMode="External"/><Relationship Id="rId57" Type="http://schemas.openxmlformats.org/officeDocument/2006/relationships/hyperlink" Target="https://doi.org/10.5772/intechopen.1008672" TargetMode="External"/><Relationship Id="rId10" Type="http://schemas.openxmlformats.org/officeDocument/2006/relationships/image" Target="media/image1.jpeg"/><Relationship Id="rId31" Type="http://schemas.openxmlformats.org/officeDocument/2006/relationships/hyperlink" Target="https://www.cbc.ca/news/politics/theresa-tam-leaving-job-1.7560739" TargetMode="External"/><Relationship Id="rId44" Type="http://schemas.openxmlformats.org/officeDocument/2006/relationships/hyperlink" Target="https://apps.who.int/iris/handle/10665/352336" TargetMode="External"/><Relationship Id="rId52" Type="http://schemas.openxmlformats.org/officeDocument/2006/relationships/hyperlink" Target="https://www.lamoncloa.gob.es/lang/en/gobierno/councilministers/Paginas/2020/20200314council-extr.aspx" TargetMode="External"/><Relationship Id="rId60" Type="http://schemas.openxmlformats.org/officeDocument/2006/relationships/hyperlink" Target="https://www.britannica.com/place/SouthKorea" TargetMode="External"/><Relationship Id="rId65" Type="http://schemas.openxmlformats.org/officeDocument/2006/relationships/hyperlink" Target="https://www.simplypsychology.org/leadership-styles.html" TargetMode="External"/><Relationship Id="rId73" Type="http://schemas.openxmlformats.org/officeDocument/2006/relationships/hyperlink" Target="https://publicadministration.desa.un.org/good-practices-for-digital-government/compendium/self-quarantine-safety-protection-app" TargetMode="External"/><Relationship Id="rId78" Type="http://schemas.openxmlformats.org/officeDocument/2006/relationships/hyperlink" Target="https://doi.org/10.1016/j.cell.2021.06.008" TargetMode="External"/><Relationship Id="rId81"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eurohealthobservatory.who.int/publications/i/spain-health-system-review-2024" TargetMode="External"/><Relationship Id="rId34" Type="http://schemas.openxmlformats.org/officeDocument/2006/relationships/hyperlink" Target="https://doi.org/10.1017/S0008423921000372" TargetMode="External"/><Relationship Id="rId50" Type="http://schemas.openxmlformats.org/officeDocument/2006/relationships/hyperlink" Target="https://www.britannica.com/place/SouthKorea" TargetMode="External"/><Relationship Id="rId55" Type="http://schemas.openxmlformats.org/officeDocument/2006/relationships/hyperlink" Target="https://doi.org/10.1017/S1744133125000052" TargetMode="External"/><Relationship Id="rId76" Type="http://schemas.openxmlformats.org/officeDocument/2006/relationships/hyperlink" Target="https://www.who.int/emergencies/diseases/novel-coronavirus-2019" TargetMode="External"/><Relationship Id="rId7" Type="http://schemas.openxmlformats.org/officeDocument/2006/relationships/webSettings" Target="webSettings.xml"/><Relationship Id="rId71" Type="http://schemas.openxmlformats.org/officeDocument/2006/relationships/hyperlink" Target="https://www.statista.com/statistics/1102882/cases-of-coronavirus-confirmed-in-spain-in-2020-by-region/?srsltid=AfmBOop35mt2hYLSy6w0MfvAF4sVKEVU1w-J5nis5sdiCuMM5B55-mh0" TargetMode="External"/><Relationship Id="rId2" Type="http://schemas.openxmlformats.org/officeDocument/2006/relationships/customXml" Target="../customXml/item2.xml"/><Relationship Id="rId29" Type="http://schemas.openxmlformats.org/officeDocument/2006/relationships/hyperlink" Target="https://www.britannica.com/place/SouthKorea" TargetMode="External"/><Relationship Id="rId24" Type="http://schemas.openxmlformats.org/officeDocument/2006/relationships/hyperlink" Target="https://doi.org/10.1017/S1744133121000181" TargetMode="External"/><Relationship Id="rId40" Type="http://schemas.openxmlformats.org/officeDocument/2006/relationships/hyperlink" Target="https://doi.org/10.3389/fpubh.2023.1129079" TargetMode="External"/><Relationship Id="rId45" Type="http://schemas.openxmlformats.org/officeDocument/2006/relationships/hyperlink" Target="https://doi.org/10.1186/s12889-023-16546-2" TargetMode="External"/><Relationship Id="rId66" Type="http://schemas.openxmlformats.org/officeDocument/2006/relationships/hyperlink" Target="https://www.sginetwork.org/docs/2022/country/SGI2022_South_Korea.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18B132AF4604401AB2894389A71339D"/>
        <w:category>
          <w:name w:val="General"/>
          <w:gallery w:val="placeholder"/>
        </w:category>
        <w:types>
          <w:type w:val="bbPlcHdr"/>
        </w:types>
        <w:behaviors>
          <w:behavior w:val="content"/>
        </w:behaviors>
        <w:guid w:val="{98C210E5-A6FF-44E1-BDCC-7F5B0E26D845}"/>
      </w:docPartPr>
      <w:docPartBody>
        <w:p w:rsidR="00000000" w:rsidRDefault="006E4BA2" w:rsidP="006E4BA2">
          <w:pPr>
            <w:pStyle w:val="618B132AF4604401AB2894389A71339D"/>
          </w:pPr>
          <w:r>
            <w:rPr>
              <w:rFonts w:asciiTheme="majorHAnsi" w:hAnsiTheme="majorHAnsi"/>
              <w:color w:val="FFFFFF" w:themeColor="background1"/>
              <w:sz w:val="96"/>
              <w:szCs w:val="96"/>
            </w:rPr>
            <w:t>[Document title]</w:t>
          </w:r>
        </w:p>
      </w:docPartBody>
    </w:docPart>
    <w:docPart>
      <w:docPartPr>
        <w:name w:val="D882C999AAE741EF8126A649527FE2E9"/>
        <w:category>
          <w:name w:val="General"/>
          <w:gallery w:val="placeholder"/>
        </w:category>
        <w:types>
          <w:type w:val="bbPlcHdr"/>
        </w:types>
        <w:behaviors>
          <w:behavior w:val="content"/>
        </w:behaviors>
        <w:guid w:val="{39322065-D2E0-44E9-98C1-CDB10BE93E56}"/>
      </w:docPartPr>
      <w:docPartBody>
        <w:p w:rsidR="00000000" w:rsidRDefault="006E4BA2" w:rsidP="006E4BA2">
          <w:pPr>
            <w:pStyle w:val="D882C999AAE741EF8126A649527FE2E9"/>
          </w:pPr>
          <w:r>
            <w:rPr>
              <w:color w:val="FFFFFF" w:themeColor="background1"/>
              <w:sz w:val="32"/>
              <w:szCs w:val="32"/>
            </w:rPr>
            <w:t>[Document subtitle]</w:t>
          </w:r>
        </w:p>
      </w:docPartBody>
    </w:docPart>
    <w:docPart>
      <w:docPartPr>
        <w:name w:val="A3CDA70E57024DE6B6423BC72BB67C62"/>
        <w:category>
          <w:name w:val="General"/>
          <w:gallery w:val="placeholder"/>
        </w:category>
        <w:types>
          <w:type w:val="bbPlcHdr"/>
        </w:types>
        <w:behaviors>
          <w:behavior w:val="content"/>
        </w:behaviors>
        <w:guid w:val="{195A029C-F420-4611-A8D7-EE0E3188E873}"/>
      </w:docPartPr>
      <w:docPartBody>
        <w:p w:rsidR="00000000" w:rsidRDefault="006E4BA2" w:rsidP="006E4BA2">
          <w:pPr>
            <w:pStyle w:val="A3CDA70E57024DE6B6423BC72BB67C62"/>
          </w:pPr>
          <w:r>
            <w:rPr>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BA2"/>
    <w:rsid w:val="004E0BCB"/>
    <w:rsid w:val="006E4BA2"/>
    <w:rsid w:val="00D07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8B132AF4604401AB2894389A71339D">
    <w:name w:val="618B132AF4604401AB2894389A71339D"/>
    <w:rsid w:val="006E4BA2"/>
  </w:style>
  <w:style w:type="paragraph" w:customStyle="1" w:styleId="D882C999AAE741EF8126A649527FE2E9">
    <w:name w:val="D882C999AAE741EF8126A649527FE2E9"/>
    <w:rsid w:val="006E4BA2"/>
  </w:style>
  <w:style w:type="paragraph" w:customStyle="1" w:styleId="A3CDA70E57024DE6B6423BC72BB67C62">
    <w:name w:val="A3CDA70E57024DE6B6423BC72BB67C62"/>
    <w:rsid w:val="006E4BA2"/>
  </w:style>
  <w:style w:type="paragraph" w:customStyle="1" w:styleId="FA2381704E6C466A8CB1CAB3236F4690">
    <w:name w:val="FA2381704E6C466A8CB1CAB3236F4690"/>
    <w:rsid w:val="006E4BA2"/>
  </w:style>
  <w:style w:type="paragraph" w:customStyle="1" w:styleId="5573C999A86B4713A08DCD78B9B46E3E">
    <w:name w:val="5573C999A86B4713A08DCD78B9B46E3E"/>
    <w:rsid w:val="006E4BA2"/>
  </w:style>
  <w:style w:type="paragraph" w:customStyle="1" w:styleId="0BAE3927882E49F29A97D242B93CA6A5">
    <w:name w:val="0BAE3927882E49F29A97D242B93CA6A5"/>
    <w:rsid w:val="006E4BA2"/>
  </w:style>
  <w:style w:type="paragraph" w:customStyle="1" w:styleId="FE0EE8602E1843D2BB812E89E531493B">
    <w:name w:val="FE0EE8602E1843D2BB812E89E531493B"/>
    <w:rsid w:val="006E4BA2"/>
  </w:style>
  <w:style w:type="paragraph" w:customStyle="1" w:styleId="7194321A9DA8408DA787A45E3297F64E">
    <w:name w:val="7194321A9DA8408DA787A45E3297F64E"/>
    <w:rsid w:val="006E4B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5e8066652ba608e95dab242c6db3e4b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b3d2e77f4dd58d79ff5e05a4ece13f4f"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84EC2816-22CD-4664-AD2B-E3B7CC00FF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2E854E-816A-46D3-8DE4-BB8BD65EAC41}">
  <ds:schemaRefs>
    <ds:schemaRef ds:uri="http://schemas.microsoft.com/sharepoint/v3/contenttype/forms"/>
  </ds:schemaRefs>
</ds:datastoreItem>
</file>

<file path=customXml/itemProps3.xml><?xml version="1.0" encoding="utf-8"?>
<ds:datastoreItem xmlns:ds="http://schemas.openxmlformats.org/officeDocument/2006/customXml" ds:itemID="{C6790228-4DCA-4D8E-BF08-FA6558ABB9CA}">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6723</TotalTime>
  <Pages>39</Pages>
  <Words>9111</Words>
  <Characters>64421</Characters>
  <Application>Microsoft Office Word</Application>
  <DocSecurity>0</DocSecurity>
  <Lines>1238</Lines>
  <Paragraphs>420</Paragraphs>
  <ScaleCrop>false</ScaleCrop>
  <Company/>
  <LinksUpToDate>false</LinksUpToDate>
  <CharactersWithSpaces>73112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 Report:</dc:title>
  <dc:subject/>
  <dc:creator>Razia Begum (2217307)</dc:creator>
  <cp:keywords/>
  <dc:description/>
  <cp:lastModifiedBy>Razia Begum (2217307)</cp:lastModifiedBy>
  <cp:revision>426</cp:revision>
  <dcterms:created xsi:type="dcterms:W3CDTF">2025-11-10T15:19:00Z</dcterms:created>
  <dcterms:modified xsi:type="dcterms:W3CDTF">2025-11-18T13:19:00Z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