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Compare and contrast representations of Brittany made by ‘outsiders’ and ‘insiders’ to the region. You should discuss at least one representation of each type in detail.</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Historically, Brittany, the affiliation of northwestern France with a more individualistic Pastoralist trace, Celtic, culture has been represented in many ways. These representations, however, vary widely depending on the bias of the creator whether an ‘insider,’ a native inhabitant of Brittany or ‘an outsider,’ a foreigner observing Brittany. For this essay, the ethnic representations will be compared and contrasted, recognising how the culture of the insider and the outsider influences the perception of Brittany’s geography, history, and people. Some are ‘local’ Breton individuals and artists who belong and are engaged in the Breton cultural community and practice. “Outsiders”, on the other hand, include those people and groups who are from outside Breton society and approach the representations with prejudice or inadequate knowledge about Breton society (</w:t>
      </w:r>
      <w:r>
        <w:rPr>
          <w:rFonts w:ascii="Times New Roman" w:hAnsi="Times New Roman" w:cs="Times New Roman" w:eastAsia="Times New Roman"/>
          <w:color w:val="auto"/>
          <w:spacing w:val="0"/>
          <w:position w:val="0"/>
          <w:sz w:val="24"/>
          <w:shd w:fill="FFFFFF" w:val="clear"/>
        </w:rPr>
        <w:t xml:space="preserve">Evans and Williams, 2021)</w:t>
      </w:r>
      <w:r>
        <w:rPr>
          <w:rFonts w:ascii="Times New Roman" w:hAnsi="Times New Roman" w:cs="Times New Roman" w:eastAsia="Times New Roman"/>
          <w:color w:val="auto"/>
          <w:spacing w:val="0"/>
          <w:position w:val="0"/>
          <w:sz w:val="24"/>
          <w:shd w:fill="auto" w:val="clear"/>
        </w:rPr>
        <w:t xml:space="preserve">. The purpose of this essay is to show how these different attitudes used in literature contribute to making Brittany’s image different and sometimes contrary and to stress the importance of insider perspectives. These perspectives, rooted in the depth and authenticity of the Breton culture, are crucial to analysing the background and purpose of such representations. This will show how the insiders' and outsiders’ prejudices affect their visions towards Brittany in grooming the international view toward this particular region.</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Discussion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essay’s main body will focus on a realization of the differences and similarities of these representations. Here, the emphasis will be on similarities and shared ideas on what Breton culture and Bretons as a people are. Where the comparison will be based on similarities in concepts and approaches. In contrast, the differences will be explored on how Breton culture and Bretons as a people are represented. By comparing these two projects, we will be able to examine in more detail the challenges of presenting the region with a diverse and layered history, as well as reveal the significance of the point of view in constructing the image of the place and its inhabitants. Analysing the differences in representations drawn by insiders and outsiders of Brittany (</w:t>
      </w:r>
      <w:r>
        <w:rPr>
          <w:rFonts w:ascii="Times New Roman" w:hAnsi="Times New Roman" w:cs="Times New Roman" w:eastAsia="Times New Roman"/>
          <w:color w:val="auto"/>
          <w:spacing w:val="0"/>
          <w:position w:val="0"/>
          <w:sz w:val="24"/>
          <w:shd w:fill="FFFFFF" w:val="clear"/>
        </w:rPr>
        <w:t xml:space="preserve">Barr et al. 2024)</w:t>
      </w:r>
      <w:r>
        <w:rPr>
          <w:rFonts w:ascii="Times New Roman" w:hAnsi="Times New Roman" w:cs="Times New Roman" w:eastAsia="Times New Roman"/>
          <w:color w:val="auto"/>
          <w:spacing w:val="0"/>
          <w:position w:val="0"/>
          <w:sz w:val="24"/>
          <w:shd w:fill="auto" w:val="clear"/>
        </w:rPr>
        <w:t xml:space="preserve">. A special type of insider representation is when one of the most famous Breton singers and musicians, Yann-Fañch Kemener, takes the stage. His work, which goes well beyond entertainment, is a powerful statement of the Breton people’s culture, rooted in the region and delivered with unmatched passion. Kemener's unique perspective as an insider provides a distinct view of Brittany's culture and identity (</w:t>
      </w:r>
      <w:r>
        <w:rPr>
          <w:rFonts w:ascii="Times New Roman" w:hAnsi="Times New Roman" w:cs="Times New Roman" w:eastAsia="Times New Roman"/>
          <w:color w:val="auto"/>
          <w:spacing w:val="0"/>
          <w:position w:val="0"/>
          <w:sz w:val="24"/>
          <w:shd w:fill="FFFFFF" w:val="clear"/>
        </w:rPr>
        <w:t xml:space="preserve">Frieson et al. 2022)</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Inspired by Breton culture, Kemener performs songs taken directly from Breton folk tunes and chants, and many of the lyrics are in Breton, which was actively suppressed during most of the 20th century. This linguistic move puts his work on an entirely different level from many “outsider” representations that, by default, use French, thereby erasing the primacy of Breton as a medium through which the region defines itself culturally. It is the voice of a Breton man whose timbre is close to the earth, passionate and evoking a long and resilient heritage of heirs and victims (</w:t>
      </w:r>
      <w:r>
        <w:rPr>
          <w:rFonts w:ascii="Times New Roman" w:hAnsi="Times New Roman" w:cs="Times New Roman" w:eastAsia="Times New Roman"/>
          <w:color w:val="auto"/>
          <w:spacing w:val="0"/>
          <w:position w:val="0"/>
          <w:sz w:val="24"/>
          <w:shd w:fill="FFFFFF" w:val="clear"/>
        </w:rPr>
        <w:t xml:space="preserve">Moretti-Langholz, 2023)</w:t>
      </w:r>
      <w:r>
        <w:rPr>
          <w:rFonts w:ascii="Times New Roman" w:hAnsi="Times New Roman" w:cs="Times New Roman" w:eastAsia="Times New Roman"/>
          <w:color w:val="auto"/>
          <w:spacing w:val="0"/>
          <w:position w:val="0"/>
          <w:sz w:val="24"/>
          <w:shd w:fill="auto" w:val="clear"/>
        </w:rPr>
        <w:t xml:space="preserve">. The instrumentation, which includes instruments such as bombarde, a Breton oboe and biniou, a Breton bagpipe also buttresses this song in the Breton folklore tradition. It is not just a performance of some music; it is rather an experience which takes the audience right to the spirit of Brittany. The practical aspects of Kemener’s songs of chthonic narratives encompass an overwhelming trust of place. He does not only represent the Breton landscape in singing; he dances it. Even the music he makes gives you visions of the rocky shore, undulating woody areas, and small, close-knit villages prevalent in the Breton landscape (</w:t>
      </w:r>
      <w:r>
        <w:rPr>
          <w:rFonts w:ascii="Times New Roman" w:hAnsi="Times New Roman" w:cs="Times New Roman" w:eastAsia="Times New Roman"/>
          <w:color w:val="auto"/>
          <w:spacing w:val="0"/>
          <w:position w:val="0"/>
          <w:sz w:val="24"/>
          <w:shd w:fill="FFFFFF" w:val="clear"/>
        </w:rPr>
        <w:t xml:space="preserve">Bünger and Schiller, 2022)</w:t>
      </w:r>
      <w:r>
        <w:rPr>
          <w:rFonts w:ascii="Times New Roman" w:hAnsi="Times New Roman" w:cs="Times New Roman" w:eastAsia="Times New Roman"/>
          <w:color w:val="auto"/>
          <w:spacing w:val="0"/>
          <w:position w:val="0"/>
          <w:sz w:val="24"/>
          <w:shd w:fill="auto" w:val="clear"/>
        </w:rPr>
        <w:t xml:space="preserve">. His words, whether original or borrowed folk and Breton songs translated into poetry, express a holy bond between the Breton people and their soil that is partly explained in folklore and other mythology. This connection isn’t merely geographical; it is the relationship that runs deeper than the skin and refers to the relationship that the Breton people share with the land and the history of that land (</w:t>
      </w:r>
      <w:r>
        <w:rPr>
          <w:rFonts w:ascii="Times New Roman" w:hAnsi="Times New Roman" w:cs="Times New Roman" w:eastAsia="Times New Roman"/>
          <w:color w:val="auto"/>
          <w:spacing w:val="0"/>
          <w:position w:val="0"/>
          <w:sz w:val="24"/>
          <w:shd w:fill="FFFFFF" w:val="clear"/>
        </w:rPr>
        <w:t xml:space="preserve">Cornish et al. 2023)</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implies a sexual rating, a common thread for ‘insider” outlooks compared to the commonly reductive portrayals in most outsider viewpoints.  Kemener’s music is clearly multi-dimensional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stylistic acuteness necessary to decipher it is written in the liner notes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yet it is the emotional resonance that matters as an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insider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reading of the music. All his songs are about grief, desire, survival, and the endeavour to sustain Breton traditions against the odds. This is not some glamorous portrayal of Brittany; this is sincerity and raw feelings to depict the true issue of Bretonness (</w:t>
      </w:r>
      <w:r>
        <w:rPr>
          <w:rFonts w:ascii="Times New Roman" w:hAnsi="Times New Roman" w:cs="Times New Roman" w:eastAsia="Times New Roman"/>
          <w:color w:val="auto"/>
          <w:spacing w:val="0"/>
          <w:position w:val="0"/>
          <w:sz w:val="24"/>
          <w:shd w:fill="FFFFFF" w:val="clear"/>
        </w:rPr>
        <w:t xml:space="preserve">Abínzano et al. 2024)</w:t>
      </w:r>
      <w:r>
        <w:rPr>
          <w:rFonts w:ascii="Times New Roman" w:hAnsi="Times New Roman" w:cs="Times New Roman" w:eastAsia="Times New Roman"/>
          <w:color w:val="auto"/>
          <w:spacing w:val="0"/>
          <w:position w:val="0"/>
          <w:sz w:val="24"/>
          <w:shd w:fill="auto" w:val="clear"/>
        </w:rPr>
        <w:t xml:space="preserve">. The emotion he puts into this performance is raw, and the authentic music behind him really brings the essence of Breton culture into the living room for the listener. This is in stark difference to many ‘outsider’ perceptions, where the bleak and oftentimes suffering experiences of the Breton people are exchanged for an idealised portrayal of Brittany. Leaving the role of Kemener for now, Breton novelists writing in the Breton language present another good example of ‘insider’ formation (</w:t>
      </w:r>
      <w:r>
        <w:rPr>
          <w:rFonts w:ascii="Times New Roman" w:hAnsi="Times New Roman" w:cs="Times New Roman" w:eastAsia="Times New Roman"/>
          <w:color w:val="auto"/>
          <w:spacing w:val="0"/>
          <w:position w:val="0"/>
          <w:sz w:val="24"/>
          <w:shd w:fill="FFFFFF" w:val="clear"/>
        </w:rPr>
        <w:t xml:space="preserve">Porcelloni, 2021)</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for these reasons that these authors, being fully enmeshed in the Breton cultural landscape, paint complex pictures of Breton existence. Their stories portray the mundane experiences of Breton people and examine the key aspects of social interactions, the complexities of the cultural Breton identity within the scope of France, and the problems of Breton language renewal. These works are far less likely to either express or reinforce such stereotypes and thus question essentially stereotyped representation of the Breton identity and Brittany. The fact of using the Breton language in the movie is already a powerful statement of cultural policy and continuity (</w:t>
      </w:r>
      <w:r>
        <w:rPr>
          <w:rFonts w:ascii="Times New Roman" w:hAnsi="Times New Roman" w:cs="Times New Roman" w:eastAsia="Times New Roman"/>
          <w:color w:val="auto"/>
          <w:spacing w:val="0"/>
          <w:position w:val="0"/>
          <w:sz w:val="24"/>
          <w:shd w:fill="FFFFFF" w:val="clear"/>
        </w:rPr>
        <w:t xml:space="preserve">Enriquez, 2024)</w:t>
      </w:r>
      <w:r>
        <w:rPr>
          <w:rFonts w:ascii="Times New Roman" w:hAnsi="Times New Roman" w:cs="Times New Roman" w:eastAsia="Times New Roman"/>
          <w:color w:val="auto"/>
          <w:spacing w:val="0"/>
          <w:position w:val="0"/>
          <w:sz w:val="24"/>
          <w:shd w:fill="auto" w:val="clear"/>
        </w:rPr>
        <w:t xml:space="preserve">. Through writing in Breton, these authors engage themselves in the raising of awareness of the need to speak Breton instead of French as used in the area. Along with personal observations and descriptions of the experienced events, they use elements borrowed from Breton folklore and mythology as different motifs and plots and thus pass legends within the modern form of representing them (</w:t>
      </w:r>
      <w:r>
        <w:rPr>
          <w:rFonts w:ascii="Times New Roman" w:hAnsi="Times New Roman" w:cs="Times New Roman" w:eastAsia="Times New Roman"/>
          <w:color w:val="auto"/>
          <w:spacing w:val="0"/>
          <w:position w:val="0"/>
          <w:sz w:val="24"/>
          <w:shd w:fill="FFFFFF" w:val="clear"/>
        </w:rPr>
        <w:t xml:space="preserve">Gibson and Hughes-Hassell, 2023)</w:t>
      </w:r>
      <w:r>
        <w:rPr>
          <w:rFonts w:ascii="Times New Roman" w:hAnsi="Times New Roman" w:cs="Times New Roman" w:eastAsia="Times New Roman"/>
          <w:color w:val="auto"/>
          <w:spacing w:val="0"/>
          <w:position w:val="0"/>
          <w:sz w:val="24"/>
          <w:shd w:fill="auto" w:val="clear"/>
        </w:rPr>
        <w:t xml:space="preserve">. This move is in contrast to many popular ‘outsider’ depictions of the Breton people and culture that pay scant attention to modern-day Breton life and struggles while frequently fixating on a single episode in history or the mere aesthetic of scenic countryside.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Sanction in pursuing such reflections derived from its filling a critical gap in the portrayal of the Breton ‘Other’ as viewed by the ‘Self’, thus enriching one’s understanding of the more inclusive Breton narrative. Brittany’s historiography shows a clear distinction between the ‘othering’ and ‘in-group’ attitudes. Some historical sources that follow a France-centered approach often overemphasise the continuity of Brittany’s integration into France (</w:t>
      </w:r>
      <w:r>
        <w:rPr>
          <w:rFonts w:ascii="Times New Roman" w:hAnsi="Times New Roman" w:cs="Times New Roman" w:eastAsia="Times New Roman"/>
          <w:color w:val="auto"/>
          <w:spacing w:val="0"/>
          <w:position w:val="0"/>
          <w:sz w:val="24"/>
          <w:shd w:fill="FFFFFF" w:val="clear"/>
        </w:rPr>
        <w:t xml:space="preserve">Robinson, 2021)</w:t>
      </w:r>
      <w:r>
        <w:rPr>
          <w:rFonts w:ascii="Times New Roman" w:hAnsi="Times New Roman" w:cs="Times New Roman" w:eastAsia="Times New Roman"/>
          <w:color w:val="auto"/>
          <w:spacing w:val="0"/>
          <w:position w:val="0"/>
          <w:sz w:val="24"/>
          <w:shd w:fill="auto" w:val="clear"/>
        </w:rPr>
        <w:t xml:space="preserve">. This approach thus erases or at least downplays the specific cultural and linguistic endogroupness of the Breton population and provides a simplistic and frequently prejudiced account that is far from giving a fair look at Breton history. These forms of historiography tend to depoliticise and incorporative of Breton history and usually exclude or marginalise the existence of Breton nationalism and the decades-long fight for Breton independence and the continuing struggle against it. These accounts do not give credit to grounds invented by Brittany to French cultural and historical contexts, and instead of resulting in colourful and diverse, Breton identity is recast in a unified view that imposes the national integration narrative (</w:t>
      </w:r>
      <w:r>
        <w:rPr>
          <w:rFonts w:ascii="Times New Roman" w:hAnsi="Times New Roman" w:cs="Times New Roman" w:eastAsia="Times New Roman"/>
          <w:color w:val="auto"/>
          <w:spacing w:val="0"/>
          <w:position w:val="0"/>
          <w:sz w:val="24"/>
          <w:shd w:fill="FFFFFF" w:val="clear"/>
        </w:rPr>
        <w:t xml:space="preserve">Abram, 2021)</w:t>
      </w:r>
      <w:r>
        <w:rPr>
          <w:rFonts w:ascii="Times New Roman" w:hAnsi="Times New Roman" w:cs="Times New Roman" w:eastAsia="Times New Roman"/>
          <w:color w:val="auto"/>
          <w:spacing w:val="0"/>
          <w:position w:val="0"/>
          <w:sz w:val="24"/>
          <w:shd w:fill="auto" w:val="clear"/>
        </w:rPr>
        <w:t xml:space="preserve">. It is seen that there exist major differences in the nature of ‘insider’ and ‘outsider’ approaches to representing Brittany: the nature, origins, and consequences of the two occupations are significantly dissimilar.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again comes down to that fundamental difference between honouring the subject with ‘insider’ depictions and an understanding that cultures need to be protected and preserved. Rather than providing a single vision of the region, these accounts that are frequently developed by Breton artists, writers, and musicians attempt to paint a complex picture of Bretonness beyond the descriptive analysis of public spaces and events, an understanding of the Breton people and the culture’s everyday life (</w:t>
      </w:r>
      <w:r>
        <w:rPr>
          <w:rFonts w:ascii="Times New Roman" w:hAnsi="Times New Roman" w:cs="Times New Roman" w:eastAsia="Times New Roman"/>
          <w:color w:val="auto"/>
          <w:spacing w:val="0"/>
          <w:position w:val="0"/>
          <w:sz w:val="24"/>
          <w:shd w:fill="FFFFFF" w:val="clear"/>
        </w:rPr>
        <w:t xml:space="preserve">Goscicki et al. 2023)</w:t>
      </w:r>
      <w:r>
        <w:rPr>
          <w:rFonts w:ascii="Times New Roman" w:hAnsi="Times New Roman" w:cs="Times New Roman" w:eastAsia="Times New Roman"/>
          <w:color w:val="auto"/>
          <w:spacing w:val="0"/>
          <w:position w:val="0"/>
          <w:sz w:val="24"/>
          <w:shd w:fill="auto" w:val="clear"/>
        </w:rPr>
        <w:t xml:space="preserve">. They navigate through questions of Breton's cultural identity, describing not only its evolution throughout the years but also the present state and the issues of its preservation. This is usually achieved by subjecting the complex interaction between the Breton people and their environment, a fundamental component of their ethnicity and a component that is well manifested through traditions and practices (</w:t>
      </w:r>
      <w:r>
        <w:rPr>
          <w:rFonts w:ascii="Times New Roman" w:hAnsi="Times New Roman" w:cs="Times New Roman" w:eastAsia="Times New Roman"/>
          <w:color w:val="auto"/>
          <w:spacing w:val="0"/>
          <w:position w:val="0"/>
          <w:sz w:val="24"/>
          <w:shd w:fill="FFFFFF" w:val="clear"/>
        </w:rPr>
        <w:t xml:space="preserve">Hoeffler,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descriptions of Brittany provided by those from other regions of France or Europe as a whole, there is an emphasis on the way the area looks in terms of architecture, scenic towns and Landmark features. Although these objects are indeed components of Breton identity, this strategy often reduces the region’s multitude and diminishes the focus on the social, economic, and political lives of the population. The promotion of Breton culture and a focus on recreational travel, especially when represented in such guides and promotional materials, risks perpetuating stereotypes and results in an imagination of Breton culture that is often measured through the aesthetics of the visual media (</w:t>
      </w:r>
      <w:r>
        <w:rPr>
          <w:rFonts w:ascii="Times New Roman" w:hAnsi="Times New Roman" w:cs="Times New Roman" w:eastAsia="Times New Roman"/>
          <w:color w:val="auto"/>
          <w:spacing w:val="0"/>
          <w:position w:val="0"/>
          <w:sz w:val="24"/>
          <w:shd w:fill="FFFFFF" w:val="clear"/>
        </w:rPr>
        <w:t xml:space="preserve">Estabrook, 2022)</w:t>
      </w:r>
      <w:r>
        <w:rPr>
          <w:rFonts w:ascii="Times New Roman" w:hAnsi="Times New Roman" w:cs="Times New Roman" w:eastAsia="Times New Roman"/>
          <w:color w:val="auto"/>
          <w:spacing w:val="0"/>
          <w:position w:val="0"/>
          <w:sz w:val="24"/>
          <w:shd w:fill="auto" w:val="clear"/>
        </w:rPr>
        <w:t xml:space="preserve">. This selected representation often conceals or underplays important distinctions and internal tensions of Breton society in order to project a perfect image that can only speak part of the truth.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process, it often erases the history of the Breton people, their contemporary fight for cultural rights and the socioeconomic issues that they endure today. This gave way to the more natural representation of the country’s beauty and unique tourist destinations, including beautiful sceneries and endearing rural towns; more attention is given to conventional history while disregarding a more historical, Indigenous history of resistance, culture and a continuing fight for cultural survival within the French mainland (</w:t>
      </w:r>
      <w:r>
        <w:rPr>
          <w:rFonts w:ascii="Times New Roman" w:hAnsi="Times New Roman" w:cs="Times New Roman" w:eastAsia="Times New Roman"/>
          <w:color w:val="auto"/>
          <w:spacing w:val="0"/>
          <w:position w:val="0"/>
          <w:sz w:val="24"/>
          <w:shd w:fill="FFFFFF" w:val="clear"/>
        </w:rPr>
        <w:t xml:space="preserve">Watson, 2023)</w:t>
      </w:r>
      <w:r>
        <w:rPr>
          <w:rFonts w:ascii="Times New Roman" w:hAnsi="Times New Roman" w:cs="Times New Roman" w:eastAsia="Times New Roman"/>
          <w:color w:val="auto"/>
          <w:spacing w:val="0"/>
          <w:position w:val="0"/>
          <w:sz w:val="24"/>
          <w:shd w:fill="auto" w:val="clear"/>
        </w:rPr>
        <w:t xml:space="preserve">. The visual presentation is thus pleasant to the eye, but the capture is not comprehensive enough to offer a balanced insight into the issue of Breton's identity. Usually, it gives a misleading view of the realities where there is an emphasis on the culture and heritage of the Breton people, but there is no touch with their contemporary struggle. It is also often true that the motivations behind these ‘outsider’ representations may not have much in common with ‘insider’ portrayals (</w:t>
      </w:r>
      <w:r>
        <w:rPr>
          <w:rFonts w:ascii="Times New Roman" w:hAnsi="Times New Roman" w:cs="Times New Roman" w:eastAsia="Times New Roman"/>
          <w:color w:val="auto"/>
          <w:spacing w:val="0"/>
          <w:position w:val="0"/>
          <w:sz w:val="24"/>
          <w:shd w:fill="FFFFFF" w:val="clear"/>
        </w:rPr>
        <w:t xml:space="preserve">Knorr et al. 2024)</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of them are implemented with tourist promotion in mind and are aimed at using Bretagne’s stunning visuals as a lure for tourists. Alternatively, it can be caused by the need to tell a more solid and basically understandable story to a wide and diverse audience rather than filleting the genuine history that might interest only a narrowed circle of people interested in a specific culture. This is the case in the focus this show has given towards the general population of the world. At the same time, it has literally lost touch with the culture and history of Brittany (</w:t>
      </w:r>
      <w:r>
        <w:rPr>
          <w:rFonts w:ascii="Times New Roman" w:hAnsi="Times New Roman" w:cs="Times New Roman" w:eastAsia="Times New Roman"/>
          <w:color w:val="auto"/>
          <w:spacing w:val="0"/>
          <w:position w:val="0"/>
          <w:sz w:val="24"/>
          <w:shd w:fill="FFFFFF" w:val="clear"/>
        </w:rPr>
        <w:t xml:space="preserve">Jammes  and King, 2021)</w:t>
      </w:r>
      <w:r>
        <w:rPr>
          <w:rFonts w:ascii="Times New Roman" w:hAnsi="Times New Roman" w:cs="Times New Roman" w:eastAsia="Times New Roman"/>
          <w:color w:val="auto"/>
          <w:spacing w:val="0"/>
          <w:position w:val="0"/>
          <w:sz w:val="24"/>
          <w:shd w:fill="auto" w:val="clear"/>
        </w:rPr>
        <w:t xml:space="preserve">. As such, a deeper and better understanding of the culture and people of this region is in danger of being wholly overshadowed by this breadth of perspective. It is illuminating that the language used in the representation of Brittany shows a clear dichotomy between insider and outsider perceptions. ‘‘Insider’’ narratives often include actual Breton language, a demonstrative of the people’s defiance and a way of resisting the erasure of the Breton culture by its oppressors. This lexical choice is not simply about the elegance of the expression; it is one of the most intentional processes where culture is being safeguarded, and preventing linguistic cultural exclusion (</w:t>
      </w:r>
      <w:r>
        <w:rPr>
          <w:rFonts w:ascii="Times New Roman" w:hAnsi="Times New Roman" w:cs="Times New Roman" w:eastAsia="Times New Roman"/>
          <w:color w:val="auto"/>
          <w:spacing w:val="0"/>
          <w:position w:val="0"/>
          <w:sz w:val="24"/>
          <w:shd w:fill="FFFFFF" w:val="clear"/>
        </w:rPr>
        <w:t xml:space="preserve">Farrell, 2021)</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Breton language in the various cultural artefacts such as in literature, music, films, etc., in addition to building the cultural capital of the region, subverts French, a language which has dominated and suppressed Breton. This commitment to the Breton language shows, thus an understanding of the role of the Breton language in the Breton ethnic identity and as one of the significant ways of sustaining ethnic separateness. It becomes something where there is a planned, systematic attempt to bring life into this language for existence and to pass this language over to the next generation.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Conversely, “outsider” representations tend to offer texts in French or other languages and can completely overlook the importance of the Breton language for the formation of the Breton identity (</w:t>
      </w:r>
      <w:r>
        <w:rPr>
          <w:rFonts w:ascii="Times New Roman" w:hAnsi="Times New Roman" w:cs="Times New Roman" w:eastAsia="Times New Roman"/>
          <w:color w:val="auto"/>
          <w:spacing w:val="0"/>
          <w:position w:val="0"/>
          <w:sz w:val="24"/>
          <w:shd w:fill="FFFFFF" w:val="clear"/>
        </w:rPr>
        <w:t xml:space="preserve">Hoeffler, 2023)</w:t>
      </w:r>
      <w:r>
        <w:rPr>
          <w:rFonts w:ascii="Times New Roman" w:hAnsi="Times New Roman" w:cs="Times New Roman" w:eastAsia="Times New Roman"/>
          <w:color w:val="auto"/>
          <w:spacing w:val="0"/>
          <w:position w:val="0"/>
          <w:sz w:val="24"/>
          <w:shd w:fill="auto" w:val="clear"/>
        </w:rPr>
        <w:t xml:space="preserve">. It could also be seen as a decision to avoid interacting with the culture of Brittany, which can be detrimental to the Breton language and culture development. Bordering on a kind of linguistic erasure, these representations thus unapologetically switch to French, thereby rendering the existence of Breton a subculture as an afterthought at best. This absence does more than distort the identity portrayed but also to the present battle to maintain and revive the Breton language in the area. In this respect, the language adopted for carrying out the project reflects the level of understanding of the Breton culture and the extent of the efforts to promote it through language (</w:t>
      </w:r>
      <w:r>
        <w:rPr>
          <w:rFonts w:ascii="Times New Roman" w:hAnsi="Times New Roman" w:cs="Times New Roman" w:eastAsia="Times New Roman"/>
          <w:color w:val="auto"/>
          <w:spacing w:val="0"/>
          <w:position w:val="0"/>
          <w:sz w:val="24"/>
          <w:shd w:fill="FFFFFF" w:val="clear"/>
        </w:rPr>
        <w:t xml:space="preserve">Enriquez,  2024)</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Finally, the intended audience significantly influences the style, content, and overall message of both "insider" and "outsider" representations. "Insider" representations often target a Breton audience or those genuinely interested in learning about Breton culture from an authentic perspective. These representations aim to foster a sense of community and shared identity among Bretons and to promote the preservation of their cultural heritage (</w:t>
      </w:r>
      <w:r>
        <w:rPr>
          <w:rFonts w:ascii="Times New Roman" w:hAnsi="Times New Roman" w:cs="Times New Roman" w:eastAsia="Times New Roman"/>
          <w:color w:val="auto"/>
          <w:spacing w:val="0"/>
          <w:position w:val="0"/>
          <w:sz w:val="24"/>
          <w:shd w:fill="FFFFFF" w:val="clear"/>
        </w:rPr>
        <w:t xml:space="preserve">Knorr et al. 2024)</w:t>
      </w:r>
      <w:r>
        <w:rPr>
          <w:rFonts w:ascii="Times New Roman" w:hAnsi="Times New Roman" w:cs="Times New Roman" w:eastAsia="Times New Roman"/>
          <w:color w:val="auto"/>
          <w:spacing w:val="0"/>
          <w:position w:val="0"/>
          <w:sz w:val="24"/>
          <w:shd w:fill="auto" w:val="clear"/>
        </w:rPr>
        <w:t xml:space="preserve">. The tone and style often reflect this intimate connection, prioritising emotional resonance and cultural accuracy over broad appeal. In contrast, "outsider" representations often target a broader audience, including tourists, academics, and general readers interested in learning about Brittany. These representations often cater to pre-existing expectations and stereotypes, aiming to provide a simplified and accessible portrayal of the region. This often results in a more generalised and less nuanced representation, prioritising accessibility and broad appeal over cultural depth and authenticity. The difference in the target audience, therefore, profoundly impacts the approach, style, and ultimate message of each representation, highlighting the crucial role of perspective in shaping our understanding of a place and its people (</w:t>
      </w:r>
      <w:r>
        <w:rPr>
          <w:rFonts w:ascii="Times New Roman" w:hAnsi="Times New Roman" w:cs="Times New Roman" w:eastAsia="Times New Roman"/>
          <w:color w:val="auto"/>
          <w:spacing w:val="0"/>
          <w:position w:val="0"/>
          <w:sz w:val="24"/>
          <w:shd w:fill="FFFFFF" w:val="clear"/>
        </w:rPr>
        <w:t xml:space="preserve">Porcelloni, 2021)</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the representations of Brittany created by "insiders" and "outsiders" offer contrasting perspectives on the region's identity, culture, and history. "Insider" representations, exemplified by the work of Yann-Fañch Kemener and Breton-language literature, prioritise authenticity, cultural preservation, and a nuanced understanding of Breton life. They challenge stereotypes and offer a deeply personal and emotive portrayal of the region. In contrast, "outsider" representations, such as many tourist brochures and certain historical accounts, often prioritise aesthetic appeal, specific historical events, or pre-existing stereotypes, potentially simplifying or misrepresenting the complexities of Breton culture. These contrasting representations highlight the crucial role of perspective in shaping our understanding of a place and its people. Understanding these different viewpoints is essential for a comprehensive and accurate understanding of Brittany's rich and multifaceted identity. The diversity of these representations, while sometimes conflicting, ultimately contributes to a richer and more complete picture of this unique region, emphasising the importance of acknowledging and critically analysing the perspectives shaping our understanding of place and identity.</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 </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Abínzano, I., Garcés-Galdeano, L. and Martínez, B., 2024. The role of female directors in family firms’ annual report´ s readability. </w:t>
      </w:r>
      <w:r>
        <w:rPr>
          <w:rFonts w:ascii="Times New Roman" w:hAnsi="Times New Roman" w:cs="Times New Roman" w:eastAsia="Times New Roman"/>
          <w:i/>
          <w:color w:val="auto"/>
          <w:spacing w:val="0"/>
          <w:position w:val="0"/>
          <w:sz w:val="24"/>
          <w:shd w:fill="FFFFFF" w:val="clear"/>
        </w:rPr>
        <w:t xml:space="preserve">Baltic Journal of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19</w:t>
      </w:r>
      <w:r>
        <w:rPr>
          <w:rFonts w:ascii="Times New Roman" w:hAnsi="Times New Roman" w:cs="Times New Roman" w:eastAsia="Times New Roman"/>
          <w:color w:val="auto"/>
          <w:spacing w:val="0"/>
          <w:position w:val="0"/>
          <w:sz w:val="24"/>
          <w:shd w:fill="FFFFFF" w:val="clear"/>
        </w:rPr>
        <w:t xml:space="preserve">(3), pp.366-384.</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Abram, S., 2021. Performing for tourists in rural France. In </w:t>
      </w:r>
      <w:r>
        <w:rPr>
          <w:rFonts w:ascii="Times New Roman" w:hAnsi="Times New Roman" w:cs="Times New Roman" w:eastAsia="Times New Roman"/>
          <w:i/>
          <w:color w:val="auto"/>
          <w:spacing w:val="0"/>
          <w:position w:val="0"/>
          <w:sz w:val="24"/>
          <w:shd w:fill="FFFFFF" w:val="clear"/>
        </w:rPr>
        <w:t xml:space="preserve">Tourists and Tourism</w:t>
      </w:r>
      <w:r>
        <w:rPr>
          <w:rFonts w:ascii="Times New Roman" w:hAnsi="Times New Roman" w:cs="Times New Roman" w:eastAsia="Times New Roman"/>
          <w:color w:val="auto"/>
          <w:spacing w:val="0"/>
          <w:position w:val="0"/>
          <w:sz w:val="24"/>
          <w:shd w:fill="FFFFFF" w:val="clear"/>
        </w:rPr>
        <w:t xml:space="preserve"> (pp. 29-49). Routledge.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Barr, N., Maley, M. and Palmieri, S., 2024. Insiders and outsiders: Feminists in the academy influencing gender</w:t>
      </w:r>
      <w:r>
        <w:rPr>
          <w:rFonts w:ascii="Cambria Math" w:hAnsi="Cambria Math" w:cs="Cambria Math" w:eastAsia="Cambria Math"/>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sensitive parliamentary change.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Politics and Governance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w:t>
      </w:r>
      <w:r>
        <w:rPr>
          <w:rFonts w:ascii="Times New Roman" w:hAnsi="Times New Roman" w:cs="Times New Roman" w:eastAsia="Times New Roman"/>
          <w:color w:val="auto"/>
          <w:spacing w:val="0"/>
          <w:position w:val="0"/>
          <w:sz w:val="24"/>
          <w:shd w:fill="FFFFFF"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Bünger, A. and Schiller, D., 2022. Identification and characterization of potential change agents among agri-food producers: regime, niche and hybrid actors. </w:t>
      </w:r>
      <w:r>
        <w:rPr>
          <w:rFonts w:ascii="Times New Roman" w:hAnsi="Times New Roman" w:cs="Times New Roman" w:eastAsia="Times New Roman"/>
          <w:i/>
          <w:color w:val="auto"/>
          <w:spacing w:val="0"/>
          <w:position w:val="0"/>
          <w:sz w:val="24"/>
          <w:shd w:fill="FFFFFF" w:val="clear"/>
        </w:rPr>
        <w:t xml:space="preserve">Sustainability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17</w:t>
      </w:r>
      <w:r>
        <w:rPr>
          <w:rFonts w:ascii="Times New Roman" w:hAnsi="Times New Roman" w:cs="Times New Roman" w:eastAsia="Times New Roman"/>
          <w:color w:val="auto"/>
          <w:spacing w:val="0"/>
          <w:position w:val="0"/>
          <w:sz w:val="24"/>
          <w:shd w:fill="FFFFFF" w:val="clear"/>
        </w:rPr>
        <w:t xml:space="preserve">(6), pp.2187-2201.</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Cornish, F., Breton, N., Moreno-Tabarez, U., Delgado, J., Rua, M., de-Graft Aikins, A. and Hodgetts, D., 2023. Participatory action research. </w:t>
      </w:r>
      <w:r>
        <w:rPr>
          <w:rFonts w:ascii="Times New Roman" w:hAnsi="Times New Roman" w:cs="Times New Roman" w:eastAsia="Times New Roman"/>
          <w:i/>
          <w:color w:val="auto"/>
          <w:spacing w:val="0"/>
          <w:position w:val="0"/>
          <w:sz w:val="24"/>
          <w:shd w:fill="FFFFFF" w:val="clear"/>
        </w:rPr>
        <w:t xml:space="preserve">Nature Reviews Methods Primers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w:t>
      </w:r>
      <w:r>
        <w:rPr>
          <w:rFonts w:ascii="Times New Roman" w:hAnsi="Times New Roman" w:cs="Times New Roman" w:eastAsia="Times New Roman"/>
          <w:color w:val="auto"/>
          <w:spacing w:val="0"/>
          <w:position w:val="0"/>
          <w:sz w:val="24"/>
          <w:shd w:fill="FFFFFF" w:val="clear"/>
        </w:rPr>
        <w:t xml:space="preserve">(1), p.34.</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Enriquez, F., 2024. The ethnoracial commodification of brazilianness at cultural festivals in Toronto, Canada. </w:t>
      </w:r>
      <w:r>
        <w:rPr>
          <w:rFonts w:ascii="Times New Roman" w:hAnsi="Times New Roman" w:cs="Times New Roman" w:eastAsia="Times New Roman"/>
          <w:i/>
          <w:color w:val="auto"/>
          <w:spacing w:val="0"/>
          <w:position w:val="0"/>
          <w:sz w:val="24"/>
          <w:shd w:fill="FFFFFF" w:val="clear"/>
        </w:rPr>
        <w:t xml:space="preserve">Cultural Dynamics</w:t>
      </w:r>
      <w:r>
        <w:rPr>
          <w:rFonts w:ascii="Times New Roman" w:hAnsi="Times New Roman" w:cs="Times New Roman" w:eastAsia="Times New Roman"/>
          <w:color w:val="auto"/>
          <w:spacing w:val="0"/>
          <w:position w:val="0"/>
          <w:sz w:val="24"/>
          <w:shd w:fill="FFFFFF" w:val="clear"/>
        </w:rPr>
        <w:t xml:space="preserve">, p.09213740241305402.</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Estabrook, H., 2022. Do You See this (Wo) man? Lessons Learned from Sex Workers. In </w:t>
      </w:r>
      <w:r>
        <w:rPr>
          <w:rFonts w:ascii="Times New Roman" w:hAnsi="Times New Roman" w:cs="Times New Roman" w:eastAsia="Times New Roman"/>
          <w:i/>
          <w:color w:val="auto"/>
          <w:spacing w:val="0"/>
          <w:position w:val="0"/>
          <w:sz w:val="24"/>
          <w:shd w:fill="FFFFFF" w:val="clear"/>
        </w:rPr>
        <w:t xml:space="preserve">Religious Responses to Sex Work and Sex Trafficking</w:t>
      </w:r>
      <w:r>
        <w:rPr>
          <w:rFonts w:ascii="Times New Roman" w:hAnsi="Times New Roman" w:cs="Times New Roman" w:eastAsia="Times New Roman"/>
          <w:color w:val="auto"/>
          <w:spacing w:val="0"/>
          <w:position w:val="0"/>
          <w:sz w:val="24"/>
          <w:shd w:fill="FFFFFF" w:val="clear"/>
        </w:rPr>
        <w:t xml:space="preserve"> (pp. 29-43).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Evans, D. and Williams, H., 2021. Introduction: New Dialogues with Breton Literature and Culture. </w:t>
      </w:r>
      <w:r>
        <w:rPr>
          <w:rFonts w:ascii="Times New Roman" w:hAnsi="Times New Roman" w:cs="Times New Roman" w:eastAsia="Times New Roman"/>
          <w:i/>
          <w:color w:val="auto"/>
          <w:spacing w:val="0"/>
          <w:position w:val="0"/>
          <w:sz w:val="24"/>
          <w:shd w:fill="FFFFFF" w:val="clear"/>
        </w:rPr>
        <w:t xml:space="preserve">Nottingham French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60</w:t>
      </w:r>
      <w:r>
        <w:rPr>
          <w:rFonts w:ascii="Times New Roman" w:hAnsi="Times New Roman" w:cs="Times New Roman" w:eastAsia="Times New Roman"/>
          <w:color w:val="auto"/>
          <w:spacing w:val="0"/>
          <w:position w:val="0"/>
          <w:sz w:val="24"/>
          <w:shd w:fill="FFFFFF" w:val="clear"/>
        </w:rPr>
        <w:t xml:space="preserve">(2), pp.147-158.</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Farrell, J., 2021. Otherworldly Interventions and Unstable Identities: An Intersectional Reading of Marie de France’s Lanval. </w:t>
      </w:r>
      <w:r>
        <w:rPr>
          <w:rFonts w:ascii="Times New Roman" w:hAnsi="Times New Roman" w:cs="Times New Roman" w:eastAsia="Times New Roman"/>
          <w:i/>
          <w:color w:val="auto"/>
          <w:spacing w:val="0"/>
          <w:position w:val="0"/>
          <w:sz w:val="24"/>
          <w:shd w:fill="FFFFFF" w:val="clear"/>
        </w:rPr>
        <w:t xml:space="preserve">The Mediaeval Journal</w:t>
      </w:r>
      <w:r>
        <w:rPr>
          <w:rFonts w:ascii="Times New Roman" w:hAnsi="Times New Roman" w:cs="Times New Roman" w:eastAsia="Times New Roman"/>
          <w:color w:val="auto"/>
          <w:spacing w:val="0"/>
          <w:position w:val="0"/>
          <w:sz w:val="24"/>
          <w:shd w:fill="FFFFFF" w:val="clear"/>
        </w:rPr>
        <w:t xml:space="preserve">, pp.99-128.</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Frieson, B.L., Murray-Everett, N.C. and Parsons, M.J., 2022. Always outsiders, never insiders: A study abroad program for future teachers. </w:t>
      </w:r>
      <w:r>
        <w:rPr>
          <w:rFonts w:ascii="Times New Roman" w:hAnsi="Times New Roman" w:cs="Times New Roman" w:eastAsia="Times New Roman"/>
          <w:i/>
          <w:color w:val="auto"/>
          <w:spacing w:val="0"/>
          <w:position w:val="0"/>
          <w:sz w:val="24"/>
          <w:shd w:fill="FFFFFF" w:val="clear"/>
        </w:rPr>
        <w:t xml:space="preserve">Teaching and Teacher Education</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112</w:t>
      </w:r>
      <w:r>
        <w:rPr>
          <w:rFonts w:ascii="Times New Roman" w:hAnsi="Times New Roman" w:cs="Times New Roman" w:eastAsia="Times New Roman"/>
          <w:color w:val="auto"/>
          <w:spacing w:val="0"/>
          <w:position w:val="0"/>
          <w:sz w:val="24"/>
          <w:shd w:fill="FFFFFF" w:val="clear"/>
        </w:rPr>
        <w:t xml:space="preserve">, p.103632.</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Gibson, A.N. and Hughes-Hassell, S., 2023. “Maybe She’s Just Strict to Everybody”: Race, Belonging, and Surveillance in the Library. </w:t>
      </w:r>
      <w:r>
        <w:rPr>
          <w:rFonts w:ascii="Times New Roman" w:hAnsi="Times New Roman" w:cs="Times New Roman" w:eastAsia="Times New Roman"/>
          <w:i/>
          <w:color w:val="auto"/>
          <w:spacing w:val="0"/>
          <w:position w:val="0"/>
          <w:sz w:val="24"/>
          <w:shd w:fill="FFFFFF" w:val="clear"/>
        </w:rPr>
        <w:t xml:space="preserve">The Library Quarterly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93</w:t>
      </w:r>
      <w:r>
        <w:rPr>
          <w:rFonts w:ascii="Times New Roman" w:hAnsi="Times New Roman" w:cs="Times New Roman" w:eastAsia="Times New Roman"/>
          <w:color w:val="auto"/>
          <w:spacing w:val="0"/>
          <w:position w:val="0"/>
          <w:sz w:val="24"/>
          <w:shd w:fill="FFFFFF" w:val="clear"/>
        </w:rPr>
        <w:t xml:space="preserve">(3), pp.277-293.</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Goscicki, B.L., Goldman, S.E., Burke, M.M. and Hodapp, R.M., 2023. Applicants to a Special Education Advocacy Training Program:“Insiders” in the Disability Advocacy World. </w:t>
      </w:r>
      <w:r>
        <w:rPr>
          <w:rFonts w:ascii="Times New Roman" w:hAnsi="Times New Roman" w:cs="Times New Roman" w:eastAsia="Times New Roman"/>
          <w:i/>
          <w:color w:val="auto"/>
          <w:spacing w:val="0"/>
          <w:position w:val="0"/>
          <w:sz w:val="24"/>
          <w:shd w:fill="FFFFFF" w:val="clear"/>
        </w:rPr>
        <w:t xml:space="preserve">Intellectual and developmental disabilities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61</w:t>
      </w:r>
      <w:r>
        <w:rPr>
          <w:rFonts w:ascii="Times New Roman" w:hAnsi="Times New Roman" w:cs="Times New Roman" w:eastAsia="Times New Roman"/>
          <w:color w:val="auto"/>
          <w:spacing w:val="0"/>
          <w:position w:val="0"/>
          <w:sz w:val="24"/>
          <w:shd w:fill="FFFFFF" w:val="clear"/>
        </w:rPr>
        <w:t xml:space="preserve">(2), pp.110-123.</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Hoeffler, C., 2023. Arming fortress Europe?: spaces and instruments of economic patriotism in EU armament policy. </w:t>
      </w:r>
      <w:r>
        <w:rPr>
          <w:rFonts w:ascii="Times New Roman" w:hAnsi="Times New Roman" w:cs="Times New Roman" w:eastAsia="Times New Roman"/>
          <w:i/>
          <w:color w:val="auto"/>
          <w:spacing w:val="0"/>
          <w:position w:val="0"/>
          <w:sz w:val="24"/>
          <w:shd w:fill="FFFFFF" w:val="clear"/>
        </w:rPr>
        <w:t xml:space="preserve">Politics and governance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11</w:t>
      </w:r>
      <w:r>
        <w:rPr>
          <w:rFonts w:ascii="Times New Roman" w:hAnsi="Times New Roman" w:cs="Times New Roman" w:eastAsia="Times New Roman"/>
          <w:color w:val="auto"/>
          <w:spacing w:val="0"/>
          <w:position w:val="0"/>
          <w:sz w:val="24"/>
          <w:shd w:fill="FFFFFF" w:val="clear"/>
        </w:rPr>
        <w:t xml:space="preserve">, pp.154-164.</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Jammes, J. and King, V.T., 2021. Fieldwork and the Self: Perspectives and Debates. </w:t>
      </w:r>
      <w:r>
        <w:rPr>
          <w:rFonts w:ascii="Times New Roman" w:hAnsi="Times New Roman" w:cs="Times New Roman" w:eastAsia="Times New Roman"/>
          <w:i/>
          <w:color w:val="auto"/>
          <w:spacing w:val="0"/>
          <w:position w:val="0"/>
          <w:sz w:val="24"/>
          <w:shd w:fill="FFFFFF" w:val="clear"/>
        </w:rPr>
        <w:t xml:space="preserve">Fieldwork and the Self: Changing Research Styles in Southeast Asia</w:t>
      </w:r>
      <w:r>
        <w:rPr>
          <w:rFonts w:ascii="Times New Roman" w:hAnsi="Times New Roman" w:cs="Times New Roman" w:eastAsia="Times New Roman"/>
          <w:color w:val="auto"/>
          <w:spacing w:val="0"/>
          <w:position w:val="0"/>
          <w:sz w:val="24"/>
          <w:shd w:fill="FFFFFF" w:val="clear"/>
        </w:rPr>
        <w:t xml:space="preserve">, pp.1-29.</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Knorr, C., Wolter, M. and Pentzold, C., 2024. Whistleblower Memoirs: Deconstructing Data Consultants’ Insider Stories. </w:t>
      </w:r>
      <w:r>
        <w:rPr>
          <w:rFonts w:ascii="Times New Roman" w:hAnsi="Times New Roman" w:cs="Times New Roman" w:eastAsia="Times New Roman"/>
          <w:i/>
          <w:color w:val="auto"/>
          <w:spacing w:val="0"/>
          <w:position w:val="0"/>
          <w:sz w:val="24"/>
          <w:shd w:fill="FFFFFF" w:val="clear"/>
        </w:rPr>
        <w:t xml:space="preserve">Social Media+ Society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(1), p.20563051231224730.</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Moretti-Langholz, D., 2023. Looking Beyond Himself: André Breton in the American Southwest. </w:t>
      </w:r>
      <w:r>
        <w:rPr>
          <w:rFonts w:ascii="Times New Roman" w:hAnsi="Times New Roman" w:cs="Times New Roman" w:eastAsia="Times New Roman"/>
          <w:i/>
          <w:color w:val="auto"/>
          <w:spacing w:val="0"/>
          <w:position w:val="0"/>
          <w:sz w:val="24"/>
          <w:shd w:fill="FFFFFF" w:val="clear"/>
        </w:rPr>
        <w:t xml:space="preserve">Journal of Surrealism and the Americas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(2).</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Porcelloni, L., 2021. PILGRIMAGE AND HOSPITALITY ALONG THE VIA FRANCIGENA: REVITALISATION OF RURAL AREAS AND THERAPEUTIC MOBILITIES. </w:t>
      </w:r>
      <w:r>
        <w:rPr>
          <w:rFonts w:ascii="Times New Roman" w:hAnsi="Times New Roman" w:cs="Times New Roman" w:eastAsia="Times New Roman"/>
          <w:i/>
          <w:color w:val="auto"/>
          <w:spacing w:val="0"/>
          <w:position w:val="0"/>
          <w:sz w:val="24"/>
          <w:shd w:fill="FFFFFF" w:val="clear"/>
        </w:rPr>
        <w:t xml:space="preserve">Turismo e Psicologia</w:t>
      </w:r>
      <w:r>
        <w:rPr>
          <w:rFonts w:ascii="Times New Roman" w:hAnsi="Times New Roman" w:cs="Times New Roman" w:eastAsia="Times New Roman"/>
          <w:color w:val="auto"/>
          <w:spacing w:val="0"/>
          <w:position w:val="0"/>
          <w:sz w:val="24"/>
          <w:shd w:fill="FFFFFF" w:val="clear"/>
        </w:rPr>
        <w:t xml:space="preserve">, (Turismo e Psicologia 14/1), pp.69-82.</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Robinson, H., 2021. There Is Now No Insider or Outsider.</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Watson, I., 2023. Revisiting the Waipu migration story</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an atypical and malleable migration narrative.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Journal of Irish and Scottish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11</w:t>
      </w:r>
      <w:r>
        <w:rPr>
          <w:rFonts w:ascii="Times New Roman" w:hAnsi="Times New Roman" w:cs="Times New Roman" w:eastAsia="Times New Roman"/>
          <w:color w:val="auto"/>
          <w:spacing w:val="0"/>
          <w:position w:val="0"/>
          <w:sz w:val="24"/>
          <w:shd w:fill="FFFFFF" w:val="clear"/>
        </w:rPr>
        <w:t xml:space="preserve">(1), pp.1-17.</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