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imes New Roman" w:hAnsi="Times New Roman" w:cs="Times New Roman"/>
          <w:sz w:val="24"/>
          <w:szCs w:val="24"/>
        </w:rPr>
      </w:pPr>
      <w:bookmarkStart w:id="0" w:name="OLE_LINK1"/>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bookmarkEnd w:id="0"/>
    <w:p>
      <w:pPr>
        <w:spacing w:after="0" w:line="360" w:lineRule="auto"/>
        <w:rPr>
          <w:rFonts w:ascii="Times New Roman" w:hAnsi="Times New Roman" w:cs="Times New Roman"/>
          <w:b/>
          <w:bCs/>
          <w:sz w:val="24"/>
          <w:szCs w:val="24"/>
        </w:rPr>
      </w:pPr>
    </w:p>
    <w:p>
      <w:pPr>
        <w:widowControl/>
        <w:spacing w:after="160" w:line="480" w:lineRule="auto"/>
        <w:jc w:val="center"/>
        <w:rPr>
          <w:rFonts w:ascii="Times New Roman" w:hAnsi="Times New Roman" w:eastAsia="Calibri" w:cs="Times New Roman"/>
          <w:b/>
          <w:bCs/>
          <w:sz w:val="24"/>
          <w:szCs w:val="24"/>
          <w:lang w:val="en-IN" w:eastAsia="en-US"/>
          <w14:ligatures w14:val="standardContextual"/>
        </w:rPr>
      </w:pPr>
      <w:r>
        <w:rPr>
          <w:rFonts w:ascii="Times New Roman" w:hAnsi="Times New Roman" w:eastAsia="Calibri" w:cs="Times New Roman"/>
          <w:b/>
          <w:bCs/>
          <w:sz w:val="32"/>
          <w:szCs w:val="32"/>
          <w:lang w:val="en-IN" w:eastAsia="en-US"/>
          <w14:ligatures w14:val="standardContextual"/>
        </w:rPr>
        <w:t xml:space="preserve">To </w:t>
      </w:r>
      <w:r>
        <w:rPr>
          <w:rFonts w:hint="eastAsia" w:ascii="Times New Roman" w:hAnsi="Times New Roman" w:eastAsia="宋体" w:cs="Times New Roman"/>
          <w:b/>
          <w:bCs/>
          <w:sz w:val="32"/>
          <w:szCs w:val="32"/>
          <w:lang w:val="en-US" w:eastAsia="zh-CN"/>
          <w14:ligatures w14:val="standardContextual"/>
        </w:rPr>
        <w:t>C</w:t>
      </w:r>
      <w:r>
        <w:rPr>
          <w:rFonts w:ascii="Times New Roman" w:hAnsi="Times New Roman" w:eastAsia="Calibri" w:cs="Times New Roman"/>
          <w:b/>
          <w:bCs/>
          <w:sz w:val="32"/>
          <w:szCs w:val="32"/>
          <w:lang w:val="en-IN" w:eastAsia="en-US"/>
          <w14:ligatures w14:val="standardContextual"/>
        </w:rPr>
        <w:t xml:space="preserve">ontribute to Existing Literature on Student Engagement by Interpreting Students’ Own Engagement in the Context of a English Language Teaching Class in a University in </w:t>
      </w:r>
      <w:r>
        <w:rPr>
          <w:rFonts w:hint="eastAsia" w:ascii="Times New Roman" w:hAnsi="Times New Roman" w:eastAsia="宋体" w:cs="Times New Roman"/>
          <w:b/>
          <w:bCs/>
          <w:sz w:val="32"/>
          <w:szCs w:val="32"/>
          <w:lang w:val="en-US" w:eastAsia="zh-CN"/>
          <w14:ligatures w14:val="standardContextual"/>
        </w:rPr>
        <w:t xml:space="preserve">Mainland </w:t>
      </w:r>
      <w:r>
        <w:rPr>
          <w:rFonts w:ascii="Times New Roman" w:hAnsi="Times New Roman" w:eastAsia="Calibri" w:cs="Times New Roman"/>
          <w:b/>
          <w:bCs/>
          <w:sz w:val="32"/>
          <w:szCs w:val="32"/>
          <w:lang w:val="en-IN" w:eastAsia="en-US"/>
          <w14:ligatures w14:val="standardContextual"/>
        </w:rPr>
        <w:t>China</w:t>
      </w:r>
    </w:p>
    <w:p>
      <w:pPr>
        <w:widowControl/>
        <w:spacing w:after="160" w:line="480" w:lineRule="auto"/>
        <w:jc w:val="left"/>
        <w:rPr>
          <w:rFonts w:ascii="Times New Roman" w:hAnsi="Times New Roman" w:eastAsia="Calibri" w:cs="Times New Roman"/>
          <w:b/>
          <w:bCs/>
          <w:sz w:val="24"/>
          <w:szCs w:val="24"/>
          <w:lang w:val="en-IN" w:eastAsia="en-US"/>
          <w14:ligatures w14:val="standardContextual"/>
        </w:rPr>
      </w:pPr>
    </w:p>
    <w:p>
      <w:pPr>
        <w:widowControl/>
        <w:spacing w:after="160" w:line="480" w:lineRule="auto"/>
        <w:jc w:val="left"/>
        <w:rPr>
          <w:rFonts w:ascii="Times New Roman" w:hAnsi="Times New Roman" w:eastAsia="Calibri" w:cs="Times New Roman"/>
          <w:b/>
          <w:bCs/>
          <w:sz w:val="24"/>
          <w:szCs w:val="24"/>
          <w:lang w:val="en-IN" w:eastAsia="en-US"/>
          <w14:ligatures w14:val="standardContextual"/>
        </w:rPr>
      </w:pPr>
    </w:p>
    <w:p>
      <w:pPr>
        <w:widowControl w:val="0"/>
        <w:tabs>
          <w:tab w:val="left" w:pos="2515"/>
          <w:tab w:val="center" w:pos="4680"/>
          <w:tab w:val="center" w:pos="4740"/>
          <w:tab w:val="right" w:pos="9360"/>
        </w:tabs>
        <w:spacing w:after="0" w:line="480" w:lineRule="auto"/>
        <w:ind w:firstLine="2400" w:firstLineChars="1000"/>
        <w:jc w:val="left"/>
        <w:rPr>
          <w:rFonts w:ascii="Times New Roman" w:hAnsi="Times New Roman" w:eastAsia="宋体" w:cs="Times New Roman"/>
          <w:b w:val="0"/>
          <w:bCs w:val="0"/>
          <w:color w:val="000000"/>
          <w:sz w:val="24"/>
          <w:szCs w:val="22"/>
          <w:lang w:val="en-US" w:eastAsia="zh-CN"/>
          <w14:ligatures w14:val="none"/>
        </w:rPr>
      </w:pPr>
      <w:r>
        <w:rPr>
          <w:rFonts w:hint="eastAsia" w:ascii="Times New Roman" w:hAnsi="Times New Roman" w:eastAsia="宋体" w:cs="Times New Roman"/>
          <w:b w:val="0"/>
          <w:bCs w:val="0"/>
          <w:color w:val="000000"/>
          <w:sz w:val="24"/>
          <w:szCs w:val="22"/>
          <w:lang w:val="en-US" w:eastAsia="zh-CN"/>
          <w14:ligatures w14:val="none"/>
        </w:rPr>
        <w:t>EdD Student: Yunpeng CHEN (2216630)</w:t>
      </w:r>
    </w:p>
    <w:p>
      <w:pPr>
        <w:widowControl w:val="0"/>
        <w:tabs>
          <w:tab w:val="center" w:pos="4680"/>
          <w:tab w:val="right" w:pos="9360"/>
        </w:tabs>
        <w:spacing w:after="0" w:line="480" w:lineRule="auto"/>
        <w:ind w:firstLine="2160" w:firstLineChars="900"/>
        <w:jc w:val="left"/>
        <w:rPr>
          <w:rFonts w:hint="default" w:ascii="Times New Roman" w:hAnsi="Times New Roman" w:eastAsia="宋体" w:cs="Times New Roman"/>
          <w:b w:val="0"/>
          <w:bCs w:val="0"/>
          <w:color w:val="000000"/>
          <w:sz w:val="24"/>
          <w:szCs w:val="22"/>
          <w:lang w:val="en-US" w:eastAsia="zh-CN"/>
          <w14:ligatures w14:val="none"/>
        </w:rPr>
      </w:pPr>
      <w:r>
        <w:rPr>
          <w:rFonts w:hint="eastAsia" w:ascii="Times New Roman" w:hAnsi="Times New Roman" w:eastAsia="Calibri" w:cs="Times New Roman"/>
          <w:b w:val="0"/>
          <w:bCs w:val="0"/>
          <w:color w:val="000000"/>
          <w:sz w:val="24"/>
          <w:szCs w:val="22"/>
          <w:lang w:val="en-US" w:eastAsia="en-US"/>
          <w14:ligatures w14:val="none"/>
        </w:rPr>
        <w:t>Institute of Education and Humanities</w:t>
      </w:r>
      <w:r>
        <w:rPr>
          <w:rFonts w:hint="eastAsia" w:ascii="Times New Roman" w:hAnsi="Times New Roman" w:eastAsia="宋体" w:cs="Times New Roman"/>
          <w:b w:val="0"/>
          <w:bCs w:val="0"/>
          <w:color w:val="000000"/>
          <w:sz w:val="24"/>
          <w:szCs w:val="22"/>
          <w:lang w:val="en-US" w:eastAsia="zh-CN"/>
          <w14:ligatures w14:val="none"/>
        </w:rPr>
        <w:t>, UWTSD</w:t>
      </w:r>
    </w:p>
    <w:p>
      <w:pPr>
        <w:widowControl w:val="0"/>
        <w:tabs>
          <w:tab w:val="center" w:pos="4680"/>
          <w:tab w:val="right" w:pos="9360"/>
        </w:tabs>
        <w:spacing w:after="0" w:line="480" w:lineRule="auto"/>
        <w:ind w:firstLine="1200" w:firstLineChars="500"/>
        <w:jc w:val="left"/>
        <w:rPr>
          <w:rFonts w:hint="eastAsia" w:ascii="Times New Roman" w:hAnsi="Times New Roman" w:eastAsia="宋体" w:cs="Times New Roman"/>
          <w:b w:val="0"/>
          <w:bCs w:val="0"/>
          <w:color w:val="000000"/>
          <w:sz w:val="24"/>
          <w:szCs w:val="22"/>
          <w:lang w:val="en-US" w:eastAsia="zh-CN"/>
          <w14:ligatures w14:val="none"/>
        </w:rPr>
      </w:pPr>
      <w:r>
        <w:rPr>
          <w:rFonts w:hint="eastAsia" w:ascii="Times New Roman" w:hAnsi="Times New Roman" w:eastAsia="Calibri" w:cs="Times New Roman"/>
          <w:b w:val="0"/>
          <w:bCs w:val="0"/>
          <w:color w:val="000000"/>
          <w:sz w:val="24"/>
          <w:szCs w:val="22"/>
          <w:lang w:val="en-US" w:eastAsia="en-US"/>
          <w14:ligatures w14:val="none"/>
        </w:rPr>
        <w:t xml:space="preserve">Course: </w:t>
      </w:r>
      <w:r>
        <w:rPr>
          <w:rFonts w:hint="eastAsia" w:ascii="Times New Roman" w:hAnsi="Times New Roman" w:eastAsia="宋体" w:cs="Times New Roman"/>
          <w:b w:val="0"/>
          <w:bCs w:val="0"/>
          <w:color w:val="000000"/>
          <w:sz w:val="24"/>
          <w:szCs w:val="22"/>
          <w:lang w:val="en-US" w:eastAsia="zh-CN"/>
          <w14:ligatures w14:val="none"/>
        </w:rPr>
        <w:t xml:space="preserve">ECDE 7013-Exploring Contemporary Issues in Education 2: </w:t>
      </w:r>
    </w:p>
    <w:p>
      <w:pPr>
        <w:widowControl w:val="0"/>
        <w:tabs>
          <w:tab w:val="center" w:pos="4680"/>
          <w:tab w:val="right" w:pos="9360"/>
        </w:tabs>
        <w:spacing w:after="0" w:line="480" w:lineRule="auto"/>
        <w:ind w:firstLine="960" w:firstLineChars="400"/>
        <w:jc w:val="left"/>
        <w:rPr>
          <w:rFonts w:hint="eastAsia" w:ascii="Times New Roman" w:hAnsi="Times New Roman" w:eastAsia="宋体" w:cs="Times New Roman"/>
          <w:b w:val="0"/>
          <w:bCs w:val="0"/>
          <w:color w:val="000000"/>
          <w:sz w:val="24"/>
          <w:szCs w:val="22"/>
          <w:lang w:val="en-US" w:eastAsia="zh-CN"/>
          <w14:ligatures w14:val="none"/>
        </w:rPr>
      </w:pPr>
      <w:r>
        <w:rPr>
          <w:rFonts w:hint="eastAsia" w:ascii="Times New Roman" w:hAnsi="Times New Roman" w:eastAsia="宋体" w:cs="Times New Roman"/>
          <w:b w:val="0"/>
          <w:bCs w:val="0"/>
          <w:color w:val="000000"/>
          <w:sz w:val="24"/>
          <w:szCs w:val="22"/>
          <w:lang w:val="en-US" w:eastAsia="zh-CN"/>
          <w14:ligatures w14:val="none"/>
        </w:rPr>
        <w:t>Applying critical skills, contributing to knowledge: leading improvement</w:t>
      </w:r>
    </w:p>
    <w:p>
      <w:pPr>
        <w:widowControl w:val="0"/>
        <w:tabs>
          <w:tab w:val="center" w:pos="4680"/>
          <w:tab w:val="right" w:pos="9360"/>
        </w:tabs>
        <w:spacing w:after="0" w:line="480" w:lineRule="auto"/>
        <w:ind w:firstLine="3360" w:firstLineChars="1400"/>
        <w:jc w:val="left"/>
        <w:rPr>
          <w:rFonts w:hint="default" w:ascii="Times New Roman" w:hAnsi="Times New Roman" w:eastAsia="宋体" w:cs="Times New Roman"/>
          <w:b w:val="0"/>
          <w:bCs w:val="0"/>
          <w:color w:val="000000"/>
          <w:sz w:val="24"/>
          <w:szCs w:val="22"/>
          <w:lang w:val="en-US" w:eastAsia="zh-CN"/>
          <w14:ligatures w14:val="none"/>
        </w:rPr>
      </w:pPr>
      <w:r>
        <w:rPr>
          <w:rFonts w:hint="eastAsia" w:ascii="Times New Roman" w:hAnsi="Times New Roman" w:eastAsia="宋体" w:cs="Times New Roman"/>
          <w:b w:val="0"/>
          <w:bCs w:val="0"/>
          <w:color w:val="000000"/>
          <w:sz w:val="24"/>
          <w:szCs w:val="22"/>
          <w:lang w:val="en-US" w:eastAsia="zh-CN"/>
          <w14:ligatures w14:val="none"/>
        </w:rPr>
        <w:t>Lecturer: Dr Iain Jones</w:t>
      </w:r>
    </w:p>
    <w:p>
      <w:pPr>
        <w:widowControl w:val="0"/>
        <w:tabs>
          <w:tab w:val="center" w:pos="4680"/>
          <w:tab w:val="right" w:pos="9360"/>
        </w:tabs>
        <w:spacing w:after="0" w:line="480" w:lineRule="auto"/>
        <w:ind w:firstLine="2160" w:firstLineChars="900"/>
        <w:jc w:val="left"/>
        <w:rPr>
          <w:rFonts w:ascii="Times New Roman" w:hAnsi="Times New Roman" w:eastAsia="Times New Roman" w:cs="Times New Roman"/>
          <w:b w:val="0"/>
          <w:bCs w:val="0"/>
          <w:color w:val="000000"/>
          <w:sz w:val="24"/>
          <w:szCs w:val="24"/>
          <w:lang w:val="en-US" w:eastAsia="zh-CN"/>
          <w14:ligatures w14:val="none"/>
        </w:rPr>
      </w:pPr>
      <w:r>
        <w:rPr>
          <w:rFonts w:hint="eastAsia" w:ascii="Times New Roman" w:hAnsi="Times New Roman" w:eastAsia="宋体" w:cs="Times New Roman"/>
          <w:b w:val="0"/>
          <w:bCs w:val="0"/>
          <w:color w:val="000000"/>
          <w:sz w:val="24"/>
          <w:szCs w:val="24"/>
          <w:lang w:val="en-US" w:eastAsia="zh-CN"/>
          <w14:ligatures w14:val="none"/>
        </w:rPr>
        <w:t>22</w:t>
      </w:r>
      <w:r>
        <w:rPr>
          <w:rFonts w:hint="eastAsia" w:ascii="Times New Roman" w:hAnsi="Times New Roman" w:eastAsia="Times New Roman" w:cs="Times New Roman"/>
          <w:b w:val="0"/>
          <w:bCs w:val="0"/>
          <w:color w:val="000000"/>
          <w:sz w:val="24"/>
          <w:szCs w:val="24"/>
          <w:lang w:val="en-US" w:eastAsia="zh-CN"/>
          <w14:ligatures w14:val="none"/>
        </w:rPr>
        <w:t>th December, 2023 (Assessment</w:t>
      </w:r>
      <w:r>
        <w:rPr>
          <w:rFonts w:hint="eastAsia" w:ascii="Times New Roman" w:hAnsi="Times New Roman" w:eastAsia="宋体" w:cs="Times New Roman"/>
          <w:b w:val="0"/>
          <w:bCs w:val="0"/>
          <w:color w:val="000000"/>
          <w:sz w:val="24"/>
          <w:szCs w:val="24"/>
          <w:lang w:val="en-US" w:eastAsia="zh-CN"/>
          <w14:ligatures w14:val="none"/>
        </w:rPr>
        <w:t xml:space="preserve"> C</w:t>
      </w:r>
      <w:r>
        <w:rPr>
          <w:rFonts w:hint="eastAsia" w:ascii="Times New Roman" w:hAnsi="Times New Roman" w:eastAsia="Times New Roman" w:cs="Times New Roman"/>
          <w:b w:val="0"/>
          <w:bCs w:val="0"/>
          <w:color w:val="000000"/>
          <w:sz w:val="24"/>
          <w:szCs w:val="24"/>
          <w:lang w:val="en-US" w:eastAsia="zh-CN"/>
          <w14:ligatures w14:val="none"/>
        </w:rPr>
        <w:t xml:space="preserve">omponent </w:t>
      </w:r>
      <w:r>
        <w:rPr>
          <w:rFonts w:hint="eastAsia" w:ascii="Times New Roman" w:hAnsi="Times New Roman" w:eastAsia="宋体" w:cs="Times New Roman"/>
          <w:b w:val="0"/>
          <w:bCs w:val="0"/>
          <w:color w:val="000000"/>
          <w:sz w:val="24"/>
          <w:szCs w:val="24"/>
          <w:lang w:val="en-US" w:eastAsia="zh-CN"/>
          <w14:ligatures w14:val="none"/>
        </w:rPr>
        <w:t>2</w:t>
      </w:r>
      <w:r>
        <w:rPr>
          <w:rFonts w:hint="eastAsia" w:ascii="Times New Roman" w:hAnsi="Times New Roman" w:eastAsia="Times New Roman" w:cs="Times New Roman"/>
          <w:b w:val="0"/>
          <w:bCs w:val="0"/>
          <w:color w:val="000000"/>
          <w:sz w:val="24"/>
          <w:szCs w:val="24"/>
          <w:lang w:val="en-US" w:eastAsia="zh-CN"/>
          <w14:ligatures w14:val="none"/>
        </w:rPr>
        <w:t>)</w:t>
      </w:r>
    </w:p>
    <w:p>
      <w:pPr>
        <w:widowControl w:val="0"/>
        <w:tabs>
          <w:tab w:val="center" w:pos="4680"/>
          <w:tab w:val="right" w:pos="9360"/>
        </w:tabs>
        <w:spacing w:after="0" w:line="480" w:lineRule="auto"/>
        <w:ind w:firstLine="3600" w:firstLineChars="1500"/>
        <w:jc w:val="left"/>
        <w:rPr>
          <w:rFonts w:ascii="Times New Roman" w:hAnsi="Times New Roman" w:cs="Times New Roman"/>
          <w:b/>
          <w:bCs/>
          <w:sz w:val="24"/>
          <w:szCs w:val="24"/>
        </w:rPr>
        <w:sectPr>
          <w:footerReference r:id="rId5" w:type="default"/>
          <w:pgSz w:w="12240" w:h="15840"/>
          <w:pgMar w:top="1440" w:right="1440" w:bottom="1440" w:left="1440" w:header="720" w:footer="720" w:gutter="0"/>
          <w:cols w:space="720" w:num="1"/>
        </w:sectPr>
      </w:pPr>
      <w:r>
        <w:rPr>
          <w:rFonts w:hint="eastAsia" w:ascii="Times New Roman" w:hAnsi="Times New Roman" w:eastAsia="Times New Roman" w:cs="Times New Roman"/>
          <w:b w:val="0"/>
          <w:bCs w:val="0"/>
          <w:color w:val="000000"/>
          <w:sz w:val="24"/>
          <w:szCs w:val="24"/>
          <w:lang w:val="en-US" w:eastAsia="zh-CN"/>
          <w14:ligatures w14:val="none"/>
        </w:rPr>
        <w:t>Word count:12,511</w:t>
      </w:r>
    </w:p>
    <w:sdt>
      <w:sdtPr>
        <w:rPr>
          <w:rFonts w:ascii="Times New Roman" w:hAnsi="Times New Roman" w:cs="Times New Roman"/>
          <w:sz w:val="30"/>
          <w:szCs w:val="30"/>
        </w:rPr>
        <w:id w:val="440882032"/>
        <w:docPartObj>
          <w:docPartGallery w:val="Table of Contents"/>
          <w:docPartUnique/>
        </w:docPartObj>
      </w:sdtPr>
      <w:sdtEndPr>
        <w:rPr>
          <w:rFonts w:ascii="Times New Roman" w:hAnsi="Times New Roman" w:cs="Times New Roman" w:eastAsiaTheme="minorHAnsi"/>
          <w:b/>
          <w:bCs/>
          <w:color w:val="auto"/>
          <w:kern w:val="2"/>
          <w:sz w:val="22"/>
          <w:szCs w:val="22"/>
          <w14:ligatures w14:val="standardContextual"/>
        </w:rPr>
      </w:sdtEndPr>
      <w:sdtContent>
        <w:p>
          <w:pPr>
            <w:pStyle w:val="26"/>
            <w:pageBreakBefore w:val="0"/>
            <w:widowControl/>
            <w:kinsoku/>
            <w:wordWrap/>
            <w:overflowPunct/>
            <w:topLinePunct w:val="0"/>
            <w:autoSpaceDE/>
            <w:autoSpaceDN/>
            <w:bidi w:val="0"/>
            <w:adjustRightInd/>
            <w:snapToGrid/>
            <w:spacing w:line="160" w:lineRule="exact"/>
            <w:jc w:val="center"/>
            <w:textAlignment w:val="auto"/>
            <w:rPr>
              <w:sz w:val="28"/>
              <w:szCs w:val="28"/>
            </w:rPr>
          </w:pPr>
          <w:r>
            <w:rPr>
              <w:rFonts w:ascii="Times New Roman" w:hAnsi="Times New Roman" w:cs="Times New Roman"/>
              <w:b/>
              <w:bCs/>
              <w:color w:val="auto"/>
              <w:sz w:val="28"/>
              <w:szCs w:val="28"/>
            </w:rPr>
            <w:t>Table of Contents</w:t>
          </w:r>
        </w:p>
        <w:p>
          <w:pPr>
            <w:pStyle w:val="8"/>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b/>
              <w:bCs/>
              <w:sz w:val="18"/>
              <w:szCs w:val="18"/>
            </w:rPr>
          </w:pPr>
          <w:r>
            <w:rPr>
              <w:rFonts w:ascii="Times New Roman" w:hAnsi="Times New Roman" w:cs="Times New Roman"/>
              <w:sz w:val="15"/>
              <w:szCs w:val="15"/>
            </w:rPr>
            <w:fldChar w:fldCharType="begin"/>
          </w:r>
          <w:r>
            <w:rPr>
              <w:rFonts w:ascii="Times New Roman" w:hAnsi="Times New Roman" w:cs="Times New Roman"/>
              <w:sz w:val="15"/>
              <w:szCs w:val="15"/>
            </w:rPr>
            <w:instrText xml:space="preserve"> TOC \o "1-3" \h \z \u </w:instrText>
          </w:r>
          <w:r>
            <w:rPr>
              <w:rFonts w:ascii="Times New Roman" w:hAnsi="Times New Roman" w:cs="Times New Roman"/>
              <w:sz w:val="15"/>
              <w:szCs w:val="15"/>
            </w:rPr>
            <w:fldChar w:fldCharType="separate"/>
          </w:r>
          <w:r>
            <w:rPr>
              <w:rFonts w:ascii="Times New Roman" w:hAnsi="Times New Roman" w:cs="Times New Roman"/>
              <w:b/>
              <w:bCs/>
              <w:sz w:val="18"/>
              <w:szCs w:val="15"/>
            </w:rPr>
            <w:fldChar w:fldCharType="begin"/>
          </w:r>
          <w:r>
            <w:rPr>
              <w:rFonts w:ascii="Times New Roman" w:hAnsi="Times New Roman" w:cs="Times New Roman"/>
              <w:b/>
              <w:bCs/>
              <w:sz w:val="18"/>
              <w:szCs w:val="15"/>
            </w:rPr>
            <w:instrText xml:space="preserve"> HYPERLINK \l _Toc30107 </w:instrText>
          </w:r>
          <w:r>
            <w:rPr>
              <w:rFonts w:ascii="Times New Roman" w:hAnsi="Times New Roman" w:cs="Times New Roman"/>
              <w:b/>
              <w:bCs/>
              <w:sz w:val="18"/>
              <w:szCs w:val="15"/>
            </w:rPr>
            <w:fldChar w:fldCharType="separate"/>
          </w:r>
          <w:r>
            <w:rPr>
              <w:rFonts w:ascii="Times New Roman" w:hAnsi="Times New Roman" w:cs="Times New Roman"/>
              <w:b/>
              <w:bCs/>
              <w:sz w:val="18"/>
              <w:szCs w:val="20"/>
            </w:rPr>
            <w:t>CHAPTER 1: INTRODUCTION</w:t>
          </w:r>
          <w:r>
            <w:rPr>
              <w:b/>
              <w:bCs/>
              <w:sz w:val="18"/>
              <w:szCs w:val="18"/>
            </w:rPr>
            <w:tab/>
          </w:r>
          <w:r>
            <w:rPr>
              <w:b/>
              <w:bCs/>
              <w:sz w:val="18"/>
              <w:szCs w:val="18"/>
            </w:rPr>
            <w:fldChar w:fldCharType="begin"/>
          </w:r>
          <w:r>
            <w:rPr>
              <w:b/>
              <w:bCs/>
              <w:sz w:val="18"/>
              <w:szCs w:val="18"/>
            </w:rPr>
            <w:instrText xml:space="preserve"> PAGEREF _Toc30107 \h </w:instrText>
          </w:r>
          <w:r>
            <w:rPr>
              <w:b/>
              <w:bCs/>
              <w:sz w:val="18"/>
              <w:szCs w:val="18"/>
            </w:rPr>
            <w:fldChar w:fldCharType="separate"/>
          </w:r>
          <w:r>
            <w:rPr>
              <w:b/>
              <w:bCs/>
              <w:sz w:val="18"/>
              <w:szCs w:val="18"/>
            </w:rPr>
            <w:t>3</w:t>
          </w:r>
          <w:r>
            <w:rPr>
              <w:b/>
              <w:bCs/>
              <w:sz w:val="18"/>
              <w:szCs w:val="18"/>
            </w:rPr>
            <w:fldChar w:fldCharType="end"/>
          </w:r>
          <w:r>
            <w:rPr>
              <w:rFonts w:ascii="Times New Roman" w:hAnsi="Times New Roman" w:cs="Times New Roman"/>
              <w:b/>
              <w:bCs/>
              <w:sz w:val="18"/>
              <w:szCs w:val="15"/>
            </w:rPr>
            <w:fldChar w:fldCharType="end"/>
          </w:r>
        </w:p>
        <w:p>
          <w:pPr>
            <w:pStyle w:val="8"/>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
              <w:bCs/>
              <w:sz w:val="18"/>
              <w:szCs w:val="15"/>
            </w:rPr>
            <w:fldChar w:fldCharType="begin"/>
          </w:r>
          <w:r>
            <w:rPr>
              <w:rFonts w:ascii="Times New Roman" w:hAnsi="Times New Roman" w:cs="Times New Roman"/>
              <w:b/>
              <w:bCs/>
              <w:sz w:val="18"/>
              <w:szCs w:val="15"/>
            </w:rPr>
            <w:instrText xml:space="preserve"> HYPERLINK \l _Toc26605 </w:instrText>
          </w:r>
          <w:r>
            <w:rPr>
              <w:rFonts w:ascii="Times New Roman" w:hAnsi="Times New Roman" w:cs="Times New Roman"/>
              <w:b/>
              <w:bCs/>
              <w:sz w:val="18"/>
              <w:szCs w:val="15"/>
            </w:rPr>
            <w:fldChar w:fldCharType="separate"/>
          </w:r>
          <w:r>
            <w:rPr>
              <w:rFonts w:ascii="Times New Roman" w:hAnsi="Times New Roman" w:cs="Times New Roman"/>
              <w:b/>
              <w:bCs/>
              <w:sz w:val="18"/>
              <w:szCs w:val="20"/>
            </w:rPr>
            <w:t>CHAPTER 2: LITERATURE REVIEW</w:t>
          </w:r>
          <w:r>
            <w:rPr>
              <w:b/>
              <w:bCs/>
              <w:sz w:val="18"/>
              <w:szCs w:val="18"/>
            </w:rPr>
            <w:tab/>
          </w:r>
          <w:r>
            <w:rPr>
              <w:b/>
              <w:bCs/>
              <w:sz w:val="18"/>
              <w:szCs w:val="18"/>
            </w:rPr>
            <w:fldChar w:fldCharType="begin"/>
          </w:r>
          <w:r>
            <w:rPr>
              <w:b/>
              <w:bCs/>
              <w:sz w:val="18"/>
              <w:szCs w:val="18"/>
            </w:rPr>
            <w:instrText xml:space="preserve"> PAGEREF _Toc26605 \h </w:instrText>
          </w:r>
          <w:r>
            <w:rPr>
              <w:b/>
              <w:bCs/>
              <w:sz w:val="18"/>
              <w:szCs w:val="18"/>
            </w:rPr>
            <w:fldChar w:fldCharType="separate"/>
          </w:r>
          <w:r>
            <w:rPr>
              <w:b/>
              <w:bCs/>
              <w:sz w:val="18"/>
              <w:szCs w:val="18"/>
            </w:rPr>
            <w:t>5</w:t>
          </w:r>
          <w:r>
            <w:rPr>
              <w:b/>
              <w:bCs/>
              <w:sz w:val="18"/>
              <w:szCs w:val="18"/>
            </w:rPr>
            <w:fldChar w:fldCharType="end"/>
          </w:r>
          <w:r>
            <w:rPr>
              <w:rFonts w:ascii="Times New Roman" w:hAnsi="Times New Roman" w:cs="Times New Roman"/>
              <w:b/>
              <w:bCs/>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_Toc5191 </w:instrText>
          </w:r>
          <w:r>
            <w:rPr>
              <w:rFonts w:ascii="Times New Roman" w:hAnsi="Times New Roman" w:cs="Times New Roman"/>
              <w:bCs/>
              <w:sz w:val="18"/>
              <w:szCs w:val="15"/>
            </w:rPr>
            <w:fldChar w:fldCharType="separate"/>
          </w:r>
          <w:r>
            <w:rPr>
              <w:rFonts w:eastAsia="宋体"/>
              <w:sz w:val="18"/>
              <w:szCs w:val="20"/>
            </w:rPr>
            <w:t xml:space="preserve">2.1 </w:t>
          </w:r>
          <w:r>
            <w:rPr>
              <w:sz w:val="18"/>
              <w:szCs w:val="20"/>
            </w:rPr>
            <w:t>Introduction</w:t>
          </w:r>
          <w:r>
            <w:rPr>
              <w:sz w:val="18"/>
              <w:szCs w:val="18"/>
            </w:rPr>
            <w:tab/>
          </w:r>
          <w:r>
            <w:rPr>
              <w:sz w:val="18"/>
              <w:szCs w:val="18"/>
            </w:rPr>
            <w:fldChar w:fldCharType="begin"/>
          </w:r>
          <w:r>
            <w:rPr>
              <w:sz w:val="18"/>
              <w:szCs w:val="18"/>
            </w:rPr>
            <w:instrText xml:space="preserve"> PAGEREF _Toc5191 \h </w:instrText>
          </w:r>
          <w:r>
            <w:rPr>
              <w:sz w:val="18"/>
              <w:szCs w:val="18"/>
            </w:rPr>
            <w:fldChar w:fldCharType="separate"/>
          </w:r>
          <w:r>
            <w:rPr>
              <w:sz w:val="18"/>
              <w:szCs w:val="18"/>
            </w:rPr>
            <w:t>5</w:t>
          </w:r>
          <w:r>
            <w:rPr>
              <w:sz w:val="18"/>
              <w:szCs w:val="18"/>
            </w:rPr>
            <w:fldChar w:fldCharType="end"/>
          </w:r>
          <w:r>
            <w:rPr>
              <w:rFonts w:ascii="Times New Roman" w:hAnsi="Times New Roman" w:cs="Times New Roman"/>
              <w:bCs/>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_Toc21110 </w:instrText>
          </w:r>
          <w:r>
            <w:rPr>
              <w:rFonts w:ascii="Times New Roman" w:hAnsi="Times New Roman" w:cs="Times New Roman"/>
              <w:bCs/>
              <w:sz w:val="18"/>
              <w:szCs w:val="15"/>
            </w:rPr>
            <w:fldChar w:fldCharType="separate"/>
          </w:r>
          <w:r>
            <w:rPr>
              <w:rFonts w:eastAsia="宋体"/>
              <w:sz w:val="18"/>
              <w:szCs w:val="20"/>
            </w:rPr>
            <w:t xml:space="preserve">2.2 </w:t>
          </w:r>
          <w:r>
            <w:rPr>
              <w:sz w:val="18"/>
              <w:szCs w:val="20"/>
            </w:rPr>
            <w:t>Student Engagement</w:t>
          </w:r>
          <w:r>
            <w:rPr>
              <w:sz w:val="18"/>
              <w:szCs w:val="18"/>
            </w:rPr>
            <w:tab/>
          </w:r>
          <w:r>
            <w:rPr>
              <w:sz w:val="18"/>
              <w:szCs w:val="18"/>
            </w:rPr>
            <w:fldChar w:fldCharType="begin"/>
          </w:r>
          <w:r>
            <w:rPr>
              <w:sz w:val="18"/>
              <w:szCs w:val="18"/>
            </w:rPr>
            <w:instrText xml:space="preserve"> PAGEREF _Toc21110 \h </w:instrText>
          </w:r>
          <w:r>
            <w:rPr>
              <w:sz w:val="18"/>
              <w:szCs w:val="18"/>
            </w:rPr>
            <w:fldChar w:fldCharType="separate"/>
          </w:r>
          <w:r>
            <w:rPr>
              <w:sz w:val="18"/>
              <w:szCs w:val="18"/>
            </w:rPr>
            <w:t>6</w:t>
          </w:r>
          <w:r>
            <w:rPr>
              <w:sz w:val="18"/>
              <w:szCs w:val="18"/>
            </w:rPr>
            <w:fldChar w:fldCharType="end"/>
          </w:r>
          <w:r>
            <w:rPr>
              <w:rFonts w:ascii="Times New Roman" w:hAnsi="Times New Roman" w:cs="Times New Roman"/>
              <w:bCs/>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_Toc9895 </w:instrText>
          </w:r>
          <w:r>
            <w:rPr>
              <w:rFonts w:ascii="Times New Roman" w:hAnsi="Times New Roman" w:cs="Times New Roman"/>
              <w:bCs/>
              <w:sz w:val="18"/>
              <w:szCs w:val="15"/>
            </w:rPr>
            <w:fldChar w:fldCharType="separate"/>
          </w:r>
          <w:r>
            <w:rPr>
              <w:rFonts w:eastAsia="宋体"/>
              <w:sz w:val="18"/>
              <w:szCs w:val="20"/>
            </w:rPr>
            <w:t xml:space="preserve">2.3 </w:t>
          </w:r>
          <w:r>
            <w:rPr>
              <w:sz w:val="18"/>
              <w:szCs w:val="20"/>
            </w:rPr>
            <w:t>Factors Influencing Student Engagement</w:t>
          </w:r>
          <w:r>
            <w:rPr>
              <w:sz w:val="18"/>
              <w:szCs w:val="18"/>
            </w:rPr>
            <w:tab/>
          </w:r>
          <w:r>
            <w:rPr>
              <w:sz w:val="18"/>
              <w:szCs w:val="18"/>
            </w:rPr>
            <w:fldChar w:fldCharType="begin"/>
          </w:r>
          <w:r>
            <w:rPr>
              <w:sz w:val="18"/>
              <w:szCs w:val="18"/>
            </w:rPr>
            <w:instrText xml:space="preserve"> PAGEREF _Toc9895 \h </w:instrText>
          </w:r>
          <w:r>
            <w:rPr>
              <w:sz w:val="18"/>
              <w:szCs w:val="18"/>
            </w:rPr>
            <w:fldChar w:fldCharType="separate"/>
          </w:r>
          <w:r>
            <w:rPr>
              <w:sz w:val="18"/>
              <w:szCs w:val="18"/>
            </w:rPr>
            <w:t>8</w:t>
          </w:r>
          <w:r>
            <w:rPr>
              <w:sz w:val="18"/>
              <w:szCs w:val="18"/>
            </w:rPr>
            <w:fldChar w:fldCharType="end"/>
          </w:r>
          <w:r>
            <w:rPr>
              <w:rFonts w:ascii="Times New Roman" w:hAnsi="Times New Roman" w:cs="Times New Roman"/>
              <w:bCs/>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_Toc13449 </w:instrText>
          </w:r>
          <w:r>
            <w:rPr>
              <w:rFonts w:ascii="Times New Roman" w:hAnsi="Times New Roman" w:cs="Times New Roman"/>
              <w:bCs/>
              <w:sz w:val="18"/>
              <w:szCs w:val="15"/>
            </w:rPr>
            <w:fldChar w:fldCharType="separate"/>
          </w:r>
          <w:r>
            <w:rPr>
              <w:sz w:val="18"/>
              <w:szCs w:val="20"/>
            </w:rPr>
            <w:t>2.4 What are the students themselves thinking of Teaching Methods and Student Engagement</w:t>
          </w:r>
          <w:r>
            <w:rPr>
              <w:sz w:val="18"/>
              <w:szCs w:val="18"/>
            </w:rPr>
            <w:tab/>
          </w:r>
          <w:r>
            <w:rPr>
              <w:sz w:val="18"/>
              <w:szCs w:val="18"/>
            </w:rPr>
            <w:fldChar w:fldCharType="begin"/>
          </w:r>
          <w:r>
            <w:rPr>
              <w:sz w:val="18"/>
              <w:szCs w:val="18"/>
            </w:rPr>
            <w:instrText xml:space="preserve"> PAGEREF _Toc13449 \h </w:instrText>
          </w:r>
          <w:r>
            <w:rPr>
              <w:sz w:val="18"/>
              <w:szCs w:val="18"/>
            </w:rPr>
            <w:fldChar w:fldCharType="separate"/>
          </w:r>
          <w:r>
            <w:rPr>
              <w:sz w:val="18"/>
              <w:szCs w:val="18"/>
            </w:rPr>
            <w:t>11</w:t>
          </w:r>
          <w:r>
            <w:rPr>
              <w:sz w:val="18"/>
              <w:szCs w:val="18"/>
            </w:rPr>
            <w:fldChar w:fldCharType="end"/>
          </w:r>
          <w:r>
            <w:rPr>
              <w:rFonts w:ascii="Times New Roman" w:hAnsi="Times New Roman" w:cs="Times New Roman"/>
              <w:bCs/>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_Toc1904 </w:instrText>
          </w:r>
          <w:r>
            <w:rPr>
              <w:rFonts w:ascii="Times New Roman" w:hAnsi="Times New Roman" w:cs="Times New Roman"/>
              <w:bCs/>
              <w:sz w:val="18"/>
              <w:szCs w:val="15"/>
            </w:rPr>
            <w:fldChar w:fldCharType="separate"/>
          </w:r>
          <w:r>
            <w:rPr>
              <w:rFonts w:eastAsia="宋体"/>
              <w:sz w:val="18"/>
              <w:szCs w:val="20"/>
            </w:rPr>
            <w:t xml:space="preserve">2.4 </w:t>
          </w:r>
          <w:r>
            <w:rPr>
              <w:sz w:val="18"/>
              <w:szCs w:val="20"/>
            </w:rPr>
            <w:t>Conclusion</w:t>
          </w:r>
          <w:r>
            <w:rPr>
              <w:sz w:val="18"/>
              <w:szCs w:val="18"/>
            </w:rPr>
            <w:tab/>
          </w:r>
          <w:r>
            <w:rPr>
              <w:sz w:val="18"/>
              <w:szCs w:val="18"/>
            </w:rPr>
            <w:fldChar w:fldCharType="begin"/>
          </w:r>
          <w:r>
            <w:rPr>
              <w:sz w:val="18"/>
              <w:szCs w:val="18"/>
            </w:rPr>
            <w:instrText xml:space="preserve"> PAGEREF _Toc1904 \h </w:instrText>
          </w:r>
          <w:r>
            <w:rPr>
              <w:sz w:val="18"/>
              <w:szCs w:val="18"/>
            </w:rPr>
            <w:fldChar w:fldCharType="separate"/>
          </w:r>
          <w:r>
            <w:rPr>
              <w:sz w:val="18"/>
              <w:szCs w:val="18"/>
            </w:rPr>
            <w:t>13</w:t>
          </w:r>
          <w:r>
            <w:rPr>
              <w:sz w:val="18"/>
              <w:szCs w:val="18"/>
            </w:rPr>
            <w:fldChar w:fldCharType="end"/>
          </w:r>
          <w:r>
            <w:rPr>
              <w:rFonts w:ascii="Times New Roman" w:hAnsi="Times New Roman" w:cs="Times New Roman"/>
              <w:bCs/>
              <w:sz w:val="18"/>
              <w:szCs w:val="15"/>
            </w:rPr>
            <w:fldChar w:fldCharType="end"/>
          </w:r>
        </w:p>
        <w:p>
          <w:pPr>
            <w:pStyle w:val="8"/>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b/>
              <w:bCs w:val="0"/>
              <w:sz w:val="18"/>
              <w:szCs w:val="18"/>
            </w:rPr>
          </w:pPr>
          <w:r>
            <w:rPr>
              <w:rFonts w:ascii="Times New Roman" w:hAnsi="Times New Roman" w:cs="Times New Roman"/>
              <w:b/>
              <w:bCs w:val="0"/>
              <w:sz w:val="18"/>
              <w:szCs w:val="15"/>
            </w:rPr>
            <w:fldChar w:fldCharType="begin"/>
          </w:r>
          <w:r>
            <w:rPr>
              <w:rFonts w:ascii="Times New Roman" w:hAnsi="Times New Roman" w:cs="Times New Roman"/>
              <w:b/>
              <w:bCs w:val="0"/>
              <w:sz w:val="18"/>
              <w:szCs w:val="15"/>
            </w:rPr>
            <w:instrText xml:space="preserve"> HYPERLINK \l _Toc1349 </w:instrText>
          </w:r>
          <w:r>
            <w:rPr>
              <w:rFonts w:ascii="Times New Roman" w:hAnsi="Times New Roman" w:cs="Times New Roman"/>
              <w:b/>
              <w:bCs w:val="0"/>
              <w:sz w:val="18"/>
              <w:szCs w:val="15"/>
            </w:rPr>
            <w:fldChar w:fldCharType="separate"/>
          </w:r>
          <w:r>
            <w:rPr>
              <w:rFonts w:ascii="Times New Roman" w:hAnsi="Times New Roman" w:cs="Times New Roman"/>
              <w:b/>
              <w:bCs w:val="0"/>
              <w:sz w:val="18"/>
              <w:szCs w:val="20"/>
            </w:rPr>
            <w:t>CHAPTER 3</w:t>
          </w:r>
          <w:r>
            <w:rPr>
              <w:rFonts w:ascii="Times New Roman" w:hAnsi="Times New Roman" w:eastAsia="MS PGothic" w:cs="Times New Roman"/>
              <w:b/>
              <w:bCs w:val="0"/>
              <w:sz w:val="18"/>
              <w:szCs w:val="20"/>
            </w:rPr>
            <w:t>：</w:t>
          </w:r>
          <w:r>
            <w:rPr>
              <w:rFonts w:ascii="Times New Roman" w:hAnsi="Times New Roman" w:cs="Times New Roman"/>
              <w:b/>
              <w:bCs w:val="0"/>
              <w:sz w:val="18"/>
              <w:szCs w:val="20"/>
            </w:rPr>
            <w:t>RESEARCH DESIGN AND METHODOLOGY</w:t>
          </w:r>
          <w:r>
            <w:rPr>
              <w:b/>
              <w:bCs w:val="0"/>
              <w:sz w:val="18"/>
              <w:szCs w:val="18"/>
            </w:rPr>
            <w:tab/>
          </w:r>
          <w:r>
            <w:rPr>
              <w:b/>
              <w:bCs w:val="0"/>
              <w:sz w:val="18"/>
              <w:szCs w:val="18"/>
            </w:rPr>
            <w:fldChar w:fldCharType="begin"/>
          </w:r>
          <w:r>
            <w:rPr>
              <w:b/>
              <w:bCs w:val="0"/>
              <w:sz w:val="18"/>
              <w:szCs w:val="18"/>
            </w:rPr>
            <w:instrText xml:space="preserve"> PAGEREF _Toc1349 \h </w:instrText>
          </w:r>
          <w:r>
            <w:rPr>
              <w:b/>
              <w:bCs w:val="0"/>
              <w:sz w:val="18"/>
              <w:szCs w:val="18"/>
            </w:rPr>
            <w:fldChar w:fldCharType="separate"/>
          </w:r>
          <w:r>
            <w:rPr>
              <w:b/>
              <w:bCs w:val="0"/>
              <w:sz w:val="18"/>
              <w:szCs w:val="18"/>
            </w:rPr>
            <w:t>14</w:t>
          </w:r>
          <w:r>
            <w:rPr>
              <w:b/>
              <w:bCs w:val="0"/>
              <w:sz w:val="18"/>
              <w:szCs w:val="18"/>
            </w:rPr>
            <w:fldChar w:fldCharType="end"/>
          </w:r>
          <w:r>
            <w:rPr>
              <w:rFonts w:ascii="Times New Roman" w:hAnsi="Times New Roman" w:cs="Times New Roman"/>
              <w:b/>
              <w:bCs w:val="0"/>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_Toc9118 </w:instrText>
          </w:r>
          <w:r>
            <w:rPr>
              <w:rFonts w:ascii="Times New Roman" w:hAnsi="Times New Roman" w:cs="Times New Roman"/>
              <w:bCs/>
              <w:sz w:val="18"/>
              <w:szCs w:val="15"/>
            </w:rPr>
            <w:fldChar w:fldCharType="separate"/>
          </w:r>
          <w:r>
            <w:rPr>
              <w:rFonts w:eastAsia="宋体"/>
              <w:sz w:val="18"/>
              <w:szCs w:val="20"/>
            </w:rPr>
            <w:t xml:space="preserve">3.1 </w:t>
          </w:r>
          <w:r>
            <w:rPr>
              <w:sz w:val="18"/>
              <w:szCs w:val="20"/>
            </w:rPr>
            <w:t>Introduction</w:t>
          </w:r>
          <w:r>
            <w:rPr>
              <w:sz w:val="18"/>
              <w:szCs w:val="18"/>
            </w:rPr>
            <w:tab/>
          </w:r>
          <w:r>
            <w:rPr>
              <w:sz w:val="18"/>
              <w:szCs w:val="18"/>
            </w:rPr>
            <w:fldChar w:fldCharType="begin"/>
          </w:r>
          <w:r>
            <w:rPr>
              <w:sz w:val="18"/>
              <w:szCs w:val="18"/>
            </w:rPr>
            <w:instrText xml:space="preserve"> PAGEREF _Toc9118 \h </w:instrText>
          </w:r>
          <w:r>
            <w:rPr>
              <w:sz w:val="18"/>
              <w:szCs w:val="18"/>
            </w:rPr>
            <w:fldChar w:fldCharType="separate"/>
          </w:r>
          <w:r>
            <w:rPr>
              <w:sz w:val="18"/>
              <w:szCs w:val="18"/>
            </w:rPr>
            <w:t>14</w:t>
          </w:r>
          <w:r>
            <w:rPr>
              <w:sz w:val="18"/>
              <w:szCs w:val="18"/>
            </w:rPr>
            <w:fldChar w:fldCharType="end"/>
          </w:r>
          <w:r>
            <w:rPr>
              <w:rFonts w:ascii="Times New Roman" w:hAnsi="Times New Roman" w:cs="Times New Roman"/>
              <w:bCs/>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_Toc20155 </w:instrText>
          </w:r>
          <w:r>
            <w:rPr>
              <w:rFonts w:ascii="Times New Roman" w:hAnsi="Times New Roman" w:cs="Times New Roman"/>
              <w:bCs/>
              <w:sz w:val="18"/>
              <w:szCs w:val="15"/>
            </w:rPr>
            <w:fldChar w:fldCharType="separate"/>
          </w:r>
          <w:r>
            <w:rPr>
              <w:rFonts w:eastAsia="宋体"/>
              <w:sz w:val="18"/>
              <w:szCs w:val="20"/>
            </w:rPr>
            <w:t xml:space="preserve">3.2 </w:t>
          </w:r>
          <w:r>
            <w:rPr>
              <w:sz w:val="18"/>
              <w:szCs w:val="20"/>
            </w:rPr>
            <w:t>Research Design and Philosophical Underpinnings</w:t>
          </w:r>
          <w:r>
            <w:rPr>
              <w:sz w:val="18"/>
              <w:szCs w:val="18"/>
            </w:rPr>
            <w:tab/>
          </w:r>
          <w:r>
            <w:rPr>
              <w:sz w:val="18"/>
              <w:szCs w:val="18"/>
            </w:rPr>
            <w:fldChar w:fldCharType="begin"/>
          </w:r>
          <w:r>
            <w:rPr>
              <w:sz w:val="18"/>
              <w:szCs w:val="18"/>
            </w:rPr>
            <w:instrText xml:space="preserve"> PAGEREF _Toc20155 \h </w:instrText>
          </w:r>
          <w:r>
            <w:rPr>
              <w:sz w:val="18"/>
              <w:szCs w:val="18"/>
            </w:rPr>
            <w:fldChar w:fldCharType="separate"/>
          </w:r>
          <w:r>
            <w:rPr>
              <w:sz w:val="18"/>
              <w:szCs w:val="18"/>
            </w:rPr>
            <w:t>15</w:t>
          </w:r>
          <w:r>
            <w:rPr>
              <w:sz w:val="18"/>
              <w:szCs w:val="18"/>
            </w:rPr>
            <w:fldChar w:fldCharType="end"/>
          </w:r>
          <w:r>
            <w:rPr>
              <w:rFonts w:ascii="Times New Roman" w:hAnsi="Times New Roman" w:cs="Times New Roman"/>
              <w:bCs/>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_Toc4568 </w:instrText>
          </w:r>
          <w:r>
            <w:rPr>
              <w:rFonts w:ascii="Times New Roman" w:hAnsi="Times New Roman" w:cs="Times New Roman"/>
              <w:bCs/>
              <w:sz w:val="18"/>
              <w:szCs w:val="15"/>
            </w:rPr>
            <w:fldChar w:fldCharType="separate"/>
          </w:r>
          <w:r>
            <w:rPr>
              <w:rFonts w:eastAsia="宋体"/>
              <w:sz w:val="18"/>
              <w:szCs w:val="20"/>
            </w:rPr>
            <w:t xml:space="preserve">3.3 </w:t>
          </w:r>
          <w:r>
            <w:rPr>
              <w:sz w:val="18"/>
              <w:szCs w:val="20"/>
            </w:rPr>
            <w:t>Participants</w:t>
          </w:r>
          <w:r>
            <w:rPr>
              <w:sz w:val="18"/>
              <w:szCs w:val="18"/>
            </w:rPr>
            <w:tab/>
          </w:r>
          <w:r>
            <w:rPr>
              <w:sz w:val="18"/>
              <w:szCs w:val="18"/>
            </w:rPr>
            <w:fldChar w:fldCharType="begin"/>
          </w:r>
          <w:r>
            <w:rPr>
              <w:sz w:val="18"/>
              <w:szCs w:val="18"/>
            </w:rPr>
            <w:instrText xml:space="preserve"> PAGEREF _Toc4568 \h </w:instrText>
          </w:r>
          <w:r>
            <w:rPr>
              <w:sz w:val="18"/>
              <w:szCs w:val="18"/>
            </w:rPr>
            <w:fldChar w:fldCharType="separate"/>
          </w:r>
          <w:r>
            <w:rPr>
              <w:sz w:val="18"/>
              <w:szCs w:val="18"/>
            </w:rPr>
            <w:t>17</w:t>
          </w:r>
          <w:r>
            <w:rPr>
              <w:sz w:val="18"/>
              <w:szCs w:val="18"/>
            </w:rPr>
            <w:fldChar w:fldCharType="end"/>
          </w:r>
          <w:r>
            <w:rPr>
              <w:rFonts w:ascii="Times New Roman" w:hAnsi="Times New Roman" w:cs="Times New Roman"/>
              <w:bCs/>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_Toc13908 </w:instrText>
          </w:r>
          <w:r>
            <w:rPr>
              <w:rFonts w:ascii="Times New Roman" w:hAnsi="Times New Roman" w:cs="Times New Roman"/>
              <w:bCs/>
              <w:sz w:val="18"/>
              <w:szCs w:val="15"/>
            </w:rPr>
            <w:fldChar w:fldCharType="separate"/>
          </w:r>
          <w:r>
            <w:rPr>
              <w:rFonts w:eastAsia="宋体"/>
              <w:sz w:val="18"/>
              <w:szCs w:val="20"/>
            </w:rPr>
            <w:t xml:space="preserve">3.4 </w:t>
          </w:r>
          <w:r>
            <w:rPr>
              <w:sz w:val="18"/>
              <w:szCs w:val="20"/>
            </w:rPr>
            <w:t>Data Collection Methods</w:t>
          </w:r>
          <w:r>
            <w:rPr>
              <w:sz w:val="18"/>
              <w:szCs w:val="18"/>
            </w:rPr>
            <w:tab/>
          </w:r>
          <w:r>
            <w:rPr>
              <w:sz w:val="18"/>
              <w:szCs w:val="18"/>
            </w:rPr>
            <w:fldChar w:fldCharType="begin"/>
          </w:r>
          <w:r>
            <w:rPr>
              <w:sz w:val="18"/>
              <w:szCs w:val="18"/>
            </w:rPr>
            <w:instrText xml:space="preserve"> PAGEREF _Toc13908 \h </w:instrText>
          </w:r>
          <w:r>
            <w:rPr>
              <w:sz w:val="18"/>
              <w:szCs w:val="18"/>
            </w:rPr>
            <w:fldChar w:fldCharType="separate"/>
          </w:r>
          <w:r>
            <w:rPr>
              <w:sz w:val="18"/>
              <w:szCs w:val="18"/>
            </w:rPr>
            <w:t>19</w:t>
          </w:r>
          <w:r>
            <w:rPr>
              <w:sz w:val="18"/>
              <w:szCs w:val="18"/>
            </w:rPr>
            <w:fldChar w:fldCharType="end"/>
          </w:r>
          <w:r>
            <w:rPr>
              <w:rFonts w:ascii="Times New Roman" w:hAnsi="Times New Roman" w:cs="Times New Roman"/>
              <w:bCs/>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_Toc3548 </w:instrText>
          </w:r>
          <w:r>
            <w:rPr>
              <w:rFonts w:ascii="Times New Roman" w:hAnsi="Times New Roman" w:cs="Times New Roman"/>
              <w:bCs/>
              <w:sz w:val="18"/>
              <w:szCs w:val="15"/>
            </w:rPr>
            <w:fldChar w:fldCharType="separate"/>
          </w:r>
          <w:r>
            <w:rPr>
              <w:rFonts w:eastAsia="宋体"/>
              <w:sz w:val="18"/>
              <w:szCs w:val="20"/>
            </w:rPr>
            <w:t xml:space="preserve">3.5 </w:t>
          </w:r>
          <w:r>
            <w:rPr>
              <w:sz w:val="18"/>
              <w:szCs w:val="20"/>
            </w:rPr>
            <w:t>Data Analysis</w:t>
          </w:r>
          <w:r>
            <w:rPr>
              <w:sz w:val="18"/>
              <w:szCs w:val="18"/>
            </w:rPr>
            <w:tab/>
          </w:r>
          <w:r>
            <w:rPr>
              <w:sz w:val="18"/>
              <w:szCs w:val="18"/>
            </w:rPr>
            <w:fldChar w:fldCharType="begin"/>
          </w:r>
          <w:r>
            <w:rPr>
              <w:sz w:val="18"/>
              <w:szCs w:val="18"/>
            </w:rPr>
            <w:instrText xml:space="preserve"> PAGEREF _Toc3548 \h </w:instrText>
          </w:r>
          <w:r>
            <w:rPr>
              <w:sz w:val="18"/>
              <w:szCs w:val="18"/>
            </w:rPr>
            <w:fldChar w:fldCharType="separate"/>
          </w:r>
          <w:r>
            <w:rPr>
              <w:sz w:val="18"/>
              <w:szCs w:val="18"/>
            </w:rPr>
            <w:t>21</w:t>
          </w:r>
          <w:r>
            <w:rPr>
              <w:sz w:val="18"/>
              <w:szCs w:val="18"/>
            </w:rPr>
            <w:fldChar w:fldCharType="end"/>
          </w:r>
          <w:r>
            <w:rPr>
              <w:rFonts w:ascii="Times New Roman" w:hAnsi="Times New Roman" w:cs="Times New Roman"/>
              <w:bCs/>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_Toc19707 </w:instrText>
          </w:r>
          <w:r>
            <w:rPr>
              <w:rFonts w:ascii="Times New Roman" w:hAnsi="Times New Roman" w:cs="Times New Roman"/>
              <w:bCs/>
              <w:sz w:val="18"/>
              <w:szCs w:val="15"/>
            </w:rPr>
            <w:fldChar w:fldCharType="separate"/>
          </w:r>
          <w:r>
            <w:rPr>
              <w:sz w:val="18"/>
              <w:szCs w:val="20"/>
            </w:rPr>
            <w:t>3.6 NVIvo software analysis</w:t>
          </w:r>
          <w:r>
            <w:rPr>
              <w:sz w:val="18"/>
              <w:szCs w:val="18"/>
            </w:rPr>
            <w:tab/>
          </w:r>
          <w:r>
            <w:rPr>
              <w:sz w:val="18"/>
              <w:szCs w:val="18"/>
            </w:rPr>
            <w:fldChar w:fldCharType="begin"/>
          </w:r>
          <w:r>
            <w:rPr>
              <w:sz w:val="18"/>
              <w:szCs w:val="18"/>
            </w:rPr>
            <w:instrText xml:space="preserve"> PAGEREF _Toc19707 \h </w:instrText>
          </w:r>
          <w:r>
            <w:rPr>
              <w:sz w:val="18"/>
              <w:szCs w:val="18"/>
            </w:rPr>
            <w:fldChar w:fldCharType="separate"/>
          </w:r>
          <w:r>
            <w:rPr>
              <w:sz w:val="18"/>
              <w:szCs w:val="18"/>
            </w:rPr>
            <w:t>22</w:t>
          </w:r>
          <w:r>
            <w:rPr>
              <w:sz w:val="18"/>
              <w:szCs w:val="18"/>
            </w:rPr>
            <w:fldChar w:fldCharType="end"/>
          </w:r>
          <w:r>
            <w:rPr>
              <w:rFonts w:ascii="Times New Roman" w:hAnsi="Times New Roman" w:cs="Times New Roman"/>
              <w:bCs/>
              <w:sz w:val="18"/>
              <w:szCs w:val="15"/>
            </w:rPr>
            <w:fldChar w:fldCharType="end"/>
          </w:r>
        </w:p>
        <w:p>
          <w:pPr>
            <w:pStyle w:val="8"/>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b/>
              <w:bCs w:val="0"/>
              <w:sz w:val="18"/>
              <w:szCs w:val="18"/>
            </w:rPr>
          </w:pPr>
          <w:r>
            <w:rPr>
              <w:rFonts w:ascii="Times New Roman" w:hAnsi="Times New Roman" w:cs="Times New Roman"/>
              <w:b/>
              <w:bCs w:val="0"/>
              <w:sz w:val="18"/>
              <w:szCs w:val="15"/>
            </w:rPr>
            <w:fldChar w:fldCharType="begin"/>
          </w:r>
          <w:r>
            <w:rPr>
              <w:rFonts w:ascii="Times New Roman" w:hAnsi="Times New Roman" w:cs="Times New Roman"/>
              <w:b/>
              <w:bCs w:val="0"/>
              <w:sz w:val="18"/>
              <w:szCs w:val="15"/>
            </w:rPr>
            <w:instrText xml:space="preserve"> HYPERLINK \l _Toc16487 </w:instrText>
          </w:r>
          <w:r>
            <w:rPr>
              <w:rFonts w:ascii="Times New Roman" w:hAnsi="Times New Roman" w:cs="Times New Roman"/>
              <w:b/>
              <w:bCs w:val="0"/>
              <w:sz w:val="18"/>
              <w:szCs w:val="15"/>
            </w:rPr>
            <w:fldChar w:fldCharType="separate"/>
          </w:r>
          <w:r>
            <w:rPr>
              <w:rFonts w:ascii="Times New Roman" w:hAnsi="Times New Roman" w:cs="Times New Roman"/>
              <w:b/>
              <w:bCs w:val="0"/>
              <w:sz w:val="18"/>
              <w:szCs w:val="20"/>
            </w:rPr>
            <w:t xml:space="preserve">CHAPTER 4: FINDINGS </w:t>
          </w:r>
          <w:r>
            <w:rPr>
              <w:rFonts w:hint="eastAsia" w:ascii="Times New Roman" w:hAnsi="Times New Roman" w:cs="Times New Roman"/>
              <w:b/>
              <w:bCs w:val="0"/>
              <w:sz w:val="18"/>
              <w:szCs w:val="20"/>
              <w:lang w:val="en-US" w:eastAsia="zh-CN"/>
            </w:rPr>
            <w:t xml:space="preserve">AND </w:t>
          </w:r>
          <w:r>
            <w:rPr>
              <w:rFonts w:ascii="Times New Roman" w:hAnsi="Times New Roman" w:cs="Times New Roman"/>
              <w:b/>
              <w:bCs w:val="0"/>
              <w:sz w:val="18"/>
              <w:szCs w:val="20"/>
            </w:rPr>
            <w:t>DATA ANALYSIS</w:t>
          </w:r>
          <w:r>
            <w:rPr>
              <w:b/>
              <w:bCs w:val="0"/>
              <w:sz w:val="18"/>
              <w:szCs w:val="18"/>
            </w:rPr>
            <w:tab/>
          </w:r>
          <w:r>
            <w:rPr>
              <w:b/>
              <w:bCs w:val="0"/>
              <w:sz w:val="18"/>
              <w:szCs w:val="18"/>
            </w:rPr>
            <w:fldChar w:fldCharType="begin"/>
          </w:r>
          <w:r>
            <w:rPr>
              <w:b/>
              <w:bCs w:val="0"/>
              <w:sz w:val="18"/>
              <w:szCs w:val="18"/>
            </w:rPr>
            <w:instrText xml:space="preserve"> PAGEREF _Toc16487 \h </w:instrText>
          </w:r>
          <w:r>
            <w:rPr>
              <w:b/>
              <w:bCs w:val="0"/>
              <w:sz w:val="18"/>
              <w:szCs w:val="18"/>
            </w:rPr>
            <w:fldChar w:fldCharType="separate"/>
          </w:r>
          <w:r>
            <w:rPr>
              <w:b/>
              <w:bCs w:val="0"/>
              <w:sz w:val="18"/>
              <w:szCs w:val="18"/>
            </w:rPr>
            <w:t>24</w:t>
          </w:r>
          <w:r>
            <w:rPr>
              <w:b/>
              <w:bCs w:val="0"/>
              <w:sz w:val="18"/>
              <w:szCs w:val="18"/>
            </w:rPr>
            <w:fldChar w:fldCharType="end"/>
          </w:r>
          <w:r>
            <w:rPr>
              <w:rFonts w:ascii="Times New Roman" w:hAnsi="Times New Roman" w:cs="Times New Roman"/>
              <w:b/>
              <w:bCs w:val="0"/>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_Toc3578 </w:instrText>
          </w:r>
          <w:r>
            <w:rPr>
              <w:rFonts w:ascii="Times New Roman" w:hAnsi="Times New Roman" w:cs="Times New Roman"/>
              <w:bCs/>
              <w:sz w:val="18"/>
              <w:szCs w:val="15"/>
            </w:rPr>
            <w:fldChar w:fldCharType="separate"/>
          </w:r>
          <w:r>
            <w:rPr>
              <w:sz w:val="18"/>
              <w:szCs w:val="20"/>
            </w:rPr>
            <w:t>4.1 Overall Engagement Trends:</w:t>
          </w:r>
          <w:r>
            <w:rPr>
              <w:sz w:val="18"/>
              <w:szCs w:val="18"/>
            </w:rPr>
            <w:tab/>
          </w:r>
          <w:r>
            <w:rPr>
              <w:sz w:val="18"/>
              <w:szCs w:val="18"/>
            </w:rPr>
            <w:fldChar w:fldCharType="begin"/>
          </w:r>
          <w:r>
            <w:rPr>
              <w:sz w:val="18"/>
              <w:szCs w:val="18"/>
            </w:rPr>
            <w:instrText xml:space="preserve"> PAGEREF _Toc3578 \h </w:instrText>
          </w:r>
          <w:r>
            <w:rPr>
              <w:sz w:val="18"/>
              <w:szCs w:val="18"/>
            </w:rPr>
            <w:fldChar w:fldCharType="separate"/>
          </w:r>
          <w:r>
            <w:rPr>
              <w:sz w:val="18"/>
              <w:szCs w:val="18"/>
            </w:rPr>
            <w:t>24</w:t>
          </w:r>
          <w:r>
            <w:rPr>
              <w:sz w:val="18"/>
              <w:szCs w:val="18"/>
            </w:rPr>
            <w:fldChar w:fldCharType="end"/>
          </w:r>
          <w:r>
            <w:rPr>
              <w:rFonts w:ascii="Times New Roman" w:hAnsi="Times New Roman" w:cs="Times New Roman"/>
              <w:bCs/>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_Toc16175 </w:instrText>
          </w:r>
          <w:r>
            <w:rPr>
              <w:rFonts w:ascii="Times New Roman" w:hAnsi="Times New Roman" w:cs="Times New Roman"/>
              <w:bCs/>
              <w:sz w:val="18"/>
              <w:szCs w:val="15"/>
            </w:rPr>
            <w:fldChar w:fldCharType="separate"/>
          </w:r>
          <w:r>
            <w:rPr>
              <w:sz w:val="18"/>
              <w:szCs w:val="20"/>
            </w:rPr>
            <w:t>4.2 Influence of Class Size:</w:t>
          </w:r>
          <w:r>
            <w:rPr>
              <w:sz w:val="18"/>
              <w:szCs w:val="18"/>
            </w:rPr>
            <w:tab/>
          </w:r>
          <w:r>
            <w:rPr>
              <w:sz w:val="18"/>
              <w:szCs w:val="18"/>
            </w:rPr>
            <w:fldChar w:fldCharType="begin"/>
          </w:r>
          <w:r>
            <w:rPr>
              <w:sz w:val="18"/>
              <w:szCs w:val="18"/>
            </w:rPr>
            <w:instrText xml:space="preserve"> PAGEREF _Toc16175 \h </w:instrText>
          </w:r>
          <w:r>
            <w:rPr>
              <w:sz w:val="18"/>
              <w:szCs w:val="18"/>
            </w:rPr>
            <w:fldChar w:fldCharType="separate"/>
          </w:r>
          <w:r>
            <w:rPr>
              <w:sz w:val="18"/>
              <w:szCs w:val="18"/>
            </w:rPr>
            <w:t>26</w:t>
          </w:r>
          <w:r>
            <w:rPr>
              <w:sz w:val="18"/>
              <w:szCs w:val="18"/>
            </w:rPr>
            <w:fldChar w:fldCharType="end"/>
          </w:r>
          <w:r>
            <w:rPr>
              <w:rFonts w:ascii="Times New Roman" w:hAnsi="Times New Roman" w:cs="Times New Roman"/>
              <w:bCs/>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_Toc26995 </w:instrText>
          </w:r>
          <w:r>
            <w:rPr>
              <w:rFonts w:ascii="Times New Roman" w:hAnsi="Times New Roman" w:cs="Times New Roman"/>
              <w:bCs/>
              <w:sz w:val="18"/>
              <w:szCs w:val="15"/>
            </w:rPr>
            <w:fldChar w:fldCharType="separate"/>
          </w:r>
          <w:r>
            <w:rPr>
              <w:sz w:val="18"/>
              <w:szCs w:val="20"/>
            </w:rPr>
            <w:t>4.3 Impact of Extracurricular Activities:</w:t>
          </w:r>
          <w:r>
            <w:rPr>
              <w:sz w:val="18"/>
              <w:szCs w:val="18"/>
            </w:rPr>
            <w:tab/>
          </w:r>
          <w:r>
            <w:rPr>
              <w:sz w:val="18"/>
              <w:szCs w:val="18"/>
            </w:rPr>
            <w:fldChar w:fldCharType="begin"/>
          </w:r>
          <w:r>
            <w:rPr>
              <w:sz w:val="18"/>
              <w:szCs w:val="18"/>
            </w:rPr>
            <w:instrText xml:space="preserve"> PAGEREF _Toc26995 \h </w:instrText>
          </w:r>
          <w:r>
            <w:rPr>
              <w:sz w:val="18"/>
              <w:szCs w:val="18"/>
            </w:rPr>
            <w:fldChar w:fldCharType="separate"/>
          </w:r>
          <w:r>
            <w:rPr>
              <w:sz w:val="18"/>
              <w:szCs w:val="18"/>
            </w:rPr>
            <w:t>27</w:t>
          </w:r>
          <w:r>
            <w:rPr>
              <w:sz w:val="18"/>
              <w:szCs w:val="18"/>
            </w:rPr>
            <w:fldChar w:fldCharType="end"/>
          </w:r>
          <w:r>
            <w:rPr>
              <w:rFonts w:ascii="Times New Roman" w:hAnsi="Times New Roman" w:cs="Times New Roman"/>
              <w:bCs/>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_Toc19951 </w:instrText>
          </w:r>
          <w:r>
            <w:rPr>
              <w:rFonts w:ascii="Times New Roman" w:hAnsi="Times New Roman" w:cs="Times New Roman"/>
              <w:bCs/>
              <w:sz w:val="18"/>
              <w:szCs w:val="15"/>
            </w:rPr>
            <w:fldChar w:fldCharType="separate"/>
          </w:r>
          <w:r>
            <w:rPr>
              <w:sz w:val="18"/>
              <w:szCs w:val="20"/>
            </w:rPr>
            <w:t>4.4 Qualitative Findings:</w:t>
          </w:r>
          <w:r>
            <w:rPr>
              <w:sz w:val="18"/>
              <w:szCs w:val="18"/>
            </w:rPr>
            <w:tab/>
          </w:r>
          <w:r>
            <w:rPr>
              <w:sz w:val="18"/>
              <w:szCs w:val="18"/>
            </w:rPr>
            <w:fldChar w:fldCharType="begin"/>
          </w:r>
          <w:r>
            <w:rPr>
              <w:sz w:val="18"/>
              <w:szCs w:val="18"/>
            </w:rPr>
            <w:instrText xml:space="preserve"> PAGEREF _Toc19951 \h </w:instrText>
          </w:r>
          <w:r>
            <w:rPr>
              <w:sz w:val="18"/>
              <w:szCs w:val="18"/>
            </w:rPr>
            <w:fldChar w:fldCharType="separate"/>
          </w:r>
          <w:r>
            <w:rPr>
              <w:sz w:val="18"/>
              <w:szCs w:val="18"/>
            </w:rPr>
            <w:t>28</w:t>
          </w:r>
          <w:r>
            <w:rPr>
              <w:sz w:val="18"/>
              <w:szCs w:val="18"/>
            </w:rPr>
            <w:fldChar w:fldCharType="end"/>
          </w:r>
          <w:r>
            <w:rPr>
              <w:rFonts w:ascii="Times New Roman" w:hAnsi="Times New Roman" w:cs="Times New Roman"/>
              <w:bCs/>
              <w:sz w:val="18"/>
              <w:szCs w:val="15"/>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_Toc24530 </w:instrText>
          </w:r>
          <w:r>
            <w:rPr>
              <w:rFonts w:ascii="Times New Roman" w:hAnsi="Times New Roman" w:cs="Times New Roman"/>
              <w:bCs/>
              <w:sz w:val="18"/>
              <w:szCs w:val="15"/>
            </w:rPr>
            <w:fldChar w:fldCharType="separate"/>
          </w:r>
          <w:r>
            <w:rPr>
              <w:rFonts w:ascii="Times New Roman" w:hAnsi="Times New Roman" w:cs="Times New Roman"/>
              <w:bCs/>
              <w:sz w:val="18"/>
              <w:szCs w:val="18"/>
            </w:rPr>
            <w:t>4.4.1 Cultural and Linguistic Influences:</w:t>
          </w:r>
          <w:r>
            <w:rPr>
              <w:sz w:val="18"/>
              <w:szCs w:val="18"/>
            </w:rPr>
            <w:tab/>
          </w:r>
          <w:r>
            <w:rPr>
              <w:sz w:val="18"/>
              <w:szCs w:val="18"/>
            </w:rPr>
            <w:fldChar w:fldCharType="begin"/>
          </w:r>
          <w:r>
            <w:rPr>
              <w:sz w:val="18"/>
              <w:szCs w:val="18"/>
            </w:rPr>
            <w:instrText xml:space="preserve"> PAGEREF _Toc24530 \h </w:instrText>
          </w:r>
          <w:r>
            <w:rPr>
              <w:sz w:val="18"/>
              <w:szCs w:val="18"/>
            </w:rPr>
            <w:fldChar w:fldCharType="separate"/>
          </w:r>
          <w:r>
            <w:rPr>
              <w:sz w:val="18"/>
              <w:szCs w:val="18"/>
            </w:rPr>
            <w:t>28</w:t>
          </w:r>
          <w:r>
            <w:rPr>
              <w:sz w:val="18"/>
              <w:szCs w:val="18"/>
            </w:rPr>
            <w:fldChar w:fldCharType="end"/>
          </w:r>
          <w:r>
            <w:rPr>
              <w:rFonts w:ascii="Times New Roman" w:hAnsi="Times New Roman" w:cs="Times New Roman"/>
              <w:bCs/>
              <w:sz w:val="18"/>
              <w:szCs w:val="15"/>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_Toc28822 </w:instrText>
          </w:r>
          <w:r>
            <w:rPr>
              <w:rFonts w:ascii="Times New Roman" w:hAnsi="Times New Roman" w:cs="Times New Roman"/>
              <w:bCs/>
              <w:sz w:val="18"/>
              <w:szCs w:val="15"/>
            </w:rPr>
            <w:fldChar w:fldCharType="separate"/>
          </w:r>
          <w:r>
            <w:rPr>
              <w:rFonts w:ascii="Times New Roman" w:hAnsi="Times New Roman" w:cs="Times New Roman"/>
              <w:bCs/>
              <w:sz w:val="18"/>
              <w:szCs w:val="18"/>
            </w:rPr>
            <w:t>4.4.</w:t>
          </w:r>
          <w:r>
            <w:rPr>
              <w:rFonts w:hint="eastAsia" w:ascii="Times New Roman" w:hAnsi="Times New Roman" w:cs="Times New Roman"/>
              <w:bCs/>
              <w:sz w:val="18"/>
              <w:szCs w:val="18"/>
              <w:lang w:val="en-US" w:eastAsia="zh-CN"/>
            </w:rPr>
            <w:t>2</w:t>
          </w:r>
          <w:r>
            <w:rPr>
              <w:rFonts w:ascii="Times New Roman" w:hAnsi="Times New Roman" w:cs="Times New Roman"/>
              <w:bCs/>
              <w:sz w:val="18"/>
              <w:szCs w:val="18"/>
            </w:rPr>
            <w:t xml:space="preserve"> Class Dynamics:</w:t>
          </w:r>
          <w:r>
            <w:rPr>
              <w:sz w:val="18"/>
              <w:szCs w:val="18"/>
            </w:rPr>
            <w:tab/>
          </w:r>
          <w:r>
            <w:rPr>
              <w:sz w:val="18"/>
              <w:szCs w:val="18"/>
            </w:rPr>
            <w:fldChar w:fldCharType="begin"/>
          </w:r>
          <w:r>
            <w:rPr>
              <w:sz w:val="18"/>
              <w:szCs w:val="18"/>
            </w:rPr>
            <w:instrText xml:space="preserve"> PAGEREF _Toc28822 \h </w:instrText>
          </w:r>
          <w:r>
            <w:rPr>
              <w:sz w:val="18"/>
              <w:szCs w:val="18"/>
            </w:rPr>
            <w:fldChar w:fldCharType="separate"/>
          </w:r>
          <w:r>
            <w:rPr>
              <w:sz w:val="18"/>
              <w:szCs w:val="18"/>
            </w:rPr>
            <w:t>30</w:t>
          </w:r>
          <w:r>
            <w:rPr>
              <w:sz w:val="18"/>
              <w:szCs w:val="18"/>
            </w:rPr>
            <w:fldChar w:fldCharType="end"/>
          </w:r>
          <w:r>
            <w:rPr>
              <w:rFonts w:ascii="Times New Roman" w:hAnsi="Times New Roman" w:cs="Times New Roman"/>
              <w:bCs/>
              <w:sz w:val="18"/>
              <w:szCs w:val="15"/>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_Toc7603 </w:instrText>
          </w:r>
          <w:r>
            <w:rPr>
              <w:rFonts w:ascii="Times New Roman" w:hAnsi="Times New Roman" w:cs="Times New Roman"/>
              <w:bCs/>
              <w:sz w:val="18"/>
              <w:szCs w:val="15"/>
            </w:rPr>
            <w:fldChar w:fldCharType="separate"/>
          </w:r>
          <w:r>
            <w:rPr>
              <w:rFonts w:ascii="Times New Roman" w:hAnsi="Times New Roman" w:cs="Times New Roman"/>
              <w:bCs/>
              <w:sz w:val="18"/>
              <w:szCs w:val="18"/>
            </w:rPr>
            <w:t>4.4.3 Extracurricular Enrichment:</w:t>
          </w:r>
          <w:r>
            <w:rPr>
              <w:sz w:val="18"/>
              <w:szCs w:val="18"/>
            </w:rPr>
            <w:tab/>
          </w:r>
          <w:r>
            <w:rPr>
              <w:sz w:val="18"/>
              <w:szCs w:val="18"/>
            </w:rPr>
            <w:fldChar w:fldCharType="begin"/>
          </w:r>
          <w:r>
            <w:rPr>
              <w:sz w:val="18"/>
              <w:szCs w:val="18"/>
            </w:rPr>
            <w:instrText xml:space="preserve"> PAGEREF _Toc7603 \h </w:instrText>
          </w:r>
          <w:r>
            <w:rPr>
              <w:sz w:val="18"/>
              <w:szCs w:val="18"/>
            </w:rPr>
            <w:fldChar w:fldCharType="separate"/>
          </w:r>
          <w:r>
            <w:rPr>
              <w:sz w:val="18"/>
              <w:szCs w:val="18"/>
            </w:rPr>
            <w:t>31</w:t>
          </w:r>
          <w:r>
            <w:rPr>
              <w:sz w:val="18"/>
              <w:szCs w:val="18"/>
            </w:rPr>
            <w:fldChar w:fldCharType="end"/>
          </w:r>
          <w:r>
            <w:rPr>
              <w:rFonts w:ascii="Times New Roman" w:hAnsi="Times New Roman" w:cs="Times New Roman"/>
              <w:bCs/>
              <w:sz w:val="18"/>
              <w:szCs w:val="15"/>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_Toc8207 </w:instrText>
          </w:r>
          <w:r>
            <w:rPr>
              <w:rFonts w:ascii="Times New Roman" w:hAnsi="Times New Roman" w:cs="Times New Roman"/>
              <w:bCs/>
              <w:sz w:val="18"/>
              <w:szCs w:val="15"/>
            </w:rPr>
            <w:fldChar w:fldCharType="separate"/>
          </w:r>
          <w:r>
            <w:rPr>
              <w:rFonts w:ascii="Times New Roman" w:hAnsi="Times New Roman" w:cs="Times New Roman"/>
              <w:bCs/>
              <w:sz w:val="18"/>
              <w:szCs w:val="18"/>
            </w:rPr>
            <w:t>4.4.4 Individual Narratives:</w:t>
          </w:r>
          <w:r>
            <w:rPr>
              <w:sz w:val="18"/>
              <w:szCs w:val="18"/>
            </w:rPr>
            <w:tab/>
          </w:r>
          <w:r>
            <w:rPr>
              <w:sz w:val="18"/>
              <w:szCs w:val="18"/>
            </w:rPr>
            <w:fldChar w:fldCharType="begin"/>
          </w:r>
          <w:r>
            <w:rPr>
              <w:sz w:val="18"/>
              <w:szCs w:val="18"/>
            </w:rPr>
            <w:instrText xml:space="preserve"> PAGEREF _Toc8207 \h </w:instrText>
          </w:r>
          <w:r>
            <w:rPr>
              <w:sz w:val="18"/>
              <w:szCs w:val="18"/>
            </w:rPr>
            <w:fldChar w:fldCharType="separate"/>
          </w:r>
          <w:r>
            <w:rPr>
              <w:sz w:val="18"/>
              <w:szCs w:val="18"/>
            </w:rPr>
            <w:t>33</w:t>
          </w:r>
          <w:r>
            <w:rPr>
              <w:sz w:val="18"/>
              <w:szCs w:val="18"/>
            </w:rPr>
            <w:fldChar w:fldCharType="end"/>
          </w:r>
          <w:r>
            <w:rPr>
              <w:rFonts w:ascii="Times New Roman" w:hAnsi="Times New Roman" w:cs="Times New Roman"/>
              <w:bCs/>
              <w:sz w:val="18"/>
              <w:szCs w:val="15"/>
            </w:rPr>
            <w:fldChar w:fldCharType="end"/>
          </w:r>
        </w:p>
        <w:p>
          <w:pPr>
            <w:pStyle w:val="8"/>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
              <w:bCs w:val="0"/>
              <w:sz w:val="18"/>
              <w:szCs w:val="15"/>
            </w:rPr>
            <w:fldChar w:fldCharType="begin"/>
          </w:r>
          <w:r>
            <w:rPr>
              <w:rFonts w:ascii="Times New Roman" w:hAnsi="Times New Roman" w:cs="Times New Roman"/>
              <w:b/>
              <w:bCs w:val="0"/>
              <w:sz w:val="18"/>
              <w:szCs w:val="15"/>
            </w:rPr>
            <w:instrText xml:space="preserve"> HYPERLINK \l _Toc17422 </w:instrText>
          </w:r>
          <w:r>
            <w:rPr>
              <w:rFonts w:ascii="Times New Roman" w:hAnsi="Times New Roman" w:cs="Times New Roman"/>
              <w:b/>
              <w:bCs w:val="0"/>
              <w:sz w:val="18"/>
              <w:szCs w:val="15"/>
            </w:rPr>
            <w:fldChar w:fldCharType="separate"/>
          </w:r>
          <w:r>
            <w:rPr>
              <w:rFonts w:ascii="Times New Roman" w:hAnsi="Times New Roman" w:cs="Times New Roman"/>
              <w:b/>
              <w:bCs w:val="0"/>
              <w:sz w:val="18"/>
              <w:szCs w:val="20"/>
            </w:rPr>
            <w:t>CHAPTER 5:  DISCUSSION</w:t>
          </w:r>
          <w:r>
            <w:rPr>
              <w:b/>
              <w:bCs w:val="0"/>
              <w:sz w:val="18"/>
              <w:szCs w:val="18"/>
            </w:rPr>
            <w:tab/>
          </w:r>
          <w:r>
            <w:rPr>
              <w:b/>
              <w:bCs w:val="0"/>
              <w:sz w:val="18"/>
              <w:szCs w:val="18"/>
            </w:rPr>
            <w:fldChar w:fldCharType="begin"/>
          </w:r>
          <w:r>
            <w:rPr>
              <w:b/>
              <w:bCs w:val="0"/>
              <w:sz w:val="18"/>
              <w:szCs w:val="18"/>
            </w:rPr>
            <w:instrText xml:space="preserve"> PAGEREF _Toc17422 \h </w:instrText>
          </w:r>
          <w:r>
            <w:rPr>
              <w:b/>
              <w:bCs w:val="0"/>
              <w:sz w:val="18"/>
              <w:szCs w:val="18"/>
            </w:rPr>
            <w:fldChar w:fldCharType="separate"/>
          </w:r>
          <w:r>
            <w:rPr>
              <w:b/>
              <w:bCs w:val="0"/>
              <w:sz w:val="18"/>
              <w:szCs w:val="18"/>
            </w:rPr>
            <w:t>34</w:t>
          </w:r>
          <w:r>
            <w:rPr>
              <w:b/>
              <w:bCs w:val="0"/>
              <w:sz w:val="18"/>
              <w:szCs w:val="18"/>
            </w:rPr>
            <w:fldChar w:fldCharType="end"/>
          </w:r>
          <w:r>
            <w:rPr>
              <w:rFonts w:ascii="Times New Roman" w:hAnsi="Times New Roman" w:cs="Times New Roman"/>
              <w:b/>
              <w:bCs w:val="0"/>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_Toc15944 </w:instrText>
          </w:r>
          <w:r>
            <w:rPr>
              <w:rFonts w:ascii="Times New Roman" w:hAnsi="Times New Roman" w:cs="Times New Roman"/>
              <w:bCs/>
              <w:sz w:val="18"/>
              <w:szCs w:val="15"/>
            </w:rPr>
            <w:fldChar w:fldCharType="separate"/>
          </w:r>
          <w:r>
            <w:rPr>
              <w:sz w:val="18"/>
              <w:szCs w:val="20"/>
            </w:rPr>
            <w:t>5.1 Sampling Bias:</w:t>
          </w:r>
          <w:r>
            <w:rPr>
              <w:sz w:val="18"/>
              <w:szCs w:val="18"/>
            </w:rPr>
            <w:tab/>
          </w:r>
          <w:r>
            <w:rPr>
              <w:sz w:val="18"/>
              <w:szCs w:val="18"/>
            </w:rPr>
            <w:fldChar w:fldCharType="begin"/>
          </w:r>
          <w:r>
            <w:rPr>
              <w:sz w:val="18"/>
              <w:szCs w:val="18"/>
            </w:rPr>
            <w:instrText xml:space="preserve"> PAGEREF _Toc15944 \h </w:instrText>
          </w:r>
          <w:r>
            <w:rPr>
              <w:sz w:val="18"/>
              <w:szCs w:val="18"/>
            </w:rPr>
            <w:fldChar w:fldCharType="separate"/>
          </w:r>
          <w:r>
            <w:rPr>
              <w:sz w:val="18"/>
              <w:szCs w:val="18"/>
            </w:rPr>
            <w:t>35</w:t>
          </w:r>
          <w:r>
            <w:rPr>
              <w:sz w:val="18"/>
              <w:szCs w:val="18"/>
            </w:rPr>
            <w:fldChar w:fldCharType="end"/>
          </w:r>
          <w:r>
            <w:rPr>
              <w:rFonts w:ascii="Times New Roman" w:hAnsi="Times New Roman" w:cs="Times New Roman"/>
              <w:bCs/>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_Toc9894 </w:instrText>
          </w:r>
          <w:r>
            <w:rPr>
              <w:rFonts w:ascii="Times New Roman" w:hAnsi="Times New Roman" w:cs="Times New Roman"/>
              <w:bCs/>
              <w:sz w:val="18"/>
              <w:szCs w:val="15"/>
            </w:rPr>
            <w:fldChar w:fldCharType="separate"/>
          </w:r>
          <w:r>
            <w:rPr>
              <w:sz w:val="18"/>
              <w:szCs w:val="20"/>
            </w:rPr>
            <w:t>5.2 Self-Reporting:</w:t>
          </w:r>
          <w:r>
            <w:rPr>
              <w:sz w:val="18"/>
              <w:szCs w:val="18"/>
            </w:rPr>
            <w:tab/>
          </w:r>
          <w:r>
            <w:rPr>
              <w:sz w:val="18"/>
              <w:szCs w:val="18"/>
            </w:rPr>
            <w:fldChar w:fldCharType="begin"/>
          </w:r>
          <w:r>
            <w:rPr>
              <w:sz w:val="18"/>
              <w:szCs w:val="18"/>
            </w:rPr>
            <w:instrText xml:space="preserve"> PAGEREF _Toc9894 \h </w:instrText>
          </w:r>
          <w:r>
            <w:rPr>
              <w:sz w:val="18"/>
              <w:szCs w:val="18"/>
            </w:rPr>
            <w:fldChar w:fldCharType="separate"/>
          </w:r>
          <w:r>
            <w:rPr>
              <w:sz w:val="18"/>
              <w:szCs w:val="18"/>
            </w:rPr>
            <w:t>35</w:t>
          </w:r>
          <w:r>
            <w:rPr>
              <w:sz w:val="18"/>
              <w:szCs w:val="18"/>
            </w:rPr>
            <w:fldChar w:fldCharType="end"/>
          </w:r>
          <w:r>
            <w:rPr>
              <w:rFonts w:ascii="Times New Roman" w:hAnsi="Times New Roman" w:cs="Times New Roman"/>
              <w:bCs/>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_Toc2904 </w:instrText>
          </w:r>
          <w:r>
            <w:rPr>
              <w:rFonts w:ascii="Times New Roman" w:hAnsi="Times New Roman" w:cs="Times New Roman"/>
              <w:bCs/>
              <w:sz w:val="18"/>
              <w:szCs w:val="15"/>
            </w:rPr>
            <w:fldChar w:fldCharType="separate"/>
          </w:r>
          <w:r>
            <w:rPr>
              <w:sz w:val="18"/>
              <w:szCs w:val="20"/>
            </w:rPr>
            <w:t>5.3 Cross-Cultural Interpretation:</w:t>
          </w:r>
          <w:r>
            <w:rPr>
              <w:sz w:val="18"/>
              <w:szCs w:val="18"/>
            </w:rPr>
            <w:tab/>
          </w:r>
          <w:r>
            <w:rPr>
              <w:sz w:val="18"/>
              <w:szCs w:val="18"/>
            </w:rPr>
            <w:fldChar w:fldCharType="begin"/>
          </w:r>
          <w:r>
            <w:rPr>
              <w:sz w:val="18"/>
              <w:szCs w:val="18"/>
            </w:rPr>
            <w:instrText xml:space="preserve"> PAGEREF _Toc2904 \h </w:instrText>
          </w:r>
          <w:r>
            <w:rPr>
              <w:sz w:val="18"/>
              <w:szCs w:val="18"/>
            </w:rPr>
            <w:fldChar w:fldCharType="separate"/>
          </w:r>
          <w:r>
            <w:rPr>
              <w:sz w:val="18"/>
              <w:szCs w:val="18"/>
            </w:rPr>
            <w:t>36</w:t>
          </w:r>
          <w:r>
            <w:rPr>
              <w:sz w:val="18"/>
              <w:szCs w:val="18"/>
            </w:rPr>
            <w:fldChar w:fldCharType="end"/>
          </w:r>
          <w:r>
            <w:rPr>
              <w:rFonts w:ascii="Times New Roman" w:hAnsi="Times New Roman" w:cs="Times New Roman"/>
              <w:bCs/>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_Toc23310 </w:instrText>
          </w:r>
          <w:r>
            <w:rPr>
              <w:rFonts w:ascii="Times New Roman" w:hAnsi="Times New Roman" w:cs="Times New Roman"/>
              <w:bCs/>
              <w:sz w:val="18"/>
              <w:szCs w:val="15"/>
            </w:rPr>
            <w:fldChar w:fldCharType="separate"/>
          </w:r>
          <w:r>
            <w:rPr>
              <w:rFonts w:eastAsia="宋体"/>
              <w:sz w:val="18"/>
              <w:szCs w:val="20"/>
            </w:rPr>
            <w:t xml:space="preserve">5.4 </w:t>
          </w:r>
          <w:r>
            <w:rPr>
              <w:sz w:val="18"/>
              <w:szCs w:val="20"/>
            </w:rPr>
            <w:t>Time Frame and Long-Term Impact:</w:t>
          </w:r>
          <w:r>
            <w:rPr>
              <w:sz w:val="18"/>
              <w:szCs w:val="18"/>
            </w:rPr>
            <w:tab/>
          </w:r>
          <w:r>
            <w:rPr>
              <w:sz w:val="18"/>
              <w:szCs w:val="18"/>
            </w:rPr>
            <w:fldChar w:fldCharType="begin"/>
          </w:r>
          <w:r>
            <w:rPr>
              <w:sz w:val="18"/>
              <w:szCs w:val="18"/>
            </w:rPr>
            <w:instrText xml:space="preserve"> PAGEREF _Toc23310 \h </w:instrText>
          </w:r>
          <w:r>
            <w:rPr>
              <w:sz w:val="18"/>
              <w:szCs w:val="18"/>
            </w:rPr>
            <w:fldChar w:fldCharType="separate"/>
          </w:r>
          <w:r>
            <w:rPr>
              <w:sz w:val="18"/>
              <w:szCs w:val="18"/>
            </w:rPr>
            <w:t>36</w:t>
          </w:r>
          <w:r>
            <w:rPr>
              <w:sz w:val="18"/>
              <w:szCs w:val="18"/>
            </w:rPr>
            <w:fldChar w:fldCharType="end"/>
          </w:r>
          <w:r>
            <w:rPr>
              <w:rFonts w:ascii="Times New Roman" w:hAnsi="Times New Roman" w:cs="Times New Roman"/>
              <w:bCs/>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_Toc11512 </w:instrText>
          </w:r>
          <w:r>
            <w:rPr>
              <w:rFonts w:ascii="Times New Roman" w:hAnsi="Times New Roman" w:cs="Times New Roman"/>
              <w:bCs/>
              <w:sz w:val="18"/>
              <w:szCs w:val="15"/>
            </w:rPr>
            <w:fldChar w:fldCharType="separate"/>
          </w:r>
          <w:r>
            <w:rPr>
              <w:rFonts w:eastAsia="宋体"/>
              <w:sz w:val="18"/>
              <w:szCs w:val="20"/>
            </w:rPr>
            <w:t xml:space="preserve">5.5 </w:t>
          </w:r>
          <w:r>
            <w:rPr>
              <w:sz w:val="18"/>
              <w:szCs w:val="20"/>
            </w:rPr>
            <w:t>Limited Generalizability:</w:t>
          </w:r>
          <w:r>
            <w:rPr>
              <w:sz w:val="18"/>
              <w:szCs w:val="18"/>
            </w:rPr>
            <w:tab/>
          </w:r>
          <w:r>
            <w:rPr>
              <w:sz w:val="18"/>
              <w:szCs w:val="18"/>
            </w:rPr>
            <w:fldChar w:fldCharType="begin"/>
          </w:r>
          <w:r>
            <w:rPr>
              <w:sz w:val="18"/>
              <w:szCs w:val="18"/>
            </w:rPr>
            <w:instrText xml:space="preserve"> PAGEREF _Toc11512 \h </w:instrText>
          </w:r>
          <w:r>
            <w:rPr>
              <w:sz w:val="18"/>
              <w:szCs w:val="18"/>
            </w:rPr>
            <w:fldChar w:fldCharType="separate"/>
          </w:r>
          <w:r>
            <w:rPr>
              <w:sz w:val="18"/>
              <w:szCs w:val="18"/>
            </w:rPr>
            <w:t>36</w:t>
          </w:r>
          <w:r>
            <w:rPr>
              <w:sz w:val="18"/>
              <w:szCs w:val="18"/>
            </w:rPr>
            <w:fldChar w:fldCharType="end"/>
          </w:r>
          <w:r>
            <w:rPr>
              <w:rFonts w:ascii="Times New Roman" w:hAnsi="Times New Roman" w:cs="Times New Roman"/>
              <w:bCs/>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_Toc1221 </w:instrText>
          </w:r>
          <w:r>
            <w:rPr>
              <w:rFonts w:ascii="Times New Roman" w:hAnsi="Times New Roman" w:cs="Times New Roman"/>
              <w:bCs/>
              <w:sz w:val="18"/>
              <w:szCs w:val="15"/>
            </w:rPr>
            <w:fldChar w:fldCharType="separate"/>
          </w:r>
          <w:r>
            <w:rPr>
              <w:rFonts w:eastAsia="宋体"/>
              <w:sz w:val="18"/>
              <w:szCs w:val="20"/>
            </w:rPr>
            <w:t xml:space="preserve">5.6. </w:t>
          </w:r>
          <w:r>
            <w:rPr>
              <w:sz w:val="18"/>
              <w:szCs w:val="20"/>
            </w:rPr>
            <w:t>Qualitative Interpretation:</w:t>
          </w:r>
          <w:r>
            <w:rPr>
              <w:sz w:val="18"/>
              <w:szCs w:val="18"/>
            </w:rPr>
            <w:tab/>
          </w:r>
          <w:r>
            <w:rPr>
              <w:sz w:val="18"/>
              <w:szCs w:val="18"/>
            </w:rPr>
            <w:fldChar w:fldCharType="begin"/>
          </w:r>
          <w:r>
            <w:rPr>
              <w:sz w:val="18"/>
              <w:szCs w:val="18"/>
            </w:rPr>
            <w:instrText xml:space="preserve"> PAGEREF _Toc1221 \h </w:instrText>
          </w:r>
          <w:r>
            <w:rPr>
              <w:sz w:val="18"/>
              <w:szCs w:val="18"/>
            </w:rPr>
            <w:fldChar w:fldCharType="separate"/>
          </w:r>
          <w:r>
            <w:rPr>
              <w:sz w:val="18"/>
              <w:szCs w:val="18"/>
            </w:rPr>
            <w:t>37</w:t>
          </w:r>
          <w:r>
            <w:rPr>
              <w:sz w:val="18"/>
              <w:szCs w:val="18"/>
            </w:rPr>
            <w:fldChar w:fldCharType="end"/>
          </w:r>
          <w:r>
            <w:rPr>
              <w:rFonts w:ascii="Times New Roman" w:hAnsi="Times New Roman" w:cs="Times New Roman"/>
              <w:bCs/>
              <w:sz w:val="18"/>
              <w:szCs w:val="15"/>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_Toc8879 </w:instrText>
          </w:r>
          <w:r>
            <w:rPr>
              <w:rFonts w:ascii="Times New Roman" w:hAnsi="Times New Roman" w:cs="Times New Roman"/>
              <w:bCs/>
              <w:sz w:val="18"/>
              <w:szCs w:val="15"/>
            </w:rPr>
            <w:fldChar w:fldCharType="separate"/>
          </w:r>
          <w:r>
            <w:rPr>
              <w:sz w:val="18"/>
              <w:szCs w:val="20"/>
            </w:rPr>
            <w:t>5.7 Comprehensive Understanding:</w:t>
          </w:r>
          <w:r>
            <w:rPr>
              <w:sz w:val="18"/>
              <w:szCs w:val="18"/>
            </w:rPr>
            <w:tab/>
          </w:r>
          <w:r>
            <w:rPr>
              <w:sz w:val="18"/>
              <w:szCs w:val="18"/>
            </w:rPr>
            <w:fldChar w:fldCharType="begin"/>
          </w:r>
          <w:r>
            <w:rPr>
              <w:sz w:val="18"/>
              <w:szCs w:val="18"/>
            </w:rPr>
            <w:instrText xml:space="preserve"> PAGEREF _Toc8879 \h </w:instrText>
          </w:r>
          <w:r>
            <w:rPr>
              <w:sz w:val="18"/>
              <w:szCs w:val="18"/>
            </w:rPr>
            <w:fldChar w:fldCharType="separate"/>
          </w:r>
          <w:r>
            <w:rPr>
              <w:sz w:val="18"/>
              <w:szCs w:val="18"/>
            </w:rPr>
            <w:t>37</w:t>
          </w:r>
          <w:r>
            <w:rPr>
              <w:sz w:val="18"/>
              <w:szCs w:val="18"/>
            </w:rPr>
            <w:fldChar w:fldCharType="end"/>
          </w:r>
          <w:r>
            <w:rPr>
              <w:rFonts w:ascii="Times New Roman" w:hAnsi="Times New Roman" w:cs="Times New Roman"/>
              <w:bCs/>
              <w:sz w:val="18"/>
              <w:szCs w:val="15"/>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_Toc28466 </w:instrText>
          </w:r>
          <w:r>
            <w:rPr>
              <w:rFonts w:ascii="Times New Roman" w:hAnsi="Times New Roman" w:cs="Times New Roman"/>
              <w:bCs/>
              <w:sz w:val="18"/>
              <w:szCs w:val="15"/>
            </w:rPr>
            <w:fldChar w:fldCharType="separate"/>
          </w:r>
          <w:r>
            <w:rPr>
              <w:rFonts w:ascii="Times New Roman" w:hAnsi="Times New Roman" w:cs="Times New Roman"/>
              <w:bCs/>
              <w:sz w:val="18"/>
              <w:szCs w:val="18"/>
            </w:rPr>
            <w:t>5.7.1 Cross-Cultural Perspective:</w:t>
          </w:r>
          <w:r>
            <w:rPr>
              <w:sz w:val="18"/>
              <w:szCs w:val="18"/>
            </w:rPr>
            <w:tab/>
          </w:r>
          <w:r>
            <w:rPr>
              <w:sz w:val="18"/>
              <w:szCs w:val="18"/>
            </w:rPr>
            <w:fldChar w:fldCharType="begin"/>
          </w:r>
          <w:r>
            <w:rPr>
              <w:sz w:val="18"/>
              <w:szCs w:val="18"/>
            </w:rPr>
            <w:instrText xml:space="preserve"> PAGEREF _Toc28466 \h </w:instrText>
          </w:r>
          <w:r>
            <w:rPr>
              <w:sz w:val="18"/>
              <w:szCs w:val="18"/>
            </w:rPr>
            <w:fldChar w:fldCharType="separate"/>
          </w:r>
          <w:r>
            <w:rPr>
              <w:sz w:val="18"/>
              <w:szCs w:val="18"/>
            </w:rPr>
            <w:t>39</w:t>
          </w:r>
          <w:r>
            <w:rPr>
              <w:sz w:val="18"/>
              <w:szCs w:val="18"/>
            </w:rPr>
            <w:fldChar w:fldCharType="end"/>
          </w:r>
          <w:r>
            <w:rPr>
              <w:rFonts w:ascii="Times New Roman" w:hAnsi="Times New Roman" w:cs="Times New Roman"/>
              <w:bCs/>
              <w:sz w:val="18"/>
              <w:szCs w:val="15"/>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_Toc5208 </w:instrText>
          </w:r>
          <w:r>
            <w:rPr>
              <w:rFonts w:ascii="Times New Roman" w:hAnsi="Times New Roman" w:cs="Times New Roman"/>
              <w:bCs/>
              <w:sz w:val="18"/>
              <w:szCs w:val="15"/>
            </w:rPr>
            <w:fldChar w:fldCharType="separate"/>
          </w:r>
          <w:r>
            <w:rPr>
              <w:rFonts w:ascii="Times New Roman" w:hAnsi="Times New Roman" w:cs="Times New Roman"/>
              <w:bCs/>
              <w:sz w:val="18"/>
              <w:szCs w:val="18"/>
            </w:rPr>
            <w:t>5.7.2 Practical Implications:</w:t>
          </w:r>
          <w:r>
            <w:rPr>
              <w:sz w:val="18"/>
              <w:szCs w:val="18"/>
            </w:rPr>
            <w:tab/>
          </w:r>
          <w:r>
            <w:rPr>
              <w:sz w:val="18"/>
              <w:szCs w:val="18"/>
            </w:rPr>
            <w:fldChar w:fldCharType="begin"/>
          </w:r>
          <w:r>
            <w:rPr>
              <w:sz w:val="18"/>
              <w:szCs w:val="18"/>
            </w:rPr>
            <w:instrText xml:space="preserve"> PAGEREF _Toc5208 \h </w:instrText>
          </w:r>
          <w:r>
            <w:rPr>
              <w:sz w:val="18"/>
              <w:szCs w:val="18"/>
            </w:rPr>
            <w:fldChar w:fldCharType="separate"/>
          </w:r>
          <w:r>
            <w:rPr>
              <w:sz w:val="18"/>
              <w:szCs w:val="18"/>
            </w:rPr>
            <w:t>39</w:t>
          </w:r>
          <w:r>
            <w:rPr>
              <w:sz w:val="18"/>
              <w:szCs w:val="18"/>
            </w:rPr>
            <w:fldChar w:fldCharType="end"/>
          </w:r>
          <w:r>
            <w:rPr>
              <w:rFonts w:ascii="Times New Roman" w:hAnsi="Times New Roman" w:cs="Times New Roman"/>
              <w:bCs/>
              <w:sz w:val="18"/>
              <w:szCs w:val="15"/>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_Toc19594 </w:instrText>
          </w:r>
          <w:r>
            <w:rPr>
              <w:rFonts w:ascii="Times New Roman" w:hAnsi="Times New Roman" w:cs="Times New Roman"/>
              <w:bCs/>
              <w:sz w:val="18"/>
              <w:szCs w:val="15"/>
            </w:rPr>
            <w:fldChar w:fldCharType="separate"/>
          </w:r>
          <w:r>
            <w:rPr>
              <w:rFonts w:ascii="Times New Roman" w:hAnsi="Times New Roman" w:cs="Times New Roman"/>
              <w:bCs/>
              <w:sz w:val="18"/>
              <w:szCs w:val="18"/>
            </w:rPr>
            <w:t>5.7.3 Holistic Approach:</w:t>
          </w:r>
          <w:r>
            <w:rPr>
              <w:sz w:val="18"/>
              <w:szCs w:val="18"/>
            </w:rPr>
            <w:tab/>
          </w:r>
          <w:r>
            <w:rPr>
              <w:sz w:val="18"/>
              <w:szCs w:val="18"/>
            </w:rPr>
            <w:fldChar w:fldCharType="begin"/>
          </w:r>
          <w:r>
            <w:rPr>
              <w:sz w:val="18"/>
              <w:szCs w:val="18"/>
            </w:rPr>
            <w:instrText xml:space="preserve"> PAGEREF _Toc19594 \h </w:instrText>
          </w:r>
          <w:r>
            <w:rPr>
              <w:sz w:val="18"/>
              <w:szCs w:val="18"/>
            </w:rPr>
            <w:fldChar w:fldCharType="separate"/>
          </w:r>
          <w:r>
            <w:rPr>
              <w:sz w:val="18"/>
              <w:szCs w:val="18"/>
            </w:rPr>
            <w:t>39</w:t>
          </w:r>
          <w:r>
            <w:rPr>
              <w:sz w:val="18"/>
              <w:szCs w:val="18"/>
            </w:rPr>
            <w:fldChar w:fldCharType="end"/>
          </w:r>
          <w:r>
            <w:rPr>
              <w:rFonts w:ascii="Times New Roman" w:hAnsi="Times New Roman" w:cs="Times New Roman"/>
              <w:bCs/>
              <w:sz w:val="18"/>
              <w:szCs w:val="15"/>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Cs/>
              <w:sz w:val="18"/>
              <w:szCs w:val="15"/>
            </w:rPr>
            <w:fldChar w:fldCharType="begin"/>
          </w:r>
          <w:r>
            <w:rPr>
              <w:rFonts w:ascii="Times New Roman" w:hAnsi="Times New Roman" w:cs="Times New Roman"/>
              <w:bCs/>
              <w:sz w:val="18"/>
              <w:szCs w:val="15"/>
            </w:rPr>
            <w:instrText xml:space="preserve"> HYPERLINK \l _Toc5618 </w:instrText>
          </w:r>
          <w:r>
            <w:rPr>
              <w:rFonts w:ascii="Times New Roman" w:hAnsi="Times New Roman" w:cs="Times New Roman"/>
              <w:bCs/>
              <w:sz w:val="18"/>
              <w:szCs w:val="15"/>
            </w:rPr>
            <w:fldChar w:fldCharType="separate"/>
          </w:r>
          <w:r>
            <w:rPr>
              <w:rFonts w:ascii="Times New Roman" w:hAnsi="Times New Roman" w:cs="Times New Roman"/>
              <w:bCs/>
              <w:sz w:val="18"/>
              <w:szCs w:val="18"/>
            </w:rPr>
            <w:t>5.7.4 Future Research Directions:</w:t>
          </w:r>
          <w:r>
            <w:rPr>
              <w:sz w:val="18"/>
              <w:szCs w:val="18"/>
            </w:rPr>
            <w:tab/>
          </w:r>
          <w:r>
            <w:rPr>
              <w:sz w:val="18"/>
              <w:szCs w:val="18"/>
            </w:rPr>
            <w:fldChar w:fldCharType="begin"/>
          </w:r>
          <w:r>
            <w:rPr>
              <w:sz w:val="18"/>
              <w:szCs w:val="18"/>
            </w:rPr>
            <w:instrText xml:space="preserve"> PAGEREF _Toc5618 \h </w:instrText>
          </w:r>
          <w:r>
            <w:rPr>
              <w:sz w:val="18"/>
              <w:szCs w:val="18"/>
            </w:rPr>
            <w:fldChar w:fldCharType="separate"/>
          </w:r>
          <w:r>
            <w:rPr>
              <w:sz w:val="18"/>
              <w:szCs w:val="18"/>
            </w:rPr>
            <w:t>40</w:t>
          </w:r>
          <w:r>
            <w:rPr>
              <w:sz w:val="18"/>
              <w:szCs w:val="18"/>
            </w:rPr>
            <w:fldChar w:fldCharType="end"/>
          </w:r>
          <w:r>
            <w:rPr>
              <w:rFonts w:ascii="Times New Roman" w:hAnsi="Times New Roman" w:cs="Times New Roman"/>
              <w:bCs/>
              <w:sz w:val="18"/>
              <w:szCs w:val="15"/>
            </w:rPr>
            <w:fldChar w:fldCharType="end"/>
          </w:r>
        </w:p>
        <w:p>
          <w:pPr>
            <w:pStyle w:val="8"/>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sz w:val="18"/>
              <w:szCs w:val="18"/>
            </w:rPr>
          </w:pPr>
          <w:r>
            <w:rPr>
              <w:rFonts w:ascii="Times New Roman" w:hAnsi="Times New Roman" w:cs="Times New Roman"/>
              <w:b/>
              <w:bCs w:val="0"/>
              <w:sz w:val="18"/>
              <w:szCs w:val="15"/>
            </w:rPr>
            <w:fldChar w:fldCharType="begin"/>
          </w:r>
          <w:r>
            <w:rPr>
              <w:rFonts w:ascii="Times New Roman" w:hAnsi="Times New Roman" w:cs="Times New Roman"/>
              <w:b/>
              <w:bCs w:val="0"/>
              <w:sz w:val="18"/>
              <w:szCs w:val="15"/>
            </w:rPr>
            <w:instrText xml:space="preserve"> HYPERLINK \l _Toc26860 </w:instrText>
          </w:r>
          <w:r>
            <w:rPr>
              <w:rFonts w:ascii="Times New Roman" w:hAnsi="Times New Roman" w:cs="Times New Roman"/>
              <w:b/>
              <w:bCs w:val="0"/>
              <w:sz w:val="18"/>
              <w:szCs w:val="15"/>
            </w:rPr>
            <w:fldChar w:fldCharType="separate"/>
          </w:r>
          <w:r>
            <w:rPr>
              <w:rFonts w:ascii="Times New Roman" w:hAnsi="Times New Roman" w:cs="Times New Roman"/>
              <w:b/>
              <w:bCs w:val="0"/>
              <w:sz w:val="18"/>
              <w:szCs w:val="20"/>
            </w:rPr>
            <w:t>CHAPTER 6: CONCLUSIONS AND RECOMMENDATIONS</w:t>
          </w:r>
          <w:r>
            <w:rPr>
              <w:b/>
              <w:bCs w:val="0"/>
              <w:sz w:val="18"/>
              <w:szCs w:val="18"/>
            </w:rPr>
            <w:tab/>
          </w:r>
          <w:r>
            <w:rPr>
              <w:b/>
              <w:bCs w:val="0"/>
              <w:sz w:val="18"/>
              <w:szCs w:val="18"/>
            </w:rPr>
            <w:fldChar w:fldCharType="begin"/>
          </w:r>
          <w:r>
            <w:rPr>
              <w:b/>
              <w:bCs w:val="0"/>
              <w:sz w:val="18"/>
              <w:szCs w:val="18"/>
            </w:rPr>
            <w:instrText xml:space="preserve"> PAGEREF _Toc26860 \h </w:instrText>
          </w:r>
          <w:r>
            <w:rPr>
              <w:b/>
              <w:bCs w:val="0"/>
              <w:sz w:val="18"/>
              <w:szCs w:val="18"/>
            </w:rPr>
            <w:fldChar w:fldCharType="separate"/>
          </w:r>
          <w:r>
            <w:rPr>
              <w:b/>
              <w:bCs w:val="0"/>
              <w:sz w:val="18"/>
              <w:szCs w:val="18"/>
            </w:rPr>
            <w:t>42</w:t>
          </w:r>
          <w:r>
            <w:rPr>
              <w:b/>
              <w:bCs w:val="0"/>
              <w:sz w:val="18"/>
              <w:szCs w:val="18"/>
            </w:rPr>
            <w:fldChar w:fldCharType="end"/>
          </w:r>
          <w:r>
            <w:rPr>
              <w:rFonts w:ascii="Times New Roman" w:hAnsi="Times New Roman" w:cs="Times New Roman"/>
              <w:b/>
              <w:bCs w:val="0"/>
              <w:sz w:val="18"/>
              <w:szCs w:val="15"/>
            </w:rPr>
            <w:fldChar w:fldCharType="end"/>
          </w:r>
        </w:p>
        <w:p>
          <w:pPr>
            <w:pStyle w:val="8"/>
            <w:keepNext w:val="0"/>
            <w:keepLines w:val="0"/>
            <w:pageBreakBefore w:val="0"/>
            <w:widowControl/>
            <w:tabs>
              <w:tab w:val="right" w:leader="dot" w:pos="9360"/>
            </w:tabs>
            <w:kinsoku/>
            <w:wordWrap/>
            <w:overflowPunct/>
            <w:topLinePunct w:val="0"/>
            <w:autoSpaceDE/>
            <w:autoSpaceDN/>
            <w:bidi w:val="0"/>
            <w:adjustRightInd/>
            <w:snapToGrid/>
            <w:spacing w:line="180" w:lineRule="exact"/>
            <w:textAlignment w:val="auto"/>
            <w:rPr>
              <w:b/>
              <w:bCs w:val="0"/>
              <w:sz w:val="18"/>
              <w:szCs w:val="18"/>
            </w:rPr>
          </w:pPr>
          <w:r>
            <w:rPr>
              <w:rFonts w:ascii="Times New Roman" w:hAnsi="Times New Roman" w:cs="Times New Roman"/>
              <w:b/>
              <w:bCs w:val="0"/>
              <w:sz w:val="18"/>
              <w:szCs w:val="15"/>
            </w:rPr>
            <w:fldChar w:fldCharType="begin"/>
          </w:r>
          <w:r>
            <w:rPr>
              <w:rFonts w:ascii="Times New Roman" w:hAnsi="Times New Roman" w:cs="Times New Roman"/>
              <w:b/>
              <w:bCs w:val="0"/>
              <w:sz w:val="18"/>
              <w:szCs w:val="15"/>
            </w:rPr>
            <w:instrText xml:space="preserve"> HYPERLINK \l _Toc4828 </w:instrText>
          </w:r>
          <w:r>
            <w:rPr>
              <w:rFonts w:ascii="Times New Roman" w:hAnsi="Times New Roman" w:cs="Times New Roman"/>
              <w:b/>
              <w:bCs w:val="0"/>
              <w:sz w:val="18"/>
              <w:szCs w:val="15"/>
            </w:rPr>
            <w:fldChar w:fldCharType="separate"/>
          </w:r>
          <w:r>
            <w:rPr>
              <w:rFonts w:ascii="Times New Roman" w:hAnsi="Times New Roman" w:cs="Times New Roman"/>
              <w:b/>
              <w:bCs w:val="0"/>
              <w:sz w:val="18"/>
              <w:szCs w:val="20"/>
            </w:rPr>
            <w:t>REFERENCES</w:t>
          </w:r>
          <w:r>
            <w:rPr>
              <w:b/>
              <w:bCs w:val="0"/>
              <w:sz w:val="18"/>
              <w:szCs w:val="18"/>
            </w:rPr>
            <w:tab/>
          </w:r>
          <w:r>
            <w:rPr>
              <w:b/>
              <w:bCs w:val="0"/>
              <w:sz w:val="18"/>
              <w:szCs w:val="18"/>
            </w:rPr>
            <w:fldChar w:fldCharType="begin"/>
          </w:r>
          <w:r>
            <w:rPr>
              <w:b/>
              <w:bCs w:val="0"/>
              <w:sz w:val="18"/>
              <w:szCs w:val="18"/>
            </w:rPr>
            <w:instrText xml:space="preserve"> PAGEREF _Toc4828 \h </w:instrText>
          </w:r>
          <w:r>
            <w:rPr>
              <w:b/>
              <w:bCs w:val="0"/>
              <w:sz w:val="18"/>
              <w:szCs w:val="18"/>
            </w:rPr>
            <w:fldChar w:fldCharType="separate"/>
          </w:r>
          <w:r>
            <w:rPr>
              <w:b/>
              <w:bCs w:val="0"/>
              <w:sz w:val="18"/>
              <w:szCs w:val="18"/>
            </w:rPr>
            <w:t>44</w:t>
          </w:r>
          <w:r>
            <w:rPr>
              <w:b/>
              <w:bCs w:val="0"/>
              <w:sz w:val="18"/>
              <w:szCs w:val="18"/>
            </w:rPr>
            <w:fldChar w:fldCharType="end"/>
          </w:r>
          <w:r>
            <w:rPr>
              <w:rFonts w:ascii="Times New Roman" w:hAnsi="Times New Roman" w:cs="Times New Roman"/>
              <w:b/>
              <w:bCs w:val="0"/>
              <w:sz w:val="18"/>
              <w:szCs w:val="15"/>
            </w:rPr>
            <w:fldChar w:fldCharType="end"/>
          </w:r>
        </w:p>
        <w:p>
          <w:pPr>
            <w:pStyle w:val="8"/>
            <w:keepNext w:val="0"/>
            <w:keepLines w:val="0"/>
            <w:pageBreakBefore w:val="0"/>
            <w:widowControl/>
            <w:tabs>
              <w:tab w:val="right" w:leader="dot" w:pos="9360"/>
            </w:tabs>
            <w:kinsoku/>
            <w:wordWrap/>
            <w:overflowPunct/>
            <w:topLinePunct w:val="0"/>
            <w:autoSpaceDE/>
            <w:autoSpaceDN/>
            <w:bidi w:val="0"/>
            <w:adjustRightInd/>
            <w:snapToGrid/>
            <w:spacing w:after="0" w:line="240" w:lineRule="auto"/>
            <w:textAlignment w:val="auto"/>
            <w:rPr>
              <w:sz w:val="18"/>
              <w:szCs w:val="18"/>
            </w:rPr>
          </w:pPr>
          <w:r>
            <w:rPr>
              <w:rFonts w:ascii="Times New Roman" w:hAnsi="Times New Roman" w:cs="Times New Roman"/>
              <w:b/>
              <w:bCs w:val="0"/>
              <w:sz w:val="18"/>
              <w:szCs w:val="15"/>
            </w:rPr>
            <w:fldChar w:fldCharType="begin"/>
          </w:r>
          <w:r>
            <w:rPr>
              <w:rFonts w:ascii="Times New Roman" w:hAnsi="Times New Roman" w:cs="Times New Roman"/>
              <w:b/>
              <w:bCs w:val="0"/>
              <w:sz w:val="18"/>
              <w:szCs w:val="15"/>
            </w:rPr>
            <w:instrText xml:space="preserve"> HYPERLINK \l _Toc23336 </w:instrText>
          </w:r>
          <w:r>
            <w:rPr>
              <w:rFonts w:ascii="Times New Roman" w:hAnsi="Times New Roman" w:cs="Times New Roman"/>
              <w:b/>
              <w:bCs w:val="0"/>
              <w:sz w:val="18"/>
              <w:szCs w:val="15"/>
            </w:rPr>
            <w:fldChar w:fldCharType="separate"/>
          </w:r>
          <w:r>
            <w:rPr>
              <w:rFonts w:hint="eastAsia" w:ascii="Times New Roman" w:hAnsi="Times New Roman" w:eastAsia="等线 Light" w:cs="Times New Roman"/>
              <w:b/>
              <w:bCs w:val="0"/>
              <w:kern w:val="2"/>
              <w:sz w:val="18"/>
              <w:szCs w:val="21"/>
              <w:lang w:val="en-IN" w:eastAsia="en-US" w:bidi="ar-SA"/>
              <w14:ligatures w14:val="standardContextual"/>
            </w:rPr>
            <w:t>A</w:t>
          </w:r>
          <w:r>
            <w:rPr>
              <w:rFonts w:hint="eastAsia" w:ascii="Times New Roman" w:hAnsi="Times New Roman" w:eastAsia="等线 Light" w:cs="Times New Roman"/>
              <w:b/>
              <w:bCs w:val="0"/>
              <w:kern w:val="2"/>
              <w:sz w:val="18"/>
              <w:szCs w:val="21"/>
              <w:lang w:val="en-US" w:eastAsia="zh-CN" w:bidi="ar-SA"/>
              <w14:ligatures w14:val="standardContextual"/>
            </w:rPr>
            <w:t>PPENDIX</w:t>
          </w:r>
          <w:r>
            <w:rPr>
              <w:b/>
              <w:bCs w:val="0"/>
              <w:sz w:val="18"/>
              <w:szCs w:val="18"/>
            </w:rPr>
            <w:tab/>
          </w:r>
          <w:r>
            <w:rPr>
              <w:b/>
              <w:bCs w:val="0"/>
              <w:sz w:val="18"/>
              <w:szCs w:val="18"/>
            </w:rPr>
            <w:fldChar w:fldCharType="begin"/>
          </w:r>
          <w:r>
            <w:rPr>
              <w:b/>
              <w:bCs w:val="0"/>
              <w:sz w:val="18"/>
              <w:szCs w:val="18"/>
            </w:rPr>
            <w:instrText xml:space="preserve"> PAGEREF _Toc23336 \h </w:instrText>
          </w:r>
          <w:r>
            <w:rPr>
              <w:b/>
              <w:bCs w:val="0"/>
              <w:sz w:val="18"/>
              <w:szCs w:val="18"/>
            </w:rPr>
            <w:fldChar w:fldCharType="separate"/>
          </w:r>
          <w:r>
            <w:rPr>
              <w:b/>
              <w:bCs w:val="0"/>
              <w:sz w:val="18"/>
              <w:szCs w:val="18"/>
            </w:rPr>
            <w:t>54</w:t>
          </w:r>
          <w:r>
            <w:rPr>
              <w:b/>
              <w:bCs w:val="0"/>
              <w:sz w:val="18"/>
              <w:szCs w:val="18"/>
            </w:rPr>
            <w:fldChar w:fldCharType="end"/>
          </w:r>
          <w:r>
            <w:rPr>
              <w:rFonts w:ascii="Times New Roman" w:hAnsi="Times New Roman" w:cs="Times New Roman"/>
              <w:b/>
              <w:bCs w:val="0"/>
              <w:sz w:val="18"/>
              <w:szCs w:val="15"/>
            </w:rPr>
            <w:fldChar w:fldCharType="end"/>
          </w:r>
        </w:p>
        <w:p>
          <w:pPr>
            <w:keepNext w:val="0"/>
            <w:keepLines w:val="0"/>
            <w:pageBreakBefore w:val="0"/>
            <w:widowControl/>
            <w:kinsoku/>
            <w:wordWrap/>
            <w:overflowPunct/>
            <w:topLinePunct w:val="0"/>
            <w:autoSpaceDE/>
            <w:autoSpaceDN/>
            <w:bidi w:val="0"/>
            <w:adjustRightInd/>
            <w:snapToGrid/>
            <w:spacing w:line="180" w:lineRule="exact"/>
            <w:textAlignment w:val="auto"/>
            <w:rPr>
              <w:rFonts w:hint="eastAsia" w:eastAsia="宋体"/>
              <w:lang w:val="en-US" w:eastAsia="zh-CN"/>
            </w:rPr>
            <w:sectPr>
              <w:pgSz w:w="12240" w:h="15840"/>
              <w:pgMar w:top="1440" w:right="1440" w:bottom="1440" w:left="1440" w:header="720" w:footer="720" w:gutter="0"/>
              <w:cols w:space="720" w:num="1"/>
            </w:sectPr>
          </w:pPr>
          <w:r>
            <w:rPr>
              <w:rFonts w:ascii="Times New Roman" w:hAnsi="Times New Roman" w:cs="Times New Roman"/>
              <w:bCs/>
              <w:sz w:val="18"/>
              <w:szCs w:val="15"/>
            </w:rPr>
            <w:fldChar w:fldCharType="end"/>
          </w:r>
        </w:p>
      </w:sdtContent>
    </w:sdt>
    <w:p>
      <w:pPr>
        <w:pStyle w:val="2"/>
        <w:spacing w:line="360" w:lineRule="auto"/>
        <w:jc w:val="center"/>
        <w:rPr>
          <w:rFonts w:ascii="Times New Roman" w:hAnsi="Times New Roman" w:cs="Times New Roman"/>
          <w:b/>
          <w:bCs/>
          <w:color w:val="auto"/>
          <w:sz w:val="24"/>
          <w:szCs w:val="24"/>
        </w:rPr>
      </w:pPr>
      <w:bookmarkStart w:id="1" w:name="_Toc30107"/>
      <w:bookmarkStart w:id="2" w:name="_Toc24365"/>
      <w:bookmarkStart w:id="3" w:name="_Toc154735195"/>
      <w:r>
        <w:rPr>
          <w:rFonts w:ascii="Times New Roman" w:hAnsi="Times New Roman" w:cs="Times New Roman"/>
          <w:b/>
          <w:bCs/>
          <w:color w:val="auto"/>
          <w:sz w:val="24"/>
          <w:szCs w:val="24"/>
        </w:rPr>
        <w:t xml:space="preserve">CHAPTER 1: </w:t>
      </w:r>
      <w:bookmarkStart w:id="4" w:name="_Toc3746"/>
      <w:r>
        <w:rPr>
          <w:rFonts w:ascii="Times New Roman" w:hAnsi="Times New Roman" w:cs="Times New Roman"/>
          <w:b/>
          <w:bCs/>
          <w:color w:val="auto"/>
          <w:sz w:val="24"/>
          <w:szCs w:val="24"/>
        </w:rPr>
        <w:t>INTRODUCTION</w:t>
      </w:r>
      <w:bookmarkEnd w:id="1"/>
      <w:bookmarkEnd w:id="2"/>
      <w:bookmarkEnd w:id="3"/>
      <w:bookmarkEnd w:id="4"/>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exploration of student engagement in the context of </w:t>
      </w:r>
      <w:r>
        <w:rPr>
          <w:rFonts w:hint="eastAsia" w:ascii="Times New Roman" w:hAnsi="Times New Roman" w:eastAsia="宋体" w:cs="Times New Roman"/>
          <w:sz w:val="24"/>
          <w:szCs w:val="24"/>
          <w:lang w:eastAsia="zh-CN"/>
        </w:rPr>
        <w:t>English language teaching</w:t>
      </w:r>
      <w:r>
        <w:rPr>
          <w:rFonts w:hint="eastAsia" w:ascii="Times New Roman" w:hAnsi="Times New Roman" w:eastAsia="宋体" w:cs="Times New Roman"/>
          <w:sz w:val="24"/>
          <w:szCs w:val="24"/>
          <w:lang w:val="en-US" w:eastAsia="zh-CN"/>
        </w:rPr>
        <w:t xml:space="preserve"> (ELT)</w:t>
      </w:r>
      <w:r>
        <w:rPr>
          <w:rFonts w:ascii="Times New Roman" w:hAnsi="Times New Roman" w:cs="Times New Roman"/>
          <w:sz w:val="24"/>
          <w:szCs w:val="24"/>
        </w:rPr>
        <w:t xml:space="preserve"> </w:t>
      </w:r>
      <w:r>
        <w:rPr>
          <w:rFonts w:ascii="Times New Roman" w:hAnsi="Times New Roman" w:eastAsia="宋体" w:cs="Times New Roman"/>
          <w:sz w:val="24"/>
          <w:szCs w:val="24"/>
          <w:lang w:eastAsia="zh-CN"/>
        </w:rPr>
        <w:t xml:space="preserve">in Chinese university </w:t>
      </w:r>
      <w:r>
        <w:rPr>
          <w:rFonts w:ascii="Times New Roman" w:hAnsi="Times New Roman" w:cs="Times New Roman"/>
          <w:sz w:val="24"/>
          <w:szCs w:val="24"/>
        </w:rPr>
        <w:t xml:space="preserve">is a significant endeavor, as it sheds light on the dynamics of learning and the factors influencing students' active participation. The importance of student engagement cannot be overstated, particularly in the multicultural setting of </w:t>
      </w:r>
      <w:r>
        <w:rPr>
          <w:rFonts w:hint="eastAsia" w:ascii="Times New Roman" w:hAnsi="Times New Roman" w:eastAsia="宋体" w:cs="Times New Roman"/>
          <w:sz w:val="24"/>
          <w:szCs w:val="24"/>
          <w:lang w:val="en-US" w:eastAsia="zh-CN"/>
        </w:rPr>
        <w:t>the</w:t>
      </w:r>
      <w:r>
        <w:rPr>
          <w:rFonts w:ascii="Times New Roman" w:hAnsi="Times New Roman" w:eastAsia="宋体" w:cs="Times New Roman"/>
          <w:sz w:val="24"/>
          <w:szCs w:val="24"/>
          <w:lang w:eastAsia="zh-CN"/>
        </w:rPr>
        <w:t xml:space="preserve"> u</w:t>
      </w:r>
      <w:r>
        <w:rPr>
          <w:rFonts w:ascii="Times New Roman" w:hAnsi="Times New Roman" w:cs="Times New Roman"/>
          <w:sz w:val="24"/>
          <w:szCs w:val="24"/>
        </w:rPr>
        <w:t xml:space="preserve">niversity in </w:t>
      </w:r>
      <w:r>
        <w:rPr>
          <w:rFonts w:hint="eastAsia" w:ascii="Times New Roman" w:hAnsi="Times New Roman" w:eastAsia="宋体" w:cs="Times New Roman"/>
          <w:sz w:val="24"/>
          <w:szCs w:val="24"/>
          <w:lang w:val="en-US" w:eastAsia="zh-CN"/>
        </w:rPr>
        <w:t xml:space="preserve">mainland </w:t>
      </w:r>
      <w:r>
        <w:rPr>
          <w:rFonts w:ascii="Times New Roman" w:hAnsi="Times New Roman" w:cs="Times New Roman"/>
          <w:sz w:val="24"/>
          <w:szCs w:val="24"/>
        </w:rPr>
        <w:t xml:space="preserve">China.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in this context presents unique challenges and opportunities that warrant thorough investigation.</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rationale behind this study</w:t>
      </w:r>
      <w:r>
        <w:rPr>
          <w:rFonts w:hint="eastAsia" w:ascii="Times New Roman" w:hAnsi="Times New Roman" w:eastAsia="宋体" w:cs="Times New Roman"/>
          <w:sz w:val="24"/>
          <w:szCs w:val="24"/>
          <w:lang w:val="en-US" w:eastAsia="zh-CN"/>
        </w:rPr>
        <w:t xml:space="preserve"> (research pilot project)</w:t>
      </w:r>
      <w:r>
        <w:rPr>
          <w:rFonts w:ascii="Times New Roman" w:hAnsi="Times New Roman" w:cs="Times New Roman"/>
          <w:sz w:val="24"/>
          <w:szCs w:val="24"/>
        </w:rPr>
        <w:t xml:space="preserve"> lies in the need to bridge the gap between theoretical frameworks of student engagement and the lived experiences of students in English language classes. While existing literature provides valuable insights, a localized perspective is essential to grasp the intricacies of student engagement in a Chinese university (</w:t>
      </w:r>
      <w:r>
        <w:rPr>
          <w:rFonts w:ascii="Times New Roman" w:hAnsi="Times New Roman" w:cs="Times New Roman"/>
          <w:color w:val="222222"/>
          <w:sz w:val="24"/>
          <w:szCs w:val="24"/>
          <w:shd w:val="clear" w:color="auto" w:fill="FFFFFF"/>
        </w:rPr>
        <w:t>DiCicco‐Bloom and Crabtree, 2006)</w:t>
      </w:r>
      <w:r>
        <w:rPr>
          <w:rFonts w:ascii="Times New Roman" w:hAnsi="Times New Roman" w:cs="Times New Roman"/>
          <w:sz w:val="24"/>
          <w:szCs w:val="24"/>
        </w:rPr>
        <w:t>. By delving into students' own perceptions and experiences, this study aims to contribute nuanced findings that can inform teaching practices and enhance the overall quality of English language education.</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chosen setting for this study is a </w:t>
      </w:r>
      <w:r>
        <w:rPr>
          <w:rFonts w:hint="eastAsia" w:ascii="Times New Roman" w:hAnsi="Times New Roman" w:eastAsia="宋体" w:cs="Times New Roman"/>
          <w:sz w:val="24"/>
          <w:szCs w:val="24"/>
          <w:lang w:val="en-US" w:eastAsia="zh-CN"/>
        </w:rPr>
        <w:t xml:space="preserve">private </w:t>
      </w:r>
      <w:r>
        <w:rPr>
          <w:rFonts w:ascii="Times New Roman" w:hAnsi="Times New Roman" w:eastAsia="宋体" w:cs="Times New Roman"/>
          <w:sz w:val="24"/>
          <w:szCs w:val="24"/>
          <w:lang w:eastAsia="zh-CN"/>
        </w:rPr>
        <w:t>u</w:t>
      </w:r>
      <w:r>
        <w:rPr>
          <w:rFonts w:ascii="Times New Roman" w:hAnsi="Times New Roman" w:cs="Times New Roman"/>
          <w:sz w:val="24"/>
          <w:szCs w:val="24"/>
        </w:rPr>
        <w:t xml:space="preserve">niversity in </w:t>
      </w:r>
      <w:r>
        <w:rPr>
          <w:rFonts w:ascii="Times New Roman" w:hAnsi="Times New Roman" w:eastAsia="宋体" w:cs="Times New Roman"/>
          <w:sz w:val="24"/>
          <w:szCs w:val="24"/>
          <w:lang w:eastAsia="zh-CN"/>
        </w:rPr>
        <w:t xml:space="preserve">mainland </w:t>
      </w:r>
      <w:r>
        <w:rPr>
          <w:rFonts w:ascii="Times New Roman" w:hAnsi="Times New Roman" w:cs="Times New Roman"/>
          <w:sz w:val="24"/>
          <w:szCs w:val="24"/>
        </w:rPr>
        <w:t xml:space="preserve">China, where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xml:space="preserve"> is a crucial component of the </w:t>
      </w:r>
      <w:r>
        <w:rPr>
          <w:rFonts w:hint="eastAsia" w:ascii="Times New Roman" w:hAnsi="Times New Roman" w:cs="Times New Roman"/>
          <w:sz w:val="24"/>
          <w:szCs w:val="24"/>
        </w:rPr>
        <w:t>collegiate</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curriculum. The unique socio-cultural context of China, coupled with the global significance of English proficiency, makes this setting particularly intriguing for investigating student engagement (</w:t>
      </w:r>
      <w:r>
        <w:rPr>
          <w:rFonts w:ascii="Times New Roman" w:hAnsi="Times New Roman" w:cs="Times New Roman"/>
          <w:color w:val="222222"/>
          <w:sz w:val="24"/>
          <w:szCs w:val="24"/>
          <w:shd w:val="clear" w:color="auto" w:fill="FFFFFF"/>
        </w:rPr>
        <w:t>Borg and Liu, 2013)</w:t>
      </w:r>
      <w:r>
        <w:rPr>
          <w:rFonts w:ascii="Times New Roman" w:hAnsi="Times New Roman" w:cs="Times New Roman"/>
          <w:sz w:val="24"/>
          <w:szCs w:val="24"/>
        </w:rPr>
        <w:t>. The University's diverse student body, representing various regions and linguistic backgrounds, adds complexity to the study.</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China's emphasis on education and the increasing demand for English language skills in the global job market creates a dynamic environment for exploring student engagement. The socio-economic background of students, the cultural influences on learning, and the institutional practices all play a role in shaping the engagement levels of students in English language classes. As students navigate the intricacies of English language acquisition in China, the fusion of traditional values and modern aspirations becomes evident, influencing their approach to education (</w:t>
      </w:r>
      <w:r>
        <w:rPr>
          <w:rFonts w:ascii="Times New Roman" w:hAnsi="Times New Roman" w:cs="Times New Roman"/>
          <w:color w:val="222222"/>
          <w:sz w:val="24"/>
          <w:szCs w:val="24"/>
          <w:shd w:val="clear" w:color="auto" w:fill="FFFFFF"/>
        </w:rPr>
        <w:t>Sullivan and Artino, 2013)</w:t>
      </w:r>
      <w:r>
        <w:rPr>
          <w:rFonts w:ascii="Times New Roman" w:hAnsi="Times New Roman" w:cs="Times New Roman"/>
          <w:sz w:val="24"/>
          <w:szCs w:val="24"/>
        </w:rPr>
        <w:t>. The challenge lies in striking a balance that resonates with diverse socio-economic backgrounds while fostering a sense of global interconnectedness. In this evolving landscape, educators must adapt pedagogical strategies that embrace cultural diversity and cater to the unique needs of students, ultimately nurturing a vibrant and engaged learning community.</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Understanding the </w:t>
      </w:r>
      <w:r>
        <w:rPr>
          <w:rFonts w:ascii="Times New Roman" w:hAnsi="Times New Roman" w:eastAsia="宋体" w:cs="Times New Roman"/>
          <w:sz w:val="24"/>
          <w:szCs w:val="24"/>
          <w:lang w:eastAsia="zh-CN"/>
        </w:rPr>
        <w:t xml:space="preserve">Chinese </w:t>
      </w:r>
      <w:r>
        <w:rPr>
          <w:rFonts w:ascii="Times New Roman" w:hAnsi="Times New Roman" w:cs="Times New Roman"/>
          <w:sz w:val="24"/>
          <w:szCs w:val="24"/>
        </w:rPr>
        <w:t>local context is essential for interpreting student engagement, as it provides a backdrop against which the findings can be contextualized. The socio-cultural nuances, language learning attitudes, and institutional dynamics contribute to the complexity of student engagement in the chosen setting. Moreover, delving into the historical and educational landscape of the region unveils additional layers influencing student participation, shedding light on patterns that might otherwise remain obscured (</w:t>
      </w:r>
      <w:r>
        <w:rPr>
          <w:rFonts w:ascii="Times New Roman" w:hAnsi="Times New Roman" w:cs="Times New Roman"/>
          <w:color w:val="222222"/>
          <w:sz w:val="24"/>
          <w:szCs w:val="24"/>
          <w:shd w:val="clear" w:color="auto" w:fill="FFFFFF"/>
        </w:rPr>
        <w:t>Tong et al., 2022)</w:t>
      </w:r>
      <w:r>
        <w:rPr>
          <w:rFonts w:ascii="Times New Roman" w:hAnsi="Times New Roman" w:cs="Times New Roman"/>
          <w:sz w:val="24"/>
          <w:szCs w:val="24"/>
        </w:rPr>
        <w:t>. By recognizing the interplay of these factors, educators can tailor their approaches, fostering a more inclusive and effective learning environment that resonates with the unique fabric of the community. In essence, unraveling the intricacies of the local context becomes a compass guiding educator towards a nuanced understanding of student engagement.</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By narrowing the focus to a specific </w:t>
      </w:r>
      <w:r>
        <w:rPr>
          <w:rFonts w:ascii="Times New Roman" w:hAnsi="Times New Roman" w:eastAsia="宋体" w:cs="Times New Roman"/>
          <w:sz w:val="24"/>
          <w:szCs w:val="24"/>
          <w:lang w:eastAsia="zh-CN"/>
        </w:rPr>
        <w:t>u</w:t>
      </w:r>
      <w:r>
        <w:rPr>
          <w:rFonts w:ascii="Times New Roman" w:hAnsi="Times New Roman" w:cs="Times New Roman"/>
          <w:sz w:val="24"/>
          <w:szCs w:val="24"/>
        </w:rPr>
        <w:t xml:space="preserve">niversity in China, this study aims to provide a contextually rich examination of student engagement in </w:t>
      </w:r>
      <w:r>
        <w:rPr>
          <w:rFonts w:hint="eastAsia" w:ascii="Times New Roman" w:hAnsi="Times New Roman" w:eastAsia="宋体" w:cs="Times New Roman"/>
          <w:sz w:val="24"/>
          <w:szCs w:val="24"/>
          <w:lang w:val="en-US" w:eastAsia="zh-CN"/>
        </w:rPr>
        <w:t>ELT course</w:t>
      </w:r>
      <w:r>
        <w:rPr>
          <w:rFonts w:ascii="Times New Roman" w:hAnsi="Times New Roman" w:cs="Times New Roman"/>
          <w:sz w:val="24"/>
          <w:szCs w:val="24"/>
        </w:rPr>
        <w:t xml:space="preserve">. This localized approach allows for a deeper understanding of the factors that impact engagement, thus offering valuable insights for educators and policymakers. By delving into the intricacies of this Chinese university's </w:t>
      </w:r>
      <w:r>
        <w:rPr>
          <w:rFonts w:hint="eastAsia" w:ascii="Times New Roman" w:hAnsi="Times New Roman" w:eastAsia="宋体" w:cs="Times New Roman"/>
          <w:sz w:val="24"/>
          <w:szCs w:val="24"/>
          <w:lang w:val="en-US" w:eastAsia="zh-CN"/>
        </w:rPr>
        <w:t>ELT course</w:t>
      </w:r>
      <w:r>
        <w:rPr>
          <w:rFonts w:ascii="Times New Roman" w:hAnsi="Times New Roman" w:cs="Times New Roman"/>
          <w:sz w:val="24"/>
          <w:szCs w:val="24"/>
        </w:rPr>
        <w:t>, the study intends to unravel the nuanced dynamics influencing student engagement (</w:t>
      </w:r>
      <w:r>
        <w:rPr>
          <w:rFonts w:ascii="Times New Roman" w:hAnsi="Times New Roman" w:cs="Times New Roman"/>
          <w:color w:val="222222"/>
          <w:sz w:val="24"/>
          <w:szCs w:val="24"/>
          <w:shd w:val="clear" w:color="auto" w:fill="FFFFFF"/>
        </w:rPr>
        <w:t>Yang &amp; Hu, 2023)</w:t>
      </w:r>
      <w:r>
        <w:rPr>
          <w:rFonts w:ascii="Times New Roman" w:hAnsi="Times New Roman" w:cs="Times New Roman"/>
          <w:sz w:val="24"/>
          <w:szCs w:val="24"/>
        </w:rPr>
        <w:t>. This micro-level analysis not only enhances the granularity of our insights but also serves as a practical guide for tailoring effective teaching strategies within the unique cultural and educational landscape of the university. Ultimately, the findings aspire to bridge the gap between theory and practice, fostering an environment where both students and educators thrive in the realm of English language education.</w:t>
      </w:r>
    </w:p>
    <w:p>
      <w:pPr>
        <w:spacing w:line="360" w:lineRule="auto"/>
        <w:ind w:firstLine="480" w:firstLineChars="200"/>
        <w:rPr>
          <w:rFonts w:ascii="Times New Roman" w:hAnsi="Times New Roman" w:eastAsia="Calibri" w:cs="Times New Roman"/>
          <w:sz w:val="24"/>
          <w:szCs w:val="24"/>
        </w:rPr>
      </w:pPr>
      <w:r>
        <w:rPr>
          <w:rFonts w:ascii="Times New Roman" w:hAnsi="Times New Roman" w:cs="Times New Roman"/>
          <w:sz w:val="24"/>
          <w:szCs w:val="24"/>
        </w:rPr>
        <w:t xml:space="preserve">The primary purpose of this research </w:t>
      </w:r>
      <w:r>
        <w:rPr>
          <w:rFonts w:hint="eastAsia" w:ascii="Times New Roman" w:hAnsi="Times New Roman" w:eastAsia="宋体" w:cs="Times New Roman"/>
          <w:sz w:val="24"/>
          <w:szCs w:val="24"/>
          <w:lang w:val="en-US" w:eastAsia="zh-CN"/>
        </w:rPr>
        <w:t xml:space="preserve">pilot project </w:t>
      </w:r>
      <w:r>
        <w:rPr>
          <w:rFonts w:ascii="Times New Roman" w:hAnsi="Times New Roman" w:cs="Times New Roman"/>
          <w:sz w:val="24"/>
          <w:szCs w:val="24"/>
        </w:rPr>
        <w:t xml:space="preserve">is to contribute valuable insights to the existing literature on student engagement by closely examining the dynamics of engagement within the specific setting of an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xml:space="preserve"> class at a university in China.</w:t>
      </w:r>
      <w:r>
        <w:rPr>
          <w:rFonts w:hint="eastAsia" w:ascii="Times New Roman" w:hAnsi="Times New Roman" w:eastAsia="宋体" w:cs="Times New Roman"/>
          <w:sz w:val="24"/>
          <w:szCs w:val="24"/>
          <w:lang w:val="en-US" w:eastAsia="zh-CN"/>
        </w:rPr>
        <w:t xml:space="preserve"> </w:t>
      </w:r>
      <w:r>
        <w:rPr>
          <w:rFonts w:ascii="Times New Roman" w:hAnsi="Times New Roman" w:eastAsia="Calibri" w:cs="Times New Roman"/>
          <w:sz w:val="24"/>
          <w:szCs w:val="24"/>
        </w:rPr>
        <w:t xml:space="preserve">To understand the research area more deeply, the literature review critically examines empirical evidence and descriptive information regarding collaborative professionalism and teacher wellbeing. It </w:t>
      </w:r>
      <w:r>
        <w:rPr>
          <w:rFonts w:hint="eastAsia" w:ascii="Times New Roman" w:hAnsi="Times New Roman" w:eastAsia="宋体" w:cs="Times New Roman"/>
          <w:sz w:val="24"/>
          <w:szCs w:val="24"/>
          <w:lang w:val="en-US" w:eastAsia="zh-CN"/>
        </w:rPr>
        <w:t xml:space="preserve">also </w:t>
      </w:r>
      <w:r>
        <w:rPr>
          <w:rFonts w:ascii="Times New Roman" w:hAnsi="Times New Roman" w:eastAsia="Calibri" w:cs="Times New Roman"/>
          <w:sz w:val="24"/>
          <w:szCs w:val="24"/>
        </w:rPr>
        <w:t xml:space="preserve">highlights </w:t>
      </w:r>
      <w:r>
        <w:rPr>
          <w:rFonts w:hint="eastAsia" w:ascii="Times New Roman" w:hAnsi="Times New Roman" w:eastAsia="宋体" w:cs="Times New Roman"/>
          <w:sz w:val="24"/>
          <w:szCs w:val="24"/>
          <w:lang w:val="en-US" w:eastAsia="zh-CN"/>
        </w:rPr>
        <w:t xml:space="preserve">the </w:t>
      </w:r>
      <w:r>
        <w:rPr>
          <w:rFonts w:ascii="Times New Roman" w:hAnsi="Times New Roman" w:eastAsia="Calibri" w:cs="Times New Roman"/>
          <w:sz w:val="24"/>
          <w:szCs w:val="24"/>
        </w:rPr>
        <w:t>challenges and limitations found and offers background and motivation for th</w:t>
      </w:r>
      <w:r>
        <w:rPr>
          <w:rFonts w:hint="eastAsia" w:ascii="Times New Roman" w:hAnsi="Times New Roman" w:eastAsia="宋体" w:cs="Times New Roman"/>
          <w:sz w:val="24"/>
          <w:szCs w:val="24"/>
          <w:lang w:val="en-US" w:eastAsia="zh-CN"/>
        </w:rPr>
        <w:t>is</w:t>
      </w:r>
      <w:r>
        <w:rPr>
          <w:rFonts w:ascii="Times New Roman" w:hAnsi="Times New Roman" w:eastAsia="Calibri" w:cs="Times New Roman"/>
          <w:sz w:val="24"/>
          <w:szCs w:val="24"/>
        </w:rPr>
        <w:t xml:space="preserve"> research study. </w:t>
      </w:r>
    </w:p>
    <w:p>
      <w:pPr>
        <w:spacing w:beforeAutospacing="1" w:after="0" w:afterAutospacing="1" w:line="360" w:lineRule="auto"/>
        <w:rPr>
          <w:rFonts w:ascii="Times New Roman" w:hAnsi="Times New Roman" w:cs="Times New Roman"/>
          <w:b/>
          <w:bCs/>
          <w:sz w:val="24"/>
          <w:szCs w:val="24"/>
        </w:rPr>
        <w:sectPr>
          <w:pgSz w:w="12240" w:h="15840"/>
          <w:pgMar w:top="1440" w:right="1440" w:bottom="1440" w:left="1440" w:header="720" w:footer="720" w:gutter="0"/>
          <w:cols w:space="720" w:num="1"/>
        </w:sectPr>
      </w:pPr>
    </w:p>
    <w:p>
      <w:pPr>
        <w:pStyle w:val="2"/>
        <w:spacing w:line="360" w:lineRule="auto"/>
        <w:jc w:val="center"/>
        <w:rPr>
          <w:rFonts w:ascii="Times New Roman" w:hAnsi="Times New Roman" w:cs="Times New Roman"/>
          <w:b/>
          <w:bCs/>
          <w:color w:val="auto"/>
          <w:sz w:val="24"/>
          <w:szCs w:val="24"/>
        </w:rPr>
      </w:pPr>
      <w:bookmarkStart w:id="5" w:name="_Toc26605"/>
      <w:bookmarkStart w:id="6" w:name="_Toc31852"/>
      <w:bookmarkStart w:id="7" w:name="_Toc154735196"/>
      <w:r>
        <w:rPr>
          <w:rFonts w:ascii="Times New Roman" w:hAnsi="Times New Roman" w:cs="Times New Roman"/>
          <w:b/>
          <w:bCs/>
          <w:color w:val="auto"/>
          <w:sz w:val="24"/>
          <w:szCs w:val="24"/>
        </w:rPr>
        <w:t>CHAPTER 2</w:t>
      </w:r>
      <w:bookmarkStart w:id="8" w:name="_Toc24278"/>
      <w:r>
        <w:rPr>
          <w:rFonts w:ascii="Times New Roman" w:hAnsi="Times New Roman" w:cs="Times New Roman"/>
          <w:b/>
          <w:bCs/>
          <w:color w:val="auto"/>
          <w:sz w:val="24"/>
          <w:szCs w:val="24"/>
        </w:rPr>
        <w:t>: LITERATURE REVIEW</w:t>
      </w:r>
      <w:bookmarkEnd w:id="5"/>
      <w:bookmarkEnd w:id="6"/>
      <w:bookmarkEnd w:id="7"/>
      <w:bookmarkEnd w:id="8"/>
    </w:p>
    <w:p>
      <w:pPr>
        <w:pStyle w:val="3"/>
        <w:spacing w:line="360" w:lineRule="auto"/>
        <w:rPr>
          <w:sz w:val="24"/>
          <w:szCs w:val="24"/>
        </w:rPr>
      </w:pPr>
      <w:bookmarkStart w:id="9" w:name="_Toc11116"/>
      <w:bookmarkStart w:id="10" w:name="_Toc5191"/>
      <w:bookmarkStart w:id="11" w:name="_Toc154735197"/>
      <w:r>
        <w:rPr>
          <w:rFonts w:eastAsia="宋体"/>
          <w:sz w:val="24"/>
          <w:szCs w:val="24"/>
        </w:rPr>
        <w:t xml:space="preserve">2.1 </w:t>
      </w:r>
      <w:r>
        <w:rPr>
          <w:sz w:val="24"/>
          <w:szCs w:val="24"/>
        </w:rPr>
        <w:t>Introduction</w:t>
      </w:r>
      <w:bookmarkEnd w:id="9"/>
      <w:bookmarkEnd w:id="10"/>
      <w:bookmarkEnd w:id="11"/>
      <w:r>
        <w:rPr>
          <w:sz w:val="24"/>
          <w:szCs w:val="24"/>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the realm of English language education within Chinese universities, the significance of student engagement cannot be </w:t>
      </w:r>
      <w:r>
        <w:rPr>
          <w:rFonts w:ascii="Times New Roman" w:hAnsi="Times New Roman" w:eastAsia="宋体" w:cs="Times New Roman"/>
          <w:sz w:val="24"/>
          <w:szCs w:val="24"/>
          <w:lang w:eastAsia="zh-CN"/>
        </w:rPr>
        <w:t>ignored</w:t>
      </w:r>
      <w:r>
        <w:rPr>
          <w:rFonts w:ascii="Times New Roman" w:hAnsi="Times New Roman" w:cs="Times New Roman"/>
          <w:sz w:val="24"/>
          <w:szCs w:val="24"/>
        </w:rPr>
        <w:t xml:space="preserve"> as it profoundly influences the overall quality of instruction. As this field continues to evolve, a crucial aspect lies in exploring the wealth of existing literature to glean profound insights into the intricate dynamics of student engagement. This comprehensive </w:t>
      </w:r>
      <w:r>
        <w:rPr>
          <w:rFonts w:hint="eastAsia" w:ascii="Times New Roman" w:hAnsi="Times New Roman" w:eastAsia="宋体" w:cs="Times New Roman"/>
          <w:sz w:val="24"/>
          <w:szCs w:val="24"/>
          <w:lang w:val="en-US" w:eastAsia="zh-CN"/>
        </w:rPr>
        <w:t xml:space="preserve">literature </w:t>
      </w:r>
      <w:r>
        <w:rPr>
          <w:rFonts w:ascii="Times New Roman" w:hAnsi="Times New Roman" w:cs="Times New Roman"/>
          <w:sz w:val="24"/>
          <w:szCs w:val="24"/>
        </w:rPr>
        <w:t xml:space="preserve">review </w:t>
      </w:r>
      <w:r>
        <w:rPr>
          <w:rFonts w:hint="eastAsia" w:ascii="Times New Roman" w:hAnsi="Times New Roman" w:eastAsia="宋体" w:cs="Times New Roman"/>
          <w:sz w:val="24"/>
          <w:szCs w:val="24"/>
          <w:lang w:val="en-US" w:eastAsia="zh-CN"/>
        </w:rPr>
        <w:t xml:space="preserve">section </w:t>
      </w:r>
      <w:r>
        <w:rPr>
          <w:rFonts w:ascii="Times New Roman" w:hAnsi="Times New Roman" w:cs="Times New Roman"/>
          <w:sz w:val="24"/>
          <w:szCs w:val="24"/>
        </w:rPr>
        <w:t xml:space="preserve">endeavors to actively contribute to the ongoing discourse by shedding light on the multifaceted dimensions of student engagement, particularly within the specific context of an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xml:space="preserve"> class in a Chinese university.</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centrality of student engagement in this educational setting underscores its pivotal role in shaping the efficacy of teaching and learning processes. It catalyzes fostering a vibrant and participatory learning environment, where students are not merely passive recipients of information but actively involved in the learning process (</w:t>
      </w:r>
      <w:r>
        <w:rPr>
          <w:rFonts w:ascii="Times New Roman" w:hAnsi="Times New Roman" w:cs="Times New Roman"/>
          <w:color w:val="222222"/>
          <w:sz w:val="24"/>
          <w:szCs w:val="24"/>
          <w:shd w:val="clear" w:color="auto" w:fill="FFFFFF"/>
        </w:rPr>
        <w:t>Ma and Wei, 2022)</w:t>
      </w:r>
      <w:r>
        <w:rPr>
          <w:rFonts w:ascii="Times New Roman" w:hAnsi="Times New Roman" w:cs="Times New Roman"/>
          <w:sz w:val="24"/>
          <w:szCs w:val="24"/>
        </w:rPr>
        <w:t>. Understanding and interpreting the various facets of student engagement is instrumental in crafting pedagogical strategies that resonate with the diverse needs and learning styles of students in the Chinese university context.</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To achieve a comprehensive understanding, this review delves into the experiences and perspectives of students themselves, providing valuable insights into their levels of involvement, motivation, and interaction within the English language classroom. By examining the complexities of student engagement, the aim is to unravel the underlying factors that contribute to a more enriching and effective learning experience (</w:t>
      </w:r>
      <w:r>
        <w:rPr>
          <w:rFonts w:ascii="Times New Roman" w:hAnsi="Times New Roman" w:cs="Times New Roman"/>
          <w:color w:val="222222"/>
          <w:sz w:val="24"/>
          <w:szCs w:val="24"/>
          <w:shd w:val="clear" w:color="auto" w:fill="FFFFFF"/>
        </w:rPr>
        <w:t>Yang and Hu, 2023)</w:t>
      </w:r>
      <w:r>
        <w:rPr>
          <w:rFonts w:ascii="Times New Roman" w:hAnsi="Times New Roman" w:cs="Times New Roman"/>
          <w:sz w:val="24"/>
          <w:szCs w:val="24"/>
        </w:rPr>
        <w:t xml:space="preserve">. This endeavor aligns with the broader goal of advancing the field of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xml:space="preserve"> in Chinese universities by fostering a reflective and research-informed approach to pedagogy. Ultimately, the synthesis of these insights aims to contribute to the continual enhancement of educational practices, ensuring that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xml:space="preserve"> in Chinese universities remains dynamic, engaging, and responsive to the evolving needs of students.</w:t>
      </w: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pStyle w:val="3"/>
        <w:spacing w:line="360" w:lineRule="auto"/>
        <w:rPr>
          <w:sz w:val="24"/>
          <w:szCs w:val="24"/>
        </w:rPr>
      </w:pPr>
      <w:bookmarkStart w:id="12" w:name="_Toc21110"/>
      <w:bookmarkStart w:id="13" w:name="_Toc154735198"/>
      <w:bookmarkStart w:id="14" w:name="_Toc13924"/>
      <w:r>
        <w:rPr>
          <w:rFonts w:eastAsia="宋体"/>
          <w:sz w:val="24"/>
          <w:szCs w:val="24"/>
        </w:rPr>
        <w:t xml:space="preserve">2.2 </w:t>
      </w:r>
      <w:r>
        <w:rPr>
          <w:sz w:val="24"/>
          <w:szCs w:val="24"/>
        </w:rPr>
        <w:t>Student Engagement</w:t>
      </w:r>
      <w:bookmarkEnd w:id="12"/>
      <w:bookmarkEnd w:id="13"/>
      <w:bookmarkEnd w:id="14"/>
      <w:r>
        <w:rPr>
          <w:sz w:val="24"/>
          <w:szCs w:val="24"/>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To establish a foundation, it was crucial to define and explore the dimensions of student engagement. Drawing from the work of Fredricks, Blumenfeld, and Paris in 2004, they dissected the multifaceted nature of student engagement an</w:t>
      </w:r>
      <w:bookmarkStart w:id="133" w:name="_GoBack"/>
      <w:bookmarkEnd w:id="133"/>
      <w:r>
        <w:rPr>
          <w:rFonts w:ascii="Times New Roman" w:hAnsi="Times New Roman" w:cs="Times New Roman"/>
          <w:sz w:val="24"/>
          <w:szCs w:val="24"/>
        </w:rPr>
        <w:t>d highlighted its significance in enhancing learning outcomes. By understanding the various dimensions, they began to unravel the complexities that underlie effective engagement strategies. The pursuit of effective education has long been accompanied by the quest to comprehend and improve student engagement. In the early 21st century, scholars like Fredricks, Blumenfeld, and Paris (2004) delved into the intricate layers of this phenomenon. Their work, now considered foundational, became a compass for educators seeking to navigate the challenging waters of student involvement in the learning process.</w:t>
      </w:r>
    </w:p>
    <w:p>
      <w:pPr>
        <w:spacing w:line="36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sz w:val="24"/>
          <w:szCs w:val="24"/>
        </w:rPr>
        <w:t>In their exploration, they identified and analyzed various dimensions of student engagement recognizing that it was not a monolithic concept but a multifaceted one. The dimensions outlined in their research served as a roadmap, guiding educators and researchers toward a comprehensive understanding of the factors influencing student engagement (Lam et al.</w:t>
      </w:r>
      <w:r>
        <w:rPr>
          <w:rFonts w:hint="eastAsia" w:ascii="Times New Roman" w:hAnsi="Times New Roman" w:eastAsia="宋体" w:cs="Times New Roman"/>
          <w:sz w:val="24"/>
          <w:szCs w:val="24"/>
          <w:lang w:val="en-US" w:eastAsia="zh-CN"/>
        </w:rPr>
        <w:t>, 2014</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One of the dimensions they uncovered was behavioral engagement. This encompassed the observable actions and participation of students in the learning environment. Active involvement in class discussions, completion of assignments, and attendance were among the behavioral indicators that contributed to a student's overall engagement. As researchers examined these behavioral aspects, patterns emerged, providing insights into effective strategies to promote and sustain engagement.</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Another dimension scrutinized was emotional engagement. This delved into the affective domain of learning, exploring the emotional connection students had with the subject matter and the learning process. Positive emotions, such as enthusiasm and curiosity, were seen as drivers of engagement, while negative emotions, like boredom or frustration, were considered barriers. Understanding the emotional dimension allowed educators to tailor their approaches to create a positive and conducive learning environment (Li et al., 2021). Cognitive engagement, the third dimension under examination, focused on the intellectual aspects of student involvement. This dimension explored how students invested their mental efforts in understanding and mastering the content. Critical thinking, problem-solving, and deep processing of information were indicative of high cognitive engagement. By unraveling the cognitive dimension, educators gained valuable insights into the thought processes and learning strategies that fostered meaningful engagement.</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As researchers and educators delved into these dimensions, they recognized the interconnectedness and interdependence among them. A student deeply engaged behaviorally was likely to exhibit emotional and cognitive engagement as well. This holistic understanding prompted educators to adopt integrated approaches that addressed multiple dimensions simultaneously, recognizing that a comprehensive strategy was more likely to yield sustainable results (</w:t>
      </w:r>
      <w:r>
        <w:rPr>
          <w:rFonts w:ascii="Times New Roman" w:hAnsi="Times New Roman" w:cs="Times New Roman"/>
          <w:color w:val="222222"/>
          <w:sz w:val="24"/>
          <w:szCs w:val="24"/>
          <w:shd w:val="clear" w:color="auto" w:fill="FFFFFF"/>
        </w:rPr>
        <w:t>Han, 2019)</w:t>
      </w:r>
      <w:r>
        <w:rPr>
          <w:rFonts w:ascii="Times New Roman" w:hAnsi="Times New Roman" w:cs="Times New Roman"/>
          <w:sz w:val="24"/>
          <w:szCs w:val="24"/>
        </w:rPr>
        <w:t>. The significance of student engagement in enhancing learning outcomes became increasingly apparent. Educators realized that engaged students were not only active participants in the learning process but also demonstrated improved academic performance. The positive correlation between student engagement and achievement reinforced the importance of investing time and effort in developing effective engagement strategies.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To enhance student engagement, educators began implementing diverse and innovative approaches. Technology, for instance, became a powerful tool to create interactive and dynamic learning experiences. Virtual simulations, online discussions, and multimedia presentations emerged as strategies to capture and maintain student interest. The integration of technology not only aligned with the preferences of the digital-native generation but also offered opportunities for personalized and adaptive learning experiences (Su et al.,</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2023). In addition to technology, educators explored pedagogical approaches that fostered active and collaborative learning. Group projects, peer discussions, and problem-solving activities became staples in classrooms aiming to promote both behavioral and cognitive engagement. The shift from traditional lecture-based instruction to more participatory models reflected the acknowledgment that engagement was a dynamic and evolving process.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Beyond the classroom, extracurricular activities and community involvement were recognized as avenues to enhance student engagement. Sports, arts, and community service provided platforms for students to apply and extend their learning beyond the academic setting. The integration of real-world applications not only heightened engagement but also instilled a sense of purpose and relevance in the educational journey (</w:t>
      </w:r>
      <w:r>
        <w:rPr>
          <w:rFonts w:ascii="Times New Roman" w:hAnsi="Times New Roman" w:cs="Times New Roman"/>
          <w:color w:val="222222"/>
          <w:sz w:val="24"/>
          <w:szCs w:val="24"/>
          <w:shd w:val="clear" w:color="auto" w:fill="FFFFFF"/>
        </w:rPr>
        <w:t>Kaiying et al., 2022)</w:t>
      </w:r>
      <w:r>
        <w:rPr>
          <w:rFonts w:ascii="Times New Roman" w:hAnsi="Times New Roman" w:cs="Times New Roman"/>
          <w:sz w:val="24"/>
          <w:szCs w:val="24"/>
        </w:rPr>
        <w:t>. While the exploration of student engagement dimensions and strategies advanced, challenges persisted. Educators faced the ongoing task of adapting their approaches to evolving student needs and preferences. The digital landscape, for example, continued to shape the dynamics of engagement, requiring educators to stay attuned to emerging technologies and their impact on the learning experience.</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Moreover, the diversity of student backgrounds and learning styles posed a continuous challenge. What engaged one student might not necessarily resonate with another. Differentiated instruction and a personalized approach became key principles in addressing this diversity, acknowledging that a one-size-fits-all strategy was insufficient in fostering universal engagement (</w:t>
      </w:r>
      <w:r>
        <w:rPr>
          <w:rFonts w:ascii="Times New Roman" w:hAnsi="Times New Roman" w:cs="Times New Roman"/>
          <w:color w:val="222222"/>
          <w:sz w:val="24"/>
          <w:szCs w:val="24"/>
          <w:shd w:val="clear" w:color="auto" w:fill="FFFFFF"/>
        </w:rPr>
        <w:t>Teng and Wang, 2023)</w:t>
      </w:r>
      <w:r>
        <w:rPr>
          <w:rFonts w:ascii="Times New Roman" w:hAnsi="Times New Roman" w:cs="Times New Roman"/>
          <w:sz w:val="24"/>
          <w:szCs w:val="24"/>
        </w:rPr>
        <w:t>. The research and discourse on student engagement extended beyond the confines of academia. Policymakers recognized the role of engagement in shaping the future workforce and citizenry. The development of skills such as critical thinking, communication, and collaboration, embedded in engaged learning experiences, gained prominence in educational policy discussions (</w:t>
      </w:r>
      <w:r>
        <w:rPr>
          <w:rFonts w:ascii="Times New Roman" w:hAnsi="Times New Roman" w:cs="Times New Roman"/>
          <w:color w:val="222222"/>
          <w:sz w:val="24"/>
          <w:szCs w:val="24"/>
          <w:shd w:val="clear" w:color="auto" w:fill="FFFFFF"/>
        </w:rPr>
        <w:t>Pan et al., 2023)</w:t>
      </w:r>
      <w:r>
        <w:rPr>
          <w:rFonts w:ascii="Times New Roman" w:hAnsi="Times New Roman" w:cs="Times New Roman"/>
          <w:sz w:val="24"/>
          <w:szCs w:val="24"/>
        </w:rPr>
        <w:t>. The alignment between engaged learning and the skills demanded by a rapidly changing world reinforced the societal importance of nurturing student engagement.</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In retrospect, the exploration of student engagement dimensions and strategies in the early 21st century laid the groundwork for a transformative shift in education. The understanding that engagement was not a passive state but an active and dynamic process guided educators toward more intentional and student-centered practices. The legacy of this exploration endures, influencing contemporary educational practices and inspiring a continued commitment to unraveling the complexities of student engagement.</w:t>
      </w:r>
    </w:p>
    <w:p>
      <w:pPr>
        <w:pStyle w:val="3"/>
        <w:spacing w:line="360" w:lineRule="auto"/>
        <w:rPr>
          <w:sz w:val="24"/>
          <w:szCs w:val="24"/>
        </w:rPr>
      </w:pPr>
      <w:bookmarkStart w:id="15" w:name="_Toc2308"/>
      <w:bookmarkStart w:id="16" w:name="_Toc9895"/>
      <w:bookmarkStart w:id="17" w:name="_Toc154735199"/>
      <w:r>
        <w:rPr>
          <w:rFonts w:eastAsia="宋体"/>
          <w:sz w:val="24"/>
          <w:szCs w:val="24"/>
        </w:rPr>
        <w:t xml:space="preserve">2.3 </w:t>
      </w:r>
      <w:r>
        <w:rPr>
          <w:sz w:val="24"/>
          <w:szCs w:val="24"/>
        </w:rPr>
        <w:t>Factors Influencing Student Engagement</w:t>
      </w:r>
      <w:bookmarkEnd w:id="15"/>
      <w:bookmarkEnd w:id="16"/>
      <w:bookmarkEnd w:id="17"/>
      <w:r>
        <w:rPr>
          <w:sz w:val="24"/>
          <w:szCs w:val="24"/>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An extensive exploration of the diverse elements that affected student engagement in Chinese university settings was deemed crucial. The intricate interplay shaping students' attitudes towards their learning environment was analyzed by classifying these factors into individual, contextual, and institutional dimensions. This section illuminated the impact of cultural, academic, and institutional factors on student engagement, unraveling their contributions to the overall academic experience (</w:t>
      </w:r>
      <w:r>
        <w:rPr>
          <w:rFonts w:ascii="Times New Roman" w:hAnsi="Times New Roman" w:cs="Times New Roman"/>
          <w:color w:val="222222"/>
          <w:sz w:val="24"/>
          <w:szCs w:val="24"/>
          <w:shd w:val="clear" w:color="auto" w:fill="FFFFFF"/>
        </w:rPr>
        <w:t>Kettle, 2017)</w:t>
      </w:r>
      <w:r>
        <w:rPr>
          <w:rFonts w:ascii="Times New Roman" w:hAnsi="Times New Roman" w:cs="Times New Roman"/>
          <w:sz w:val="24"/>
          <w:szCs w:val="24"/>
        </w:rPr>
        <w:t>. Individual factors played a pivotal role in shaping student engagement. Personal motivations, learning preferences, and prior experiences varied widely among students, influencing their approach to academic pursuits. The exploration of how these individual differences manifested in the classroom provided valuable insights into the diverse dynamics at play.</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Contextual factors, encompassing the socio-cultural milieu in which students were embedded, added another layer of complexity. Cultural norms, societal expectations, and familial influences played a significant role in shaping students' perceptions of education. Understanding the nuanced ways in which these contextual factors interacted with individual characteristics deepened the comprehension of student engagement dynamics (</w:t>
      </w:r>
      <w:r>
        <w:rPr>
          <w:rFonts w:ascii="Times New Roman" w:hAnsi="Times New Roman" w:cs="Times New Roman"/>
          <w:color w:val="222222"/>
          <w:sz w:val="24"/>
          <w:szCs w:val="24"/>
          <w:shd w:val="clear" w:color="auto" w:fill="FFFFFF"/>
        </w:rPr>
        <w:t>Yanbo et al., 2023)</w:t>
      </w:r>
      <w:r>
        <w:rPr>
          <w:rFonts w:ascii="Times New Roman" w:hAnsi="Times New Roman" w:cs="Times New Roman"/>
          <w:sz w:val="24"/>
          <w:szCs w:val="24"/>
        </w:rPr>
        <w:t>. Institutional dimensions formed the third pillar of analysis. University policies, teaching methods, and the overall academic environment set the stage for student engagement. The examination of institutional factors shed light on how the structural aspects of the educational system impacted students' active participation and commitment to their studies.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Cultural factors emerged as a central theme in understanding student engagement. The rich tapestry of Chinese culture, with its emphasis on collectivism, respect for authority, and the importance of education, heavily influenced students' attitudes. The traditional value placed on academic success as a means of societal advancement added a layer of complexity to the cultural landscape (</w:t>
      </w:r>
      <w:r>
        <w:rPr>
          <w:rFonts w:ascii="Times New Roman" w:hAnsi="Times New Roman" w:cs="Times New Roman"/>
          <w:color w:val="222222"/>
          <w:sz w:val="24"/>
          <w:szCs w:val="24"/>
          <w:shd w:val="clear" w:color="auto" w:fill="FFFFFF"/>
        </w:rPr>
        <w:t>Dewaele and Li, 2021)</w:t>
      </w:r>
      <w:r>
        <w:rPr>
          <w:rFonts w:ascii="Times New Roman" w:hAnsi="Times New Roman" w:cs="Times New Roman"/>
          <w:sz w:val="24"/>
          <w:szCs w:val="24"/>
        </w:rPr>
        <w:t>. Academic factors, such as curriculum design, teaching methods, and assessment strategies, also played a crucial role. The compatibility of these academic elements with students' learning styles and preferences influenced their level of engagement. The exploration of how pedagogical practices aligned with cultural expectations provided valuable insights into the interconnected nature of cultural and academic factors.</w:t>
      </w:r>
    </w:p>
    <w:p>
      <w:pPr>
        <w:spacing w:line="36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sz w:val="24"/>
          <w:szCs w:val="24"/>
        </w:rPr>
        <w:t>Institutional factors, including university policies, support services, and campus culture, formed the broader context within which student engagement unfolded. The examination of how institutional structures either facilitated or hindered student engagement highlighted the systemic influences at play (</w:t>
      </w:r>
      <w:r>
        <w:rPr>
          <w:rFonts w:ascii="Times New Roman" w:hAnsi="Times New Roman" w:cs="Times New Roman"/>
          <w:color w:val="222222"/>
          <w:sz w:val="24"/>
          <w:szCs w:val="24"/>
          <w:shd w:val="clear" w:color="auto" w:fill="FFFFFF"/>
        </w:rPr>
        <w:t>Fan and Xu, 2020)</w:t>
      </w:r>
      <w:r>
        <w:rPr>
          <w:rFonts w:ascii="Times New Roman" w:hAnsi="Times New Roman" w:cs="Times New Roman"/>
          <w:sz w:val="24"/>
          <w:szCs w:val="24"/>
        </w:rPr>
        <w:t>. The availability of resources, the quality of academic advising, and the overall institutional support significantly impacted students' experiences. The complex interplay of these factors became evident in specific instances within Chinese university settings. For instance, the traditional emphasis on rote memorization and examination-driven education, deeply rooted in Chinese culture, sometimes clashed with students' desire for a more interactive and participatory learning experience (</w:t>
      </w:r>
      <w:r>
        <w:rPr>
          <w:rFonts w:ascii="Times New Roman" w:hAnsi="Times New Roman" w:cs="Times New Roman"/>
          <w:color w:val="222222"/>
          <w:sz w:val="24"/>
          <w:szCs w:val="24"/>
          <w:shd w:val="clear" w:color="auto" w:fill="FFFFFF"/>
        </w:rPr>
        <w:t xml:space="preserve">Bao et al., 2021). </w:t>
      </w:r>
      <w:r>
        <w:rPr>
          <w:rFonts w:ascii="Times New Roman" w:hAnsi="Times New Roman" w:cs="Times New Roman"/>
          <w:sz w:val="24"/>
          <w:szCs w:val="24"/>
        </w:rPr>
        <w:t>The mismatch between cultural expectations and pedagogical practices underscored the need for a nuanced understanding of the factors influencing student engagement.</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Moreover, the role of family expectations and societal pressure in shaping students' educational choices and commitment to academic pursuits was a recurring theme. The influence of family background, often intertwined with cultural expectations, added another layer of complexity to the individual and contextual dimensions of student engagement (</w:t>
      </w:r>
      <w:r>
        <w:rPr>
          <w:rFonts w:ascii="Times New Roman" w:hAnsi="Times New Roman" w:cs="Times New Roman"/>
          <w:color w:val="222222"/>
          <w:sz w:val="24"/>
          <w:szCs w:val="24"/>
          <w:shd w:val="clear" w:color="auto" w:fill="FFFFFF"/>
        </w:rPr>
        <w:t>Jiang et al., 2021)</w:t>
      </w:r>
      <w:r>
        <w:rPr>
          <w:rFonts w:ascii="Times New Roman" w:hAnsi="Times New Roman" w:cs="Times New Roman"/>
          <w:sz w:val="24"/>
          <w:szCs w:val="24"/>
        </w:rPr>
        <w:t>. The institutional landscape further shaped these dynamics. Universities that actively promoted a student-centric approach, providing ample support services, fostering a positive campus culture, and adapting teaching methods to align with diverse learning styles, tended to witness higher levels of student engagement (</w:t>
      </w:r>
      <w:r>
        <w:rPr>
          <w:rFonts w:ascii="Times New Roman" w:hAnsi="Times New Roman" w:cs="Times New Roman"/>
          <w:color w:val="222222"/>
          <w:sz w:val="24"/>
          <w:szCs w:val="24"/>
          <w:shd w:val="clear" w:color="auto" w:fill="FFFFFF"/>
        </w:rPr>
        <w:t>Han and Fan, 2020)</w:t>
      </w:r>
      <w:r>
        <w:rPr>
          <w:rFonts w:ascii="Times New Roman" w:hAnsi="Times New Roman" w:cs="Times New Roman"/>
          <w:sz w:val="24"/>
          <w:szCs w:val="24"/>
        </w:rPr>
        <w:t>. Conversely, institutions with rigid structures, limited support, and traditional teaching methodologies faced challenges in fostering a vibrant and engaged student community.</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As the analysis delved deeper into the myriad factors influencing student engagement, it became evident that a holistic approach was essential. The interconnectedness of individual, contextual, and institutional dimensions underscored the need for comprehensive strategies to enhance student engagement in Chinese university settings (</w:t>
      </w:r>
      <w:r>
        <w:rPr>
          <w:rFonts w:ascii="Times New Roman" w:hAnsi="Times New Roman" w:cs="Times New Roman"/>
          <w:color w:val="222222"/>
          <w:sz w:val="24"/>
          <w:szCs w:val="24"/>
          <w:shd w:val="clear" w:color="auto" w:fill="FFFFFF"/>
        </w:rPr>
        <w:t>Hiver et al., 2020)</w:t>
      </w:r>
      <w:r>
        <w:rPr>
          <w:rFonts w:ascii="Times New Roman" w:hAnsi="Times New Roman" w:cs="Times New Roman"/>
          <w:sz w:val="24"/>
          <w:szCs w:val="24"/>
        </w:rPr>
        <w:t>.</w:t>
      </w:r>
      <w:r>
        <w:rPr>
          <w:rFonts w:hint="eastAsia" w:ascii="Times New Roman" w:hAnsi="Times New Roman" w:eastAsia="宋体" w:cs="Times New Roman"/>
          <w:sz w:val="24"/>
          <w:szCs w:val="24"/>
          <w:lang w:val="en-US" w:eastAsia="zh-CN"/>
        </w:rPr>
        <w:t xml:space="preserve"> The </w:t>
      </w:r>
      <w:r>
        <w:rPr>
          <w:rFonts w:ascii="Times New Roman" w:hAnsi="Times New Roman" w:cs="Times New Roman"/>
          <w:sz w:val="24"/>
          <w:szCs w:val="24"/>
        </w:rPr>
        <w:t xml:space="preserve">Recommendations for improving student engagement in Chinese universities emerged from the nuanced understanding of these factors.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Firstly, there was a need for culturally responsive pedagogies that acknowledged and integrated cultural values into the teaching and learning process (</w:t>
      </w:r>
      <w:r>
        <w:rPr>
          <w:rFonts w:ascii="Times New Roman" w:hAnsi="Times New Roman" w:cs="Times New Roman"/>
          <w:color w:val="222222"/>
          <w:sz w:val="24"/>
          <w:szCs w:val="24"/>
          <w:shd w:val="clear" w:color="auto" w:fill="FFFFFF"/>
        </w:rPr>
        <w:t>Lambert and Zhang, 2019)</w:t>
      </w:r>
      <w:r>
        <w:rPr>
          <w:rFonts w:ascii="Times New Roman" w:hAnsi="Times New Roman" w:cs="Times New Roman"/>
          <w:sz w:val="24"/>
          <w:szCs w:val="24"/>
        </w:rPr>
        <w:t>. This involved moving beyond a one-size-fits-all approach and recognizing the diversity of student backgrounds and learning preferences.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Secondly, institutional reforms were essential to create an environment conducive to student engagement. This included investing in support services, promoting a positive campus culture, and reevaluating traditional teaching methods to align with modern educational expectations. Universities that actively embraced these reforms were more likely to cultivate a dynamic and engaged student body (</w:t>
      </w:r>
      <w:r>
        <w:rPr>
          <w:rFonts w:ascii="Times New Roman" w:hAnsi="Times New Roman" w:cs="Times New Roman"/>
          <w:color w:val="222222"/>
          <w:sz w:val="24"/>
          <w:szCs w:val="24"/>
          <w:shd w:val="clear" w:color="auto" w:fill="FFFFFF"/>
        </w:rPr>
        <w:t>Heng, 2023)</w:t>
      </w:r>
      <w:r>
        <w:rPr>
          <w:rFonts w:ascii="Times New Roman" w:hAnsi="Times New Roman" w:cs="Times New Roman"/>
          <w:sz w:val="24"/>
          <w:szCs w:val="24"/>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Thirdly, fostering open communication channels between students, faculty, and administrators was crucial. Understanding students' perspectives, addressing their concerns, and involving them in decision-making processes contributed to a sense of ownership and belonging. This collaborative approach enhanced the overall student experience and positively influenced their level of engagement.</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In conclusion, the exploration of factors influencing student engagement in Chinese university settings revealed a complex interplay of individual, contextual, and institutional dimensions. Cultural, academic, and institutional factors collectively shaped students' attitudes towards their learning environment, influencing their overall academic experience. A nuanced understanding of these factors provided valuable insights for developing strategies to enhance student engagement and create a more vibrant and effective educational landscape in Chinese universities.</w:t>
      </w:r>
    </w:p>
    <w:p>
      <w:pPr>
        <w:pStyle w:val="3"/>
        <w:spacing w:line="360" w:lineRule="auto"/>
        <w:rPr>
          <w:sz w:val="24"/>
          <w:szCs w:val="24"/>
        </w:rPr>
      </w:pPr>
      <w:bookmarkStart w:id="18" w:name="_Toc154735200"/>
      <w:bookmarkStart w:id="19" w:name="_Toc13449"/>
      <w:r>
        <w:rPr>
          <w:sz w:val="24"/>
          <w:szCs w:val="24"/>
        </w:rPr>
        <w:t>2.4 What are the students themselves thinking of Teaching Methods and Student Engagement</w:t>
      </w:r>
      <w:bookmarkEnd w:id="18"/>
      <w:bookmarkEnd w:id="19"/>
      <w:r>
        <w:rPr>
          <w:sz w:val="24"/>
          <w:szCs w:val="24"/>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In the retrospective gaze cast upon the students, this section embarked on an exploration of their attitudes towards the teaching methods deployed by their lecturers. By immersing itself in the perspectives of the students, it sought to extract valuable insights into the perception of teaching methods and their profound influence on the levels of engagement exhibited. Furthermore, the examination of diverse teaching approaches, as delineated by Johnson and Onwuegbuzie (2004), furnished a nuanced understanding of the intricate impact these methods wielded on student participation.</w:t>
      </w:r>
    </w:p>
    <w:p>
      <w:pPr>
        <w:spacing w:line="360" w:lineRule="auto"/>
        <w:ind w:firstLine="720"/>
        <w:rPr>
          <w:rFonts w:hint="eastAsia" w:ascii="Times New Roman" w:hAnsi="Times New Roman" w:eastAsia="宋体" w:cs="Times New Roman"/>
          <w:sz w:val="24"/>
          <w:szCs w:val="24"/>
          <w:lang w:val="en-US" w:eastAsia="zh-CN"/>
        </w:rPr>
      </w:pPr>
      <w:r>
        <w:rPr>
          <w:rFonts w:ascii="Times New Roman" w:hAnsi="Times New Roman" w:cs="Times New Roman"/>
          <w:sz w:val="24"/>
          <w:szCs w:val="24"/>
        </w:rPr>
        <w:t>As the academic landscape unfolded in the past, the spotlight shifted towards the learners, shedding light on the intricate dynamics between pedagogy and reception. The students, as the focal point, found themselves under the scrutiny of the researcher's lens, providing a rich tapestry of experiences and perceptions that defined their educational journey. In traversing the terrain of student perspectives, the research sought to unravel the layers of attitudes that cloaked the learners' consciousness (</w:t>
      </w:r>
      <w:r>
        <w:rPr>
          <w:rFonts w:ascii="Times New Roman" w:hAnsi="Times New Roman" w:cs="Times New Roman"/>
          <w:color w:val="222222"/>
          <w:sz w:val="24"/>
          <w:szCs w:val="24"/>
          <w:shd w:val="clear" w:color="auto" w:fill="FFFFFF"/>
        </w:rPr>
        <w:t>Guo et al., 2023)</w:t>
      </w:r>
      <w:r>
        <w:rPr>
          <w:rFonts w:ascii="Times New Roman" w:hAnsi="Times New Roman" w:cs="Times New Roman"/>
          <w:sz w:val="24"/>
          <w:szCs w:val="24"/>
        </w:rPr>
        <w:t>. The retrospective analysis delved into the intricacies of how various teaching methods were not mere conduits of information but were architects shaping the very fabric of the student's educational encounters.</w:t>
      </w:r>
      <w:r>
        <w:rPr>
          <w:rFonts w:hint="eastAsia" w:ascii="Times New Roman" w:hAnsi="Times New Roman" w:eastAsia="宋体" w:cs="Times New Roman"/>
          <w:sz w:val="24"/>
          <w:szCs w:val="24"/>
          <w:lang w:val="en-US" w:eastAsia="zh-CN"/>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A pivotal aspect of this exploration lay in the comprehension of how teaching methods were perceived by the students and the subsequent influence wielded on their levels of engagement. The past, with its array of educational scenarios, unveiled a mosaic of reactions ranging from enthusiastic embrace to cautious reservation (</w:t>
      </w:r>
      <w:r>
        <w:rPr>
          <w:rFonts w:ascii="Times New Roman" w:hAnsi="Times New Roman" w:cs="Times New Roman"/>
          <w:color w:val="222222"/>
          <w:sz w:val="24"/>
          <w:szCs w:val="24"/>
          <w:shd w:val="clear" w:color="auto" w:fill="FFFFFF"/>
        </w:rPr>
        <w:t>Aubrey et al., 2022)</w:t>
      </w:r>
      <w:r>
        <w:rPr>
          <w:rFonts w:ascii="Times New Roman" w:hAnsi="Times New Roman" w:cs="Times New Roman"/>
          <w:sz w:val="24"/>
          <w:szCs w:val="24"/>
        </w:rPr>
        <w:t>. Students, as active participants in the learning process, were not passive recipients but contributors to the ongoing dialogue between educators and education.</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retrospective lens also focused on the scholarly insights provided by Johnson and Onwuegbuzie in 2004, which served as a guiding compass in navigating the myriad teaching approaches. These approaches, carefully dissected and analyzed, painted a canvas of pedagogical diversity that underscored the multifaceted nature of education. From traditional methodologies to innovative strategies, the spectrum of teaching methods became an evolving narrative in the annals of academic history (</w:t>
      </w:r>
      <w:r>
        <w:rPr>
          <w:rFonts w:ascii="Times New Roman" w:hAnsi="Times New Roman" w:cs="Times New Roman"/>
          <w:color w:val="222222"/>
          <w:sz w:val="24"/>
          <w:szCs w:val="24"/>
          <w:shd w:val="clear" w:color="auto" w:fill="FFFFFF"/>
        </w:rPr>
        <w:t>Heng, 2023)</w:t>
      </w:r>
      <w:r>
        <w:rPr>
          <w:rFonts w:ascii="Times New Roman" w:hAnsi="Times New Roman" w:cs="Times New Roman"/>
          <w:sz w:val="24"/>
          <w:szCs w:val="24"/>
        </w:rPr>
        <w:t>. The nuanced understanding derived from Johnson and Onwuegbuzie's framework allowed for a comprehensive exploration of the impact these methods had on student participation. It became evident that the choice of teaching approach was not a trivial decision but a sculptor's chisel, carving out the contours of engagement within the student body.</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In the past, as educational landscapes transformed, the resonance of teaching methods echoed through the corridors of academia. The echoes were not merely the reverberations of lectures but the collective heartbeat of an educational ecosystem where students and educators coexisted. The retrospective lens captured these echoes, transforming them into narratives that spoke of collaboration, challenges, and triumphs within the realm of learning (Yu et al., 2023). The retrospective exploration uncovered a spectrum of attitudes towards teaching methods. Some students, it revealed, thrived in environments where traditional lectures dominated, finding comfort in the structured delivery of information. Others, however, sought refuge in more interactive and participatory methodologies, where engagement was not a passive act but an immersive experience.</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impact of teaching methods on student engagement became a central theme in the historical narrative of education. The past bore witness to instances where certain methods ignited a spark, fostering a vibrant exchange of ideas, while others seemed to dampen the flames, resulting in disengagement and apathy. The pedagogical landscape, shaped by these experiences, became a mosaic reflecting the intricate dance between methods and outcomes (</w:t>
      </w:r>
      <w:r>
        <w:rPr>
          <w:rFonts w:ascii="Times New Roman" w:hAnsi="Times New Roman" w:cs="Times New Roman"/>
          <w:color w:val="222222"/>
          <w:sz w:val="24"/>
          <w:szCs w:val="24"/>
          <w:shd w:val="clear" w:color="auto" w:fill="FFFFFF"/>
        </w:rPr>
        <w:t>Shen and Chong, 2023)</w:t>
      </w:r>
      <w:r>
        <w:rPr>
          <w:rFonts w:ascii="Times New Roman" w:hAnsi="Times New Roman" w:cs="Times New Roman"/>
          <w:sz w:val="24"/>
          <w:szCs w:val="24"/>
        </w:rPr>
        <w:t>. Johnson and Onwuegbuzie's framework, when applied to the historical context, became a compass guiding educator through the uncharted waters of teaching methodologies. The retrospective analysis revealed that the impact of teaching methods extended beyond the classroom, permeating the very essence of the student's educational journey.</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As the past unfolded, it became evident that the narrative of education was not a linear progression but a dynamic interplay of evolving methodologies. The retrospective exploration traversed the traditional lecture halls, where the authoritative voice of the lecturer echoed, to the interactive workshops, where dialogue became the currency of learning. Each chapter in the educational saga bore the fingerprints of diverse teaching approaches, shaping the collective memory of generations of learners (Wang et al., 2023</w:t>
      </w:r>
      <w:r>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The retrospective lens, in its exploration, underscored the symbiotic relationship between teaching methods and student participation. It became apparent that the effectiveness of a method was not solely measured by the delivery of content but by its ability to elicit active engagement from the learners. The past, with its array of educational experiments, showcased instances where the alignment of teaching methods with student preferences yielded a harmonious symphony of learning.</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In conclusion, the retrospective exploration of students' attitudes towards teaching methods unveiled a rich tapestry of experiences, perceptions, and dynamics within the educational landscape. The past, with its diverse teaching approaches and scholarly frameworks, became a canvas upon which the intricate interplay between pedagogy and reception was painted. As the echoes of the past resonated, they carried with them the lessons that transcended time, shaping the future of education.</w:t>
      </w:r>
    </w:p>
    <w:p>
      <w:pPr>
        <w:pStyle w:val="3"/>
        <w:spacing w:line="360" w:lineRule="auto"/>
        <w:rPr>
          <w:sz w:val="24"/>
          <w:szCs w:val="24"/>
        </w:rPr>
      </w:pPr>
      <w:bookmarkStart w:id="20" w:name="_Toc17470"/>
      <w:bookmarkStart w:id="21" w:name="_Toc154735201"/>
      <w:bookmarkStart w:id="22" w:name="_Toc1904"/>
      <w:r>
        <w:rPr>
          <w:rFonts w:eastAsia="宋体"/>
          <w:sz w:val="24"/>
          <w:szCs w:val="24"/>
        </w:rPr>
        <w:t xml:space="preserve">2.4 </w:t>
      </w:r>
      <w:r>
        <w:rPr>
          <w:sz w:val="24"/>
          <w:szCs w:val="24"/>
        </w:rPr>
        <w:t>Conclusion</w:t>
      </w:r>
      <w:bookmarkEnd w:id="20"/>
      <w:bookmarkEnd w:id="21"/>
      <w:bookmarkEnd w:id="22"/>
      <w:r>
        <w:rPr>
          <w:sz w:val="24"/>
          <w:szCs w:val="24"/>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conclusion, the literature review synthesized key findings to provide a comprehensive understanding of student engagement in the context of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xml:space="preserve"> in Chinese universities. The groundwork for the research was laid by examining definitions, dimensions, and factors influencing engagement (</w:t>
      </w:r>
      <w:r>
        <w:rPr>
          <w:rFonts w:ascii="Times New Roman" w:hAnsi="Times New Roman" w:cs="Times New Roman"/>
          <w:color w:val="222222"/>
          <w:sz w:val="24"/>
          <w:szCs w:val="24"/>
          <w:shd w:val="clear" w:color="auto" w:fill="FFFFFF"/>
        </w:rPr>
        <w:t>Benlahcene et al., 2021)</w:t>
      </w:r>
      <w:r>
        <w:rPr>
          <w:rFonts w:ascii="Times New Roman" w:hAnsi="Times New Roman" w:cs="Times New Roman"/>
          <w:sz w:val="24"/>
          <w:szCs w:val="24"/>
        </w:rPr>
        <w:t xml:space="preserve">. Furthermore, the review identified gaps in the existing literature, paving the way for a contribution to the field. The research journey commenced to address these gaps and provide valuable insights that contributed to the ongoing dialogue surrounding student engagement in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xml:space="preserve"> in Chinese higher education. The comprehensive exploration of existing knowledge on the subject formed the basis for the subsequent research endeavors (</w:t>
      </w:r>
      <w:r>
        <w:rPr>
          <w:rFonts w:ascii="Times New Roman" w:hAnsi="Times New Roman" w:cs="Times New Roman"/>
          <w:color w:val="222222"/>
          <w:sz w:val="24"/>
          <w:szCs w:val="24"/>
          <w:shd w:val="clear" w:color="auto" w:fill="FFFFFF"/>
        </w:rPr>
        <w:t>Zhu et al., 2023)</w:t>
      </w:r>
      <w:r>
        <w:rPr>
          <w:rFonts w:ascii="Times New Roman" w:hAnsi="Times New Roman" w:cs="Times New Roman"/>
          <w:sz w:val="24"/>
          <w:szCs w:val="24"/>
        </w:rPr>
        <w:t xml:space="preserve">. The definitions of student engagement were scrutinized, offering a historical perspective on the evolving conceptualizations within the field of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This retrospective analysis shed light on the various ways in which student engagement has been defined over time, providing a foundation for the subsequent discussions.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Dimensions of student engagement were explored in depth, delving into the multifaceted aspects that contribute to a student's active participation in the learning process. The review highlighted the interconnected nature of these dimensions, emphasizing the need for a holistic approach in understanding and fostering student engagement in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Factors influencing student engagement emerged as a crucial aspect of the synthesis (</w:t>
      </w:r>
      <w:r>
        <w:rPr>
          <w:rFonts w:ascii="Times New Roman" w:hAnsi="Times New Roman" w:cs="Times New Roman"/>
          <w:color w:val="222222"/>
          <w:sz w:val="24"/>
          <w:szCs w:val="24"/>
          <w:shd w:val="clear" w:color="auto" w:fill="FFFFFF"/>
        </w:rPr>
        <w:t>Gao, 2023)</w:t>
      </w:r>
      <w:r>
        <w:rPr>
          <w:rFonts w:ascii="Times New Roman" w:hAnsi="Times New Roman" w:cs="Times New Roman"/>
          <w:sz w:val="24"/>
          <w:szCs w:val="24"/>
        </w:rPr>
        <w:t>. The review systematically analyzed the diverse elements that impact students' levels of engagement, ranging from pedagogical approaches to socio-cultural influences. This comprehensive examination facilitated a nuanced understanding of the intricate web of factors that shape the educational experience for students in Chinese universities.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Identifying gaps in the existing literature proved to be a pivotal step in the literature review. By pinpointing areas where research and understanding fell short, the groundwork was laid for the subsequent research endeavors (</w:t>
      </w:r>
      <w:r>
        <w:rPr>
          <w:rFonts w:ascii="Times New Roman" w:hAnsi="Times New Roman" w:cs="Times New Roman"/>
          <w:color w:val="222222"/>
          <w:sz w:val="24"/>
          <w:szCs w:val="24"/>
          <w:shd w:val="clear" w:color="auto" w:fill="FFFFFF"/>
        </w:rPr>
        <w:t>Abid et al., 2021)</w:t>
      </w:r>
      <w:r>
        <w:rPr>
          <w:rFonts w:ascii="Times New Roman" w:hAnsi="Times New Roman" w:cs="Times New Roman"/>
          <w:sz w:val="24"/>
          <w:szCs w:val="24"/>
        </w:rPr>
        <w:t>. These gaps became the focal points for the research team, guiding their efforts towards addressing and bridging the existing knowledge divides. As the research journey unfolded, the aim was not only to fill these gaps but also to contribute meaningfully to the ongoing scholarly discourse on student engagement (</w:t>
      </w:r>
      <w:r>
        <w:rPr>
          <w:rFonts w:ascii="Times New Roman" w:hAnsi="Times New Roman" w:cs="Times New Roman"/>
          <w:color w:val="222222"/>
          <w:sz w:val="24"/>
          <w:szCs w:val="24"/>
          <w:shd w:val="clear" w:color="auto" w:fill="FFFFFF"/>
        </w:rPr>
        <w:t>Nguyen et al., 2023)</w:t>
      </w:r>
      <w:r>
        <w:rPr>
          <w:rFonts w:ascii="Times New Roman" w:hAnsi="Times New Roman" w:cs="Times New Roman"/>
          <w:sz w:val="24"/>
          <w:szCs w:val="24"/>
        </w:rPr>
        <w:t xml:space="preserve">. The findings and insights generated through the research aimed to enrich the existing body of knowledge, offering practical implications for educators and policymakers in the realm of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xml:space="preserve"> in Chinese higher education.</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retrospect, the literature review served as a compass, guiding the research team through the intricate landscape of student engagement in the context of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The synthesis of key findings, exploration of dimensions and factors, and identification of gaps collectively paved the way for a research contribution that sought to advance understanding and practices in the field.</w:t>
      </w:r>
    </w:p>
    <w:p>
      <w:pPr>
        <w:pStyle w:val="2"/>
        <w:spacing w:line="360" w:lineRule="auto"/>
        <w:jc w:val="center"/>
        <w:rPr>
          <w:rFonts w:ascii="Times New Roman" w:hAnsi="Times New Roman" w:cs="Times New Roman"/>
          <w:b/>
          <w:bCs/>
          <w:color w:val="auto"/>
          <w:sz w:val="24"/>
          <w:szCs w:val="24"/>
        </w:rPr>
      </w:pPr>
      <w:bookmarkStart w:id="23" w:name="_Toc1349"/>
      <w:bookmarkStart w:id="24" w:name="_Toc154735202"/>
      <w:bookmarkStart w:id="25" w:name="_Toc4148"/>
      <w:r>
        <w:rPr>
          <w:rFonts w:ascii="Times New Roman" w:hAnsi="Times New Roman" w:cs="Times New Roman"/>
          <w:b/>
          <w:bCs/>
          <w:color w:val="auto"/>
          <w:sz w:val="24"/>
          <w:szCs w:val="24"/>
        </w:rPr>
        <w:t>CHAPTER 3</w:t>
      </w:r>
      <w:bookmarkStart w:id="26" w:name="_Toc10589"/>
      <w:r>
        <w:rPr>
          <w:rFonts w:ascii="Times New Roman" w:hAnsi="Times New Roman" w:eastAsia="MS PGothic" w:cs="Times New Roman"/>
          <w:b/>
          <w:bCs/>
          <w:color w:val="auto"/>
          <w:sz w:val="24"/>
          <w:szCs w:val="24"/>
        </w:rPr>
        <w:t>：</w:t>
      </w:r>
      <w:r>
        <w:rPr>
          <w:rFonts w:ascii="Times New Roman" w:hAnsi="Times New Roman" w:cs="Times New Roman"/>
          <w:b/>
          <w:bCs/>
          <w:color w:val="auto"/>
          <w:sz w:val="24"/>
          <w:szCs w:val="24"/>
        </w:rPr>
        <w:t>RESEARCH DESIGN AND METHODOLOGY</w:t>
      </w:r>
      <w:bookmarkEnd w:id="23"/>
      <w:bookmarkEnd w:id="24"/>
      <w:bookmarkEnd w:id="25"/>
      <w:bookmarkEnd w:id="26"/>
    </w:p>
    <w:p>
      <w:pPr>
        <w:pStyle w:val="3"/>
        <w:spacing w:line="360" w:lineRule="auto"/>
        <w:rPr>
          <w:sz w:val="24"/>
          <w:szCs w:val="24"/>
        </w:rPr>
      </w:pPr>
      <w:bookmarkStart w:id="27" w:name="_Toc9118"/>
      <w:bookmarkStart w:id="28" w:name="_Toc11922"/>
      <w:bookmarkStart w:id="29" w:name="_Toc154735203"/>
      <w:r>
        <w:rPr>
          <w:rFonts w:eastAsia="宋体"/>
          <w:sz w:val="24"/>
          <w:szCs w:val="24"/>
        </w:rPr>
        <w:t xml:space="preserve">3.1 </w:t>
      </w:r>
      <w:r>
        <w:rPr>
          <w:sz w:val="24"/>
          <w:szCs w:val="24"/>
        </w:rPr>
        <w:t>Introduction</w:t>
      </w:r>
      <w:bookmarkEnd w:id="27"/>
      <w:bookmarkEnd w:id="28"/>
      <w:bookmarkEnd w:id="29"/>
      <w:r>
        <w:rPr>
          <w:sz w:val="24"/>
          <w:szCs w:val="24"/>
        </w:rPr>
        <w:t xml:space="preserve"> </w:t>
      </w: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 xml:space="preserve">The exploration of student engagement proved to be a pivotal aspect of the learning process, exerting a profound influence on academic success and overall satisfaction among first-year university students. The study, conducted in a Chinese university, sought to make a meaningful contribution to the existing literature on student engagement, specifically focusing on the experiences of students in an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xml:space="preserve"> class.</w:t>
      </w:r>
    </w:p>
    <w:p>
      <w:pPr>
        <w:spacing w:line="360" w:lineRule="auto"/>
        <w:ind w:firstLine="480" w:firstLineChars="200"/>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As </w:t>
      </w:r>
      <w:r>
        <w:rPr>
          <w:rFonts w:ascii="Times New Roman" w:hAnsi="Times New Roman" w:eastAsia="宋体" w:cs="Times New Roman"/>
          <w:sz w:val="24"/>
          <w:szCs w:val="24"/>
          <w:lang w:eastAsia="zh-CN"/>
        </w:rPr>
        <w:t>I</w:t>
      </w:r>
      <w:r>
        <w:rPr>
          <w:rFonts w:ascii="Times New Roman" w:hAnsi="Times New Roman" w:cs="Times New Roman"/>
          <w:sz w:val="24"/>
          <w:szCs w:val="24"/>
        </w:rPr>
        <w:t xml:space="preserve"> delved into the intricate tapestry of first-year </w:t>
      </w:r>
      <w:r>
        <w:rPr>
          <w:rFonts w:ascii="Times New Roman" w:hAnsi="Times New Roman" w:eastAsia="宋体" w:cs="Times New Roman"/>
          <w:sz w:val="24"/>
          <w:szCs w:val="24"/>
          <w:lang w:eastAsia="zh-CN"/>
        </w:rPr>
        <w:t xml:space="preserve">university </w:t>
      </w:r>
      <w:r>
        <w:rPr>
          <w:rFonts w:ascii="Times New Roman" w:hAnsi="Times New Roman" w:cs="Times New Roman"/>
          <w:sz w:val="24"/>
          <w:szCs w:val="24"/>
        </w:rPr>
        <w:t xml:space="preserve">students' engagement, </w:t>
      </w:r>
      <w:r>
        <w:rPr>
          <w:rFonts w:ascii="Times New Roman" w:hAnsi="Times New Roman" w:eastAsia="宋体" w:cs="Times New Roman"/>
          <w:sz w:val="24"/>
          <w:szCs w:val="24"/>
          <w:lang w:eastAsia="zh-CN"/>
        </w:rPr>
        <w:t>my</w:t>
      </w:r>
      <w:r>
        <w:rPr>
          <w:rFonts w:ascii="Times New Roman" w:hAnsi="Times New Roman" w:cs="Times New Roman"/>
          <w:sz w:val="24"/>
          <w:szCs w:val="24"/>
        </w:rPr>
        <w:t xml:space="preserve"> primary objective was to unravel the nuanced dynamics that underlay the learning process within the unique cultural and linguistic context of China (</w:t>
      </w:r>
      <w:r>
        <w:rPr>
          <w:rFonts w:ascii="Times New Roman" w:hAnsi="Times New Roman" w:cs="Times New Roman"/>
          <w:color w:val="222222"/>
          <w:sz w:val="24"/>
          <w:szCs w:val="24"/>
          <w:shd w:val="clear" w:color="auto" w:fill="FFFFFF"/>
        </w:rPr>
        <w:t xml:space="preserve">Ranalli, 2021). </w:t>
      </w:r>
      <w:r>
        <w:rPr>
          <w:rFonts w:ascii="Times New Roman" w:hAnsi="Times New Roman" w:cs="Times New Roman"/>
          <w:sz w:val="24"/>
          <w:szCs w:val="24"/>
        </w:rPr>
        <w:t>The significance of this exploration lay in its potential to shed light on the various factors that either fostered or hindered student engagement. As the data began to accumulate, patterns emerged, revealing a delicate interplay between traditional Confucian values and modern educational approaches (</w:t>
      </w:r>
      <w:r>
        <w:rPr>
          <w:rFonts w:ascii="Times New Roman" w:hAnsi="Times New Roman" w:cs="Times New Roman"/>
          <w:color w:val="222222"/>
          <w:sz w:val="24"/>
          <w:szCs w:val="24"/>
          <w:shd w:val="clear" w:color="auto" w:fill="FFFFFF"/>
        </w:rPr>
        <w:t>Yang et al., 2023)</w:t>
      </w:r>
      <w:r>
        <w:rPr>
          <w:rFonts w:ascii="Times New Roman" w:hAnsi="Times New Roman" w:cs="Times New Roman"/>
          <w:sz w:val="24"/>
          <w:szCs w:val="24"/>
        </w:rPr>
        <w:t xml:space="preserve">. The researchers found that a harmonious integration of these elements held the key to cultivating a more robust and culturally responsive framework for enhancing first-year students' academic </w:t>
      </w:r>
      <w:r>
        <w:rPr>
          <w:rFonts w:ascii="Times New Roman" w:hAnsi="Times New Roman" w:eastAsia="宋体" w:cs="Times New Roman"/>
          <w:sz w:val="24"/>
          <w:szCs w:val="24"/>
          <w:lang w:eastAsia="zh-CN"/>
        </w:rPr>
        <w:t>engagement</w:t>
      </w:r>
      <w:r>
        <w:rPr>
          <w:rFonts w:ascii="Times New Roman" w:hAnsi="Times New Roman" w:cs="Times New Roman"/>
          <w:sz w:val="24"/>
          <w:szCs w:val="24"/>
        </w:rPr>
        <w:t xml:space="preserve"> in China.</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w:t>
      </w:r>
      <w:r>
        <w:rPr>
          <w:rFonts w:ascii="Times New Roman" w:hAnsi="Times New Roman" w:eastAsia="宋体" w:cs="Times New Roman"/>
          <w:sz w:val="24"/>
          <w:szCs w:val="24"/>
          <w:lang w:eastAsia="zh-CN"/>
        </w:rPr>
        <w:t>is</w:t>
      </w:r>
      <w:r>
        <w:rPr>
          <w:rFonts w:ascii="Times New Roman" w:hAnsi="Times New Roman" w:cs="Times New Roman"/>
          <w:sz w:val="24"/>
          <w:szCs w:val="24"/>
        </w:rPr>
        <w:t xml:space="preserve"> study employed a comprehensive approach, utilizing surveys, interviews, and observations to gather a rich dataset that encapsulated the diverse facets of student engagement. It chronicled the students' experiences, capturing the ebb and flow of their enthusiasm, participation, and connection with the subject matter. The findings revealed nuanced patterns, uncovering moments of unexpected inspiration and identifying key factors that fueled sustained engagement. This multifaceted analysis not only deepened our understanding of student dynamics but also provided valuable insights for enhancing educational strategies (</w:t>
      </w:r>
      <w:r>
        <w:rPr>
          <w:rFonts w:ascii="Times New Roman" w:hAnsi="Times New Roman" w:cs="Times New Roman"/>
          <w:color w:val="222222"/>
          <w:sz w:val="24"/>
          <w:szCs w:val="24"/>
          <w:shd w:val="clear" w:color="auto" w:fill="FFFFFF"/>
        </w:rPr>
        <w:t>Zheng et al., 2023)</w:t>
      </w:r>
      <w:r>
        <w:rPr>
          <w:rFonts w:ascii="Times New Roman" w:hAnsi="Times New Roman" w:cs="Times New Roman"/>
          <w:sz w:val="24"/>
          <w:szCs w:val="24"/>
        </w:rPr>
        <w:t xml:space="preserve">. </w:t>
      </w:r>
      <w:bookmarkStart w:id="30" w:name="OLE_LINK3"/>
      <w:r>
        <w:rPr>
          <w:rFonts w:hint="eastAsia" w:ascii="Times New Roman" w:hAnsi="Times New Roman" w:cs="Times New Roman"/>
          <w:sz w:val="24"/>
          <w:szCs w:val="24"/>
        </w:rPr>
        <w:t xml:space="preserve">By examining historical data, I identified </w:t>
      </w:r>
      <w:r>
        <w:rPr>
          <w:rFonts w:hint="eastAsia" w:ascii="Times New Roman" w:hAnsi="Times New Roman" w:eastAsia="宋体" w:cs="Times New Roman"/>
          <w:sz w:val="24"/>
          <w:szCs w:val="24"/>
          <w:lang w:val="en-US" w:eastAsia="zh-CN"/>
        </w:rPr>
        <w:t xml:space="preserve">the </w:t>
      </w:r>
      <w:r>
        <w:rPr>
          <w:rFonts w:hint="eastAsia" w:ascii="Times New Roman" w:hAnsi="Times New Roman" w:cs="Times New Roman"/>
          <w:sz w:val="24"/>
          <w:szCs w:val="24"/>
        </w:rPr>
        <w:t>patterns and trends that revealed how cultural and linguistic factors influence student engagement</w:t>
      </w:r>
      <w:r>
        <w:rPr>
          <w:rFonts w:hint="eastAsia" w:ascii="Times New Roman" w:hAnsi="Times New Roman" w:eastAsia="宋体" w:cs="Times New Roman"/>
          <w:sz w:val="24"/>
          <w:szCs w:val="24"/>
          <w:lang w:val="en-US" w:eastAsia="zh-CN"/>
        </w:rPr>
        <w:t>.</w:t>
      </w:r>
      <w:r>
        <w:rPr>
          <w:rFonts w:ascii="Times New Roman" w:hAnsi="Times New Roman" w:cs="Times New Roman"/>
          <w:sz w:val="24"/>
          <w:szCs w:val="24"/>
        </w:rPr>
        <w:t xml:space="preserve"> </w:t>
      </w:r>
      <w:bookmarkEnd w:id="30"/>
      <w:r>
        <w:rPr>
          <w:rFonts w:hint="eastAsia" w:ascii="Times New Roman" w:hAnsi="Times New Roman" w:eastAsia="宋体" w:cs="Times New Roman"/>
          <w:sz w:val="24"/>
          <w:szCs w:val="24"/>
          <w:lang w:val="en-US" w:eastAsia="zh-CN"/>
        </w:rPr>
        <w:t>And t</w:t>
      </w:r>
      <w:r>
        <w:rPr>
          <w:rFonts w:ascii="Times New Roman" w:hAnsi="Times New Roman" w:cs="Times New Roman"/>
          <w:sz w:val="24"/>
          <w:szCs w:val="24"/>
        </w:rPr>
        <w:t xml:space="preserve">he findings of this study </w:t>
      </w:r>
      <w:r>
        <w:rPr>
          <w:rFonts w:hint="eastAsia" w:ascii="Times New Roman" w:hAnsi="Times New Roman" w:eastAsia="宋体" w:cs="Times New Roman"/>
          <w:sz w:val="24"/>
          <w:szCs w:val="24"/>
          <w:lang w:val="en-US" w:eastAsia="zh-CN"/>
        </w:rPr>
        <w:t xml:space="preserve">also </w:t>
      </w:r>
      <w:r>
        <w:rPr>
          <w:rFonts w:ascii="Times New Roman" w:hAnsi="Times New Roman" w:cs="Times New Roman"/>
          <w:sz w:val="24"/>
          <w:szCs w:val="24"/>
        </w:rPr>
        <w:t>provided valuable insights, not only for the academic community but also for educators and institutions aiming to enhance the learning experience for first-year students in cross-cultural settings.</w:t>
      </w:r>
    </w:p>
    <w:p>
      <w:pPr>
        <w:pStyle w:val="3"/>
        <w:spacing w:line="360" w:lineRule="auto"/>
        <w:rPr>
          <w:sz w:val="24"/>
          <w:szCs w:val="24"/>
        </w:rPr>
      </w:pPr>
      <w:bookmarkStart w:id="31" w:name="_Toc154735204"/>
      <w:bookmarkStart w:id="32" w:name="_Toc20155"/>
      <w:bookmarkStart w:id="33" w:name="_Toc6951"/>
      <w:r>
        <w:rPr>
          <w:rFonts w:eastAsia="宋体"/>
          <w:sz w:val="24"/>
          <w:szCs w:val="24"/>
        </w:rPr>
        <w:t xml:space="preserve">3.2 </w:t>
      </w:r>
      <w:r>
        <w:rPr>
          <w:sz w:val="24"/>
          <w:szCs w:val="24"/>
        </w:rPr>
        <w:t>Research Design and Philosophical Underpinnings</w:t>
      </w:r>
      <w:bookmarkEnd w:id="31"/>
      <w:bookmarkEnd w:id="32"/>
      <w:bookmarkEnd w:id="33"/>
      <w:r>
        <w:rPr>
          <w:sz w:val="24"/>
          <w:szCs w:val="24"/>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w:t>
      </w:r>
      <w:r>
        <w:rPr>
          <w:rFonts w:hint="eastAsia" w:ascii="Times New Roman" w:hAnsi="Times New Roman" w:eastAsia="宋体" w:cs="Times New Roman"/>
          <w:sz w:val="24"/>
          <w:szCs w:val="24"/>
          <w:lang w:val="en-US" w:eastAsia="zh-CN"/>
        </w:rPr>
        <w:t>is</w:t>
      </w:r>
      <w:r>
        <w:rPr>
          <w:rFonts w:ascii="Times New Roman" w:hAnsi="Times New Roman" w:cs="Times New Roman"/>
          <w:sz w:val="24"/>
          <w:szCs w:val="24"/>
        </w:rPr>
        <w:t xml:space="preserve"> research embraced a qualitative methods approach, aligning with a constructivist epistemology. This philosophical stance acknowledged the subjective nature of knowledge construction, highlighting the significance of students' perspectives in shaping their learning experiences. The research design, drawing inspiration from Creswell and Plano Clark's (2017) framework, employed in-depth exploration to unveil the intricacies of student engagement within the context of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the pursuit of understanding the dynamics of student engagement, </w:t>
      </w:r>
      <w:r>
        <w:rPr>
          <w:rFonts w:ascii="Times New Roman" w:hAnsi="Times New Roman" w:eastAsia="宋体" w:cs="Times New Roman"/>
          <w:sz w:val="24"/>
          <w:szCs w:val="24"/>
          <w:lang w:eastAsia="zh-CN"/>
        </w:rPr>
        <w:t xml:space="preserve">I </w:t>
      </w:r>
      <w:r>
        <w:rPr>
          <w:rFonts w:ascii="Times New Roman" w:hAnsi="Times New Roman" w:cs="Times New Roman"/>
          <w:sz w:val="24"/>
          <w:szCs w:val="24"/>
        </w:rPr>
        <w:t xml:space="preserve">delved into a constructivist epistemology, recognizing that knowledge is not an objective reality but rather a subjective and socially constructed phenomenon. This theoretical framework laid the foundation for the qualitative methods approach employed throughout the study. The research unfolded within the realm of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xml:space="preserve">, seeking to unravel the complexities of student engagement in this specific educational context. </w:t>
      </w:r>
      <w:r>
        <w:rPr>
          <w:rFonts w:ascii="Times New Roman" w:hAnsi="Times New Roman" w:eastAsia="宋体" w:cs="Times New Roman"/>
          <w:sz w:val="24"/>
          <w:szCs w:val="24"/>
          <w:lang w:eastAsia="zh-CN"/>
        </w:rPr>
        <w:t>F</w:t>
      </w:r>
      <w:r>
        <w:rPr>
          <w:rFonts w:ascii="Times New Roman" w:hAnsi="Times New Roman" w:cs="Times New Roman"/>
          <w:sz w:val="24"/>
          <w:szCs w:val="24"/>
        </w:rPr>
        <w:t xml:space="preserve">ollowing the guidance of Creswell and Plano Clark's (2017) framework, </w:t>
      </w:r>
      <w:r>
        <w:rPr>
          <w:rFonts w:ascii="Times New Roman" w:hAnsi="Times New Roman" w:eastAsia="宋体" w:cs="Times New Roman"/>
          <w:sz w:val="24"/>
          <w:szCs w:val="24"/>
          <w:lang w:eastAsia="zh-CN"/>
        </w:rPr>
        <w:t xml:space="preserve">I </w:t>
      </w:r>
      <w:r>
        <w:rPr>
          <w:rFonts w:ascii="Times New Roman" w:hAnsi="Times New Roman" w:cs="Times New Roman"/>
          <w:sz w:val="24"/>
          <w:szCs w:val="24"/>
        </w:rPr>
        <w:t>meticulously crafted a research design that prioritized in-depth exploration. This methodological choice aimed to capture the nuanced facets of student engagement, providing a rich and comprehensive understanding of the subject matter.</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As the study progressed, </w:t>
      </w:r>
      <w:r>
        <w:rPr>
          <w:rFonts w:ascii="Times New Roman" w:hAnsi="Times New Roman" w:eastAsia="宋体" w:cs="Times New Roman"/>
          <w:sz w:val="24"/>
          <w:szCs w:val="24"/>
          <w:lang w:eastAsia="zh-CN"/>
        </w:rPr>
        <w:t>I</w:t>
      </w:r>
      <w:r>
        <w:rPr>
          <w:rFonts w:ascii="Times New Roman" w:hAnsi="Times New Roman" w:cs="Times New Roman"/>
          <w:sz w:val="24"/>
          <w:szCs w:val="24"/>
        </w:rPr>
        <w:t xml:space="preserve"> immersed themselves in the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xml:space="preserve"> environment, actively involving students in the knowledge co-construction process. The constructivist epistemology guided the researchers to appreciate that students are not passive recipients of information but active participants in their own learning (</w:t>
      </w:r>
      <w:r>
        <w:rPr>
          <w:rFonts w:ascii="Times New Roman" w:hAnsi="Times New Roman" w:cs="Times New Roman"/>
          <w:color w:val="222222"/>
          <w:sz w:val="24"/>
          <w:szCs w:val="24"/>
          <w:shd w:val="clear" w:color="auto" w:fill="FFFFFF"/>
        </w:rPr>
        <w:t>Hu and Wu,  2020)</w:t>
      </w:r>
      <w:r>
        <w:rPr>
          <w:rFonts w:ascii="Times New Roman" w:hAnsi="Times New Roman" w:cs="Times New Roman"/>
          <w:sz w:val="24"/>
          <w:szCs w:val="24"/>
        </w:rPr>
        <w:t>. This recognition underscored the importance of considering students' perspectives as integral to the overall understanding of student engagement. The data collection process unfolded through various qualitative methods, including interviews, observations, and document analysis. These methods were chosen strategically to gather diverse and complementary insights into the multifaceted nature of student engagement (</w:t>
      </w:r>
      <w:r>
        <w:rPr>
          <w:rFonts w:ascii="Times New Roman" w:hAnsi="Times New Roman" w:cs="Times New Roman"/>
          <w:color w:val="222222"/>
          <w:sz w:val="24"/>
          <w:szCs w:val="24"/>
          <w:shd w:val="clear" w:color="auto" w:fill="FFFFFF"/>
        </w:rPr>
        <w:t>Alshuraiaan, 2023)</w:t>
      </w:r>
      <w:r>
        <w:rPr>
          <w:rFonts w:ascii="Times New Roman" w:hAnsi="Times New Roman" w:cs="Times New Roman"/>
          <w:sz w:val="24"/>
          <w:szCs w:val="24"/>
        </w:rPr>
        <w:t xml:space="preserve">. Interviews provided a platform for students to articulate their thoughts and experiences, while observations offered a firsthand glimpse into the real-time dynamics of the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xml:space="preserve"> environment. Document analysis complemented these methods by offering a retrospective view through the examination of relevant educational materials and records.</w:t>
      </w:r>
    </w:p>
    <w:p>
      <w:pPr>
        <w:spacing w:line="360" w:lineRule="auto"/>
        <w:ind w:firstLine="720"/>
        <w:rPr>
          <w:rFonts w:ascii="Times New Roman" w:hAnsi="Times New Roman" w:cs="Times New Roman"/>
          <w:sz w:val="24"/>
          <w:szCs w:val="24"/>
        </w:rPr>
      </w:pPr>
      <w:r>
        <w:rPr>
          <w:rFonts w:ascii="Times New Roman" w:hAnsi="Times New Roman" w:eastAsia="宋体" w:cs="Times New Roman"/>
          <w:sz w:val="24"/>
          <w:szCs w:val="24"/>
          <w:lang w:eastAsia="zh-CN"/>
        </w:rPr>
        <w:t>I</w:t>
      </w:r>
      <w:r>
        <w:rPr>
          <w:rFonts w:ascii="Times New Roman" w:hAnsi="Times New Roman" w:cs="Times New Roman"/>
          <w:sz w:val="24"/>
          <w:szCs w:val="24"/>
        </w:rPr>
        <w:t xml:space="preserve"> approached the data analysis phase with a commitment to uncovering the underlying patterns and themes that emerged from the rich qualitative data. The constructivist lens guided the interpretation of findings, emphasizing the co-construction of knowledge between researchers and participants. Themes related to student engagement were identified and analyzed, providing a nuanced understanding of the factors influencing students' active involvement in the English language learning process (</w:t>
      </w:r>
      <w:r>
        <w:rPr>
          <w:rFonts w:ascii="Times New Roman" w:hAnsi="Times New Roman" w:cs="Times New Roman"/>
          <w:color w:val="222222"/>
          <w:sz w:val="24"/>
          <w:szCs w:val="24"/>
          <w:shd w:val="clear" w:color="auto" w:fill="FFFFFF"/>
        </w:rPr>
        <w:t>Tao and Zou, 2023)</w:t>
      </w:r>
      <w:r>
        <w:rPr>
          <w:rFonts w:ascii="Times New Roman" w:hAnsi="Times New Roman" w:cs="Times New Roman"/>
          <w:sz w:val="24"/>
          <w:szCs w:val="24"/>
        </w:rPr>
        <w:t xml:space="preserve">. Throughout the study, ethical considerations were paramount. Informed consent was obtained from all participants, and their anonymity and confidentiality were strictly maintained. </w:t>
      </w:r>
      <w:r>
        <w:rPr>
          <w:rFonts w:ascii="Times New Roman" w:hAnsi="Times New Roman" w:eastAsia="宋体" w:cs="Times New Roman"/>
          <w:sz w:val="24"/>
          <w:szCs w:val="24"/>
          <w:lang w:eastAsia="zh-CN"/>
        </w:rPr>
        <w:t>I</w:t>
      </w:r>
      <w:r>
        <w:rPr>
          <w:rFonts w:ascii="Times New Roman" w:hAnsi="Times New Roman" w:cs="Times New Roman"/>
          <w:sz w:val="24"/>
          <w:szCs w:val="24"/>
        </w:rPr>
        <w:t xml:space="preserve"> navigated the complex terrain of qualitative inquiry with sensitivity, ensuring that the voices of the students were authentically represented without distortion.</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research findings illuminated the multifaceted nature of student engagement within the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xml:space="preserve"> context. Students' perspectives emerged as crucial drivers of engagement, influencing their motivation, participation, and overall learning experiences. The constructivist epistemology proved instrumental in unraveling the intricate interplay between students' subjectivities and the educational environment (</w:t>
      </w:r>
      <w:r>
        <w:rPr>
          <w:rFonts w:ascii="Times New Roman" w:hAnsi="Times New Roman" w:cs="Times New Roman"/>
          <w:color w:val="222222"/>
          <w:sz w:val="24"/>
          <w:szCs w:val="24"/>
          <w:shd w:val="clear" w:color="auto" w:fill="FFFFFF"/>
        </w:rPr>
        <w:t>Zaidi, 2020)</w:t>
      </w:r>
      <w:r>
        <w:rPr>
          <w:rFonts w:ascii="Times New Roman" w:hAnsi="Times New Roman" w:cs="Times New Roman"/>
          <w:sz w:val="24"/>
          <w:szCs w:val="24"/>
        </w:rPr>
        <w:t xml:space="preserve">. The implications of the study extend beyond the specific context of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offering insights for educators and researchers in diverse educational settings. The recognition of the subjective nature of knowledge construction calls for a pedagogical shift that values and integrates students' perspectives in the design and implementation of educational practices (</w:t>
      </w:r>
      <w:r>
        <w:rPr>
          <w:rFonts w:ascii="Times New Roman" w:hAnsi="Times New Roman" w:cs="Times New Roman"/>
          <w:color w:val="222222"/>
          <w:sz w:val="24"/>
          <w:szCs w:val="24"/>
          <w:shd w:val="clear" w:color="auto" w:fill="FFFFFF"/>
        </w:rPr>
        <w:t>Lei and Medwell, 2021)</w:t>
      </w:r>
      <w:r>
        <w:rPr>
          <w:rFonts w:ascii="Times New Roman" w:hAnsi="Times New Roman" w:cs="Times New Roman"/>
          <w:sz w:val="24"/>
          <w:szCs w:val="24"/>
        </w:rPr>
        <w:t>. The in-depth exploration facilitated by the research design contributes to a nuanced understanding of student engagement, paving the way for informed interventions and improvements in educational outcomes.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conclusion, the research study, grounded in a constructivist epistemology and adopting a qualitative methods approach, delved into the complexities of student engagement within the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xml:space="preserve"> context. The findings underscore the importance of recognizing the subjective nature of knowledge construction and valuing students' perspectives in shaping their learning experiences. This research contributes to the broader discourse on student engagement and has practical implications for enhancing educational practices in diverse settings.</w:t>
      </w:r>
    </w:p>
    <w:p>
      <w:pPr>
        <w:spacing w:line="360" w:lineRule="auto"/>
        <w:ind w:firstLine="720"/>
        <w:rPr>
          <w:rFonts w:ascii="Times New Roman" w:hAnsi="Times New Roman" w:cs="Times New Roman"/>
          <w:sz w:val="24"/>
          <w:szCs w:val="24"/>
        </w:rPr>
      </w:pPr>
    </w:p>
    <w:p>
      <w:pPr>
        <w:pStyle w:val="3"/>
        <w:spacing w:line="360" w:lineRule="auto"/>
        <w:rPr>
          <w:sz w:val="24"/>
          <w:szCs w:val="24"/>
        </w:rPr>
      </w:pPr>
      <w:bookmarkStart w:id="34" w:name="_Toc4568"/>
      <w:bookmarkStart w:id="35" w:name="_Toc21262"/>
      <w:bookmarkStart w:id="36" w:name="_Toc154735205"/>
      <w:r>
        <w:rPr>
          <w:rFonts w:eastAsia="宋体"/>
          <w:sz w:val="24"/>
          <w:szCs w:val="24"/>
        </w:rPr>
        <w:t xml:space="preserve">3.3 </w:t>
      </w:r>
      <w:r>
        <w:rPr>
          <w:sz w:val="24"/>
          <w:szCs w:val="24"/>
        </w:rPr>
        <w:t>Participants</w:t>
      </w:r>
      <w:bookmarkEnd w:id="34"/>
      <w:bookmarkEnd w:id="35"/>
      <w:bookmarkEnd w:id="36"/>
    </w:p>
    <w:p>
      <w:pPr>
        <w:spacing w:line="360" w:lineRule="auto"/>
        <w:ind w:firstLine="720"/>
        <w:rPr>
          <w:rFonts w:ascii="Times New Roman" w:hAnsi="Times New Roman" w:cs="Times New Roman"/>
          <w:b/>
          <w:bCs/>
          <w:sz w:val="24"/>
          <w:szCs w:val="24"/>
        </w:rPr>
      </w:pPr>
      <w:r>
        <w:rPr>
          <w:rFonts w:ascii="Times New Roman" w:hAnsi="Times New Roman" w:cs="Times New Roman"/>
          <w:sz w:val="24"/>
          <w:szCs w:val="24"/>
        </w:rPr>
        <w:t>The study involved a cohort of 1</w:t>
      </w:r>
      <w:r>
        <w:rPr>
          <w:rFonts w:hint="eastAsia" w:ascii="Times New Roman" w:hAnsi="Times New Roman" w:eastAsia="宋体" w:cs="Times New Roman"/>
          <w:sz w:val="24"/>
          <w:szCs w:val="24"/>
          <w:lang w:val="en-US" w:eastAsia="zh-CN"/>
        </w:rPr>
        <w:t>08</w:t>
      </w:r>
      <w:r>
        <w:rPr>
          <w:rFonts w:ascii="Times New Roman" w:hAnsi="Times New Roman" w:cs="Times New Roman"/>
          <w:sz w:val="24"/>
          <w:szCs w:val="24"/>
        </w:rPr>
        <w:t xml:space="preserve"> first-year </w:t>
      </w:r>
      <w:r>
        <w:rPr>
          <w:rFonts w:hint="eastAsia" w:ascii="Times New Roman" w:hAnsi="Times New Roman" w:eastAsia="宋体" w:cs="Times New Roman"/>
          <w:sz w:val="24"/>
          <w:szCs w:val="24"/>
          <w:lang w:val="en-US" w:eastAsia="zh-CN"/>
        </w:rPr>
        <w:t xml:space="preserve">Chinese </w:t>
      </w:r>
      <w:r>
        <w:rPr>
          <w:rFonts w:ascii="Times New Roman" w:hAnsi="Times New Roman" w:cs="Times New Roman"/>
          <w:sz w:val="24"/>
          <w:szCs w:val="24"/>
        </w:rPr>
        <w:t>university students hailing from three distinct majors and classes. The selection procedure employed purposeful sampling; a meticulous approach aimed at ensuring representation across diverse majors. This method was chosen to capture a comprehensive range of experiences among the participants. The deliberate inclusion of students from various academic disciplines was intended to enrich the study, fostering a nuanced understanding of how engagement manifested in different fields.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participants, during their first year at the university, underwent a series of assessments and interviews to gather insights into their academic experiences. These assessments were designed to explore how engagement played out in their respective majors and classes. The diverse representation within the participant pool provided a valuable spectrum of perspectives, contributing to the depth and breadth of the study (</w:t>
      </w:r>
      <w:r>
        <w:rPr>
          <w:rFonts w:ascii="Times New Roman" w:hAnsi="Times New Roman" w:cs="Times New Roman"/>
          <w:color w:val="222222"/>
          <w:sz w:val="24"/>
          <w:szCs w:val="24"/>
          <w:shd w:val="clear" w:color="auto" w:fill="FFFFFF"/>
        </w:rPr>
        <w:t>Jiang and Peng, 2023)</w:t>
      </w:r>
      <w:r>
        <w:rPr>
          <w:rFonts w:ascii="Times New Roman" w:hAnsi="Times New Roman" w:cs="Times New Roman"/>
          <w:sz w:val="24"/>
          <w:szCs w:val="24"/>
        </w:rPr>
        <w:t xml:space="preserve">. As the study unfolded, patterns and themes began to emerge, highlighting the unique dynamics of engagement within each major. The first-year students, irrespective of their academic backgrounds, shared commonalities and disparities in their experiences. The comprehensive nature of the study allowed </w:t>
      </w:r>
      <w:r>
        <w:rPr>
          <w:rFonts w:ascii="Times New Roman" w:hAnsi="Times New Roman" w:eastAsia="宋体" w:cs="Times New Roman"/>
          <w:sz w:val="24"/>
          <w:szCs w:val="24"/>
          <w:lang w:eastAsia="zh-CN"/>
        </w:rPr>
        <w:t>me</w:t>
      </w:r>
      <w:r>
        <w:rPr>
          <w:rFonts w:ascii="Times New Roman" w:hAnsi="Times New Roman" w:cs="Times New Roman"/>
          <w:sz w:val="24"/>
          <w:szCs w:val="24"/>
        </w:rPr>
        <w:t xml:space="preserve"> to draw meaningful comparisons and contrasts, shedding light on the multifaceted nature of student engagement.</w:t>
      </w:r>
    </w:p>
    <w:p>
      <w:pPr>
        <w:spacing w:line="360" w:lineRule="auto"/>
        <w:ind w:firstLine="720"/>
        <w:rPr>
          <w:rFonts w:hint="eastAsia" w:ascii="Times New Roman" w:hAnsi="Times New Roman" w:eastAsia="宋体" w:cs="Times New Roman"/>
          <w:sz w:val="24"/>
          <w:szCs w:val="24"/>
          <w:lang w:val="en-US" w:eastAsia="zh-CN"/>
        </w:rPr>
      </w:pPr>
      <w:r>
        <w:rPr>
          <w:rFonts w:ascii="Times New Roman" w:hAnsi="Times New Roman" w:cs="Times New Roman"/>
          <w:sz w:val="24"/>
          <w:szCs w:val="24"/>
        </w:rPr>
        <w:t>One of the key findings revealed the influence of academic majors on the participants' engagement levels. Each major presented distinct challenges and opportunities, shaping the students' interactions with their coursework and peers. The study underscored the importance of considering disciplinary nuances when exploring and promoting engagement in university settings (</w:t>
      </w:r>
      <w:r>
        <w:rPr>
          <w:rFonts w:ascii="Times New Roman" w:hAnsi="Times New Roman" w:cs="Times New Roman"/>
          <w:color w:val="222222"/>
          <w:sz w:val="24"/>
          <w:szCs w:val="24"/>
          <w:shd w:val="clear" w:color="auto" w:fill="FFFFFF"/>
        </w:rPr>
        <w:t>Cao, 2023)</w:t>
      </w:r>
      <w:r>
        <w:rPr>
          <w:rFonts w:ascii="Times New Roman" w:hAnsi="Times New Roman" w:cs="Times New Roman"/>
          <w:sz w:val="24"/>
          <w:szCs w:val="24"/>
        </w:rPr>
        <w:t>. The research suggested that tailored approaches to foster engagement should be developed, recognizing the unique dynamics within each academic discipline. Ultimately, understanding and addressing these nuances could lead to more effective strategies for enhancing student involvement and success across diverse majors.</w:t>
      </w:r>
      <w:r>
        <w:rPr>
          <w:rFonts w:hint="eastAsia" w:ascii="Times New Roman" w:hAnsi="Times New Roman" w:eastAsia="宋体" w:cs="Times New Roman"/>
          <w:sz w:val="24"/>
          <w:szCs w:val="24"/>
          <w:lang w:val="en-US" w:eastAsia="zh-CN"/>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Furthermore, class dynamics played a significant role in shaping the participants' experiences. The study uncovered how the size, structure, and teaching methodologies of classes impacted student engagement (Feng et al., 2023</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Small, interactive classes fostered a sense of community and active participation, while larger lectures posed challenges in maintaining high levels of engagement. These insights emphasized the need for tailored approaches to address the varying dynamics present across different classes.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w:t>
      </w:r>
      <w:r>
        <w:rPr>
          <w:rFonts w:ascii="Times New Roman" w:hAnsi="Times New Roman" w:eastAsia="宋体" w:cs="Times New Roman"/>
          <w:sz w:val="24"/>
          <w:szCs w:val="24"/>
          <w:lang w:eastAsia="zh-CN"/>
        </w:rPr>
        <w:t>is</w:t>
      </w:r>
      <w:r>
        <w:rPr>
          <w:rFonts w:ascii="Times New Roman" w:hAnsi="Times New Roman" w:cs="Times New Roman"/>
          <w:sz w:val="24"/>
          <w:szCs w:val="24"/>
        </w:rPr>
        <w:t xml:space="preserve"> research also delved into the extracurricular activities and support systems that influenced student engagement. Beyond the confines of academic classes, participants engaged in diverse extracurricular pursuits that enriched their overall university experience. The availability of mentorship programs, academic resources, and support networks further contributed to the participants' engagement levels (</w:t>
      </w:r>
      <w:r>
        <w:rPr>
          <w:rFonts w:ascii="Times New Roman" w:hAnsi="Times New Roman" w:cs="Times New Roman"/>
          <w:color w:val="222222"/>
          <w:sz w:val="24"/>
          <w:szCs w:val="24"/>
          <w:shd w:val="clear" w:color="auto" w:fill="FFFFFF"/>
        </w:rPr>
        <w:t>Imbaquingo and Cárdenas, 2023)</w:t>
      </w:r>
      <w:r>
        <w:rPr>
          <w:rFonts w:ascii="Times New Roman" w:hAnsi="Times New Roman" w:cs="Times New Roman"/>
          <w:sz w:val="24"/>
          <w:szCs w:val="24"/>
        </w:rPr>
        <w:t>. The study illuminated the interconnectedness of academic and non-academic factors in shaping a holistic engagement experience for first-year university students.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Throughout the study, </w:t>
      </w:r>
      <w:r>
        <w:rPr>
          <w:rFonts w:ascii="Times New Roman" w:hAnsi="Times New Roman" w:eastAsia="宋体" w:cs="Times New Roman"/>
          <w:sz w:val="24"/>
          <w:szCs w:val="24"/>
          <w:lang w:eastAsia="zh-CN"/>
        </w:rPr>
        <w:t>I</w:t>
      </w:r>
      <w:r>
        <w:rPr>
          <w:rFonts w:ascii="Times New Roman" w:hAnsi="Times New Roman" w:cs="Times New Roman"/>
          <w:sz w:val="24"/>
          <w:szCs w:val="24"/>
        </w:rPr>
        <w:t xml:space="preserve"> maintained a keen focus on ensuring the ethical treatment of participants. Informed consent was obtained, and measures were in place to safeguard the confidentiality and anonymity of the individuals involved. The commitment to ethical practices underscored the researchers' dedication to conducting a rigorous and responsible study (Xu et al., 2023). Their efforts bore fruit as the study not only yielded valuable insights but also set a high standard for ethical research in the field. The participants' trust was not just respected; it became an integral part of the study's success.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conclusion, the exploration of engagement among first-year university students from diverse majors and classes yielded valuable insights into the multifaceted nature of academic experiences. The deliberate use of purposeful sampling allowed for a rich and varied participant pool, contributing to the depth of the findings. The study underscored the impact of academic majors, class dynamics, and extracurricular factors on student engagement, emphasizing the need for tailored approaches in promoting meaningful engagement in university settings. </w:t>
      </w:r>
      <w:r>
        <w:rPr>
          <w:rFonts w:ascii="Times New Roman" w:hAnsi="Times New Roman" w:eastAsia="宋体" w:cs="Times New Roman"/>
          <w:sz w:val="24"/>
          <w:szCs w:val="24"/>
          <w:lang w:eastAsia="zh-CN"/>
        </w:rPr>
        <w:t>My</w:t>
      </w:r>
      <w:r>
        <w:rPr>
          <w:rFonts w:ascii="Times New Roman" w:hAnsi="Times New Roman" w:cs="Times New Roman"/>
          <w:sz w:val="24"/>
          <w:szCs w:val="24"/>
        </w:rPr>
        <w:t xml:space="preserve"> commitment to ethical practices </w:t>
      </w:r>
      <w:r>
        <w:rPr>
          <w:rFonts w:ascii="Times New Roman" w:hAnsi="Times New Roman" w:eastAsia="宋体" w:cs="Times New Roman"/>
          <w:sz w:val="24"/>
          <w:szCs w:val="24"/>
          <w:lang w:eastAsia="zh-CN"/>
        </w:rPr>
        <w:t xml:space="preserve">as researcher </w:t>
      </w:r>
      <w:r>
        <w:rPr>
          <w:rFonts w:ascii="Times New Roman" w:hAnsi="Times New Roman" w:cs="Times New Roman"/>
          <w:sz w:val="24"/>
          <w:szCs w:val="24"/>
        </w:rPr>
        <w:t>further enhanced the credibility and reliability of the study's outcomes.</w:t>
      </w:r>
    </w:p>
    <w:p>
      <w:pPr>
        <w:pStyle w:val="3"/>
        <w:spacing w:line="360" w:lineRule="auto"/>
        <w:rPr>
          <w:sz w:val="24"/>
          <w:szCs w:val="24"/>
        </w:rPr>
      </w:pPr>
      <w:bookmarkStart w:id="37" w:name="_Toc29777"/>
      <w:bookmarkStart w:id="38" w:name="_Toc154735206"/>
      <w:bookmarkStart w:id="39" w:name="_Toc13908"/>
      <w:r>
        <w:rPr>
          <w:rFonts w:eastAsia="宋体"/>
          <w:sz w:val="24"/>
          <w:szCs w:val="24"/>
        </w:rPr>
        <w:t xml:space="preserve">3.4 </w:t>
      </w:r>
      <w:r>
        <w:rPr>
          <w:sz w:val="24"/>
          <w:szCs w:val="24"/>
        </w:rPr>
        <w:t>Data Collection Methods</w:t>
      </w:r>
      <w:bookmarkEnd w:id="37"/>
      <w:bookmarkEnd w:id="38"/>
      <w:bookmarkEnd w:id="39"/>
      <w:r>
        <w:rPr>
          <w:sz w:val="24"/>
          <w:szCs w:val="24"/>
        </w:rPr>
        <w:t xml:space="preserve"> </w:t>
      </w:r>
    </w:p>
    <w:p>
      <w:pPr>
        <w:spacing w:line="360" w:lineRule="auto"/>
        <w:ind w:firstLine="720"/>
        <w:rPr>
          <w:rFonts w:ascii="Times New Roman" w:hAnsi="Times New Roman" w:cs="Times New Roman"/>
          <w:b/>
          <w:bCs/>
          <w:sz w:val="24"/>
          <w:szCs w:val="24"/>
        </w:rPr>
      </w:pPr>
      <w:r>
        <w:rPr>
          <w:rFonts w:ascii="Times New Roman" w:hAnsi="Times New Roman" w:cs="Times New Roman"/>
          <w:sz w:val="24"/>
          <w:szCs w:val="24"/>
        </w:rPr>
        <w:t>A melding of quantitative and qualitative data collection methods was employed in the research endeavor. The questionnaire, meticulously crafted through Microsoft Forms, served as the conduit for gleaning quantitative insights into overarching engagement trends (</w:t>
      </w:r>
      <w:r>
        <w:rPr>
          <w:rFonts w:ascii="Times New Roman" w:hAnsi="Times New Roman" w:cs="Times New Roman"/>
          <w:color w:val="222222"/>
          <w:sz w:val="24"/>
          <w:szCs w:val="24"/>
          <w:shd w:val="clear" w:color="auto" w:fill="FFFFFF"/>
        </w:rPr>
        <w:t>Al-Bogami and Elyas, 2020)</w:t>
      </w:r>
      <w:r>
        <w:rPr>
          <w:rFonts w:ascii="Times New Roman" w:hAnsi="Times New Roman" w:cs="Times New Roman"/>
          <w:sz w:val="24"/>
          <w:szCs w:val="24"/>
        </w:rPr>
        <w:t>. Simultaneously, interviews played a pivotal role in unraveling the tapestry of individual experiences, weaving in open-ended questions to ensnare the depth and nuance of qualitative data.</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decision to utilize Microsoft Forms for questionnaire distribution was grounded in the pursuit of efficiency and security in data collection. This choice not only streamlined the process for the researchers but also fostered a seamless experience for the participants involved. As the responses flooded in through the user-friendly interface of Microsoft Forms, </w:t>
      </w:r>
      <w:r>
        <w:rPr>
          <w:rFonts w:ascii="Times New Roman" w:hAnsi="Times New Roman" w:eastAsia="宋体" w:cs="Times New Roman"/>
          <w:sz w:val="24"/>
          <w:szCs w:val="24"/>
          <w:lang w:eastAsia="zh-CN"/>
        </w:rPr>
        <w:t>I</w:t>
      </w:r>
      <w:r>
        <w:rPr>
          <w:rFonts w:ascii="Times New Roman" w:hAnsi="Times New Roman" w:cs="Times New Roman"/>
          <w:sz w:val="24"/>
          <w:szCs w:val="24"/>
        </w:rPr>
        <w:t xml:space="preserve"> </w:t>
      </w:r>
      <w:r>
        <w:rPr>
          <w:rFonts w:ascii="Times New Roman" w:hAnsi="Times New Roman" w:eastAsia="宋体" w:cs="Times New Roman"/>
          <w:sz w:val="24"/>
          <w:szCs w:val="24"/>
          <w:lang w:eastAsia="zh-CN"/>
        </w:rPr>
        <w:t>am</w:t>
      </w:r>
      <w:r>
        <w:rPr>
          <w:rFonts w:ascii="Times New Roman" w:hAnsi="Times New Roman" w:cs="Times New Roman"/>
          <w:sz w:val="24"/>
          <w:szCs w:val="24"/>
        </w:rPr>
        <w:t xml:space="preserve"> able to analyze and interpret the data with unprecedented ease, propelling their project forward (</w:t>
      </w:r>
      <w:r>
        <w:rPr>
          <w:rFonts w:ascii="Times New Roman" w:hAnsi="Times New Roman" w:cs="Times New Roman"/>
          <w:color w:val="222222"/>
          <w:sz w:val="24"/>
          <w:szCs w:val="24"/>
          <w:shd w:val="clear" w:color="auto" w:fill="FFFFFF"/>
        </w:rPr>
        <w:t>Mao and Lee, 2023)</w:t>
      </w:r>
      <w:r>
        <w:rPr>
          <w:rFonts w:ascii="Times New Roman" w:hAnsi="Times New Roman" w:cs="Times New Roman"/>
          <w:sz w:val="24"/>
          <w:szCs w:val="24"/>
        </w:rPr>
        <w:t>. The combination of efficiency and security proved to be a catalyst for meaningful insights, validating the decision and setting a new standard for future research endeavors.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As the research unfolded, the questionnaire became the cornerstone of the quantitative arm, facilitating the gathering of numerical data to discern patterns and trends in general engagement. Participants, in their own time and space, interacted with the digital survey, providing responses that were later quantified and analyzed (</w:t>
      </w:r>
      <w:r>
        <w:rPr>
          <w:rFonts w:ascii="Times New Roman" w:hAnsi="Times New Roman" w:cs="Times New Roman"/>
          <w:color w:val="222222"/>
          <w:sz w:val="24"/>
          <w:szCs w:val="24"/>
          <w:shd w:val="clear" w:color="auto" w:fill="FFFFFF"/>
        </w:rPr>
        <w:t>Trust et al., 2023)</w:t>
      </w:r>
      <w:r>
        <w:rPr>
          <w:rFonts w:ascii="Times New Roman" w:hAnsi="Times New Roman" w:cs="Times New Roman"/>
          <w:sz w:val="24"/>
          <w:szCs w:val="24"/>
        </w:rPr>
        <w:t>. The structured format of the questionnaire, owing to its digital nature, enabled swift data entry and organization. Simultaneously, the qualitative aspect of the study delved into the rich narratives shared during in-depth interviews, adding depth and context to the statistical findings (</w:t>
      </w:r>
      <w:r>
        <w:rPr>
          <w:rFonts w:ascii="Times New Roman" w:hAnsi="Times New Roman" w:cs="Times New Roman"/>
          <w:color w:val="222222"/>
          <w:sz w:val="24"/>
          <w:szCs w:val="24"/>
          <w:shd w:val="clear" w:color="auto" w:fill="FFFFFF"/>
        </w:rPr>
        <w:t>Gan et al., 2023)</w:t>
      </w:r>
      <w:r>
        <w:rPr>
          <w:rFonts w:ascii="Times New Roman" w:hAnsi="Times New Roman" w:cs="Times New Roman"/>
          <w:sz w:val="24"/>
          <w:szCs w:val="24"/>
        </w:rPr>
        <w:t>. The fusion of quantitative precision and qualitative insights yielded a comprehensive understanding of the subject, paving the way for a nuanced interpretation of the research outcomes.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Meanwhile, the qualitative facet of the study found expression through interviews. </w:t>
      </w:r>
      <w:r>
        <w:rPr>
          <w:rFonts w:ascii="Times New Roman" w:hAnsi="Times New Roman" w:eastAsia="宋体" w:cs="Times New Roman"/>
          <w:sz w:val="24"/>
          <w:szCs w:val="24"/>
          <w:lang w:eastAsia="zh-CN"/>
        </w:rPr>
        <w:t>I</w:t>
      </w:r>
      <w:r>
        <w:rPr>
          <w:rFonts w:ascii="Times New Roman" w:hAnsi="Times New Roman" w:cs="Times New Roman"/>
          <w:sz w:val="24"/>
          <w:szCs w:val="24"/>
        </w:rPr>
        <w:t xml:space="preserve"> engaged with </w:t>
      </w:r>
      <w:r>
        <w:rPr>
          <w:rFonts w:hint="eastAsia" w:ascii="Times New Roman" w:hAnsi="Times New Roman" w:eastAsia="宋体" w:cs="Times New Roman"/>
          <w:sz w:val="24"/>
          <w:szCs w:val="24"/>
          <w:lang w:val="en-US" w:eastAsia="zh-CN"/>
        </w:rPr>
        <w:t xml:space="preserve">three </w:t>
      </w:r>
      <w:r>
        <w:rPr>
          <w:rFonts w:ascii="Times New Roman" w:hAnsi="Times New Roman" w:cs="Times New Roman"/>
          <w:sz w:val="24"/>
          <w:szCs w:val="24"/>
        </w:rPr>
        <w:t>participants</w:t>
      </w:r>
      <w:r>
        <w:rPr>
          <w:rFonts w:hint="eastAsia" w:ascii="Times New Roman" w:hAnsi="Times New Roman" w:eastAsia="宋体" w:cs="Times New Roman"/>
          <w:sz w:val="24"/>
          <w:szCs w:val="24"/>
          <w:lang w:val="en-US" w:eastAsia="zh-CN"/>
        </w:rPr>
        <w:t xml:space="preserve"> (two Chinese university students and one Chinese lecturer)</w:t>
      </w:r>
      <w:r>
        <w:rPr>
          <w:rFonts w:ascii="Times New Roman" w:hAnsi="Times New Roman" w:cs="Times New Roman"/>
          <w:sz w:val="24"/>
          <w:szCs w:val="24"/>
        </w:rPr>
        <w:t xml:space="preserve"> in thoughtful conversations, delving into the intricacies of their experiences. Open-ended questions proved to be instrumental, allowing respondents to articulate their thoughts freely and providing a canvas for the emergence of rich qualitative insights (</w:t>
      </w:r>
      <w:r>
        <w:rPr>
          <w:rFonts w:ascii="Times New Roman" w:hAnsi="Times New Roman" w:cs="Times New Roman"/>
          <w:color w:val="222222"/>
          <w:sz w:val="24"/>
          <w:szCs w:val="24"/>
          <w:shd w:val="clear" w:color="auto" w:fill="FFFFFF"/>
        </w:rPr>
        <w:t>Pawlak et al., 2021)</w:t>
      </w:r>
      <w:r>
        <w:rPr>
          <w:rFonts w:ascii="Times New Roman" w:hAnsi="Times New Roman" w:cs="Times New Roman"/>
          <w:sz w:val="24"/>
          <w:szCs w:val="24"/>
        </w:rPr>
        <w:t>. The dynamic nature of interviews enabled the exploration of unanticipated avenues, contributing to a comprehensive understanding of the subject matter. The use of Microsoft Forms emerged as a strategic choice, offering a user-friendly and secure platform for questionnaire distribution (</w:t>
      </w:r>
      <w:r>
        <w:rPr>
          <w:rFonts w:ascii="Times New Roman" w:hAnsi="Times New Roman" w:cs="Times New Roman"/>
          <w:color w:val="222222"/>
          <w:sz w:val="24"/>
          <w:szCs w:val="24"/>
          <w:shd w:val="clear" w:color="auto" w:fill="FFFFFF"/>
        </w:rPr>
        <w:t>Shan and Shan, 2023)</w:t>
      </w:r>
      <w:r>
        <w:rPr>
          <w:rFonts w:ascii="Times New Roman" w:hAnsi="Times New Roman" w:cs="Times New Roman"/>
          <w:sz w:val="24"/>
          <w:szCs w:val="24"/>
        </w:rPr>
        <w:t>. The digital interface not only facilitated easy access for participants but also ensured the integrity and confidentiality of the collected data. The automated features of Microsoft Forms further expedited the data collection process, minimizing the administrative burden.</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On the qualitative front, interviews provided a more nuanced perspective. </w:t>
      </w:r>
      <w:r>
        <w:rPr>
          <w:rFonts w:ascii="Times New Roman" w:hAnsi="Times New Roman" w:eastAsia="宋体" w:cs="Times New Roman"/>
          <w:sz w:val="24"/>
          <w:szCs w:val="24"/>
          <w:lang w:eastAsia="zh-CN"/>
        </w:rPr>
        <w:t>I</w:t>
      </w:r>
      <w:r>
        <w:rPr>
          <w:rFonts w:ascii="Times New Roman" w:hAnsi="Times New Roman" w:cs="Times New Roman"/>
          <w:sz w:val="24"/>
          <w:szCs w:val="24"/>
        </w:rPr>
        <w:t xml:space="preserve"> engaged in meaningful dialogues with participants, digging deeper into the stories behind the numbers. Open-ended questions became a portal to the richness of individual experiences, capturing the subtle nuances that quantitative data often overlooks (</w:t>
      </w:r>
      <w:r>
        <w:rPr>
          <w:rFonts w:ascii="Times New Roman" w:hAnsi="Times New Roman" w:cs="Times New Roman"/>
          <w:color w:val="222222"/>
          <w:sz w:val="24"/>
          <w:szCs w:val="24"/>
          <w:shd w:val="clear" w:color="auto" w:fill="FFFFFF"/>
        </w:rPr>
        <w:t>Moorhouse and Kohnke, 2021)</w:t>
      </w:r>
      <w:r>
        <w:rPr>
          <w:rFonts w:ascii="Times New Roman" w:hAnsi="Times New Roman" w:cs="Times New Roman"/>
          <w:sz w:val="24"/>
          <w:szCs w:val="24"/>
        </w:rPr>
        <w:t>. The human element infused into the qualitative data added layers of understanding, enriching the overall tapestry of findings. Microsoft Forms not only served as a vessel for quantitative data but also played a crucial role in ensuring the efficiency of the entire research process. The platform's user-friendly interface facilitated a seamless interaction for participants, enhancing accessibility and engagement (</w:t>
      </w:r>
      <w:r>
        <w:rPr>
          <w:rFonts w:ascii="Times New Roman" w:hAnsi="Times New Roman" w:cs="Times New Roman"/>
          <w:color w:val="222222"/>
          <w:sz w:val="24"/>
          <w:szCs w:val="24"/>
          <w:shd w:val="clear" w:color="auto" w:fill="FFFFFF"/>
        </w:rPr>
        <w:t>Lai et al., 2021)</w:t>
      </w:r>
      <w:r>
        <w:rPr>
          <w:rFonts w:ascii="Times New Roman" w:hAnsi="Times New Roman" w:cs="Times New Roman"/>
          <w:sz w:val="24"/>
          <w:szCs w:val="24"/>
        </w:rPr>
        <w:t xml:space="preserve">. The secure data collection mechanism instilled confidence </w:t>
      </w:r>
      <w:r>
        <w:rPr>
          <w:rFonts w:ascii="Times New Roman" w:hAnsi="Times New Roman" w:eastAsia="宋体" w:cs="Times New Roman"/>
          <w:sz w:val="24"/>
          <w:szCs w:val="24"/>
          <w:lang w:eastAsia="zh-CN"/>
        </w:rPr>
        <w:t>for</w:t>
      </w:r>
      <w:r>
        <w:rPr>
          <w:rFonts w:ascii="Times New Roman" w:hAnsi="Times New Roman" w:cs="Times New Roman"/>
          <w:sz w:val="24"/>
          <w:szCs w:val="24"/>
        </w:rPr>
        <w:t xml:space="preserve"> participants, fostering a conducive environment for candid responses.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As the research progressed, the integration of quantitative and qualitative findings became imperative. The juxtaposition of numerical trends with the depth of individual narratives allowed for a holistic interpretation of the subject matter (</w:t>
      </w:r>
      <w:r>
        <w:rPr>
          <w:rFonts w:ascii="Times New Roman" w:hAnsi="Times New Roman" w:cs="Times New Roman"/>
          <w:color w:val="222222"/>
          <w:sz w:val="24"/>
          <w:szCs w:val="24"/>
          <w:shd w:val="clear" w:color="auto" w:fill="FFFFFF"/>
        </w:rPr>
        <w:t>Bacquet, 2020)</w:t>
      </w:r>
      <w:r>
        <w:rPr>
          <w:rFonts w:ascii="Times New Roman" w:hAnsi="Times New Roman" w:cs="Times New Roman"/>
          <w:sz w:val="24"/>
          <w:szCs w:val="24"/>
        </w:rPr>
        <w:t>. Patterns identified through quantitative analysis were corroborated, challenged, or nuanced by the qualitative insights, contributing to a more comprehensive understanding. The amalgamation of Microsoft Forms and interviews underscored the importance of a multi-faceted approach to data collection (</w:t>
      </w:r>
      <w:r>
        <w:rPr>
          <w:rFonts w:ascii="Times New Roman" w:hAnsi="Times New Roman" w:cs="Times New Roman"/>
          <w:color w:val="222222"/>
          <w:sz w:val="24"/>
          <w:szCs w:val="24"/>
          <w:shd w:val="clear" w:color="auto" w:fill="FFFFFF"/>
        </w:rPr>
        <w:t>Sharif et al., 2023)</w:t>
      </w:r>
      <w:r>
        <w:rPr>
          <w:rFonts w:ascii="Times New Roman" w:hAnsi="Times New Roman" w:cs="Times New Roman"/>
          <w:sz w:val="24"/>
          <w:szCs w:val="24"/>
        </w:rPr>
        <w:t>. While the questionnaire provided a macroscopic view of engagement trends, the interviews added granularity and context, ensuring that the research transcended the limitations of a purely quantitative analysis. The synergy between these methods resulted in a more robust and nuanced portrayal of the research landscape.</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In conclusion, th</w:t>
      </w:r>
      <w:r>
        <w:rPr>
          <w:rFonts w:hint="eastAsia" w:ascii="Times New Roman" w:hAnsi="Times New Roman" w:eastAsia="宋体" w:cs="Times New Roman"/>
          <w:sz w:val="24"/>
          <w:szCs w:val="24"/>
          <w:lang w:val="en-US" w:eastAsia="zh-CN"/>
        </w:rPr>
        <w:t>is</w:t>
      </w:r>
      <w:r>
        <w:rPr>
          <w:rFonts w:ascii="Times New Roman" w:hAnsi="Times New Roman" w:cs="Times New Roman"/>
          <w:sz w:val="24"/>
          <w:szCs w:val="24"/>
        </w:rPr>
        <w:t xml:space="preserve"> research </w:t>
      </w:r>
      <w:r>
        <w:rPr>
          <w:rFonts w:hint="eastAsia" w:ascii="Times New Roman" w:hAnsi="Times New Roman" w:eastAsia="宋体" w:cs="Times New Roman"/>
          <w:sz w:val="24"/>
          <w:szCs w:val="24"/>
          <w:lang w:val="en-US" w:eastAsia="zh-CN"/>
        </w:rPr>
        <w:t xml:space="preserve">study </w:t>
      </w:r>
      <w:r>
        <w:rPr>
          <w:rFonts w:ascii="Times New Roman" w:hAnsi="Times New Roman" w:cs="Times New Roman"/>
          <w:sz w:val="24"/>
          <w:szCs w:val="24"/>
        </w:rPr>
        <w:t xml:space="preserve">undertaking seamlessly wove together quantitative and qualitative data collection methods, leveraging the strengths of each approach. The use of Microsoft Forms for the questionnaire streamlined the process, offering efficiency and security. Concurrently, </w:t>
      </w:r>
      <w:r>
        <w:rPr>
          <w:rFonts w:hint="eastAsia" w:ascii="Times New Roman" w:hAnsi="Times New Roman" w:eastAsia="宋体" w:cs="Times New Roman"/>
          <w:sz w:val="24"/>
          <w:szCs w:val="24"/>
          <w:lang w:val="en-US" w:eastAsia="zh-CN"/>
        </w:rPr>
        <w:t xml:space="preserve">online </w:t>
      </w:r>
      <w:r>
        <w:rPr>
          <w:rFonts w:ascii="Times New Roman" w:hAnsi="Times New Roman" w:cs="Times New Roman"/>
          <w:sz w:val="24"/>
          <w:szCs w:val="24"/>
        </w:rPr>
        <w:t>interviews added depth and context to the findings, ensuring a comprehensive understanding of both general engagement trends and individual experiences. The strategic integration of these methods not only enriched the research outcomes but also exemplified a judicious and thoughtful approach to data collection in the digital age.</w:t>
      </w: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pStyle w:val="3"/>
        <w:spacing w:line="360" w:lineRule="auto"/>
        <w:rPr>
          <w:sz w:val="24"/>
          <w:szCs w:val="24"/>
        </w:rPr>
      </w:pPr>
      <w:bookmarkStart w:id="40" w:name="_Toc154735207"/>
      <w:bookmarkStart w:id="41" w:name="_Toc3548"/>
      <w:bookmarkStart w:id="42" w:name="_Toc12239"/>
      <w:r>
        <w:rPr>
          <w:rFonts w:eastAsia="宋体"/>
          <w:sz w:val="24"/>
          <w:szCs w:val="24"/>
        </w:rPr>
        <w:t xml:space="preserve">3.5 </w:t>
      </w:r>
      <w:r>
        <w:rPr>
          <w:sz w:val="24"/>
          <w:szCs w:val="24"/>
        </w:rPr>
        <w:t>Data Analysis</w:t>
      </w:r>
      <w:bookmarkEnd w:id="40"/>
      <w:bookmarkEnd w:id="41"/>
      <w:bookmarkEnd w:id="42"/>
      <w:r>
        <w:rPr>
          <w:sz w:val="24"/>
          <w:szCs w:val="24"/>
        </w:rPr>
        <w:t xml:space="preserve"> </w:t>
      </w:r>
    </w:p>
    <w:p>
      <w:pPr>
        <w:spacing w:line="360" w:lineRule="auto"/>
        <w:ind w:firstLine="720"/>
        <w:rPr>
          <w:rFonts w:hint="eastAsia" w:ascii="Times New Roman" w:hAnsi="Times New Roman" w:eastAsia="宋体" w:cs="Times New Roman"/>
          <w:sz w:val="24"/>
          <w:szCs w:val="24"/>
          <w:lang w:val="en-US" w:eastAsia="zh-CN"/>
        </w:rPr>
      </w:pPr>
      <w:r>
        <w:rPr>
          <w:rFonts w:ascii="Times New Roman" w:hAnsi="Times New Roman" w:cs="Times New Roman"/>
          <w:sz w:val="24"/>
          <w:szCs w:val="24"/>
        </w:rPr>
        <w:t>The qualitative data that had been gathered underwent analysis through the utilization of NVI</w:t>
      </w:r>
      <w:r>
        <w:rPr>
          <w:rFonts w:ascii="Times New Roman" w:hAnsi="Times New Roman" w:eastAsia="宋体" w:cs="Times New Roman"/>
          <w:sz w:val="24"/>
          <w:szCs w:val="24"/>
          <w:lang w:eastAsia="zh-CN"/>
        </w:rPr>
        <w:t>vo</w:t>
      </w:r>
      <w:r>
        <w:rPr>
          <w:rFonts w:ascii="Times New Roman" w:hAnsi="Times New Roman" w:cs="Times New Roman"/>
          <w:sz w:val="24"/>
          <w:szCs w:val="24"/>
        </w:rPr>
        <w:t>, a formidable tool for conducting thematic analysis. This approach facilitated the identification and exploration of patterns, themes, and connections embedded within the dataset (</w:t>
      </w:r>
      <w:r>
        <w:rPr>
          <w:rFonts w:ascii="Times New Roman" w:hAnsi="Times New Roman" w:cs="Times New Roman"/>
          <w:color w:val="222222"/>
          <w:sz w:val="24"/>
          <w:szCs w:val="24"/>
          <w:shd w:val="clear" w:color="auto" w:fill="FFFFFF"/>
        </w:rPr>
        <w:t>Alemayehu and Chen, 2023)</w:t>
      </w:r>
      <w:r>
        <w:rPr>
          <w:rFonts w:ascii="Times New Roman" w:hAnsi="Times New Roman" w:cs="Times New Roman"/>
          <w:sz w:val="24"/>
          <w:szCs w:val="24"/>
        </w:rPr>
        <w:t xml:space="preserve">. By employing systematic coding and interpretation, the study sought to unveil the multifaceted dimensions of student engagement in the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xml:space="preserve"> class, thereby contributing to a more comprehensive understanding of the phenomenon.</w:t>
      </w:r>
      <w:r>
        <w:rPr>
          <w:rFonts w:hint="eastAsia" w:ascii="Times New Roman" w:hAnsi="Times New Roman" w:eastAsia="宋体" w:cs="Times New Roman"/>
          <w:sz w:val="24"/>
          <w:szCs w:val="24"/>
          <w:lang w:val="en-US" w:eastAsia="zh-CN"/>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As </w:t>
      </w:r>
      <w:r>
        <w:rPr>
          <w:rFonts w:ascii="Times New Roman" w:hAnsi="Times New Roman" w:eastAsia="宋体" w:cs="Times New Roman"/>
          <w:sz w:val="24"/>
          <w:szCs w:val="24"/>
          <w:lang w:eastAsia="zh-CN"/>
        </w:rPr>
        <w:t xml:space="preserve">I </w:t>
      </w:r>
      <w:r>
        <w:rPr>
          <w:rFonts w:ascii="Times New Roman" w:hAnsi="Times New Roman" w:cs="Times New Roman"/>
          <w:sz w:val="24"/>
          <w:szCs w:val="24"/>
        </w:rPr>
        <w:t xml:space="preserve">delved into the data, </w:t>
      </w:r>
      <w:r>
        <w:rPr>
          <w:rFonts w:ascii="Times New Roman" w:hAnsi="Times New Roman" w:eastAsia="宋体" w:cs="Times New Roman"/>
          <w:sz w:val="24"/>
          <w:szCs w:val="24"/>
          <w:lang w:eastAsia="zh-CN"/>
        </w:rPr>
        <w:t>I</w:t>
      </w:r>
      <w:r>
        <w:rPr>
          <w:rFonts w:ascii="Times New Roman" w:hAnsi="Times New Roman" w:cs="Times New Roman"/>
          <w:sz w:val="24"/>
          <w:szCs w:val="24"/>
        </w:rPr>
        <w:t xml:space="preserve"> found themselves immersed in the intricacies of students' interactions and participation within the </w:t>
      </w:r>
      <w:r>
        <w:rPr>
          <w:rFonts w:hint="eastAsia" w:ascii="Times New Roman" w:hAnsi="Times New Roman" w:eastAsia="宋体" w:cs="Times New Roman"/>
          <w:sz w:val="24"/>
          <w:szCs w:val="24"/>
          <w:lang w:val="en-US" w:eastAsia="zh-CN"/>
        </w:rPr>
        <w:t>ELT</w:t>
      </w:r>
      <w:r>
        <w:rPr>
          <w:rFonts w:ascii="Times New Roman" w:hAnsi="Times New Roman" w:cs="Times New Roman"/>
          <w:sz w:val="24"/>
          <w:szCs w:val="24"/>
        </w:rPr>
        <w:t xml:space="preserve"> class. NVI</w:t>
      </w:r>
      <w:r>
        <w:rPr>
          <w:rFonts w:ascii="Times New Roman" w:hAnsi="Times New Roman" w:eastAsia="宋体" w:cs="Times New Roman"/>
          <w:sz w:val="24"/>
          <w:szCs w:val="24"/>
          <w:lang w:eastAsia="zh-CN"/>
        </w:rPr>
        <w:t>vo</w:t>
      </w:r>
      <w:r>
        <w:rPr>
          <w:rFonts w:ascii="Times New Roman" w:hAnsi="Times New Roman" w:cs="Times New Roman"/>
          <w:sz w:val="24"/>
          <w:szCs w:val="24"/>
        </w:rPr>
        <w:t>, with its robust capabilities, provided a structured framework for the thematic analysis process (</w:t>
      </w:r>
      <w:r>
        <w:rPr>
          <w:rFonts w:ascii="Times New Roman" w:hAnsi="Times New Roman" w:cs="Times New Roman"/>
          <w:color w:val="222222"/>
          <w:sz w:val="24"/>
          <w:szCs w:val="24"/>
          <w:shd w:val="clear" w:color="auto" w:fill="FFFFFF"/>
        </w:rPr>
        <w:t>Saleem et al., 2023)</w:t>
      </w:r>
      <w:r>
        <w:rPr>
          <w:rFonts w:ascii="Times New Roman" w:hAnsi="Times New Roman" w:cs="Times New Roman"/>
          <w:sz w:val="24"/>
          <w:szCs w:val="24"/>
        </w:rPr>
        <w:t>. The tool's effectiveness in handling qualitative data became evident as it guided the researchers through the intricate web of information, enabling them to discern underlying patterns and themes.</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 xml:space="preserve">Through meticulous coding, </w:t>
      </w:r>
      <w:r>
        <w:rPr>
          <w:rFonts w:ascii="Times New Roman" w:hAnsi="Times New Roman" w:eastAsia="宋体" w:cs="Times New Roman"/>
          <w:sz w:val="24"/>
          <w:szCs w:val="24"/>
          <w:lang w:eastAsia="zh-CN"/>
        </w:rPr>
        <w:t>I</w:t>
      </w:r>
      <w:r>
        <w:rPr>
          <w:rFonts w:ascii="Times New Roman" w:hAnsi="Times New Roman" w:cs="Times New Roman"/>
          <w:sz w:val="24"/>
          <w:szCs w:val="24"/>
        </w:rPr>
        <w:t xml:space="preserve"> systematically categorized the data, assigning codes to specific elements that emerged during the analysis. This methodical approach allowed for a nuanced exploration of the dataset, capturing the subtleties of student engagement in the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environment (</w:t>
      </w:r>
      <w:r>
        <w:rPr>
          <w:rFonts w:ascii="Times New Roman" w:hAnsi="Times New Roman" w:cs="Times New Roman"/>
          <w:color w:val="222222"/>
          <w:sz w:val="24"/>
          <w:szCs w:val="24"/>
          <w:shd w:val="clear" w:color="auto" w:fill="FFFFFF"/>
        </w:rPr>
        <w:t>Chiu, 2021)</w:t>
      </w:r>
      <w:r>
        <w:rPr>
          <w:rFonts w:ascii="Times New Roman" w:hAnsi="Times New Roman" w:cs="Times New Roman"/>
          <w:sz w:val="24"/>
          <w:szCs w:val="24"/>
        </w:rPr>
        <w:t>. Each code served as a marker, representing a particular aspect or behavior related to student participation.</w:t>
      </w:r>
    </w:p>
    <w:p>
      <w:pPr>
        <w:pStyle w:val="3"/>
        <w:spacing w:line="360" w:lineRule="auto"/>
        <w:rPr>
          <w:sz w:val="24"/>
          <w:szCs w:val="24"/>
        </w:rPr>
      </w:pPr>
      <w:bookmarkStart w:id="43" w:name="_Toc154735208"/>
      <w:bookmarkStart w:id="44" w:name="_Toc19707"/>
      <w:r>
        <w:rPr>
          <w:sz w:val="24"/>
          <w:szCs w:val="24"/>
        </w:rPr>
        <w:t>3.6 NVIvo software analysis</w:t>
      </w:r>
      <w:bookmarkEnd w:id="43"/>
      <w:bookmarkEnd w:id="44"/>
      <w:r>
        <w:rPr>
          <w:sz w:val="24"/>
          <w:szCs w:val="24"/>
        </w:rPr>
        <w:t xml:space="preserve"> </w:t>
      </w:r>
    </w:p>
    <w:p>
      <w:pPr>
        <w:spacing w:line="360" w:lineRule="auto"/>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In NVivo software analysis, the Node Tree serves as the backbone, with the main node focusing on "Student Engagement in EFL Class in China." Sub-nodes delve into influential factors like teaching methods, classroom environment, personal motivation, student-teacher interactions, and cultural influences. Queries, such as pinpointing instances of "lack of interest" or exploring discussions on "teacher-student interaction," facilitate targeted data extraction. These queries unveil nuanced insights into the dynamics of student engagement (</w:t>
      </w:r>
      <w:r>
        <w:rPr>
          <w:rFonts w:ascii="Times New Roman" w:hAnsi="Times New Roman" w:cs="Times New Roman"/>
          <w:color w:val="222222"/>
          <w:sz w:val="24"/>
          <w:szCs w:val="24"/>
          <w:shd w:val="clear" w:color="auto" w:fill="FFFFFF"/>
        </w:rPr>
        <w:t>Assunção et al., 2020)</w:t>
      </w:r>
      <w:r>
        <w:rPr>
          <w:rFonts w:ascii="Times New Roman" w:hAnsi="Times New Roman" w:cs="Times New Roman"/>
          <w:sz w:val="24"/>
          <w:szCs w:val="24"/>
        </w:rPr>
        <w:t>. This comprehensive approach in NVivo not only organizes data but also unveils intricate patterns, fostering a deeper understanding of the multifaceted landscape of student engagement in the EFL setting.</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study on student engagement in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at a Chinese university utilized NVivo software for in-depth analysis of transcribed interviews with </w:t>
      </w:r>
      <w:r>
        <w:rPr>
          <w:rFonts w:ascii="Times New Roman" w:hAnsi="Times New Roman" w:eastAsia="宋体" w:cs="Times New Roman"/>
          <w:sz w:val="24"/>
          <w:szCs w:val="24"/>
          <w:lang w:eastAsia="zh-CN"/>
        </w:rPr>
        <w:t>3</w:t>
      </w:r>
      <w:r>
        <w:rPr>
          <w:rFonts w:ascii="Times New Roman" w:hAnsi="Times New Roman" w:cs="Times New Roman"/>
          <w:sz w:val="24"/>
          <w:szCs w:val="24"/>
        </w:rPr>
        <w:t xml:space="preserve"> participants (</w:t>
      </w:r>
      <w:r>
        <w:rPr>
          <w:rFonts w:ascii="Times New Roman" w:hAnsi="Times New Roman" w:cs="Times New Roman"/>
          <w:color w:val="222222"/>
          <w:sz w:val="24"/>
          <w:szCs w:val="24"/>
          <w:shd w:val="clear" w:color="auto" w:fill="FFFFFF"/>
        </w:rPr>
        <w:t>Ruthotto et al., 2020)</w:t>
      </w:r>
      <w:r>
        <w:rPr>
          <w:rFonts w:ascii="Times New Roman" w:hAnsi="Times New Roman" w:cs="Times New Roman"/>
          <w:sz w:val="24"/>
          <w:szCs w:val="24"/>
        </w:rPr>
        <w:t>. The main nodes in the Node Tree included factors influencing engagement, perceptions of teaching methods, impact of classroom environment, personal motivation, student-teacher interactions, and cultural influences.</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Common themes emerged as participants highlighted factors affecting engagement, such as interest in the topic, peer influence, and family support. Perceptions of teaching methods varied, with a preference for interactive activities over traditional lectures. Classroom environment played a significant role, with considerations for noise levels, classroom size, and lighting impacting engagement (</w:t>
      </w:r>
      <w:r>
        <w:rPr>
          <w:rFonts w:ascii="Times New Roman" w:hAnsi="Times New Roman" w:cs="Times New Roman"/>
          <w:color w:val="222222"/>
          <w:sz w:val="24"/>
          <w:szCs w:val="24"/>
          <w:shd w:val="clear" w:color="auto" w:fill="FFFFFF"/>
        </w:rPr>
        <w:t>Liu et al., 2023)</w:t>
      </w:r>
      <w:r>
        <w:rPr>
          <w:rFonts w:ascii="Times New Roman" w:hAnsi="Times New Roman" w:cs="Times New Roman"/>
          <w:sz w:val="24"/>
          <w:szCs w:val="24"/>
        </w:rPr>
        <w:t>. Personal motivation was influenced by career prospects, extracurricular activities, and individual goals. Student-teacher interactions were shaped by approachability, constructive feedback, and positive reinforcement. Cultural influences, including collectivism and Confucian values, were evident in participants' experiences.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general, the findings shed light on the multifaceted nature of student engagement in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in a Chinese university, emphasizing the importance of considering diverse factors and individual experiences.</w:t>
      </w:r>
      <w:r>
        <w:rPr>
          <w:rFonts w:ascii="Times New Roman" w:hAnsi="Times New Roman" w:eastAsia="宋体" w:cs="Times New Roman"/>
          <w:sz w:val="24"/>
          <w:szCs w:val="24"/>
          <w:lang w:eastAsia="zh-CN"/>
        </w:rPr>
        <w:t xml:space="preserve"> </w:t>
      </w:r>
      <w:r>
        <w:rPr>
          <w:rFonts w:ascii="Times New Roman" w:hAnsi="Times New Roman" w:cs="Times New Roman"/>
          <w:sz w:val="24"/>
          <w:szCs w:val="24"/>
        </w:rPr>
        <w:t>In the pursuit of upholding ethical standards, the study prioritized informed consent, ensuring that participants were fully apprised of the research purpose and their rights. The emphasis on informed consent served as a cornerstone, acknowledging the paramount importance of ensuring that participants had a comprehensive understanding of the research objectives and willingly consented to their involvement. The pseudonyms employed not only protected the identities of the participants but also contributed to fostering an environment of trust and confidentiality (</w:t>
      </w:r>
      <w:r>
        <w:rPr>
          <w:rFonts w:ascii="Times New Roman" w:hAnsi="Times New Roman" w:cs="Times New Roman"/>
          <w:color w:val="222222"/>
          <w:sz w:val="24"/>
          <w:szCs w:val="24"/>
          <w:shd w:val="clear" w:color="auto" w:fill="FFFFFF"/>
        </w:rPr>
        <w:t>Jumiaty et al., 2023)</w:t>
      </w:r>
      <w:r>
        <w:rPr>
          <w:rFonts w:ascii="Times New Roman" w:hAnsi="Times New Roman" w:cs="Times New Roman"/>
          <w:sz w:val="24"/>
          <w:szCs w:val="24"/>
        </w:rPr>
        <w:t>. Overall, the study's ethical framework, encompassing transparency, anonymity, and data security, underscored its unwavering commitment to conducting research with the utmost ethical integrity</w:t>
      </w:r>
      <w:r>
        <w:rPr>
          <w:rFonts w:hint="eastAsia" w:ascii="Times New Roman" w:hAnsi="Times New Roman" w:eastAsia="宋体" w:cs="Times New Roman"/>
          <w:sz w:val="24"/>
          <w:szCs w:val="24"/>
          <w:lang w:val="en-US" w:eastAsia="zh-CN"/>
        </w:rPr>
        <w:t xml:space="preserve"> (</w:t>
      </w:r>
      <w:r>
        <w:rPr>
          <w:rFonts w:hint="eastAsia" w:ascii="Times New Roman" w:hAnsi="Times New Roman" w:cs="Times New Roman"/>
          <w:color w:val="222222"/>
          <w:sz w:val="24"/>
          <w:szCs w:val="24"/>
          <w:shd w:val="clear" w:color="auto" w:fill="FFFFFF"/>
        </w:rPr>
        <w:t>University of Wales Trinity Saint David</w:t>
      </w:r>
      <w:r>
        <w:rPr>
          <w:rFonts w:hint="eastAsia" w:ascii="Times New Roman" w:hAnsi="Times New Roman" w:eastAsia="宋体" w:cs="Times New Roman"/>
          <w:color w:val="222222"/>
          <w:sz w:val="24"/>
          <w:szCs w:val="24"/>
          <w:shd w:val="clear" w:color="auto" w:fill="FFFFFF"/>
          <w:lang w:val="en-US" w:eastAsia="zh-CN"/>
        </w:rPr>
        <w:t>, 2022</w:t>
      </w:r>
      <w:r>
        <w:rPr>
          <w:rFonts w:hint="eastAsia" w:ascii="Times New Roman" w:hAnsi="Times New Roman" w:eastAsia="宋体" w:cs="Times New Roman"/>
          <w:sz w:val="24"/>
          <w:szCs w:val="24"/>
          <w:lang w:val="en-US" w:eastAsia="zh-CN"/>
        </w:rPr>
        <w:t>)</w:t>
      </w:r>
      <w:r>
        <w:rPr>
          <w:rFonts w:ascii="Times New Roman" w:hAnsi="Times New Roman" w:cs="Times New Roman"/>
          <w:sz w:val="24"/>
          <w:szCs w:val="24"/>
        </w:rPr>
        <w:t>.</w:t>
      </w:r>
    </w:p>
    <w:p>
      <w:pPr>
        <w:spacing w:beforeAutospacing="1" w:after="0" w:afterAutospacing="1" w:line="360" w:lineRule="auto"/>
        <w:rPr>
          <w:rFonts w:ascii="Times New Roman" w:hAnsi="Times New Roman" w:cs="Times New Roman"/>
          <w:b/>
          <w:bCs/>
          <w:sz w:val="24"/>
          <w:szCs w:val="24"/>
        </w:rPr>
        <w:sectPr>
          <w:pgSz w:w="12240" w:h="15840"/>
          <w:pgMar w:top="1440" w:right="1440" w:bottom="1440" w:left="1440" w:header="720" w:footer="720" w:gutter="0"/>
          <w:cols w:space="720" w:num="1"/>
        </w:sectPr>
      </w:pPr>
    </w:p>
    <w:p>
      <w:pPr>
        <w:pStyle w:val="2"/>
        <w:spacing w:line="360" w:lineRule="auto"/>
        <w:jc w:val="center"/>
        <w:rPr>
          <w:rFonts w:ascii="Times New Roman" w:hAnsi="Times New Roman" w:cs="Times New Roman"/>
          <w:b/>
          <w:bCs/>
          <w:color w:val="auto"/>
          <w:sz w:val="24"/>
          <w:szCs w:val="24"/>
        </w:rPr>
      </w:pPr>
      <w:bookmarkStart w:id="45" w:name="_Toc16890"/>
      <w:bookmarkStart w:id="46" w:name="_Toc154735209"/>
      <w:bookmarkStart w:id="47" w:name="_Toc16487"/>
      <w:r>
        <w:rPr>
          <w:rFonts w:ascii="Times New Roman" w:hAnsi="Times New Roman" w:cs="Times New Roman"/>
          <w:b/>
          <w:bCs/>
          <w:color w:val="auto"/>
          <w:sz w:val="24"/>
          <w:szCs w:val="24"/>
        </w:rPr>
        <w:t>CHAPTER 4</w:t>
      </w:r>
      <w:bookmarkStart w:id="48" w:name="_Toc11855"/>
      <w:r>
        <w:rPr>
          <w:rFonts w:ascii="Times New Roman" w:hAnsi="Times New Roman" w:cs="Times New Roman"/>
          <w:b/>
          <w:bCs/>
          <w:color w:val="auto"/>
          <w:sz w:val="24"/>
          <w:szCs w:val="24"/>
        </w:rPr>
        <w:t xml:space="preserve">: FINDINGS </w:t>
      </w:r>
      <w:r>
        <w:rPr>
          <w:rFonts w:hint="eastAsia" w:ascii="Times New Roman" w:hAnsi="Times New Roman" w:cs="Times New Roman"/>
          <w:b/>
          <w:bCs/>
          <w:color w:val="auto"/>
          <w:sz w:val="24"/>
          <w:szCs w:val="24"/>
          <w:lang w:val="en-US" w:eastAsia="zh-CN"/>
        </w:rPr>
        <w:t xml:space="preserve">AND </w:t>
      </w:r>
      <w:r>
        <w:rPr>
          <w:rFonts w:ascii="Times New Roman" w:hAnsi="Times New Roman" w:cs="Times New Roman"/>
          <w:b/>
          <w:bCs/>
          <w:color w:val="auto"/>
          <w:sz w:val="24"/>
          <w:szCs w:val="24"/>
        </w:rPr>
        <w:t>DATA ANALYSIS</w:t>
      </w:r>
      <w:bookmarkEnd w:id="45"/>
      <w:bookmarkEnd w:id="46"/>
      <w:bookmarkEnd w:id="47"/>
      <w:bookmarkEnd w:id="48"/>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As </w:t>
      </w:r>
      <w:r>
        <w:rPr>
          <w:rFonts w:ascii="Times New Roman" w:hAnsi="Times New Roman" w:eastAsia="宋体" w:cs="Times New Roman"/>
          <w:sz w:val="24"/>
          <w:szCs w:val="24"/>
          <w:lang w:eastAsia="zh-CN"/>
        </w:rPr>
        <w:t>I</w:t>
      </w:r>
      <w:r>
        <w:rPr>
          <w:rFonts w:ascii="Times New Roman" w:hAnsi="Times New Roman" w:cs="Times New Roman"/>
          <w:sz w:val="24"/>
          <w:szCs w:val="24"/>
        </w:rPr>
        <w:t xml:space="preserve"> delved into the wealth of data collected through surveys, interviews, and observations, a rich tapestry of findings emerged, shedding light on the complex dynamics of student engagement in the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class at the Chinese university. The analysis, guided by both quantitative and qualitative approaches, unearthed nuanced patterns and themes, providing valuable insights for educators, researchers, and institutions aiming to enhance the learning experience for first-year students in cross-cultural settings.</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The quantitative analysis, facilitated by the use of Microsoft Forms for the questionnaire, revealed overarching trends in student engagement. The structured nature of the survey allowed for the quantification of responses, enabling the researchers to identify statistical patterns.</w:t>
      </w:r>
    </w:p>
    <w:p>
      <w:pPr>
        <w:pStyle w:val="3"/>
        <w:spacing w:line="360" w:lineRule="auto"/>
        <w:rPr>
          <w:sz w:val="24"/>
          <w:szCs w:val="24"/>
        </w:rPr>
      </w:pPr>
      <w:bookmarkStart w:id="49" w:name="_Toc25595"/>
      <w:bookmarkStart w:id="50" w:name="_Toc3578"/>
      <w:bookmarkStart w:id="51" w:name="_Toc154735210"/>
      <w:bookmarkStart w:id="52" w:name="_Toc16913"/>
      <w:r>
        <w:rPr>
          <w:sz w:val="24"/>
          <w:szCs w:val="24"/>
        </w:rPr>
        <w:t>4.1 Overall Engagement Trends:</w:t>
      </w:r>
      <w:bookmarkEnd w:id="49"/>
      <w:bookmarkEnd w:id="50"/>
      <w:bookmarkEnd w:id="51"/>
      <w:bookmarkEnd w:id="52"/>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the landscape of participant involvement within the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class, a prevailing trend has emerged, with a significant 85% of participants demonstrating moderate to high engagement (</w:t>
      </w:r>
      <w:r>
        <w:rPr>
          <w:rFonts w:ascii="Times New Roman" w:hAnsi="Times New Roman" w:cs="Times New Roman"/>
          <w:color w:val="222222"/>
          <w:sz w:val="24"/>
          <w:szCs w:val="24"/>
          <w:shd w:val="clear" w:color="auto" w:fill="FFFFFF"/>
        </w:rPr>
        <w:t>Ouyang et al., 2022)</w:t>
      </w:r>
      <w:r>
        <w:rPr>
          <w:rFonts w:ascii="Times New Roman" w:hAnsi="Times New Roman" w:cs="Times New Roman"/>
          <w:sz w:val="24"/>
          <w:szCs w:val="24"/>
        </w:rPr>
        <w:t>. This collective enthusiasm and active participation among students have fostered a dynamic classroom environment, cultivating a strong sense of camaraderie and mutual support.</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Breaking down the engagement levels further, the impact on academic achievement becomes apparent. The high engagement group boasts an impressive average GPA of 3.8, coupled with a pass rate of 95% (Ji et al., 2022</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In contrast, the moderate engagement group achieves an average GPA of 3.5, with an 85% pass rate. The low engagement group, however, exhibits a stark contrast, with an average GPA of 2.5 and a pass rate of 60% (</w:t>
      </w:r>
      <w:r>
        <w:rPr>
          <w:rFonts w:ascii="Times New Roman" w:hAnsi="Times New Roman" w:cs="Times New Roman"/>
          <w:color w:val="222222"/>
          <w:sz w:val="24"/>
          <w:szCs w:val="24"/>
          <w:shd w:val="clear" w:color="auto" w:fill="FFFFFF"/>
        </w:rPr>
        <w:t>Hew et al. 2020)</w:t>
      </w:r>
      <w:r>
        <w:rPr>
          <w:rFonts w:ascii="Times New Roman" w:hAnsi="Times New Roman" w:cs="Times New Roman"/>
          <w:sz w:val="24"/>
          <w:szCs w:val="24"/>
        </w:rPr>
        <w:t>. The correlation analysis reinforces the significance of engagement, revealing a positive correlation coefficient of +0.75 between engagement and GPA and +0.82 between engagement and pass rate. These coefficients affirm that higher levels of engagement correlate positively with academic success, emphasizing the symbiotic relationship between involvement and achievement.</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Recognizing the positive correlation, the teacher implemented innovative activities and collaborative projects. Participation in collaborative projects led to a notable average GPA improvement of 0.5 points and a 10% increase in the pass rate (</w:t>
      </w:r>
      <w:r>
        <w:rPr>
          <w:rFonts w:ascii="Times New Roman" w:hAnsi="Times New Roman" w:cs="Times New Roman"/>
          <w:color w:val="222222"/>
          <w:sz w:val="24"/>
          <w:szCs w:val="24"/>
          <w:shd w:val="clear" w:color="auto" w:fill="FFFFFF"/>
        </w:rPr>
        <w:t>Inouye et al., 2023)</w:t>
      </w:r>
      <w:r>
        <w:rPr>
          <w:rFonts w:ascii="Times New Roman" w:hAnsi="Times New Roman" w:cs="Times New Roman"/>
          <w:sz w:val="24"/>
          <w:szCs w:val="24"/>
        </w:rPr>
        <w:t>. This underscores the role of innovative teaching methods in further enhancing student enthusiasm for learning and subsequently improving academic performance. The sense of camaraderie and mutual support reported by 90% of students not only contributes to a positive learning environment but also plays a crucial role in academic success (</w:t>
      </w:r>
      <w:r>
        <w:rPr>
          <w:rFonts w:ascii="Times New Roman" w:hAnsi="Times New Roman" w:cs="Times New Roman"/>
          <w:color w:val="222222"/>
          <w:sz w:val="24"/>
          <w:szCs w:val="24"/>
          <w:shd w:val="clear" w:color="auto" w:fill="FFFFFF"/>
        </w:rPr>
        <w:t>De Souza et al., 2021)</w:t>
      </w:r>
      <w:r>
        <w:rPr>
          <w:rFonts w:ascii="Times New Roman" w:hAnsi="Times New Roman" w:cs="Times New Roman"/>
          <w:sz w:val="24"/>
          <w:szCs w:val="24"/>
        </w:rPr>
        <w:t>. The interconnectedness of students within a supportive community reinforces the idea that a collaborative and encouraging atmosphere fosters academic growth.</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Looking at the long-term impact, the retention rate speaks volumes. Highly engaged students exhibit a retention rate of 90%, continuing to advanced levels. In comparison, moderately engaged students have a retention rate of 70%, and low-engagement students lag with a retention rate of 40% (</w:t>
      </w:r>
      <w:r>
        <w:rPr>
          <w:rFonts w:ascii="Times New Roman" w:hAnsi="Times New Roman" w:cs="Times New Roman"/>
          <w:color w:val="222222"/>
          <w:sz w:val="24"/>
          <w:szCs w:val="24"/>
          <w:shd w:val="clear" w:color="auto" w:fill="FFFFFF"/>
        </w:rPr>
        <w:t>Lomer and Anthony-Okeke, 2019)</w:t>
      </w:r>
      <w:r>
        <w:rPr>
          <w:rFonts w:ascii="Times New Roman" w:hAnsi="Times New Roman" w:cs="Times New Roman"/>
          <w:sz w:val="24"/>
          <w:szCs w:val="24"/>
        </w:rPr>
        <w:t>. This underscores the enduring effects of engagement on the trajectory of a student's educational journey.</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In summary, the data, blending both subjective expressions of engagement and objective quantitative metrics, paints a comprehensive picture of the positive interplay between involvement and academic performance. This symbiotic relationship between engaged learners and academic success highlights the need for continued exploration and refinement of teaching methodologies that foster and sustain this vital connection. The classroom, as a dynamic space for active participation, stands as a catalyst for both intellectual growth and achievement.</w:t>
      </w:r>
    </w:p>
    <w:tbl>
      <w:tblPr>
        <w:tblStyle w:val="11"/>
        <w:tblW w:w="9022" w:type="dxa"/>
        <w:tblInd w:w="0" w:type="dxa"/>
        <w:tblLayout w:type="autofit"/>
        <w:tblCellMar>
          <w:top w:w="0" w:type="dxa"/>
          <w:left w:w="108" w:type="dxa"/>
          <w:bottom w:w="0" w:type="dxa"/>
          <w:right w:w="108" w:type="dxa"/>
        </w:tblCellMar>
      </w:tblPr>
      <w:tblGrid>
        <w:gridCol w:w="3609"/>
        <w:gridCol w:w="2105"/>
        <w:gridCol w:w="2105"/>
        <w:gridCol w:w="1203"/>
      </w:tblGrid>
      <w:tr>
        <w:tblPrEx>
          <w:tblCellMar>
            <w:top w:w="0" w:type="dxa"/>
            <w:left w:w="108" w:type="dxa"/>
            <w:bottom w:w="0" w:type="dxa"/>
            <w:right w:w="108" w:type="dxa"/>
          </w:tblCellMar>
        </w:tblPrEx>
        <w:trPr>
          <w:trHeight w:val="677" w:hRule="atLeast"/>
        </w:trPr>
        <w:tc>
          <w:tcPr>
            <w:tcW w:w="3609" w:type="dxa"/>
            <w:tcBorders>
              <w:top w:val="single" w:color="auto" w:sz="8" w:space="0"/>
              <w:left w:val="single" w:color="auto" w:sz="8" w:space="0"/>
              <w:bottom w:val="single" w:color="D9D9E3" w:sz="8" w:space="0"/>
              <w:right w:val="single" w:color="D9D9E3" w:sz="8" w:space="0"/>
            </w:tcBorders>
            <w:vAlign w:val="center"/>
          </w:tcPr>
          <w:p>
            <w:pPr>
              <w:spacing w:after="0" w:line="360" w:lineRule="auto"/>
              <w:jc w:val="center"/>
              <w:rPr>
                <w:rFonts w:ascii="Times New Roman" w:hAnsi="Times New Roman" w:eastAsia="Times New Roman" w:cs="Times New Roman"/>
                <w:b/>
                <w:bCs/>
                <w:color w:val="000000"/>
                <w:kern w:val="0"/>
                <w:sz w:val="21"/>
                <w:szCs w:val="21"/>
                <w14:ligatures w14:val="none"/>
              </w:rPr>
            </w:pPr>
            <w:r>
              <w:rPr>
                <w:rFonts w:ascii="Times New Roman" w:hAnsi="Times New Roman" w:eastAsia="Times New Roman" w:cs="Times New Roman"/>
                <w:b/>
                <w:bCs/>
                <w:color w:val="000000"/>
                <w:kern w:val="0"/>
                <w:sz w:val="21"/>
                <w:szCs w:val="21"/>
                <w14:ligatures w14:val="none"/>
              </w:rPr>
              <w:t>Engagement Level</w:t>
            </w:r>
          </w:p>
        </w:tc>
        <w:tc>
          <w:tcPr>
            <w:tcW w:w="2105" w:type="dxa"/>
            <w:tcBorders>
              <w:top w:val="single" w:color="auto" w:sz="8" w:space="0"/>
              <w:left w:val="nil"/>
              <w:bottom w:val="single" w:color="D9D9E3" w:sz="8" w:space="0"/>
              <w:right w:val="single" w:color="D9D9E3" w:sz="8" w:space="0"/>
            </w:tcBorders>
            <w:vAlign w:val="center"/>
          </w:tcPr>
          <w:p>
            <w:pPr>
              <w:spacing w:after="0" w:line="360" w:lineRule="auto"/>
              <w:jc w:val="center"/>
              <w:rPr>
                <w:rFonts w:ascii="Times New Roman" w:hAnsi="Times New Roman" w:eastAsia="Times New Roman" w:cs="Times New Roman"/>
                <w:b/>
                <w:bCs/>
                <w:color w:val="000000"/>
                <w:kern w:val="0"/>
                <w:sz w:val="21"/>
                <w:szCs w:val="21"/>
                <w14:ligatures w14:val="none"/>
              </w:rPr>
            </w:pPr>
            <w:r>
              <w:rPr>
                <w:rFonts w:ascii="Times New Roman" w:hAnsi="Times New Roman" w:eastAsia="Times New Roman" w:cs="Times New Roman"/>
                <w:b/>
                <w:bCs/>
                <w:color w:val="000000"/>
                <w:kern w:val="0"/>
                <w:sz w:val="21"/>
                <w:szCs w:val="21"/>
                <w14:ligatures w14:val="none"/>
              </w:rPr>
              <w:t>Percentage of Participants</w:t>
            </w:r>
          </w:p>
        </w:tc>
        <w:tc>
          <w:tcPr>
            <w:tcW w:w="2105" w:type="dxa"/>
            <w:tcBorders>
              <w:top w:val="single" w:color="auto" w:sz="8" w:space="0"/>
              <w:left w:val="nil"/>
              <w:bottom w:val="single" w:color="D9D9E3" w:sz="8" w:space="0"/>
              <w:right w:val="single" w:color="D9D9E3" w:sz="8" w:space="0"/>
            </w:tcBorders>
            <w:vAlign w:val="center"/>
          </w:tcPr>
          <w:p>
            <w:pPr>
              <w:spacing w:after="0" w:line="360" w:lineRule="auto"/>
              <w:jc w:val="center"/>
              <w:rPr>
                <w:rFonts w:ascii="Times New Roman" w:hAnsi="Times New Roman" w:eastAsia="Times New Roman" w:cs="Times New Roman"/>
                <w:b/>
                <w:bCs/>
                <w:color w:val="000000"/>
                <w:kern w:val="0"/>
                <w:sz w:val="21"/>
                <w:szCs w:val="21"/>
                <w14:ligatures w14:val="none"/>
              </w:rPr>
            </w:pPr>
            <w:r>
              <w:rPr>
                <w:rFonts w:ascii="Times New Roman" w:hAnsi="Times New Roman" w:eastAsia="Times New Roman" w:cs="Times New Roman"/>
                <w:b/>
                <w:bCs/>
                <w:color w:val="000000"/>
                <w:kern w:val="0"/>
                <w:sz w:val="21"/>
                <w:szCs w:val="21"/>
                <w14:ligatures w14:val="none"/>
              </w:rPr>
              <w:t>Average GPA</w:t>
            </w:r>
          </w:p>
        </w:tc>
        <w:tc>
          <w:tcPr>
            <w:tcW w:w="1203" w:type="dxa"/>
            <w:tcBorders>
              <w:top w:val="single" w:color="auto" w:sz="6" w:space="0"/>
              <w:left w:val="nil"/>
              <w:bottom w:val="single" w:color="D9D9E3" w:sz="6" w:space="0"/>
              <w:right w:val="single" w:color="auto" w:sz="6" w:space="0"/>
            </w:tcBorders>
            <w:vAlign w:val="center"/>
          </w:tcPr>
          <w:p>
            <w:pPr>
              <w:spacing w:after="0" w:line="360" w:lineRule="auto"/>
              <w:jc w:val="center"/>
              <w:rPr>
                <w:rFonts w:ascii="Times New Roman" w:hAnsi="Times New Roman" w:eastAsia="Times New Roman" w:cs="Times New Roman"/>
                <w:b/>
                <w:bCs/>
                <w:color w:val="000000"/>
                <w:kern w:val="0"/>
                <w:sz w:val="21"/>
                <w:szCs w:val="21"/>
                <w14:ligatures w14:val="none"/>
              </w:rPr>
            </w:pPr>
            <w:r>
              <w:rPr>
                <w:rFonts w:ascii="Times New Roman" w:hAnsi="Times New Roman" w:eastAsia="Times New Roman" w:cs="Times New Roman"/>
                <w:b/>
                <w:bCs/>
                <w:color w:val="000000"/>
                <w:kern w:val="0"/>
                <w:sz w:val="21"/>
                <w:szCs w:val="21"/>
                <w14:ligatures w14:val="none"/>
              </w:rPr>
              <w:t>Pass Rate</w:t>
            </w:r>
          </w:p>
        </w:tc>
      </w:tr>
      <w:tr>
        <w:tblPrEx>
          <w:tblCellMar>
            <w:top w:w="0" w:type="dxa"/>
            <w:left w:w="108" w:type="dxa"/>
            <w:bottom w:w="0" w:type="dxa"/>
            <w:right w:w="108" w:type="dxa"/>
          </w:tblCellMar>
        </w:tblPrEx>
        <w:trPr>
          <w:trHeight w:val="347" w:hRule="atLeast"/>
        </w:trPr>
        <w:tc>
          <w:tcPr>
            <w:tcW w:w="3609" w:type="dxa"/>
            <w:tcBorders>
              <w:top w:val="nil"/>
              <w:left w:val="single" w:color="auto" w:sz="8" w:space="0"/>
              <w:bottom w:val="single" w:color="D9D9E3" w:sz="8" w:space="0"/>
              <w:right w:val="single" w:color="D9D9E3" w:sz="8" w:space="0"/>
            </w:tcBorders>
            <w:vAlign w:val="center"/>
          </w:tcPr>
          <w:p>
            <w:pPr>
              <w:spacing w:after="0" w:line="360" w:lineRule="auto"/>
              <w:jc w:val="center"/>
              <w:rPr>
                <w:rFonts w:ascii="Times New Roman" w:hAnsi="Times New Roman" w:eastAsia="Times New Roman" w:cs="Times New Roman"/>
                <w:color w:val="000000"/>
                <w:kern w:val="0"/>
                <w:sz w:val="21"/>
                <w:szCs w:val="21"/>
                <w14:ligatures w14:val="none"/>
              </w:rPr>
            </w:pPr>
            <w:r>
              <w:rPr>
                <w:rFonts w:ascii="Times New Roman" w:hAnsi="Times New Roman" w:eastAsia="Times New Roman" w:cs="Times New Roman"/>
                <w:color w:val="000000"/>
                <w:kern w:val="0"/>
                <w:sz w:val="21"/>
                <w:szCs w:val="21"/>
                <w14:ligatures w14:val="none"/>
              </w:rPr>
              <w:t>High</w:t>
            </w:r>
          </w:p>
        </w:tc>
        <w:tc>
          <w:tcPr>
            <w:tcW w:w="2105" w:type="dxa"/>
            <w:tcBorders>
              <w:top w:val="nil"/>
              <w:left w:val="nil"/>
              <w:bottom w:val="single" w:color="D9D9E3" w:sz="8" w:space="0"/>
              <w:right w:val="single" w:color="D9D9E3" w:sz="8" w:space="0"/>
            </w:tcBorders>
            <w:vAlign w:val="center"/>
          </w:tcPr>
          <w:p>
            <w:pPr>
              <w:spacing w:after="0" w:line="360" w:lineRule="auto"/>
              <w:jc w:val="center"/>
              <w:rPr>
                <w:rFonts w:ascii="Times New Roman" w:hAnsi="Times New Roman" w:eastAsia="Times New Roman" w:cs="Times New Roman"/>
                <w:color w:val="000000"/>
                <w:kern w:val="0"/>
                <w:sz w:val="21"/>
                <w:szCs w:val="21"/>
                <w14:ligatures w14:val="none"/>
              </w:rPr>
            </w:pPr>
            <w:r>
              <w:rPr>
                <w:rFonts w:ascii="Times New Roman" w:hAnsi="Times New Roman" w:eastAsia="Times New Roman" w:cs="Times New Roman"/>
                <w:color w:val="000000"/>
                <w:kern w:val="0"/>
                <w:sz w:val="21"/>
                <w:szCs w:val="21"/>
                <w14:ligatures w14:val="none"/>
              </w:rPr>
              <w:t>85%</w:t>
            </w:r>
          </w:p>
        </w:tc>
        <w:tc>
          <w:tcPr>
            <w:tcW w:w="2105" w:type="dxa"/>
            <w:tcBorders>
              <w:top w:val="nil"/>
              <w:left w:val="nil"/>
              <w:bottom w:val="single" w:color="D9D9E3" w:sz="8" w:space="0"/>
              <w:right w:val="single" w:color="D9D9E3" w:sz="8" w:space="0"/>
            </w:tcBorders>
            <w:vAlign w:val="center"/>
          </w:tcPr>
          <w:p>
            <w:pPr>
              <w:spacing w:after="0" w:line="360" w:lineRule="auto"/>
              <w:jc w:val="center"/>
              <w:rPr>
                <w:rFonts w:ascii="Times New Roman" w:hAnsi="Times New Roman" w:eastAsia="Times New Roman" w:cs="Times New Roman"/>
                <w:color w:val="000000"/>
                <w:kern w:val="0"/>
                <w:sz w:val="21"/>
                <w:szCs w:val="21"/>
                <w14:ligatures w14:val="none"/>
              </w:rPr>
            </w:pPr>
            <w:r>
              <w:rPr>
                <w:rFonts w:ascii="Times New Roman" w:hAnsi="Times New Roman" w:eastAsia="Times New Roman" w:cs="Times New Roman"/>
                <w:color w:val="000000"/>
                <w:kern w:val="0"/>
                <w:sz w:val="21"/>
                <w:szCs w:val="21"/>
                <w14:ligatures w14:val="none"/>
              </w:rPr>
              <w:t>3.8</w:t>
            </w:r>
          </w:p>
        </w:tc>
        <w:tc>
          <w:tcPr>
            <w:tcW w:w="1203" w:type="dxa"/>
            <w:tcBorders>
              <w:top w:val="nil"/>
              <w:left w:val="nil"/>
              <w:bottom w:val="single" w:color="D9D9E3" w:sz="8" w:space="0"/>
              <w:right w:val="single" w:color="auto" w:sz="8" w:space="0"/>
            </w:tcBorders>
            <w:vAlign w:val="center"/>
          </w:tcPr>
          <w:p>
            <w:pPr>
              <w:spacing w:after="0" w:line="360" w:lineRule="auto"/>
              <w:jc w:val="center"/>
              <w:rPr>
                <w:rFonts w:ascii="Times New Roman" w:hAnsi="Times New Roman" w:eastAsia="Times New Roman" w:cs="Times New Roman"/>
                <w:color w:val="000000"/>
                <w:kern w:val="0"/>
                <w:sz w:val="21"/>
                <w:szCs w:val="21"/>
                <w14:ligatures w14:val="none"/>
              </w:rPr>
            </w:pPr>
            <w:r>
              <w:rPr>
                <w:rFonts w:ascii="Times New Roman" w:hAnsi="Times New Roman" w:eastAsia="Times New Roman" w:cs="Times New Roman"/>
                <w:color w:val="000000"/>
                <w:kern w:val="0"/>
                <w:sz w:val="21"/>
                <w:szCs w:val="21"/>
                <w14:ligatures w14:val="none"/>
              </w:rPr>
              <w:t>95%</w:t>
            </w:r>
          </w:p>
        </w:tc>
      </w:tr>
      <w:tr>
        <w:tblPrEx>
          <w:tblCellMar>
            <w:top w:w="0" w:type="dxa"/>
            <w:left w:w="108" w:type="dxa"/>
            <w:bottom w:w="0" w:type="dxa"/>
            <w:right w:w="108" w:type="dxa"/>
          </w:tblCellMar>
        </w:tblPrEx>
        <w:trPr>
          <w:trHeight w:val="347" w:hRule="atLeast"/>
        </w:trPr>
        <w:tc>
          <w:tcPr>
            <w:tcW w:w="3609" w:type="dxa"/>
            <w:tcBorders>
              <w:top w:val="nil"/>
              <w:left w:val="single" w:color="auto" w:sz="8" w:space="0"/>
              <w:bottom w:val="single" w:color="D9D9E3" w:sz="8" w:space="0"/>
              <w:right w:val="single" w:color="D9D9E3" w:sz="8" w:space="0"/>
            </w:tcBorders>
            <w:vAlign w:val="center"/>
          </w:tcPr>
          <w:p>
            <w:pPr>
              <w:spacing w:after="0" w:line="360" w:lineRule="auto"/>
              <w:jc w:val="center"/>
              <w:rPr>
                <w:rFonts w:ascii="Times New Roman" w:hAnsi="Times New Roman" w:eastAsia="Times New Roman" w:cs="Times New Roman"/>
                <w:color w:val="000000"/>
                <w:kern w:val="0"/>
                <w:sz w:val="21"/>
                <w:szCs w:val="21"/>
                <w14:ligatures w14:val="none"/>
              </w:rPr>
            </w:pPr>
            <w:r>
              <w:rPr>
                <w:rFonts w:ascii="Times New Roman" w:hAnsi="Times New Roman" w:eastAsia="Times New Roman" w:cs="Times New Roman"/>
                <w:color w:val="000000"/>
                <w:kern w:val="0"/>
                <w:sz w:val="21"/>
                <w:szCs w:val="21"/>
                <w14:ligatures w14:val="none"/>
              </w:rPr>
              <w:t>Moderate</w:t>
            </w:r>
          </w:p>
        </w:tc>
        <w:tc>
          <w:tcPr>
            <w:tcW w:w="2105" w:type="dxa"/>
            <w:tcBorders>
              <w:top w:val="nil"/>
              <w:left w:val="nil"/>
              <w:bottom w:val="single" w:color="D9D9E3" w:sz="8" w:space="0"/>
              <w:right w:val="single" w:color="D9D9E3" w:sz="8" w:space="0"/>
            </w:tcBorders>
            <w:vAlign w:val="center"/>
          </w:tcPr>
          <w:p>
            <w:pPr>
              <w:spacing w:after="0" w:line="360" w:lineRule="auto"/>
              <w:jc w:val="center"/>
              <w:rPr>
                <w:rFonts w:ascii="Times New Roman" w:hAnsi="Times New Roman" w:eastAsia="Times New Roman" w:cs="Times New Roman"/>
                <w:color w:val="000000"/>
                <w:kern w:val="0"/>
                <w:sz w:val="21"/>
                <w:szCs w:val="21"/>
                <w14:ligatures w14:val="none"/>
              </w:rPr>
            </w:pPr>
            <w:r>
              <w:rPr>
                <w:rFonts w:ascii="Times New Roman" w:hAnsi="Times New Roman" w:eastAsia="Times New Roman" w:cs="Times New Roman"/>
                <w:color w:val="000000"/>
                <w:kern w:val="0"/>
                <w:sz w:val="21"/>
                <w:szCs w:val="21"/>
                <w14:ligatures w14:val="none"/>
              </w:rPr>
              <w:t>15%</w:t>
            </w:r>
          </w:p>
        </w:tc>
        <w:tc>
          <w:tcPr>
            <w:tcW w:w="2105" w:type="dxa"/>
            <w:tcBorders>
              <w:top w:val="nil"/>
              <w:left w:val="nil"/>
              <w:bottom w:val="single" w:color="D9D9E3" w:sz="8" w:space="0"/>
              <w:right w:val="single" w:color="D9D9E3" w:sz="8" w:space="0"/>
            </w:tcBorders>
            <w:vAlign w:val="center"/>
          </w:tcPr>
          <w:p>
            <w:pPr>
              <w:spacing w:after="0" w:line="360" w:lineRule="auto"/>
              <w:jc w:val="center"/>
              <w:rPr>
                <w:rFonts w:ascii="Times New Roman" w:hAnsi="Times New Roman" w:eastAsia="Times New Roman" w:cs="Times New Roman"/>
                <w:color w:val="000000"/>
                <w:kern w:val="0"/>
                <w:sz w:val="21"/>
                <w:szCs w:val="21"/>
                <w14:ligatures w14:val="none"/>
              </w:rPr>
            </w:pPr>
            <w:r>
              <w:rPr>
                <w:rFonts w:ascii="Times New Roman" w:hAnsi="Times New Roman" w:eastAsia="Times New Roman" w:cs="Times New Roman"/>
                <w:color w:val="000000"/>
                <w:kern w:val="0"/>
                <w:sz w:val="21"/>
                <w:szCs w:val="21"/>
                <w14:ligatures w14:val="none"/>
              </w:rPr>
              <w:t>3.5</w:t>
            </w:r>
          </w:p>
        </w:tc>
        <w:tc>
          <w:tcPr>
            <w:tcW w:w="1203" w:type="dxa"/>
            <w:tcBorders>
              <w:top w:val="nil"/>
              <w:left w:val="nil"/>
              <w:bottom w:val="single" w:color="D9D9E3" w:sz="8" w:space="0"/>
              <w:right w:val="single" w:color="auto" w:sz="8" w:space="0"/>
            </w:tcBorders>
            <w:vAlign w:val="center"/>
          </w:tcPr>
          <w:p>
            <w:pPr>
              <w:spacing w:after="0" w:line="360" w:lineRule="auto"/>
              <w:jc w:val="center"/>
              <w:rPr>
                <w:rFonts w:ascii="Times New Roman" w:hAnsi="Times New Roman" w:eastAsia="Times New Roman" w:cs="Times New Roman"/>
                <w:color w:val="000000"/>
                <w:kern w:val="0"/>
                <w:sz w:val="21"/>
                <w:szCs w:val="21"/>
                <w14:ligatures w14:val="none"/>
              </w:rPr>
            </w:pPr>
            <w:r>
              <w:rPr>
                <w:rFonts w:ascii="Times New Roman" w:hAnsi="Times New Roman" w:eastAsia="Times New Roman" w:cs="Times New Roman"/>
                <w:color w:val="000000"/>
                <w:kern w:val="0"/>
                <w:sz w:val="21"/>
                <w:szCs w:val="21"/>
                <w14:ligatures w14:val="none"/>
              </w:rPr>
              <w:t>85%</w:t>
            </w:r>
          </w:p>
        </w:tc>
      </w:tr>
      <w:tr>
        <w:tblPrEx>
          <w:tblCellMar>
            <w:top w:w="0" w:type="dxa"/>
            <w:left w:w="108" w:type="dxa"/>
            <w:bottom w:w="0" w:type="dxa"/>
            <w:right w:w="108" w:type="dxa"/>
          </w:tblCellMar>
        </w:tblPrEx>
        <w:trPr>
          <w:trHeight w:val="347" w:hRule="atLeast"/>
        </w:trPr>
        <w:tc>
          <w:tcPr>
            <w:tcW w:w="3609" w:type="dxa"/>
            <w:tcBorders>
              <w:top w:val="nil"/>
              <w:left w:val="single" w:color="auto" w:sz="8" w:space="0"/>
              <w:bottom w:val="single" w:color="auto" w:sz="8" w:space="0"/>
              <w:right w:val="single" w:color="D9D9E3" w:sz="8" w:space="0"/>
            </w:tcBorders>
            <w:vAlign w:val="center"/>
          </w:tcPr>
          <w:p>
            <w:pPr>
              <w:spacing w:after="0" w:line="360" w:lineRule="auto"/>
              <w:jc w:val="center"/>
              <w:rPr>
                <w:rFonts w:ascii="Times New Roman" w:hAnsi="Times New Roman" w:eastAsia="Times New Roman" w:cs="Times New Roman"/>
                <w:color w:val="000000"/>
                <w:kern w:val="0"/>
                <w:sz w:val="21"/>
                <w:szCs w:val="21"/>
                <w14:ligatures w14:val="none"/>
              </w:rPr>
            </w:pPr>
            <w:r>
              <w:rPr>
                <w:rFonts w:ascii="Times New Roman" w:hAnsi="Times New Roman" w:eastAsia="Times New Roman" w:cs="Times New Roman"/>
                <w:color w:val="000000"/>
                <w:kern w:val="0"/>
                <w:sz w:val="21"/>
                <w:szCs w:val="21"/>
                <w14:ligatures w14:val="none"/>
              </w:rPr>
              <w:t>Low</w:t>
            </w:r>
          </w:p>
        </w:tc>
        <w:tc>
          <w:tcPr>
            <w:tcW w:w="2105" w:type="dxa"/>
            <w:tcBorders>
              <w:top w:val="nil"/>
              <w:left w:val="nil"/>
              <w:bottom w:val="single" w:color="auto" w:sz="8" w:space="0"/>
              <w:right w:val="single" w:color="D9D9E3" w:sz="8" w:space="0"/>
            </w:tcBorders>
            <w:vAlign w:val="center"/>
          </w:tcPr>
          <w:p>
            <w:pPr>
              <w:spacing w:after="0" w:line="360" w:lineRule="auto"/>
              <w:jc w:val="center"/>
              <w:rPr>
                <w:rFonts w:ascii="Times New Roman" w:hAnsi="Times New Roman" w:eastAsia="Times New Roman" w:cs="Times New Roman"/>
                <w:color w:val="000000"/>
                <w:kern w:val="0"/>
                <w:sz w:val="21"/>
                <w:szCs w:val="21"/>
                <w14:ligatures w14:val="none"/>
              </w:rPr>
            </w:pPr>
            <w:r>
              <w:rPr>
                <w:rFonts w:ascii="Times New Roman" w:hAnsi="Times New Roman" w:eastAsia="Times New Roman" w:cs="Times New Roman"/>
                <w:color w:val="000000"/>
                <w:kern w:val="0"/>
                <w:sz w:val="21"/>
                <w:szCs w:val="21"/>
                <w14:ligatures w14:val="none"/>
              </w:rPr>
              <w:t>0%</w:t>
            </w:r>
          </w:p>
        </w:tc>
        <w:tc>
          <w:tcPr>
            <w:tcW w:w="2105" w:type="dxa"/>
            <w:tcBorders>
              <w:top w:val="nil"/>
              <w:left w:val="nil"/>
              <w:bottom w:val="single" w:color="auto" w:sz="8" w:space="0"/>
              <w:right w:val="single" w:color="D9D9E3" w:sz="8" w:space="0"/>
            </w:tcBorders>
            <w:vAlign w:val="center"/>
          </w:tcPr>
          <w:p>
            <w:pPr>
              <w:spacing w:after="0" w:line="360" w:lineRule="auto"/>
              <w:jc w:val="center"/>
              <w:rPr>
                <w:rFonts w:ascii="Times New Roman" w:hAnsi="Times New Roman" w:eastAsia="Times New Roman" w:cs="Times New Roman"/>
                <w:color w:val="000000"/>
                <w:kern w:val="0"/>
                <w:sz w:val="21"/>
                <w:szCs w:val="21"/>
                <w14:ligatures w14:val="none"/>
              </w:rPr>
            </w:pPr>
            <w:r>
              <w:rPr>
                <w:rFonts w:ascii="Times New Roman" w:hAnsi="Times New Roman" w:eastAsia="Times New Roman" w:cs="Times New Roman"/>
                <w:color w:val="000000"/>
                <w:kern w:val="0"/>
                <w:sz w:val="21"/>
                <w:szCs w:val="21"/>
                <w14:ligatures w14:val="none"/>
              </w:rPr>
              <w:t>2.5</w:t>
            </w:r>
          </w:p>
        </w:tc>
        <w:tc>
          <w:tcPr>
            <w:tcW w:w="1203" w:type="dxa"/>
            <w:tcBorders>
              <w:top w:val="nil"/>
              <w:left w:val="nil"/>
              <w:bottom w:val="single" w:color="auto" w:sz="8" w:space="0"/>
              <w:right w:val="single" w:color="auto" w:sz="8" w:space="0"/>
            </w:tcBorders>
            <w:vAlign w:val="center"/>
          </w:tcPr>
          <w:p>
            <w:pPr>
              <w:spacing w:after="0" w:line="360" w:lineRule="auto"/>
              <w:jc w:val="center"/>
              <w:rPr>
                <w:rFonts w:ascii="Times New Roman" w:hAnsi="Times New Roman" w:eastAsia="Times New Roman" w:cs="Times New Roman"/>
                <w:color w:val="000000"/>
                <w:kern w:val="0"/>
                <w:sz w:val="21"/>
                <w:szCs w:val="21"/>
                <w14:ligatures w14:val="none"/>
              </w:rPr>
            </w:pPr>
            <w:r>
              <w:rPr>
                <w:rFonts w:ascii="Times New Roman" w:hAnsi="Times New Roman" w:eastAsia="Times New Roman" w:cs="Times New Roman"/>
                <w:color w:val="000000"/>
                <w:kern w:val="0"/>
                <w:sz w:val="21"/>
                <w:szCs w:val="21"/>
                <w14:ligatures w14:val="none"/>
              </w:rPr>
              <w:t>60%</w:t>
            </w:r>
          </w:p>
        </w:tc>
      </w:tr>
    </w:tbl>
    <w:p>
      <w:pPr>
        <w:spacing w:line="360" w:lineRule="auto"/>
        <w:rPr>
          <w:rFonts w:ascii="Times New Roman" w:hAnsi="Times New Roman" w:cs="Times New Roman"/>
          <w:sz w:val="24"/>
          <w:szCs w:val="24"/>
        </w:rPr>
      </w:pPr>
      <w:r>
        <w:rPr>
          <w:rFonts w:ascii="Times New Roman" w:hAnsi="Times New Roman" w:cs="Times New Roman"/>
          <w:sz w:val="24"/>
          <w:szCs w:val="24"/>
          <w14:ligatures w14:val="none"/>
        </w:rPr>
        <w:drawing>
          <wp:inline distT="0" distB="0" distL="0" distR="0">
            <wp:extent cx="5655945" cy="2218055"/>
            <wp:effectExtent l="4445" t="4445" r="16510" b="6350"/>
            <wp:docPr id="2053580742"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pStyle w:val="3"/>
        <w:spacing w:line="360" w:lineRule="auto"/>
        <w:rPr>
          <w:sz w:val="24"/>
          <w:szCs w:val="24"/>
        </w:rPr>
      </w:pPr>
      <w:bookmarkStart w:id="53" w:name="_Toc28124"/>
      <w:bookmarkStart w:id="54" w:name="_Toc16175"/>
      <w:bookmarkStart w:id="55" w:name="_Toc17119"/>
      <w:bookmarkStart w:id="56" w:name="_Toc154735211"/>
      <w:r>
        <w:rPr>
          <w:sz w:val="24"/>
          <w:szCs w:val="24"/>
        </w:rPr>
        <w:t>4.2 Influence of Class Size:</w:t>
      </w:r>
      <w:bookmarkEnd w:id="53"/>
      <w:bookmarkEnd w:id="54"/>
      <w:bookmarkEnd w:id="55"/>
      <w:bookmarkEnd w:id="56"/>
    </w:p>
    <w:p>
      <w:pPr>
        <w:spacing w:line="360" w:lineRule="auto"/>
        <w:ind w:firstLine="720"/>
        <w:rPr>
          <w:rFonts w:ascii="Times New Roman" w:hAnsi="Times New Roman" w:cs="Times New Roman"/>
          <w:b/>
          <w:bCs/>
          <w:sz w:val="24"/>
          <w:szCs w:val="24"/>
        </w:rPr>
      </w:pPr>
      <w:r>
        <w:rPr>
          <w:rFonts w:ascii="Times New Roman" w:hAnsi="Times New Roman" w:cs="Times New Roman"/>
          <w:sz w:val="24"/>
          <w:szCs w:val="24"/>
        </w:rPr>
        <w:t xml:space="preserve">In the dynamic realm of academia, the investigation into student engagement within the context of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at a Chinese university contributes a distinctive element to the existing literary landscape. The focal point of this exploration is the impact of class size on the dynamics of student participation and interaction. The narrative centers on comprehending how students, within the confines of an English language classroom, perceive and construe their engagement (</w:t>
      </w:r>
      <w:r>
        <w:rPr>
          <w:rFonts w:ascii="Times New Roman" w:hAnsi="Times New Roman" w:cs="Times New Roman"/>
          <w:color w:val="222222"/>
          <w:sz w:val="24"/>
          <w:szCs w:val="24"/>
          <w:shd w:val="clear" w:color="auto" w:fill="FFFFFF"/>
        </w:rPr>
        <w:t>Dao and Sato, 2021)</w:t>
      </w:r>
      <w:r>
        <w:rPr>
          <w:rFonts w:ascii="Times New Roman" w:hAnsi="Times New Roman" w:cs="Times New Roman"/>
          <w:sz w:val="24"/>
          <w:szCs w:val="24"/>
        </w:rPr>
        <w:t>. In the sphere of Chinese higher education, characterized by large student populations, the examination of class size assumes a pivotal role.</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A noteworthy revelation emerges upon scrutinizing the correlation between class size and reported levels of engagement. Empirical evidence consistently indicates that smaller class sizes are linked to higher reported levels of engagement among students. This correlation offers a nuanced perspective on the intricate interplay among students, instructors, and the learning environment (</w:t>
      </w:r>
      <w:r>
        <w:rPr>
          <w:rFonts w:ascii="Times New Roman" w:hAnsi="Times New Roman" w:cs="Times New Roman"/>
          <w:color w:val="222222"/>
          <w:sz w:val="24"/>
          <w:szCs w:val="24"/>
          <w:shd w:val="clear" w:color="auto" w:fill="FFFFFF"/>
        </w:rPr>
        <w:t>Lo, 2023)</w:t>
      </w:r>
      <w:r>
        <w:rPr>
          <w:rFonts w:ascii="Times New Roman" w:hAnsi="Times New Roman" w:cs="Times New Roman"/>
          <w:sz w:val="24"/>
          <w:szCs w:val="24"/>
        </w:rPr>
        <w:t>. Within the expansive canvas of a university classroom, the number of students plays a pivotal role in shaping engagement dynamics. Smaller classes establish a more intimate setting, nurturing a sense of community and connection among students. This intimate environment facilitates increased interaction between students and instructors, fostering an atmosphere conducive to active participation.</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influence of class size on student engagement extends beyond mere numerical considerations; it penetrates the very fabric of interpersonal relationships within the classroom. In smaller classes, students often feel more at ease expressing their opinions, posing questions, and engaging in discussions. This comfort arises from the familiarity cultivated in a close-knit group where individuals transcend being mere faces in a crowd (</w:t>
      </w:r>
      <w:r>
        <w:rPr>
          <w:rFonts w:ascii="Times New Roman" w:hAnsi="Times New Roman" w:cs="Times New Roman"/>
          <w:color w:val="222222"/>
          <w:sz w:val="24"/>
          <w:szCs w:val="24"/>
          <w:shd w:val="clear" w:color="auto" w:fill="FFFFFF"/>
        </w:rPr>
        <w:t>Wu and Kang, 2023)</w:t>
      </w:r>
      <w:r>
        <w:rPr>
          <w:rFonts w:ascii="Times New Roman" w:hAnsi="Times New Roman" w:cs="Times New Roman"/>
          <w:sz w:val="24"/>
          <w:szCs w:val="24"/>
        </w:rPr>
        <w:t>. Conversely, larger classes present a distinct set of challenges. The sheer volume of students can foster a more passive learning environment, where individual voices risk being submerged in the collective murmur of the crowd. The potential for anonymity in a large class may discourage some students from actively participating in discussions or seeking clarification when needed.</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Beyond immediate interactions, the impact of class size permeates the overall classroom atmosphere. Smaller classes frequently exude a palpable sense of energy and enthusiasm, creating a positive feedback loop that reinforces student engagement. In contrast, larger classes may encounter difficulties in maintaining this energy, necessitating instructors to employ innovative teaching strategies to captivate and retain the attention of a diverse and extensive audience (</w:t>
      </w:r>
      <w:r>
        <w:rPr>
          <w:rFonts w:ascii="Times New Roman" w:hAnsi="Times New Roman" w:cs="Times New Roman"/>
          <w:color w:val="222222"/>
          <w:sz w:val="24"/>
          <w:szCs w:val="24"/>
          <w:shd w:val="clear" w:color="auto" w:fill="FFFFFF"/>
        </w:rPr>
        <w:t>Bond, 2020)</w:t>
      </w:r>
      <w:r>
        <w:rPr>
          <w:rFonts w:ascii="Times New Roman" w:hAnsi="Times New Roman" w:cs="Times New Roman"/>
          <w:sz w:val="24"/>
          <w:szCs w:val="24"/>
        </w:rPr>
        <w:t xml:space="preserve">. Interpreting these findings unveils implications for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in Chinese universities. Educators and administrators may contemplate the advantages of smaller class sizes in cultivating a lively and engaged learning environment. This insight prompts a reevaluation of educational policies and practices, emphasizing the creation of optimal class sizes that prioritize meaningful student-instructor interactions.</w:t>
      </w:r>
    </w:p>
    <w:p>
      <w:pPr>
        <w:pStyle w:val="3"/>
        <w:spacing w:line="360" w:lineRule="auto"/>
        <w:rPr>
          <w:sz w:val="24"/>
          <w:szCs w:val="24"/>
        </w:rPr>
      </w:pPr>
      <w:bookmarkStart w:id="57" w:name="_Toc2237"/>
      <w:bookmarkStart w:id="58" w:name="_Toc154735212"/>
      <w:bookmarkStart w:id="59" w:name="_Toc26160"/>
      <w:bookmarkStart w:id="60" w:name="_Toc26995"/>
      <w:r>
        <w:rPr>
          <w:sz w:val="24"/>
          <w:szCs w:val="24"/>
        </w:rPr>
        <w:t>4.3 Impact of Extracurricular Activities:</w:t>
      </w:r>
      <w:bookmarkEnd w:id="57"/>
      <w:bookmarkEnd w:id="58"/>
      <w:bookmarkEnd w:id="59"/>
      <w:bookmarkEnd w:id="60"/>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Delving into the expansive realm of student engagement within the confines of an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class at a Chinese university, this study seeks to enrich the existing literature by decoding the students' involvement (</w:t>
      </w:r>
      <w:r>
        <w:rPr>
          <w:rFonts w:ascii="Times New Roman" w:hAnsi="Times New Roman" w:cs="Times New Roman"/>
          <w:color w:val="222222"/>
          <w:sz w:val="24"/>
          <w:szCs w:val="24"/>
          <w:shd w:val="clear" w:color="auto" w:fill="FFFFFF"/>
        </w:rPr>
        <w:t>Marôco et al., 2020)</w:t>
      </w:r>
      <w:r>
        <w:rPr>
          <w:rFonts w:ascii="Times New Roman" w:hAnsi="Times New Roman" w:cs="Times New Roman"/>
          <w:sz w:val="24"/>
          <w:szCs w:val="24"/>
        </w:rPr>
        <w:t>. In the multifaceted tapestry of academic interaction, the focus extends beyond the conventional classroom dynamics, transcending into the realm of extracurricular activities.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One pivotal revelation surface as the impact of extracurricular activities takes center stage in the narrative. The participants who actively immersed themselves in these supplementary pursuits showcased a discernible surge in their overall engagement levels. This dichotomy illuminates a crucial facet of student engagement the intricate interplay between academic and extracurricular spheres (</w:t>
      </w:r>
      <w:r>
        <w:rPr>
          <w:rFonts w:ascii="Times New Roman" w:hAnsi="Times New Roman" w:cs="Times New Roman"/>
          <w:color w:val="222222"/>
          <w:sz w:val="24"/>
          <w:szCs w:val="24"/>
          <w:shd w:val="clear" w:color="auto" w:fill="FFFFFF"/>
        </w:rPr>
        <w:t>Eren et al., 2023)</w:t>
      </w:r>
      <w:r>
        <w:rPr>
          <w:rFonts w:ascii="Times New Roman" w:hAnsi="Times New Roman" w:cs="Times New Roman"/>
          <w:sz w:val="24"/>
          <w:szCs w:val="24"/>
        </w:rPr>
        <w:t>. The significance of this finding reverberates, underscoring the holistic nature of student engagement. It paints a vivid picture wherein academic pursuits do not exist in isolation but are intricately woven into the broader fabric of a student's educational journey. The classroom, although a critical arena, becomes just one thread in the intricate tapestry of a student's holistic engagement.</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extracurricular landscape emerges as a fertile ground for nurturing enhanced student involvement. Beyond the confines of textbooks and lectures, students find avenues to channel their energies, interests, and passions (</w:t>
      </w:r>
      <w:r>
        <w:rPr>
          <w:rFonts w:ascii="Times New Roman" w:hAnsi="Times New Roman" w:cs="Times New Roman"/>
          <w:color w:val="222222"/>
          <w:sz w:val="24"/>
          <w:szCs w:val="24"/>
          <w:shd w:val="clear" w:color="auto" w:fill="FFFFFF"/>
        </w:rPr>
        <w:t>Mardiah, 2020)</w:t>
      </w:r>
      <w:r>
        <w:rPr>
          <w:rFonts w:ascii="Times New Roman" w:hAnsi="Times New Roman" w:cs="Times New Roman"/>
          <w:sz w:val="24"/>
          <w:szCs w:val="24"/>
        </w:rPr>
        <w:t>. The engagement observed in these supplementary activities contributes to a more comprehensive understanding of the term "student engagement." This holistic perspective challenges the traditional notion that engagement is solely confined to academic realms. It invites educators and researchers to broaden their gaze, acknowledging and valuing the diverse avenues through which students invest their time and enthusiasm (</w:t>
      </w:r>
      <w:r>
        <w:rPr>
          <w:rFonts w:ascii="Times New Roman" w:hAnsi="Times New Roman" w:cs="Times New Roman"/>
          <w:color w:val="222222"/>
          <w:sz w:val="24"/>
          <w:szCs w:val="24"/>
          <w:shd w:val="clear" w:color="auto" w:fill="FFFFFF"/>
        </w:rPr>
        <w:t>Johar et al., 2023)</w:t>
      </w:r>
      <w:r>
        <w:rPr>
          <w:rFonts w:ascii="Times New Roman" w:hAnsi="Times New Roman" w:cs="Times New Roman"/>
          <w:sz w:val="24"/>
          <w:szCs w:val="24"/>
        </w:rPr>
        <w:t>. The correlation between heightened engagement levels and active participation in extracurricular pursuits advocates for a more inclusive approach to fostering student engagement.</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conclusion, this study sheds light on the symbiotic relationship between academic endeavors and extracurricular pursuits in the context of an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class in a Chinese university. It accentuates the dynamic interplay between these two spheres, emphasizing that true student engagement transcends the boundaries of the classroom. By acknowledging and appreciating the holistic nature of student involvement, educators can craft strategies that resonate with the diverse dimensions of their students' academic journey.</w:t>
      </w:r>
    </w:p>
    <w:p>
      <w:pPr>
        <w:pStyle w:val="3"/>
        <w:spacing w:line="360" w:lineRule="auto"/>
        <w:rPr>
          <w:sz w:val="24"/>
          <w:szCs w:val="24"/>
        </w:rPr>
      </w:pPr>
      <w:bookmarkStart w:id="61" w:name="_Toc19951"/>
      <w:bookmarkStart w:id="62" w:name="_Toc154735213"/>
      <w:bookmarkStart w:id="63" w:name="_Toc13824"/>
      <w:r>
        <w:rPr>
          <w:sz w:val="24"/>
          <w:szCs w:val="24"/>
        </w:rPr>
        <w:t>4.4 Qualitative Findings:</w:t>
      </w:r>
      <w:bookmarkEnd w:id="61"/>
      <w:bookmarkEnd w:id="62"/>
      <w:bookmarkEnd w:id="63"/>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qualitative analysis, conducted through NVI</w:t>
      </w:r>
      <w:r>
        <w:rPr>
          <w:rFonts w:ascii="Times New Roman" w:hAnsi="Times New Roman" w:eastAsia="宋体" w:cs="Times New Roman"/>
          <w:sz w:val="24"/>
          <w:szCs w:val="24"/>
          <w:lang w:eastAsia="zh-CN"/>
        </w:rPr>
        <w:t>vo</w:t>
      </w:r>
      <w:r>
        <w:rPr>
          <w:rFonts w:ascii="Times New Roman" w:hAnsi="Times New Roman" w:cs="Times New Roman"/>
          <w:sz w:val="24"/>
          <w:szCs w:val="24"/>
        </w:rPr>
        <w:t xml:space="preserve"> and informed by constructivist epistemology, delved into the narratives and experiences shared during in-depth interviews. Thematic analysis revealed the following key qualitative findings:</w:t>
      </w:r>
      <w:bookmarkStart w:id="64" w:name="_Toc15992"/>
      <w:bookmarkStart w:id="65" w:name="_Toc154735214"/>
      <w:bookmarkStart w:id="66" w:name="_Toc32306"/>
    </w:p>
    <w:p>
      <w:pPr>
        <w:pStyle w:val="4"/>
        <w:spacing w:line="360" w:lineRule="auto"/>
        <w:rPr>
          <w:rFonts w:ascii="Times New Roman" w:hAnsi="Times New Roman" w:cs="Times New Roman"/>
          <w:b/>
          <w:bCs/>
          <w:color w:val="auto"/>
        </w:rPr>
      </w:pPr>
      <w:bookmarkStart w:id="67" w:name="_Toc24530"/>
      <w:r>
        <w:rPr>
          <w:rFonts w:ascii="Times New Roman" w:hAnsi="Times New Roman" w:cs="Times New Roman"/>
          <w:b/>
          <w:bCs/>
          <w:color w:val="auto"/>
        </w:rPr>
        <w:t>4.4.1 Cultural and Linguistic Influences:</w:t>
      </w:r>
      <w:bookmarkEnd w:id="64"/>
      <w:bookmarkEnd w:id="65"/>
      <w:bookmarkEnd w:id="66"/>
      <w:bookmarkEnd w:id="67"/>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the exploration of student engagement within an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class at a university in China, this study aims to contribute a nuanced perspective to the existing literature by incorporating statistical insights into students' viewpoints (</w:t>
      </w:r>
      <w:r>
        <w:rPr>
          <w:rFonts w:ascii="Times New Roman" w:hAnsi="Times New Roman" w:cs="Times New Roman"/>
          <w:color w:val="222222"/>
          <w:sz w:val="24"/>
          <w:szCs w:val="24"/>
          <w:shd w:val="clear" w:color="auto" w:fill="FFFFFF"/>
        </w:rPr>
        <w:t>Barber and Klauda, 2020)</w:t>
      </w:r>
      <w:r>
        <w:rPr>
          <w:rFonts w:ascii="Times New Roman" w:hAnsi="Times New Roman" w:cs="Times New Roman"/>
          <w:sz w:val="24"/>
          <w:szCs w:val="24"/>
        </w:rPr>
        <w:t>. The interplay between traditional Confucian values and modern educational approaches stands out as a significant force shaping student engagement in this distinctive context.</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A pivotal finding of this study underscores the substantial impact of cultural and linguistic factors on students' engagement levels. With 80% of students highlighting the influence of respect for authority, 70% emphasizing diligence, and 65% prioritizing collective focus over individualism, the rich Confucian tapestry deeply woven into the societal fabric manifests in the academic realm (</w:t>
      </w:r>
      <w:r>
        <w:rPr>
          <w:rFonts w:ascii="Times New Roman" w:hAnsi="Times New Roman" w:cs="Times New Roman"/>
          <w:color w:val="222222"/>
          <w:sz w:val="24"/>
          <w:szCs w:val="24"/>
          <w:shd w:val="clear" w:color="auto" w:fill="FFFFFF"/>
        </w:rPr>
        <w:t>Fan et al. 2020)</w:t>
      </w:r>
      <w:r>
        <w:rPr>
          <w:rFonts w:ascii="Times New Roman" w:hAnsi="Times New Roman" w:cs="Times New Roman"/>
          <w:sz w:val="24"/>
          <w:szCs w:val="24"/>
        </w:rPr>
        <w:t>. Students articulate the subtle yet profound impact of these traditional values on their educational engagement, revealing a cultural undercurrent that shapes their attitudes towards learning.</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Within this cultural backdrop, an intriguing tension emerges a yearning for a more culturally responsive teaching framework. Despite the significant influence of traditional values, 75% of students express a desire for teaching methods aligned with their cultural identity. This dual recognition of the importance of tradition and the call for innovative educational approaches presents a nuanced challenge for educators in striking a balance between the two. This study sheds light on the complexity of student engagement in the specific context, with students listing an average of 5 distinct factors contributing to their engagement (</w:t>
      </w:r>
      <w:r>
        <w:rPr>
          <w:rFonts w:ascii="Times New Roman" w:hAnsi="Times New Roman" w:cs="Times New Roman"/>
          <w:color w:val="222222"/>
          <w:sz w:val="24"/>
          <w:szCs w:val="24"/>
          <w:shd w:val="clear" w:color="auto" w:fill="FFFFFF"/>
        </w:rPr>
        <w:t>Peng and Pyper, 2021)</w:t>
      </w:r>
      <w:r>
        <w:rPr>
          <w:rFonts w:ascii="Times New Roman" w:hAnsi="Times New Roman" w:cs="Times New Roman"/>
          <w:sz w:val="24"/>
          <w:szCs w:val="24"/>
        </w:rPr>
        <w:t>. The statistical insights into cultural and linguistic influences underscore the multifaceted nature of the issue, highlighting the need for educators to navigate the delicate equilibrium between tradition and innovation.</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essence, this research adds depth to the broader discourse on student engagement within the context of an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class in a Chinese university. By unraveling the intricate threads of cultural and linguistic influences, it emphasizes the evolving dynamics between age-old traditions and the demands of a modern educational landscape. With 90% of educators agreeing on the crucial understanding of the multifaceted nature of student (</w:t>
      </w:r>
      <w:r>
        <w:rPr>
          <w:rFonts w:ascii="Times New Roman" w:hAnsi="Times New Roman" w:cs="Times New Roman"/>
          <w:color w:val="222222"/>
          <w:sz w:val="24"/>
          <w:szCs w:val="24"/>
          <w:shd w:val="clear" w:color="auto" w:fill="FFFFFF"/>
        </w:rPr>
        <w:t>Galante et al., 2020)</w:t>
      </w:r>
      <w:r>
        <w:rPr>
          <w:rFonts w:ascii="Times New Roman" w:hAnsi="Times New Roman" w:cs="Times New Roman"/>
          <w:sz w:val="24"/>
          <w:szCs w:val="24"/>
        </w:rPr>
        <w:t xml:space="preserve"> engagement, this study not only enriches the existing literature but also prompts educators and policymakers to reflect on fostering an environment where students are academically engaged and culturally enriched, finding the delicate balance between tradition and innovation.</w:t>
      </w:r>
    </w:p>
    <w:tbl>
      <w:tblPr>
        <w:tblStyle w:val="11"/>
        <w:tblW w:w="9056" w:type="dxa"/>
        <w:tblInd w:w="0" w:type="dxa"/>
        <w:tblLayout w:type="autofit"/>
        <w:tblCellMar>
          <w:top w:w="0" w:type="dxa"/>
          <w:left w:w="108" w:type="dxa"/>
          <w:bottom w:w="0" w:type="dxa"/>
          <w:right w:w="108" w:type="dxa"/>
        </w:tblCellMar>
      </w:tblPr>
      <w:tblGrid>
        <w:gridCol w:w="4180"/>
        <w:gridCol w:w="2438"/>
        <w:gridCol w:w="2438"/>
      </w:tblGrid>
      <w:tr>
        <w:tblPrEx>
          <w:tblCellMar>
            <w:top w:w="0" w:type="dxa"/>
            <w:left w:w="108" w:type="dxa"/>
            <w:bottom w:w="0" w:type="dxa"/>
            <w:right w:w="108" w:type="dxa"/>
          </w:tblCellMar>
        </w:tblPrEx>
        <w:trPr>
          <w:trHeight w:val="418" w:hRule="atLeast"/>
        </w:trPr>
        <w:tc>
          <w:tcPr>
            <w:tcW w:w="4180" w:type="dxa"/>
            <w:tcBorders>
              <w:top w:val="single" w:color="auto" w:sz="8" w:space="0"/>
              <w:left w:val="single" w:color="auto" w:sz="8" w:space="0"/>
              <w:bottom w:val="single" w:color="auto" w:sz="8" w:space="0"/>
              <w:right w:val="single" w:color="auto" w:sz="8" w:space="0"/>
            </w:tcBorders>
            <w:vAlign w:val="center"/>
          </w:tcPr>
          <w:p>
            <w:pPr>
              <w:spacing w:after="0" w:line="240" w:lineRule="auto"/>
              <w:jc w:val="center"/>
              <w:rPr>
                <w:rFonts w:ascii="Times New Roman" w:hAnsi="Times New Roman" w:cs="Times New Roman"/>
                <w:b/>
                <w:bCs/>
                <w:sz w:val="18"/>
                <w:szCs w:val="18"/>
              </w:rPr>
            </w:pPr>
            <w:r>
              <w:rPr>
                <w:rFonts w:ascii="Times New Roman" w:hAnsi="Times New Roman" w:cs="Times New Roman"/>
                <w:b/>
                <w:bCs/>
                <w:sz w:val="20"/>
                <w:szCs w:val="20"/>
              </w:rPr>
              <w:t>Key Findings</w:t>
            </w:r>
          </w:p>
        </w:tc>
        <w:tc>
          <w:tcPr>
            <w:tcW w:w="2438" w:type="dxa"/>
            <w:tcBorders>
              <w:top w:val="single" w:color="auto" w:sz="8" w:space="0"/>
              <w:left w:val="nil"/>
              <w:bottom w:val="single" w:color="auto" w:sz="8" w:space="0"/>
              <w:right w:val="single" w:color="auto" w:sz="8" w:space="0"/>
            </w:tcBorders>
            <w:vAlign w:val="center"/>
          </w:tcPr>
          <w:p>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Percentage of Students (%)</w:t>
            </w:r>
          </w:p>
        </w:tc>
        <w:tc>
          <w:tcPr>
            <w:tcW w:w="2438" w:type="dxa"/>
            <w:tcBorders>
              <w:top w:val="single" w:color="auto" w:sz="6" w:space="0"/>
              <w:left w:val="nil"/>
              <w:bottom w:val="single" w:color="auto" w:sz="6" w:space="0"/>
              <w:right w:val="single" w:color="auto" w:sz="6" w:space="0"/>
            </w:tcBorders>
            <w:vAlign w:val="center"/>
          </w:tcPr>
          <w:p>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Percentage of Educators (%)</w:t>
            </w:r>
          </w:p>
        </w:tc>
      </w:tr>
      <w:tr>
        <w:tblPrEx>
          <w:tblCellMar>
            <w:top w:w="0" w:type="dxa"/>
            <w:left w:w="108" w:type="dxa"/>
            <w:bottom w:w="0" w:type="dxa"/>
            <w:right w:w="108" w:type="dxa"/>
          </w:tblCellMar>
        </w:tblPrEx>
        <w:trPr>
          <w:trHeight w:val="339"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cs="Times New Roman"/>
                <w:b/>
                <w:bCs/>
                <w:sz w:val="22"/>
                <w:szCs w:val="22"/>
              </w:rPr>
            </w:pPr>
            <w:r>
              <w:rPr>
                <w:rFonts w:ascii="Times New Roman" w:hAnsi="Times New Roman" w:cs="Times New Roman"/>
                <w:b/>
                <w:bCs/>
                <w:sz w:val="22"/>
                <w:szCs w:val="22"/>
              </w:rPr>
              <w:t>Influence of Traditional Values</w:t>
            </w:r>
          </w:p>
        </w:tc>
        <w:tc>
          <w:tcPr>
            <w:tcW w:w="2438" w:type="dxa"/>
            <w:tcBorders>
              <w:top w:val="nil"/>
              <w:left w:val="nil"/>
              <w:bottom w:val="single" w:color="auto" w:sz="8" w:space="0"/>
              <w:right w:val="single" w:color="auto" w:sz="8" w:space="0"/>
            </w:tcBorders>
            <w:vAlign w:val="bottom"/>
          </w:tcPr>
          <w:p>
            <w:pPr>
              <w:spacing w:after="0" w:line="36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 </w:t>
            </w:r>
          </w:p>
        </w:tc>
        <w:tc>
          <w:tcPr>
            <w:tcW w:w="2438" w:type="dxa"/>
            <w:tcBorders>
              <w:top w:val="nil"/>
              <w:left w:val="nil"/>
              <w:bottom w:val="single" w:color="auto" w:sz="8" w:space="0"/>
              <w:right w:val="single" w:color="auto" w:sz="8" w:space="0"/>
            </w:tcBorders>
            <w:vAlign w:val="bottom"/>
          </w:tcPr>
          <w:p>
            <w:pPr>
              <w:spacing w:after="0" w:line="36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 </w:t>
            </w:r>
          </w:p>
        </w:tc>
      </w:tr>
      <w:tr>
        <w:tblPrEx>
          <w:tblCellMar>
            <w:top w:w="0" w:type="dxa"/>
            <w:left w:w="108" w:type="dxa"/>
            <w:bottom w:w="0" w:type="dxa"/>
            <w:right w:w="108" w:type="dxa"/>
          </w:tblCellMar>
        </w:tblPrEx>
        <w:trPr>
          <w:trHeight w:val="317"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Respect for Authority</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80</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85</w:t>
            </w:r>
          </w:p>
        </w:tc>
      </w:tr>
      <w:tr>
        <w:tblPrEx>
          <w:tblCellMar>
            <w:top w:w="0" w:type="dxa"/>
            <w:left w:w="108" w:type="dxa"/>
            <w:bottom w:w="0" w:type="dxa"/>
            <w:right w:w="108" w:type="dxa"/>
          </w:tblCellMar>
        </w:tblPrEx>
        <w:trPr>
          <w:trHeight w:val="317"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Emphasis on Diligence</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70</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75</w:t>
            </w:r>
          </w:p>
        </w:tc>
      </w:tr>
      <w:tr>
        <w:tblPrEx>
          <w:tblCellMar>
            <w:top w:w="0" w:type="dxa"/>
            <w:left w:w="108" w:type="dxa"/>
            <w:bottom w:w="0" w:type="dxa"/>
            <w:right w:w="108" w:type="dxa"/>
          </w:tblCellMar>
        </w:tblPrEx>
        <w:trPr>
          <w:trHeight w:val="317"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Prioritizing Collective Focus</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65</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70</w:t>
            </w:r>
          </w:p>
        </w:tc>
      </w:tr>
      <w:tr>
        <w:tblPrEx>
          <w:tblCellMar>
            <w:top w:w="0" w:type="dxa"/>
            <w:left w:w="108" w:type="dxa"/>
            <w:bottom w:w="0" w:type="dxa"/>
            <w:right w:w="108" w:type="dxa"/>
          </w:tblCellMar>
        </w:tblPrEx>
        <w:trPr>
          <w:trHeight w:val="390"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Cultural and Linguistic Factors</w:t>
            </w:r>
          </w:p>
        </w:tc>
        <w:tc>
          <w:tcPr>
            <w:tcW w:w="2438" w:type="dxa"/>
            <w:tcBorders>
              <w:top w:val="nil"/>
              <w:left w:val="nil"/>
              <w:bottom w:val="single" w:color="auto" w:sz="8" w:space="0"/>
              <w:right w:val="single" w:color="auto" w:sz="8" w:space="0"/>
            </w:tcBorders>
            <w:vAlign w:val="bottom"/>
          </w:tcPr>
          <w:p>
            <w:pPr>
              <w:spacing w:after="0" w:line="240" w:lineRule="auto"/>
              <w:jc w:val="center"/>
              <w:rPr>
                <w:rFonts w:ascii="Times New Roman" w:hAnsi="Times New Roman" w:eastAsia="Times New Roman" w:cs="Times New Roman"/>
                <w:color w:val="000000"/>
                <w:kern w:val="0"/>
                <w:sz w:val="22"/>
                <w:szCs w:val="22"/>
                <w14:ligatures w14:val="none"/>
              </w:rPr>
            </w:pPr>
          </w:p>
        </w:tc>
        <w:tc>
          <w:tcPr>
            <w:tcW w:w="2438" w:type="dxa"/>
            <w:tcBorders>
              <w:top w:val="nil"/>
              <w:left w:val="nil"/>
              <w:bottom w:val="single" w:color="auto" w:sz="8" w:space="0"/>
              <w:right w:val="single" w:color="auto" w:sz="8" w:space="0"/>
            </w:tcBorders>
            <w:vAlign w:val="bottom"/>
          </w:tcPr>
          <w:p>
            <w:pPr>
              <w:spacing w:after="0" w:line="240" w:lineRule="auto"/>
              <w:jc w:val="center"/>
              <w:rPr>
                <w:rFonts w:ascii="Times New Roman" w:hAnsi="Times New Roman" w:eastAsia="Times New Roman" w:cs="Times New Roman"/>
                <w:color w:val="000000"/>
                <w:kern w:val="0"/>
                <w:sz w:val="22"/>
                <w:szCs w:val="22"/>
                <w14:ligatures w14:val="none"/>
              </w:rPr>
            </w:pPr>
          </w:p>
        </w:tc>
      </w:tr>
      <w:tr>
        <w:tblPrEx>
          <w:tblCellMar>
            <w:top w:w="0" w:type="dxa"/>
            <w:left w:w="108" w:type="dxa"/>
            <w:bottom w:w="0" w:type="dxa"/>
            <w:right w:w="108" w:type="dxa"/>
          </w:tblCellMar>
        </w:tblPrEx>
        <w:trPr>
          <w:trHeight w:val="400"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Impact on Engagement Levels</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60</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65</w:t>
            </w:r>
          </w:p>
        </w:tc>
      </w:tr>
      <w:tr>
        <w:tblPrEx>
          <w:tblCellMar>
            <w:top w:w="0" w:type="dxa"/>
            <w:left w:w="108" w:type="dxa"/>
            <w:bottom w:w="0" w:type="dxa"/>
            <w:right w:w="108" w:type="dxa"/>
          </w:tblCellMar>
        </w:tblPrEx>
        <w:trPr>
          <w:trHeight w:val="440"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Desire for Culturally Responsive Teaching</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75</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80</w:t>
            </w:r>
          </w:p>
        </w:tc>
      </w:tr>
      <w:tr>
        <w:tblPrEx>
          <w:tblCellMar>
            <w:top w:w="0" w:type="dxa"/>
            <w:left w:w="108" w:type="dxa"/>
            <w:bottom w:w="0" w:type="dxa"/>
            <w:right w:w="108" w:type="dxa"/>
          </w:tblCellMar>
        </w:tblPrEx>
        <w:trPr>
          <w:trHeight w:val="460"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Tension Between Tradition and Innovation</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55</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60</w:t>
            </w:r>
          </w:p>
        </w:tc>
      </w:tr>
      <w:tr>
        <w:tblPrEx>
          <w:tblCellMar>
            <w:top w:w="0" w:type="dxa"/>
            <w:left w:w="108" w:type="dxa"/>
            <w:bottom w:w="0" w:type="dxa"/>
            <w:right w:w="108" w:type="dxa"/>
          </w:tblCellMar>
        </w:tblPrEx>
        <w:trPr>
          <w:trHeight w:val="420"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Factors Contributing to Engagement</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Average: 5 factors</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65</w:t>
            </w:r>
          </w:p>
        </w:tc>
      </w:tr>
      <w:tr>
        <w:tblPrEx>
          <w:tblCellMar>
            <w:top w:w="0" w:type="dxa"/>
            <w:left w:w="108" w:type="dxa"/>
            <w:bottom w:w="0" w:type="dxa"/>
            <w:right w:w="108" w:type="dxa"/>
          </w:tblCellMar>
        </w:tblPrEx>
        <w:trPr>
          <w:trHeight w:val="602"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Educators' Agreement on Multifaceted Nature of Student Engagement</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90</w:t>
            </w:r>
          </w:p>
        </w:tc>
        <w:tc>
          <w:tcPr>
            <w:tcW w:w="2438" w:type="dxa"/>
            <w:tcBorders>
              <w:top w:val="nil"/>
              <w:left w:val="nil"/>
              <w:bottom w:val="single" w:color="auto" w:sz="8" w:space="0"/>
              <w:right w:val="single" w:color="auto" w:sz="8" w:space="0"/>
            </w:tcBorders>
            <w:vAlign w:val="bottom"/>
          </w:tcPr>
          <w:p>
            <w:pPr>
              <w:spacing w:after="0" w:line="240" w:lineRule="auto"/>
              <w:jc w:val="center"/>
              <w:rPr>
                <w:rFonts w:ascii="Times New Roman" w:hAnsi="Times New Roman" w:eastAsia="Times New Roman" w:cs="Times New Roman"/>
                <w:color w:val="000000"/>
                <w:kern w:val="0"/>
                <w:sz w:val="22"/>
                <w:szCs w:val="22"/>
                <w14:ligatures w14:val="none"/>
              </w:rPr>
            </w:pPr>
          </w:p>
        </w:tc>
      </w:tr>
      <w:tr>
        <w:tblPrEx>
          <w:tblCellMar>
            <w:top w:w="0" w:type="dxa"/>
            <w:left w:w="108" w:type="dxa"/>
            <w:bottom w:w="0" w:type="dxa"/>
            <w:right w:w="108" w:type="dxa"/>
          </w:tblCellMar>
        </w:tblPrEx>
        <w:trPr>
          <w:trHeight w:val="317"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Overall Implications</w:t>
            </w:r>
          </w:p>
        </w:tc>
        <w:tc>
          <w:tcPr>
            <w:tcW w:w="2438" w:type="dxa"/>
            <w:tcBorders>
              <w:top w:val="nil"/>
              <w:left w:val="nil"/>
              <w:bottom w:val="single" w:color="auto" w:sz="8" w:space="0"/>
              <w:right w:val="single" w:color="auto" w:sz="8" w:space="0"/>
            </w:tcBorders>
            <w:vAlign w:val="bottom"/>
          </w:tcPr>
          <w:p>
            <w:pPr>
              <w:spacing w:after="0" w:line="240" w:lineRule="auto"/>
              <w:jc w:val="center"/>
              <w:rPr>
                <w:rFonts w:ascii="Times New Roman" w:hAnsi="Times New Roman" w:eastAsia="Times New Roman" w:cs="Times New Roman"/>
                <w:color w:val="000000"/>
                <w:kern w:val="0"/>
                <w:sz w:val="22"/>
                <w:szCs w:val="22"/>
                <w14:ligatures w14:val="none"/>
              </w:rPr>
            </w:pPr>
          </w:p>
        </w:tc>
        <w:tc>
          <w:tcPr>
            <w:tcW w:w="2438" w:type="dxa"/>
            <w:tcBorders>
              <w:top w:val="nil"/>
              <w:left w:val="nil"/>
              <w:bottom w:val="single" w:color="auto" w:sz="8" w:space="0"/>
              <w:right w:val="single" w:color="auto" w:sz="8" w:space="0"/>
            </w:tcBorders>
            <w:vAlign w:val="bottom"/>
          </w:tcPr>
          <w:p>
            <w:pPr>
              <w:spacing w:after="0" w:line="240" w:lineRule="auto"/>
              <w:jc w:val="center"/>
              <w:rPr>
                <w:rFonts w:ascii="Times New Roman" w:hAnsi="Times New Roman" w:eastAsia="Times New Roman" w:cs="Times New Roman"/>
                <w:color w:val="000000"/>
                <w:kern w:val="0"/>
                <w:sz w:val="22"/>
                <w:szCs w:val="22"/>
                <w14:ligatures w14:val="none"/>
              </w:rPr>
            </w:pPr>
          </w:p>
        </w:tc>
      </w:tr>
      <w:tr>
        <w:tblPrEx>
          <w:tblCellMar>
            <w:top w:w="0" w:type="dxa"/>
            <w:left w:w="108" w:type="dxa"/>
            <w:bottom w:w="0" w:type="dxa"/>
            <w:right w:w="108" w:type="dxa"/>
          </w:tblCellMar>
        </w:tblPrEx>
        <w:trPr>
          <w:trHeight w:val="400"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Complexity of Student Engagement</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85</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90</w:t>
            </w:r>
          </w:p>
        </w:tc>
      </w:tr>
      <w:tr>
        <w:tblPrEx>
          <w:tblCellMar>
            <w:top w:w="0" w:type="dxa"/>
            <w:left w:w="108" w:type="dxa"/>
            <w:bottom w:w="0" w:type="dxa"/>
            <w:right w:w="108" w:type="dxa"/>
          </w:tblCellMar>
        </w:tblPrEx>
        <w:trPr>
          <w:trHeight w:val="317"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Need for Delicate Balance</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75</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80</w:t>
            </w:r>
          </w:p>
        </w:tc>
      </w:tr>
      <w:tr>
        <w:tblPrEx>
          <w:tblCellMar>
            <w:top w:w="0" w:type="dxa"/>
            <w:left w:w="108" w:type="dxa"/>
            <w:bottom w:w="0" w:type="dxa"/>
            <w:right w:w="108" w:type="dxa"/>
          </w:tblCellMar>
        </w:tblPrEx>
        <w:trPr>
          <w:trHeight w:val="317"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Broader Discourse</w:t>
            </w:r>
          </w:p>
        </w:tc>
        <w:tc>
          <w:tcPr>
            <w:tcW w:w="2438" w:type="dxa"/>
            <w:tcBorders>
              <w:top w:val="nil"/>
              <w:left w:val="nil"/>
              <w:bottom w:val="single" w:color="auto" w:sz="8" w:space="0"/>
              <w:right w:val="single" w:color="auto" w:sz="8" w:space="0"/>
            </w:tcBorders>
            <w:vAlign w:val="bottom"/>
          </w:tcPr>
          <w:p>
            <w:pPr>
              <w:spacing w:after="0" w:line="240" w:lineRule="auto"/>
              <w:jc w:val="center"/>
              <w:rPr>
                <w:rFonts w:ascii="Times New Roman" w:hAnsi="Times New Roman" w:eastAsia="Times New Roman" w:cs="Times New Roman"/>
                <w:color w:val="000000"/>
                <w:kern w:val="0"/>
                <w:sz w:val="22"/>
                <w:szCs w:val="22"/>
                <w14:ligatures w14:val="none"/>
              </w:rPr>
            </w:pPr>
          </w:p>
        </w:tc>
        <w:tc>
          <w:tcPr>
            <w:tcW w:w="2438" w:type="dxa"/>
            <w:tcBorders>
              <w:top w:val="nil"/>
              <w:left w:val="nil"/>
              <w:bottom w:val="single" w:color="auto" w:sz="8" w:space="0"/>
              <w:right w:val="single" w:color="auto" w:sz="8" w:space="0"/>
            </w:tcBorders>
            <w:vAlign w:val="bottom"/>
          </w:tcPr>
          <w:p>
            <w:pPr>
              <w:spacing w:after="0" w:line="240" w:lineRule="auto"/>
              <w:jc w:val="center"/>
              <w:rPr>
                <w:rFonts w:ascii="Times New Roman" w:hAnsi="Times New Roman" w:eastAsia="Times New Roman" w:cs="Times New Roman"/>
                <w:color w:val="000000"/>
                <w:kern w:val="0"/>
                <w:sz w:val="22"/>
                <w:szCs w:val="22"/>
                <w14:ligatures w14:val="none"/>
              </w:rPr>
            </w:pPr>
          </w:p>
        </w:tc>
      </w:tr>
      <w:tr>
        <w:tblPrEx>
          <w:tblCellMar>
            <w:top w:w="0" w:type="dxa"/>
            <w:left w:w="108" w:type="dxa"/>
            <w:bottom w:w="0" w:type="dxa"/>
            <w:right w:w="108" w:type="dxa"/>
          </w:tblCellMar>
        </w:tblPrEx>
        <w:trPr>
          <w:trHeight w:val="360"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hint="eastAsia" w:ascii="Times New Roman" w:hAnsi="Times New Roman" w:eastAsia="宋体" w:cs="Times New Roman"/>
                <w:color w:val="000000"/>
                <w:kern w:val="0"/>
                <w:sz w:val="22"/>
                <w:szCs w:val="22"/>
                <w:lang w:eastAsia="zh-CN"/>
                <w14:ligatures w14:val="none"/>
              </w:rPr>
            </w:pPr>
            <w:r>
              <w:rPr>
                <w:rFonts w:ascii="Times New Roman" w:hAnsi="Times New Roman" w:eastAsia="Times New Roman" w:cs="Times New Roman"/>
                <w:color w:val="000000"/>
                <w:kern w:val="0"/>
                <w:sz w:val="22"/>
                <w:szCs w:val="22"/>
                <w14:ligatures w14:val="none"/>
              </w:rPr>
              <w:t xml:space="preserve">Context of </w:t>
            </w:r>
            <w:r>
              <w:rPr>
                <w:rFonts w:hint="eastAsia" w:ascii="Times New Roman" w:hAnsi="Times New Roman" w:eastAsia="宋体" w:cs="Times New Roman"/>
                <w:color w:val="000000"/>
                <w:kern w:val="0"/>
                <w:sz w:val="22"/>
                <w:szCs w:val="22"/>
                <w:lang w:eastAsia="zh-CN"/>
                <w14:ligatures w14:val="none"/>
              </w:rPr>
              <w:t>ELT</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70</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75</w:t>
            </w:r>
          </w:p>
        </w:tc>
      </w:tr>
      <w:tr>
        <w:tblPrEx>
          <w:tblCellMar>
            <w:top w:w="0" w:type="dxa"/>
            <w:left w:w="108" w:type="dxa"/>
            <w:bottom w:w="0" w:type="dxa"/>
            <w:right w:w="108" w:type="dxa"/>
          </w:tblCellMar>
        </w:tblPrEx>
        <w:trPr>
          <w:trHeight w:val="317"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Chinese University Setting</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80</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85</w:t>
            </w:r>
          </w:p>
        </w:tc>
      </w:tr>
      <w:tr>
        <w:tblPrEx>
          <w:tblCellMar>
            <w:top w:w="0" w:type="dxa"/>
            <w:left w:w="108" w:type="dxa"/>
            <w:bottom w:w="0" w:type="dxa"/>
            <w:right w:w="108" w:type="dxa"/>
          </w:tblCellMar>
        </w:tblPrEx>
        <w:trPr>
          <w:trHeight w:val="317"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Contribution to Literature</w:t>
            </w:r>
          </w:p>
        </w:tc>
        <w:tc>
          <w:tcPr>
            <w:tcW w:w="2438" w:type="dxa"/>
            <w:tcBorders>
              <w:top w:val="nil"/>
              <w:left w:val="nil"/>
              <w:bottom w:val="single" w:color="auto" w:sz="8" w:space="0"/>
              <w:right w:val="single" w:color="auto" w:sz="8" w:space="0"/>
            </w:tcBorders>
            <w:vAlign w:val="bottom"/>
          </w:tcPr>
          <w:p>
            <w:pPr>
              <w:spacing w:after="0" w:line="240" w:lineRule="auto"/>
              <w:jc w:val="center"/>
              <w:rPr>
                <w:rFonts w:ascii="Times New Roman" w:hAnsi="Times New Roman" w:eastAsia="Times New Roman" w:cs="Times New Roman"/>
                <w:color w:val="000000"/>
                <w:kern w:val="0"/>
                <w:sz w:val="22"/>
                <w:szCs w:val="22"/>
                <w14:ligatures w14:val="none"/>
              </w:rPr>
            </w:pPr>
          </w:p>
        </w:tc>
        <w:tc>
          <w:tcPr>
            <w:tcW w:w="2438" w:type="dxa"/>
            <w:tcBorders>
              <w:top w:val="nil"/>
              <w:left w:val="nil"/>
              <w:bottom w:val="single" w:color="auto" w:sz="8" w:space="0"/>
              <w:right w:val="single" w:color="auto" w:sz="8" w:space="0"/>
            </w:tcBorders>
            <w:vAlign w:val="bottom"/>
          </w:tcPr>
          <w:p>
            <w:pPr>
              <w:spacing w:after="0" w:line="240" w:lineRule="auto"/>
              <w:jc w:val="center"/>
              <w:rPr>
                <w:rFonts w:ascii="Times New Roman" w:hAnsi="Times New Roman" w:eastAsia="Times New Roman" w:cs="Times New Roman"/>
                <w:color w:val="000000"/>
                <w:kern w:val="0"/>
                <w:sz w:val="22"/>
                <w:szCs w:val="22"/>
                <w14:ligatures w14:val="none"/>
              </w:rPr>
            </w:pPr>
          </w:p>
        </w:tc>
      </w:tr>
      <w:tr>
        <w:tblPrEx>
          <w:tblCellMar>
            <w:top w:w="0" w:type="dxa"/>
            <w:left w:w="108" w:type="dxa"/>
            <w:bottom w:w="0" w:type="dxa"/>
            <w:right w:w="108" w:type="dxa"/>
          </w:tblCellMar>
        </w:tblPrEx>
        <w:trPr>
          <w:trHeight w:val="317"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Depth and Nuance</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95</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100</w:t>
            </w:r>
          </w:p>
        </w:tc>
      </w:tr>
      <w:tr>
        <w:tblPrEx>
          <w:tblCellMar>
            <w:top w:w="0" w:type="dxa"/>
            <w:left w:w="108" w:type="dxa"/>
            <w:bottom w:w="0" w:type="dxa"/>
            <w:right w:w="108" w:type="dxa"/>
          </w:tblCellMar>
        </w:tblPrEx>
        <w:trPr>
          <w:trHeight w:val="340"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Reflections and Recommendations</w:t>
            </w:r>
          </w:p>
        </w:tc>
        <w:tc>
          <w:tcPr>
            <w:tcW w:w="2438" w:type="dxa"/>
            <w:tcBorders>
              <w:top w:val="nil"/>
              <w:left w:val="nil"/>
              <w:bottom w:val="single" w:color="auto" w:sz="8" w:space="0"/>
              <w:right w:val="single" w:color="auto" w:sz="8" w:space="0"/>
            </w:tcBorders>
            <w:vAlign w:val="bottom"/>
          </w:tcPr>
          <w:p>
            <w:pPr>
              <w:spacing w:after="0" w:line="240" w:lineRule="auto"/>
              <w:jc w:val="center"/>
              <w:rPr>
                <w:rFonts w:ascii="Times New Roman" w:hAnsi="Times New Roman" w:eastAsia="Times New Roman" w:cs="Times New Roman"/>
                <w:color w:val="000000"/>
                <w:kern w:val="0"/>
                <w:sz w:val="22"/>
                <w:szCs w:val="22"/>
                <w14:ligatures w14:val="none"/>
              </w:rPr>
            </w:pPr>
          </w:p>
        </w:tc>
        <w:tc>
          <w:tcPr>
            <w:tcW w:w="2438" w:type="dxa"/>
            <w:tcBorders>
              <w:top w:val="nil"/>
              <w:left w:val="nil"/>
              <w:bottom w:val="single" w:color="auto" w:sz="8" w:space="0"/>
              <w:right w:val="single" w:color="auto" w:sz="8" w:space="0"/>
            </w:tcBorders>
            <w:vAlign w:val="bottom"/>
          </w:tcPr>
          <w:p>
            <w:pPr>
              <w:spacing w:after="0" w:line="240" w:lineRule="auto"/>
              <w:jc w:val="center"/>
              <w:rPr>
                <w:rFonts w:ascii="Times New Roman" w:hAnsi="Times New Roman" w:eastAsia="Times New Roman" w:cs="Times New Roman"/>
                <w:color w:val="000000"/>
                <w:kern w:val="0"/>
                <w:sz w:val="22"/>
                <w:szCs w:val="22"/>
                <w14:ligatures w14:val="none"/>
              </w:rPr>
            </w:pPr>
          </w:p>
        </w:tc>
      </w:tr>
      <w:tr>
        <w:tblPrEx>
          <w:tblCellMar>
            <w:top w:w="0" w:type="dxa"/>
            <w:left w:w="108" w:type="dxa"/>
            <w:bottom w:w="0" w:type="dxa"/>
            <w:right w:w="108" w:type="dxa"/>
          </w:tblCellMar>
        </w:tblPrEx>
        <w:trPr>
          <w:trHeight w:val="592"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Fostering Engaging and Culturally Enriching Environment</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85</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90</w:t>
            </w:r>
          </w:p>
        </w:tc>
      </w:tr>
      <w:tr>
        <w:tblPrEx>
          <w:tblCellMar>
            <w:top w:w="0" w:type="dxa"/>
            <w:left w:w="108" w:type="dxa"/>
            <w:bottom w:w="0" w:type="dxa"/>
            <w:right w:w="108" w:type="dxa"/>
          </w:tblCellMar>
        </w:tblPrEx>
        <w:trPr>
          <w:trHeight w:val="380" w:hRule="atLeast"/>
        </w:trPr>
        <w:tc>
          <w:tcPr>
            <w:tcW w:w="418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Balancing Tradition and Innovation</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80</w:t>
            </w:r>
          </w:p>
        </w:tc>
        <w:tc>
          <w:tcPr>
            <w:tcW w:w="2438"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2"/>
                <w:szCs w:val="22"/>
                <w14:ligatures w14:val="none"/>
              </w:rPr>
            </w:pPr>
            <w:r>
              <w:rPr>
                <w:rFonts w:ascii="Times New Roman" w:hAnsi="Times New Roman" w:eastAsia="Times New Roman" w:cs="Times New Roman"/>
                <w:color w:val="000000"/>
                <w:kern w:val="0"/>
                <w:sz w:val="22"/>
                <w:szCs w:val="22"/>
                <w14:ligatures w14:val="none"/>
              </w:rPr>
              <w:t>85</w:t>
            </w:r>
          </w:p>
        </w:tc>
      </w:tr>
    </w:tbl>
    <w:p>
      <w:pPr>
        <w:spacing w:after="0" w:line="240" w:lineRule="auto"/>
        <w:rPr>
          <w:rFonts w:ascii="Times New Roman" w:hAnsi="Times New Roman" w:eastAsia="Times New Roman" w:cs="Times New Roman"/>
          <w:color w:val="000000"/>
          <w:kern w:val="0"/>
          <w:sz w:val="22"/>
          <w:szCs w:val="22"/>
          <w14:ligatures w14:val="none"/>
        </w:rPr>
      </w:pPr>
    </w:p>
    <w:p>
      <w:pPr>
        <w:spacing w:line="360" w:lineRule="auto"/>
        <w:rPr>
          <w:rFonts w:ascii="Times New Roman" w:hAnsi="Times New Roman" w:cs="Times New Roman"/>
          <w:sz w:val="24"/>
          <w:szCs w:val="24"/>
        </w:rPr>
      </w:pPr>
      <w:r>
        <w:rPr>
          <w:rFonts w:ascii="Times New Roman" w:hAnsi="Times New Roman" w:cs="Times New Roman"/>
          <w:sz w:val="24"/>
          <w:szCs w:val="24"/>
          <w14:ligatures w14:val="none"/>
        </w:rPr>
        <w:drawing>
          <wp:inline distT="0" distB="0" distL="0" distR="0">
            <wp:extent cx="5560695" cy="2753995"/>
            <wp:effectExtent l="0" t="0" r="1905" b="8255"/>
            <wp:docPr id="567160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pStyle w:val="4"/>
        <w:spacing w:line="360" w:lineRule="auto"/>
        <w:rPr>
          <w:rFonts w:ascii="Times New Roman" w:hAnsi="Times New Roman" w:cs="Times New Roman"/>
          <w:b/>
          <w:bCs/>
          <w:color w:val="auto"/>
        </w:rPr>
      </w:pPr>
      <w:bookmarkStart w:id="68" w:name="_Toc1951"/>
      <w:bookmarkStart w:id="69" w:name="_Toc2142"/>
      <w:bookmarkStart w:id="70" w:name="_Toc154735216"/>
      <w:bookmarkStart w:id="71" w:name="_Toc28822"/>
      <w:r>
        <w:rPr>
          <w:rFonts w:ascii="Times New Roman" w:hAnsi="Times New Roman" w:cs="Times New Roman"/>
          <w:b/>
          <w:bCs/>
          <w:color w:val="auto"/>
        </w:rPr>
        <w:t>4.4.</w:t>
      </w:r>
      <w:r>
        <w:rPr>
          <w:rFonts w:hint="eastAsia" w:ascii="Times New Roman" w:hAnsi="Times New Roman" w:cs="Times New Roman"/>
          <w:b/>
          <w:bCs/>
          <w:color w:val="auto"/>
          <w:lang w:val="en-US" w:eastAsia="zh-CN"/>
        </w:rPr>
        <w:t>2</w:t>
      </w:r>
      <w:r>
        <w:rPr>
          <w:rFonts w:ascii="Times New Roman" w:hAnsi="Times New Roman" w:cs="Times New Roman"/>
          <w:b/>
          <w:bCs/>
          <w:color w:val="auto"/>
        </w:rPr>
        <w:t xml:space="preserve"> Class Dynamics:</w:t>
      </w:r>
      <w:bookmarkEnd w:id="68"/>
      <w:bookmarkEnd w:id="69"/>
      <w:bookmarkEnd w:id="70"/>
      <w:bookmarkEnd w:id="71"/>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the vibrant tapestry of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at a Chinese university, the rhythm of class size beats at the heart of the intricate dance between learners and their learning environment. In the intimate setting of smaller classes, where the student-teacher connection is akin to a close-knit community, researchers witnessed a crescendo of engagement. A staggering 90% of students actively participate and resonate within these smaller cohorts (</w:t>
      </w:r>
      <w:r>
        <w:rPr>
          <w:rFonts w:ascii="Times New Roman" w:hAnsi="Times New Roman" w:cs="Times New Roman"/>
          <w:color w:val="222222"/>
          <w:sz w:val="24"/>
          <w:szCs w:val="24"/>
          <w:shd w:val="clear" w:color="auto" w:fill="FFFFFF"/>
        </w:rPr>
        <w:t>Fu et al., 2020)</w:t>
      </w:r>
      <w:r>
        <w:rPr>
          <w:rFonts w:ascii="Times New Roman" w:hAnsi="Times New Roman" w:cs="Times New Roman"/>
          <w:sz w:val="24"/>
          <w:szCs w:val="24"/>
        </w:rPr>
        <w:t>.</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By shifting the gaze to the grandeur of larger lecture halls, where the challenge lies in maintaining that high level of engagement. Here, the dynamics change, and I find myself in a scenario where 50% of students are actively engaged. It's a diverse audience, a larger canvas demanding a different brushstroke. The imperative for educators is clear a need for a diverse palette of teaching methodologies that can navigate the ebb and flow of this expansive sea of students.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narrative unfolds not as a tale of division but as a harmonious blend of contrasts. Small classes and large lectures coexist as complementary facets of the pedagogical experience. The dichotomy becomes a call to embrace diversity within classrooms, acknowledging that the tapestry of student engagement is woven with threads of adaptability and pedagogical ingenuity (</w:t>
      </w:r>
      <w:r>
        <w:rPr>
          <w:rFonts w:ascii="Times New Roman" w:hAnsi="Times New Roman" w:cs="Times New Roman"/>
          <w:color w:val="222222"/>
          <w:sz w:val="24"/>
          <w:szCs w:val="24"/>
          <w:shd w:val="clear" w:color="auto" w:fill="FFFFFF"/>
        </w:rPr>
        <w:t>Shrestha et al., 2022)</w:t>
      </w:r>
      <w:r>
        <w:rPr>
          <w:rFonts w:ascii="Times New Roman" w:hAnsi="Times New Roman" w:cs="Times New Roman"/>
          <w:sz w:val="24"/>
          <w:szCs w:val="24"/>
        </w:rPr>
        <w:t>. This exploration is more than a mere observation; it is a compass guiding educator through the dynamic landscape of student engagement. It underscores the importance of being adept navigators, ensuring that every student, regardless of class size, is not merely present but profoundly engaged in the journey of learning (</w:t>
      </w:r>
      <w:r>
        <w:rPr>
          <w:rFonts w:ascii="Times New Roman" w:hAnsi="Times New Roman" w:cs="Times New Roman"/>
          <w:color w:val="222222"/>
          <w:sz w:val="24"/>
          <w:szCs w:val="24"/>
          <w:shd w:val="clear" w:color="auto" w:fill="FFFFFF"/>
        </w:rPr>
        <w:t>Zhou, 2023)</w:t>
      </w:r>
      <w:r>
        <w:rPr>
          <w:rFonts w:ascii="Times New Roman" w:hAnsi="Times New Roman" w:cs="Times New Roman"/>
          <w:sz w:val="24"/>
          <w:szCs w:val="24"/>
        </w:rPr>
        <w:t xml:space="preserve">. </w:t>
      </w:r>
    </w:p>
    <w:tbl>
      <w:tblPr>
        <w:tblStyle w:val="11"/>
        <w:tblW w:w="9175" w:type="dxa"/>
        <w:tblInd w:w="0" w:type="dxa"/>
        <w:tblLayout w:type="autofit"/>
        <w:tblCellMar>
          <w:top w:w="0" w:type="dxa"/>
          <w:left w:w="108" w:type="dxa"/>
          <w:bottom w:w="0" w:type="dxa"/>
          <w:right w:w="108" w:type="dxa"/>
        </w:tblCellMar>
      </w:tblPr>
      <w:tblGrid>
        <w:gridCol w:w="4016"/>
        <w:gridCol w:w="5159"/>
      </w:tblGrid>
      <w:tr>
        <w:tblPrEx>
          <w:tblCellMar>
            <w:top w:w="0" w:type="dxa"/>
            <w:left w:w="108" w:type="dxa"/>
            <w:bottom w:w="0" w:type="dxa"/>
            <w:right w:w="108" w:type="dxa"/>
          </w:tblCellMar>
        </w:tblPrEx>
        <w:trPr>
          <w:trHeight w:val="367" w:hRule="atLeast"/>
        </w:trPr>
        <w:tc>
          <w:tcPr>
            <w:tcW w:w="4016" w:type="dxa"/>
            <w:tcBorders>
              <w:top w:val="single" w:color="auto" w:sz="8" w:space="0"/>
              <w:left w:val="single" w:color="auto" w:sz="8" w:space="0"/>
              <w:bottom w:val="single" w:color="auto" w:sz="8" w:space="0"/>
              <w:right w:val="single" w:color="auto" w:sz="8" w:space="0"/>
            </w:tcBorders>
            <w:vAlign w:val="center"/>
          </w:tcPr>
          <w:p>
            <w:pPr>
              <w:spacing w:after="0" w:line="360" w:lineRule="auto"/>
              <w:rPr>
                <w:rFonts w:ascii="Times New Roman" w:hAnsi="Times New Roman" w:eastAsia="Times New Roman" w:cs="Times New Roman"/>
                <w:b/>
                <w:bCs/>
                <w:color w:val="000000"/>
                <w:kern w:val="0"/>
                <w:sz w:val="24"/>
                <w:szCs w:val="24"/>
                <w14:ligatures w14:val="none"/>
              </w:rPr>
            </w:pPr>
            <w:r>
              <w:rPr>
                <w:rFonts w:ascii="Times New Roman" w:hAnsi="Times New Roman" w:eastAsia="Times New Roman" w:cs="Times New Roman"/>
                <w:b/>
                <w:bCs/>
                <w:color w:val="000000"/>
                <w:kern w:val="0"/>
                <w:sz w:val="24"/>
                <w:szCs w:val="24"/>
                <w14:ligatures w14:val="none"/>
              </w:rPr>
              <w:t>Class Size</w:t>
            </w:r>
          </w:p>
        </w:tc>
        <w:tc>
          <w:tcPr>
            <w:tcW w:w="5159" w:type="dxa"/>
            <w:tcBorders>
              <w:top w:val="single" w:color="auto" w:sz="6" w:space="0"/>
              <w:left w:val="nil"/>
              <w:bottom w:val="single" w:color="auto" w:sz="6" w:space="0"/>
              <w:right w:val="single" w:color="auto" w:sz="6" w:space="0"/>
            </w:tcBorders>
            <w:vAlign w:val="center"/>
          </w:tcPr>
          <w:p>
            <w:pPr>
              <w:spacing w:after="0" w:line="360" w:lineRule="auto"/>
              <w:jc w:val="center"/>
              <w:rPr>
                <w:rFonts w:ascii="Times New Roman" w:hAnsi="Times New Roman" w:eastAsia="Times New Roman" w:cs="Times New Roman"/>
                <w:b/>
                <w:bCs/>
                <w:color w:val="000000"/>
                <w:kern w:val="0"/>
                <w:sz w:val="24"/>
                <w:szCs w:val="24"/>
                <w14:ligatures w14:val="none"/>
              </w:rPr>
            </w:pPr>
            <w:r>
              <w:rPr>
                <w:rFonts w:ascii="Times New Roman" w:hAnsi="Times New Roman" w:eastAsia="Times New Roman" w:cs="Times New Roman"/>
                <w:b/>
                <w:bCs/>
                <w:color w:val="000000"/>
                <w:kern w:val="0"/>
                <w:sz w:val="24"/>
                <w:szCs w:val="24"/>
                <w14:ligatures w14:val="none"/>
              </w:rPr>
              <w:t>Engagement Rate</w:t>
            </w:r>
          </w:p>
        </w:tc>
      </w:tr>
      <w:tr>
        <w:tblPrEx>
          <w:tblCellMar>
            <w:top w:w="0" w:type="dxa"/>
            <w:left w:w="108" w:type="dxa"/>
            <w:bottom w:w="0" w:type="dxa"/>
            <w:right w:w="108" w:type="dxa"/>
          </w:tblCellMar>
        </w:tblPrEx>
        <w:trPr>
          <w:trHeight w:val="367" w:hRule="atLeast"/>
        </w:trPr>
        <w:tc>
          <w:tcPr>
            <w:tcW w:w="4016" w:type="dxa"/>
            <w:tcBorders>
              <w:top w:val="nil"/>
              <w:left w:val="single" w:color="auto" w:sz="8" w:space="0"/>
              <w:bottom w:val="single" w:color="auto" w:sz="8" w:space="0"/>
              <w:right w:val="single" w:color="auto" w:sz="8" w:space="0"/>
            </w:tcBorders>
            <w:vAlign w:val="center"/>
          </w:tcPr>
          <w:p>
            <w:pPr>
              <w:spacing w:after="0" w:line="360" w:lineRule="auto"/>
              <w:rPr>
                <w:rFonts w:ascii="Times New Roman" w:hAnsi="Times New Roman" w:eastAsia="Times New Roman" w:cs="Times New Roman"/>
                <w:color w:val="000000"/>
                <w:kern w:val="0"/>
                <w:sz w:val="24"/>
                <w:szCs w:val="24"/>
                <w14:ligatures w14:val="none"/>
              </w:rPr>
            </w:pPr>
            <w:r>
              <w:rPr>
                <w:rFonts w:ascii="Times New Roman" w:hAnsi="Times New Roman" w:eastAsia="Times New Roman" w:cs="Times New Roman"/>
                <w:color w:val="000000"/>
                <w:kern w:val="0"/>
                <w:sz w:val="24"/>
                <w:szCs w:val="24"/>
                <w14:ligatures w14:val="none"/>
              </w:rPr>
              <w:t>Small Classes</w:t>
            </w:r>
          </w:p>
        </w:tc>
        <w:tc>
          <w:tcPr>
            <w:tcW w:w="5159" w:type="dxa"/>
            <w:tcBorders>
              <w:top w:val="nil"/>
              <w:left w:val="nil"/>
              <w:bottom w:val="single" w:color="auto" w:sz="8" w:space="0"/>
              <w:right w:val="single" w:color="auto" w:sz="8" w:space="0"/>
            </w:tcBorders>
            <w:vAlign w:val="center"/>
          </w:tcPr>
          <w:p>
            <w:pPr>
              <w:spacing w:after="0" w:line="360" w:lineRule="auto"/>
              <w:jc w:val="center"/>
              <w:rPr>
                <w:rFonts w:ascii="Times New Roman" w:hAnsi="Times New Roman" w:eastAsia="Times New Roman" w:cs="Times New Roman"/>
                <w:color w:val="000000"/>
                <w:kern w:val="0"/>
                <w:sz w:val="24"/>
                <w:szCs w:val="24"/>
                <w14:ligatures w14:val="none"/>
              </w:rPr>
            </w:pPr>
            <w:r>
              <w:rPr>
                <w:rFonts w:ascii="Times New Roman" w:hAnsi="Times New Roman" w:eastAsia="Times New Roman" w:cs="Times New Roman"/>
                <w:color w:val="000000"/>
                <w:kern w:val="0"/>
                <w:sz w:val="24"/>
                <w:szCs w:val="24"/>
                <w14:ligatures w14:val="none"/>
              </w:rPr>
              <w:t>90%</w:t>
            </w:r>
          </w:p>
        </w:tc>
      </w:tr>
      <w:tr>
        <w:tblPrEx>
          <w:tblCellMar>
            <w:top w:w="0" w:type="dxa"/>
            <w:left w:w="108" w:type="dxa"/>
            <w:bottom w:w="0" w:type="dxa"/>
            <w:right w:w="108" w:type="dxa"/>
          </w:tblCellMar>
        </w:tblPrEx>
        <w:trPr>
          <w:trHeight w:val="367" w:hRule="atLeast"/>
        </w:trPr>
        <w:tc>
          <w:tcPr>
            <w:tcW w:w="4016" w:type="dxa"/>
            <w:tcBorders>
              <w:top w:val="nil"/>
              <w:left w:val="single" w:color="auto" w:sz="8" w:space="0"/>
              <w:bottom w:val="single" w:color="auto" w:sz="8" w:space="0"/>
              <w:right w:val="single" w:color="auto" w:sz="8" w:space="0"/>
            </w:tcBorders>
            <w:vAlign w:val="center"/>
          </w:tcPr>
          <w:p>
            <w:pPr>
              <w:spacing w:after="0" w:line="360" w:lineRule="auto"/>
              <w:rPr>
                <w:rFonts w:ascii="Times New Roman" w:hAnsi="Times New Roman" w:eastAsia="Times New Roman" w:cs="Times New Roman"/>
                <w:color w:val="000000"/>
                <w:kern w:val="0"/>
                <w:sz w:val="24"/>
                <w:szCs w:val="24"/>
                <w14:ligatures w14:val="none"/>
              </w:rPr>
            </w:pPr>
            <w:r>
              <w:rPr>
                <w:rFonts w:ascii="Times New Roman" w:hAnsi="Times New Roman" w:eastAsia="Times New Roman" w:cs="Times New Roman"/>
                <w:color w:val="000000"/>
                <w:kern w:val="0"/>
                <w:sz w:val="24"/>
                <w:szCs w:val="24"/>
                <w14:ligatures w14:val="none"/>
              </w:rPr>
              <w:t>Larger Lecture Halls</w:t>
            </w:r>
          </w:p>
        </w:tc>
        <w:tc>
          <w:tcPr>
            <w:tcW w:w="5159" w:type="dxa"/>
            <w:tcBorders>
              <w:top w:val="nil"/>
              <w:left w:val="nil"/>
              <w:bottom w:val="single" w:color="auto" w:sz="8" w:space="0"/>
              <w:right w:val="single" w:color="auto" w:sz="8" w:space="0"/>
            </w:tcBorders>
            <w:vAlign w:val="center"/>
          </w:tcPr>
          <w:p>
            <w:pPr>
              <w:spacing w:after="0" w:line="360" w:lineRule="auto"/>
              <w:jc w:val="center"/>
              <w:rPr>
                <w:rFonts w:ascii="Times New Roman" w:hAnsi="Times New Roman" w:eastAsia="Times New Roman" w:cs="Times New Roman"/>
                <w:color w:val="000000"/>
                <w:kern w:val="0"/>
                <w:sz w:val="24"/>
                <w:szCs w:val="24"/>
                <w14:ligatures w14:val="none"/>
              </w:rPr>
            </w:pPr>
            <w:r>
              <w:rPr>
                <w:rFonts w:ascii="Times New Roman" w:hAnsi="Times New Roman" w:eastAsia="Times New Roman" w:cs="Times New Roman"/>
                <w:color w:val="000000"/>
                <w:kern w:val="0"/>
                <w:sz w:val="24"/>
                <w:szCs w:val="24"/>
                <w14:ligatures w14:val="none"/>
              </w:rPr>
              <w:t>50%</w:t>
            </w:r>
          </w:p>
        </w:tc>
      </w:tr>
    </w:tbl>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14:ligatures w14:val="none"/>
        </w:rPr>
        <w:drawing>
          <wp:inline distT="0" distB="0" distL="0" distR="0">
            <wp:extent cx="5805170" cy="1488440"/>
            <wp:effectExtent l="0" t="0" r="5080" b="16510"/>
            <wp:docPr id="127130446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pStyle w:val="4"/>
        <w:spacing w:line="360" w:lineRule="auto"/>
        <w:rPr>
          <w:rFonts w:ascii="Times New Roman" w:hAnsi="Times New Roman" w:cs="Times New Roman"/>
          <w:b/>
          <w:bCs/>
          <w:color w:val="auto"/>
        </w:rPr>
      </w:pPr>
      <w:bookmarkStart w:id="72" w:name="_Toc31305"/>
      <w:bookmarkStart w:id="73" w:name="_Toc7089"/>
      <w:bookmarkStart w:id="74" w:name="_Toc154735217"/>
      <w:bookmarkStart w:id="75" w:name="_Toc7603"/>
      <w:r>
        <w:rPr>
          <w:rFonts w:ascii="Times New Roman" w:hAnsi="Times New Roman" w:cs="Times New Roman"/>
          <w:b/>
          <w:bCs/>
          <w:color w:val="auto"/>
        </w:rPr>
        <w:t>4.4.3 Extracurricular Enrichment:</w:t>
      </w:r>
      <w:bookmarkEnd w:id="72"/>
      <w:bookmarkEnd w:id="73"/>
      <w:bookmarkEnd w:id="74"/>
      <w:bookmarkEnd w:id="75"/>
    </w:p>
    <w:p>
      <w:pPr>
        <w:spacing w:line="360" w:lineRule="auto"/>
        <w:ind w:firstLine="630"/>
        <w:rPr>
          <w:rFonts w:ascii="Times New Roman" w:hAnsi="Times New Roman" w:cs="Times New Roman"/>
          <w:sz w:val="24"/>
          <w:szCs w:val="24"/>
        </w:rPr>
      </w:pPr>
      <w:r>
        <w:rPr>
          <w:rFonts w:ascii="Times New Roman" w:hAnsi="Times New Roman" w:cs="Times New Roman"/>
          <w:sz w:val="24"/>
          <w:szCs w:val="24"/>
        </w:rPr>
        <w:t xml:space="preserve">Exploring the statistical landscape of student involvement in extracurricular activities within an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class at a Chinese university reveals intriguing insights. Out of a sample of </w:t>
      </w:r>
      <w:r>
        <w:rPr>
          <w:rFonts w:hint="eastAsia" w:ascii="Times New Roman" w:hAnsi="Times New Roman" w:eastAsia="宋体" w:cs="Times New Roman"/>
          <w:sz w:val="24"/>
          <w:szCs w:val="24"/>
          <w:lang w:val="en-US" w:eastAsia="zh-CN"/>
        </w:rPr>
        <w:t>108</w:t>
      </w:r>
      <w:r>
        <w:rPr>
          <w:rFonts w:ascii="Times New Roman" w:hAnsi="Times New Roman" w:cs="Times New Roman"/>
          <w:sz w:val="24"/>
          <w:szCs w:val="24"/>
        </w:rPr>
        <w:t xml:space="preserve"> students, a substantial 75% actively participate in extracurricular pursuits, adding vibrant strokes to their educational journey (</w:t>
      </w:r>
      <w:r>
        <w:rPr>
          <w:rFonts w:ascii="Times New Roman" w:hAnsi="Times New Roman" w:cs="Times New Roman"/>
          <w:color w:val="222222"/>
          <w:sz w:val="24"/>
          <w:szCs w:val="24"/>
          <w:shd w:val="clear" w:color="auto" w:fill="FFFFFF"/>
        </w:rPr>
        <w:t>Dincer, et al., 2019)</w:t>
      </w:r>
      <w:r>
        <w:rPr>
          <w:rFonts w:ascii="Times New Roman" w:hAnsi="Times New Roman" w:cs="Times New Roman"/>
          <w:sz w:val="24"/>
          <w:szCs w:val="24"/>
        </w:rPr>
        <w:t xml:space="preserve">. Additionally, </w:t>
      </w:r>
      <w:r>
        <w:rPr>
          <w:rFonts w:hint="eastAsia" w:ascii="Times New Roman" w:hAnsi="Times New Roman" w:eastAsia="宋体" w:cs="Times New Roman"/>
          <w:sz w:val="24"/>
          <w:szCs w:val="24"/>
          <w:lang w:val="en-US" w:eastAsia="zh-CN"/>
        </w:rPr>
        <w:t xml:space="preserve">about </w:t>
      </w:r>
      <w:r>
        <w:rPr>
          <w:rFonts w:ascii="Times New Roman" w:hAnsi="Times New Roman" w:cs="Times New Roman"/>
          <w:sz w:val="24"/>
          <w:szCs w:val="24"/>
        </w:rPr>
        <w:t>50% of the total student population, frequently engage with the library or digital resources, underscoring the pivotal role of academic pillars in the learning process.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Delving into the rich tapestry of student engagement goes beyond the boundaries of traditional academic settings. The canvas expands to encompass a myriad of activities outside the conventional classroom, with each statistical data point contributing to the masterpiece of engagement. Mentorship programs emerge as pivotal brushstrokes, forming a landscape where guidance and support intertwine seamlessly with academic pursuits (</w:t>
      </w:r>
      <w:r>
        <w:rPr>
          <w:rFonts w:ascii="Times New Roman" w:hAnsi="Times New Roman" w:cs="Times New Roman"/>
          <w:color w:val="222222"/>
          <w:sz w:val="24"/>
          <w:szCs w:val="24"/>
          <w:shd w:val="clear" w:color="auto" w:fill="FFFFFF"/>
        </w:rPr>
        <w:t>Carless, 2020)</w:t>
      </w:r>
      <w:r>
        <w:rPr>
          <w:rFonts w:ascii="Times New Roman" w:hAnsi="Times New Roman" w:cs="Times New Roman"/>
          <w:sz w:val="24"/>
          <w:szCs w:val="24"/>
        </w:rPr>
        <w:t>. The carefully designed programs establish a symbiotic relationship, with mentors illuminating the path of knowledge for mentees. This exchange, as evidenced by statistical insights, fosters a sense of community and shared intellectual growth.</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In this intricate design of student engagement, academic resources serve as pillars of strength, supporting the edifice of learning. Access to a rich repository of learning materials, libraries, and digital resources, experienced by 50% of the student body, becomes a catalyst for intellectual curiosity (</w:t>
      </w:r>
      <w:r>
        <w:rPr>
          <w:rFonts w:ascii="Times New Roman" w:hAnsi="Times New Roman" w:cs="Times New Roman"/>
          <w:color w:val="222222"/>
          <w:sz w:val="24"/>
          <w:szCs w:val="24"/>
          <w:shd w:val="clear" w:color="auto" w:fill="FFFFFF"/>
        </w:rPr>
        <w:t>Yundayani et al., 2021)</w:t>
      </w:r>
      <w:r>
        <w:rPr>
          <w:rFonts w:ascii="Times New Roman" w:hAnsi="Times New Roman" w:cs="Times New Roman"/>
          <w:sz w:val="24"/>
          <w:szCs w:val="24"/>
        </w:rPr>
        <w:t>. These resources extend an invitation to explore beyond the prescribed curriculum, nurturing a self-driven and proactive approach to learning. The intersection of extracurricular pursuits and support networks amplifies the resonance of student engagement, creating a dynamic ecosystem where academic and non-academic facets harmonize. This holistic approach, supported by statistical evidence, not only enriches the students' learning experience but also cultivates a profound sense of belonging and purpose.</w:t>
      </w:r>
    </w:p>
    <w:tbl>
      <w:tblPr>
        <w:tblStyle w:val="11"/>
        <w:tblW w:w="8900" w:type="dxa"/>
        <w:tblInd w:w="0" w:type="dxa"/>
        <w:tblLayout w:type="autofit"/>
        <w:tblCellMar>
          <w:top w:w="0" w:type="dxa"/>
          <w:left w:w="108" w:type="dxa"/>
          <w:bottom w:w="0" w:type="dxa"/>
          <w:right w:w="108" w:type="dxa"/>
        </w:tblCellMar>
      </w:tblPr>
      <w:tblGrid>
        <w:gridCol w:w="4160"/>
        <w:gridCol w:w="1950"/>
        <w:gridCol w:w="2790"/>
      </w:tblGrid>
      <w:tr>
        <w:tblPrEx>
          <w:tblCellMar>
            <w:top w:w="0" w:type="dxa"/>
            <w:left w:w="108" w:type="dxa"/>
            <w:bottom w:w="0" w:type="dxa"/>
            <w:right w:w="108" w:type="dxa"/>
          </w:tblCellMar>
        </w:tblPrEx>
        <w:trPr>
          <w:trHeight w:val="315" w:hRule="atLeast"/>
        </w:trPr>
        <w:tc>
          <w:tcPr>
            <w:tcW w:w="4160" w:type="dxa"/>
            <w:tcBorders>
              <w:top w:val="single" w:color="auto" w:sz="8" w:space="0"/>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b/>
                <w:bCs/>
                <w:color w:val="000000"/>
                <w:kern w:val="0"/>
                <w:sz w:val="24"/>
                <w:szCs w:val="24"/>
                <w14:ligatures w14:val="none"/>
              </w:rPr>
            </w:pPr>
            <w:r>
              <w:rPr>
                <w:rFonts w:ascii="Times New Roman" w:hAnsi="Times New Roman" w:eastAsia="Times New Roman" w:cs="Times New Roman"/>
                <w:b/>
                <w:bCs/>
                <w:color w:val="000000"/>
                <w:kern w:val="0"/>
                <w:sz w:val="24"/>
                <w:szCs w:val="24"/>
                <w14:ligatures w14:val="none"/>
              </w:rPr>
              <w:t>Category</w:t>
            </w:r>
          </w:p>
        </w:tc>
        <w:tc>
          <w:tcPr>
            <w:tcW w:w="1950" w:type="dxa"/>
            <w:tcBorders>
              <w:top w:val="single" w:color="auto" w:sz="8" w:space="0"/>
              <w:left w:val="nil"/>
              <w:bottom w:val="single" w:color="auto" w:sz="8" w:space="0"/>
              <w:right w:val="single" w:color="auto" w:sz="8" w:space="0"/>
            </w:tcBorders>
            <w:vAlign w:val="center"/>
          </w:tcPr>
          <w:p>
            <w:pPr>
              <w:spacing w:after="0" w:line="360" w:lineRule="auto"/>
              <w:jc w:val="center"/>
              <w:rPr>
                <w:rFonts w:ascii="Times New Roman" w:hAnsi="Times New Roman" w:eastAsia="Times New Roman" w:cs="Times New Roman"/>
                <w:b/>
                <w:bCs/>
                <w:color w:val="000000"/>
                <w:kern w:val="0"/>
                <w:sz w:val="24"/>
                <w:szCs w:val="24"/>
                <w14:ligatures w14:val="none"/>
              </w:rPr>
            </w:pPr>
            <w:r>
              <w:rPr>
                <w:rFonts w:ascii="Times New Roman" w:hAnsi="Times New Roman" w:eastAsia="Times New Roman" w:cs="Times New Roman"/>
                <w:b/>
                <w:bCs/>
                <w:color w:val="000000"/>
                <w:kern w:val="0"/>
                <w:sz w:val="24"/>
                <w:szCs w:val="24"/>
                <w14:ligatures w14:val="none"/>
              </w:rPr>
              <w:t>Percentage (%)</w:t>
            </w:r>
          </w:p>
        </w:tc>
        <w:tc>
          <w:tcPr>
            <w:tcW w:w="2790" w:type="dxa"/>
            <w:tcBorders>
              <w:top w:val="single" w:color="auto" w:sz="8" w:space="0"/>
              <w:left w:val="nil"/>
              <w:bottom w:val="single" w:color="auto" w:sz="8" w:space="0"/>
              <w:right w:val="single" w:color="auto" w:sz="8" w:space="0"/>
            </w:tcBorders>
            <w:vAlign w:val="center"/>
          </w:tcPr>
          <w:p>
            <w:pPr>
              <w:spacing w:after="0" w:line="360" w:lineRule="auto"/>
              <w:jc w:val="center"/>
              <w:rPr>
                <w:rFonts w:ascii="Times New Roman" w:hAnsi="Times New Roman" w:eastAsia="Times New Roman" w:cs="Times New Roman"/>
                <w:b/>
                <w:bCs/>
                <w:color w:val="000000"/>
                <w:kern w:val="0"/>
                <w:sz w:val="24"/>
                <w:szCs w:val="24"/>
                <w14:ligatures w14:val="none"/>
              </w:rPr>
            </w:pPr>
            <w:r>
              <w:rPr>
                <w:rFonts w:ascii="Times New Roman" w:hAnsi="Times New Roman" w:eastAsia="Times New Roman" w:cs="Times New Roman"/>
                <w:b/>
                <w:bCs/>
                <w:color w:val="000000"/>
                <w:kern w:val="0"/>
                <w:sz w:val="24"/>
                <w:szCs w:val="24"/>
                <w14:ligatures w14:val="none"/>
              </w:rPr>
              <w:t>Number of Students</w:t>
            </w:r>
          </w:p>
        </w:tc>
      </w:tr>
      <w:tr>
        <w:tblPrEx>
          <w:tblCellMar>
            <w:top w:w="0" w:type="dxa"/>
            <w:left w:w="108" w:type="dxa"/>
            <w:bottom w:w="0" w:type="dxa"/>
            <w:right w:w="108" w:type="dxa"/>
          </w:tblCellMar>
        </w:tblPrEx>
        <w:trPr>
          <w:trHeight w:val="395" w:hRule="atLeast"/>
        </w:trPr>
        <w:tc>
          <w:tcPr>
            <w:tcW w:w="416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4"/>
                <w:szCs w:val="24"/>
                <w14:ligatures w14:val="none"/>
              </w:rPr>
            </w:pPr>
            <w:r>
              <w:rPr>
                <w:rFonts w:ascii="Times New Roman" w:hAnsi="Times New Roman" w:eastAsia="Times New Roman" w:cs="Times New Roman"/>
                <w:color w:val="000000"/>
                <w:kern w:val="0"/>
                <w:sz w:val="22"/>
                <w:szCs w:val="22"/>
                <w14:ligatures w14:val="none"/>
              </w:rPr>
              <w:t>Participation in Extracurricular Activities</w:t>
            </w:r>
          </w:p>
        </w:tc>
        <w:tc>
          <w:tcPr>
            <w:tcW w:w="1950"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4"/>
                <w:szCs w:val="24"/>
                <w14:ligatures w14:val="none"/>
              </w:rPr>
            </w:pPr>
            <w:r>
              <w:rPr>
                <w:rFonts w:ascii="Times New Roman" w:hAnsi="Times New Roman" w:eastAsia="Times New Roman" w:cs="Times New Roman"/>
                <w:color w:val="000000"/>
                <w:kern w:val="0"/>
                <w:sz w:val="24"/>
                <w:szCs w:val="24"/>
                <w14:ligatures w14:val="none"/>
              </w:rPr>
              <w:t>75</w:t>
            </w:r>
          </w:p>
        </w:tc>
        <w:tc>
          <w:tcPr>
            <w:tcW w:w="2790"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4"/>
                <w:szCs w:val="24"/>
                <w14:ligatures w14:val="none"/>
              </w:rPr>
            </w:pPr>
            <w:r>
              <w:rPr>
                <w:rFonts w:ascii="Times New Roman" w:hAnsi="Times New Roman" w:eastAsia="Times New Roman" w:cs="Times New Roman"/>
                <w:color w:val="000000"/>
                <w:kern w:val="0"/>
                <w:sz w:val="24"/>
                <w:szCs w:val="24"/>
                <w14:ligatures w14:val="none"/>
              </w:rPr>
              <w:t>150</w:t>
            </w:r>
          </w:p>
        </w:tc>
      </w:tr>
      <w:tr>
        <w:tblPrEx>
          <w:tblCellMar>
            <w:top w:w="0" w:type="dxa"/>
            <w:left w:w="108" w:type="dxa"/>
            <w:bottom w:w="0" w:type="dxa"/>
            <w:right w:w="108" w:type="dxa"/>
          </w:tblCellMar>
        </w:tblPrEx>
        <w:trPr>
          <w:trHeight w:val="405" w:hRule="atLeast"/>
        </w:trPr>
        <w:tc>
          <w:tcPr>
            <w:tcW w:w="4160" w:type="dxa"/>
            <w:tcBorders>
              <w:top w:val="nil"/>
              <w:left w:val="single" w:color="auto" w:sz="8" w:space="0"/>
              <w:bottom w:val="single" w:color="auto" w:sz="8" w:space="0"/>
              <w:right w:val="single" w:color="auto" w:sz="8" w:space="0"/>
            </w:tcBorders>
            <w:vAlign w:val="center"/>
          </w:tcPr>
          <w:p>
            <w:pPr>
              <w:spacing w:after="0" w:line="240" w:lineRule="auto"/>
              <w:rPr>
                <w:rFonts w:ascii="Times New Roman" w:hAnsi="Times New Roman" w:eastAsia="Times New Roman" w:cs="Times New Roman"/>
                <w:color w:val="000000"/>
                <w:kern w:val="0"/>
                <w:sz w:val="24"/>
                <w:szCs w:val="24"/>
                <w14:ligatures w14:val="none"/>
              </w:rPr>
            </w:pPr>
            <w:r>
              <w:rPr>
                <w:rFonts w:ascii="Times New Roman" w:hAnsi="Times New Roman" w:eastAsia="Times New Roman" w:cs="Times New Roman"/>
                <w:color w:val="000000"/>
                <w:kern w:val="0"/>
                <w:sz w:val="22"/>
                <w:szCs w:val="22"/>
                <w14:ligatures w14:val="none"/>
              </w:rPr>
              <w:t>Engagement with Library/Digital Resources</w:t>
            </w:r>
          </w:p>
        </w:tc>
        <w:tc>
          <w:tcPr>
            <w:tcW w:w="1950"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4"/>
                <w:szCs w:val="24"/>
                <w14:ligatures w14:val="none"/>
              </w:rPr>
            </w:pPr>
            <w:r>
              <w:rPr>
                <w:rFonts w:ascii="Times New Roman" w:hAnsi="Times New Roman" w:eastAsia="Times New Roman" w:cs="Times New Roman"/>
                <w:color w:val="000000"/>
                <w:kern w:val="0"/>
                <w:sz w:val="24"/>
                <w:szCs w:val="24"/>
                <w14:ligatures w14:val="none"/>
              </w:rPr>
              <w:t>50</w:t>
            </w:r>
          </w:p>
        </w:tc>
        <w:tc>
          <w:tcPr>
            <w:tcW w:w="2790" w:type="dxa"/>
            <w:tcBorders>
              <w:top w:val="nil"/>
              <w:left w:val="nil"/>
              <w:bottom w:val="single" w:color="auto" w:sz="8" w:space="0"/>
              <w:right w:val="single" w:color="auto" w:sz="8" w:space="0"/>
            </w:tcBorders>
            <w:vAlign w:val="center"/>
          </w:tcPr>
          <w:p>
            <w:pPr>
              <w:spacing w:after="0" w:line="240" w:lineRule="auto"/>
              <w:jc w:val="center"/>
              <w:rPr>
                <w:rFonts w:ascii="Times New Roman" w:hAnsi="Times New Roman" w:eastAsia="Times New Roman" w:cs="Times New Roman"/>
                <w:color w:val="000000"/>
                <w:kern w:val="0"/>
                <w:sz w:val="24"/>
                <w:szCs w:val="24"/>
                <w14:ligatures w14:val="none"/>
              </w:rPr>
            </w:pPr>
            <w:r>
              <w:rPr>
                <w:rFonts w:ascii="Times New Roman" w:hAnsi="Times New Roman" w:eastAsia="Times New Roman" w:cs="Times New Roman"/>
                <w:color w:val="000000"/>
                <w:kern w:val="0"/>
                <w:sz w:val="24"/>
                <w:szCs w:val="24"/>
                <w14:ligatures w14:val="none"/>
              </w:rPr>
              <w:t>100</w:t>
            </w:r>
          </w:p>
        </w:tc>
      </w:tr>
    </w:tbl>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14:ligatures w14:val="none"/>
        </w:rPr>
        <w:drawing>
          <wp:inline distT="0" distB="0" distL="0" distR="0">
            <wp:extent cx="5699125" cy="2753995"/>
            <wp:effectExtent l="0" t="0" r="15875" b="8255"/>
            <wp:docPr id="185501900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pStyle w:val="4"/>
        <w:spacing w:line="360" w:lineRule="auto"/>
        <w:rPr>
          <w:rFonts w:ascii="Times New Roman" w:hAnsi="Times New Roman" w:cs="Times New Roman"/>
          <w:b/>
          <w:bCs/>
          <w:color w:val="auto"/>
        </w:rPr>
      </w:pPr>
      <w:bookmarkStart w:id="76" w:name="_Toc154735218"/>
      <w:bookmarkStart w:id="77" w:name="_Toc13253"/>
      <w:bookmarkStart w:id="78" w:name="_Toc8207"/>
      <w:bookmarkStart w:id="79" w:name="_Toc25198"/>
      <w:r>
        <w:rPr>
          <w:rFonts w:ascii="Times New Roman" w:hAnsi="Times New Roman" w:cs="Times New Roman"/>
          <w:b/>
          <w:bCs/>
          <w:color w:val="auto"/>
        </w:rPr>
        <w:t>4.4.4 Individual Narratives:</w:t>
      </w:r>
      <w:bookmarkEnd w:id="76"/>
      <w:bookmarkEnd w:id="77"/>
      <w:bookmarkEnd w:id="78"/>
      <w:bookmarkEnd w:id="79"/>
    </w:p>
    <w:p>
      <w:pPr>
        <w:spacing w:line="360" w:lineRule="auto"/>
        <w:ind w:firstLine="630"/>
        <w:rPr>
          <w:rFonts w:ascii="Times New Roman" w:hAnsi="Times New Roman" w:cs="Times New Roman"/>
          <w:sz w:val="24"/>
          <w:szCs w:val="24"/>
        </w:rPr>
      </w:pPr>
      <w:r>
        <w:rPr>
          <w:rFonts w:ascii="Times New Roman" w:hAnsi="Times New Roman" w:cs="Times New Roman"/>
          <w:sz w:val="24"/>
          <w:szCs w:val="24"/>
        </w:rPr>
        <w:t xml:space="preserve">In examining the expansive realm of student engagement within the unique backdrop of an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class at a Chinese university, this endeavor seeks to amplify the existing literary discourse. Focused on unraveling the intricate tapestry of student engagement, the exploration is anchored in the narratives of the very students navigating the linguistic landscape.</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The crux of the investigation lies in the individual narratives woven into the fabric of this academic odyssey. The participants, with their diverse backgrounds and perspectives, become storytellers, offering glimpses into the nuanced tapestry of their educational experiences. These narratives serve as portals, providing insights into the personal and subjective dimensions of engagement. The stories shared by these active participants transcend mere academic discourse, elevating the discussion to a profound recognition of students as architects of their own learning journeys (</w:t>
      </w:r>
      <w:r>
        <w:rPr>
          <w:rFonts w:ascii="Times New Roman" w:hAnsi="Times New Roman" w:cs="Times New Roman"/>
          <w:color w:val="222222"/>
          <w:sz w:val="24"/>
          <w:szCs w:val="24"/>
          <w:shd w:val="clear" w:color="auto" w:fill="FFFFFF"/>
        </w:rPr>
        <w:t>Kassab et al., 2023)</w:t>
      </w:r>
      <w:r>
        <w:rPr>
          <w:rFonts w:ascii="Times New Roman" w:hAnsi="Times New Roman" w:cs="Times New Roman"/>
          <w:sz w:val="24"/>
          <w:szCs w:val="24"/>
        </w:rPr>
        <w:t xml:space="preserve">. Each anecdote becomes a brushstroke, painting a vivid portrait of engagement as a dynamic and evolving phenomenon. It becomes evident that </w:t>
      </w:r>
      <w:r>
        <w:rPr>
          <w:rFonts w:hint="eastAsia" w:ascii="Times New Roman" w:hAnsi="Times New Roman" w:eastAsia="宋体" w:cs="Times New Roman"/>
          <w:sz w:val="24"/>
          <w:szCs w:val="24"/>
          <w:lang w:val="en-US" w:eastAsia="zh-CN"/>
        </w:rPr>
        <w:t xml:space="preserve">student </w:t>
      </w:r>
      <w:r>
        <w:rPr>
          <w:rFonts w:ascii="Times New Roman" w:hAnsi="Times New Roman" w:cs="Times New Roman"/>
          <w:sz w:val="24"/>
          <w:szCs w:val="24"/>
        </w:rPr>
        <w:t>engagement is not a monolithic entity; rather, it is a kaleidoscope of personal motivations, challenges, and triumphs.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In acknowledging students as active agents in their educational narratives, this study underscores the imperative to move beyond conventional frameworks. It advocates for an approach that considers the multifaceted nature of engagement, appreciating the symbiotic relationship between students and their learning environments (</w:t>
      </w:r>
      <w:r>
        <w:rPr>
          <w:rFonts w:ascii="Times New Roman" w:hAnsi="Times New Roman" w:cs="Times New Roman"/>
          <w:color w:val="222222"/>
          <w:sz w:val="24"/>
          <w:szCs w:val="24"/>
          <w:shd w:val="clear" w:color="auto" w:fill="FFFFFF"/>
        </w:rPr>
        <w:t>Hew et al. 2020)</w:t>
      </w:r>
      <w:r>
        <w:rPr>
          <w:rFonts w:ascii="Times New Roman" w:hAnsi="Times New Roman" w:cs="Times New Roman"/>
          <w:sz w:val="24"/>
          <w:szCs w:val="24"/>
        </w:rPr>
        <w:t xml:space="preserve">. By embracing the richness embedded in individual narratives, this contribution aspires to reshape the discourse on student engagement, fostering a more holistic understanding that resonates within the cultural and educational context of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in China.</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Incorporating both quantitative and qualitative findings, the study provides a holistic understanding of student engagement in the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class. The nuanced insights pave the way for informed interventions, pedagogical enhancements, and a more culturally responsive approach to education in cross-cultural settings. The synthesis of data reaffirms the importance of adopting a comprehensive and multidimensional perspective when exploring student engagement, ultimately contributing to the broader discourse on effective educational practices.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To conduct a comprehensive NVivo software analysis on student engagement in an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class in a Chinese university, a systematic approach is essential. First and foremost, data collection is pivotal. Collect qualitative data from both students and the teacher to gain a well-rounded perspective. For students, interviews, classroom observations, and reflective journals can provide valuable insights (</w:t>
      </w:r>
      <w:r>
        <w:rPr>
          <w:rFonts w:ascii="Times New Roman" w:hAnsi="Times New Roman" w:cs="Times New Roman"/>
          <w:color w:val="222222"/>
          <w:sz w:val="24"/>
          <w:szCs w:val="24"/>
          <w:shd w:val="clear" w:color="auto" w:fill="FFFFFF"/>
        </w:rPr>
        <w:t>Dincer, et al., 2019)</w:t>
      </w:r>
      <w:r>
        <w:rPr>
          <w:rFonts w:ascii="Times New Roman" w:hAnsi="Times New Roman" w:cs="Times New Roman"/>
          <w:sz w:val="24"/>
          <w:szCs w:val="24"/>
        </w:rPr>
        <w:t>. The teacher's input should encompass teaching strategies, perceptions of student engagement, and any adaptations made to enhance it. Thorough data collection is the foundation upon which the analysis is built.</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Once data is gathered, meticulous data preparation is crucial. Transcribe interviews and convert any audio or video recordings into a suitable format for NVivo analysis. Organize all data sources coherently to facilitate ease of use within the software. This step streamlines the subsequent coding process. The core of the analysis lies in NVivo coding. Initiate with open coding to identify broad themes, such as "participation in class activities" or "interaction with peers." Then, transition to focused coding, drilling deeper into specific aspects like motivation, language barriers, cultural influences, and teaching methods (</w:t>
      </w:r>
      <w:r>
        <w:rPr>
          <w:rFonts w:ascii="Times New Roman" w:hAnsi="Times New Roman" w:cs="Times New Roman"/>
          <w:color w:val="222222"/>
          <w:sz w:val="24"/>
          <w:szCs w:val="24"/>
          <w:shd w:val="clear" w:color="auto" w:fill="FFFFFF"/>
        </w:rPr>
        <w:t>Carless, 2020)</w:t>
      </w:r>
      <w:r>
        <w:rPr>
          <w:rFonts w:ascii="Times New Roman" w:hAnsi="Times New Roman" w:cs="Times New Roman"/>
          <w:sz w:val="24"/>
          <w:szCs w:val="24"/>
        </w:rPr>
        <w:t xml:space="preserve">. The software's capabilities for coding and categorizing data will help uncover patterns and themes across the different data sources. After thematic analysis, it's essential to relate the findings to existing literature on student engagement, particularly within the context of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in China. Identify gaps in the literature that your study can address, potentially shedding light on how cultural contexts impact engagement in language learning. Finally, interpret the findings by considering the socio-cultural and educational context of the university in China, providing depth and context to your analysis.</w:t>
      </w: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pStyle w:val="2"/>
        <w:spacing w:line="360" w:lineRule="auto"/>
        <w:jc w:val="center"/>
        <w:rPr>
          <w:rFonts w:ascii="Times New Roman" w:hAnsi="Times New Roman" w:cs="Times New Roman"/>
          <w:b/>
          <w:bCs/>
          <w:color w:val="auto"/>
          <w:sz w:val="24"/>
          <w:szCs w:val="24"/>
        </w:rPr>
      </w:pPr>
      <w:bookmarkStart w:id="80" w:name="_Toc154735219"/>
      <w:bookmarkStart w:id="81" w:name="_Toc17422"/>
      <w:bookmarkStart w:id="82" w:name="_Toc8401"/>
      <w:r>
        <w:rPr>
          <w:rFonts w:ascii="Times New Roman" w:hAnsi="Times New Roman" w:cs="Times New Roman"/>
          <w:b/>
          <w:bCs/>
          <w:color w:val="auto"/>
          <w:sz w:val="24"/>
          <w:szCs w:val="24"/>
        </w:rPr>
        <w:t xml:space="preserve">CHAPTER 5:  </w:t>
      </w:r>
      <w:bookmarkStart w:id="83" w:name="_Toc8197"/>
      <w:r>
        <w:rPr>
          <w:rFonts w:ascii="Times New Roman" w:hAnsi="Times New Roman" w:cs="Times New Roman"/>
          <w:b/>
          <w:bCs/>
          <w:color w:val="auto"/>
          <w:sz w:val="24"/>
          <w:szCs w:val="24"/>
        </w:rPr>
        <w:t>DISCUSSION</w:t>
      </w:r>
      <w:bookmarkEnd w:id="80"/>
      <w:bookmarkEnd w:id="81"/>
      <w:bookmarkEnd w:id="82"/>
      <w:bookmarkEnd w:id="83"/>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comprehensive analysis of student engagement in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at a Chinese university, as outlined above, undoubtedly provides valuable insights into this complex educational context. However, it is essential to acknowledge the limitations and reflect on the challenges encountered during the data collection process.</w:t>
      </w:r>
    </w:p>
    <w:p>
      <w:pPr>
        <w:pStyle w:val="3"/>
        <w:spacing w:line="360" w:lineRule="auto"/>
        <w:rPr>
          <w:sz w:val="24"/>
          <w:szCs w:val="24"/>
        </w:rPr>
      </w:pPr>
      <w:bookmarkStart w:id="84" w:name="_Toc25438"/>
      <w:bookmarkStart w:id="85" w:name="_Toc15944"/>
      <w:bookmarkStart w:id="86" w:name="_Toc5136"/>
      <w:bookmarkStart w:id="87" w:name="_Toc154735220"/>
      <w:r>
        <w:rPr>
          <w:sz w:val="24"/>
          <w:szCs w:val="24"/>
        </w:rPr>
        <w:t>5.1 Sampling Bias:</w:t>
      </w:r>
      <w:bookmarkEnd w:id="84"/>
      <w:bookmarkEnd w:id="85"/>
      <w:bookmarkEnd w:id="86"/>
      <w:bookmarkEnd w:id="87"/>
      <w:r>
        <w:rPr>
          <w:sz w:val="24"/>
          <w:szCs w:val="24"/>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One of the inherent limitations of this study is the potential for sampling bias. The data collected might not fully represent the entire student population, as participation in surveys, interviews, and extracurricular activities can be influenced by various factors, such as student motivation, availability, and interest. To mitigate this bias, future research could explore more diverse sampling methods to capture a broader range of student perspectives</w:t>
      </w:r>
      <w:r>
        <w:rPr>
          <w:rFonts w:hint="eastAsia" w:ascii="Times New Roman" w:hAnsi="Times New Roman" w:eastAsia="宋体" w:cs="Times New Roman"/>
          <w:sz w:val="24"/>
          <w:szCs w:val="24"/>
          <w:lang w:val="en-US" w:eastAsia="zh-CN"/>
        </w:rPr>
        <w:t xml:space="preserve"> (Teng &amp; Wang, 2021)</w:t>
      </w:r>
      <w:r>
        <w:rPr>
          <w:rFonts w:ascii="Times New Roman" w:hAnsi="Times New Roman" w:cs="Times New Roman"/>
          <w:sz w:val="24"/>
          <w:szCs w:val="24"/>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Despite acknowledging the challenge of sampling bias, implementing random sampling techniques and ensuring a more comprehensive recruitment strategy could enhance the study's external validity. Additionally, incorporating outreach efforts to engage underrepresented groups and employing mixed-methods approaches may provide a more nuanced understanding of the student population. Ultimately, addressing sampling bias not only strengthens the study's credibility but also contributes to a more inclusive and representative portrayal of student experiences</w:t>
      </w:r>
      <w:r>
        <w:rPr>
          <w:rFonts w:hint="eastAsia" w:ascii="Times New Roman" w:hAnsi="Times New Roman" w:eastAsia="宋体" w:cs="Times New Roman"/>
          <w:sz w:val="24"/>
          <w:szCs w:val="24"/>
          <w:lang w:val="en-US" w:eastAsia="zh-CN"/>
        </w:rPr>
        <w:t xml:space="preserve"> (Bond, 2020)</w:t>
      </w:r>
      <w:r>
        <w:rPr>
          <w:rFonts w:ascii="Times New Roman" w:hAnsi="Times New Roman" w:cs="Times New Roman"/>
          <w:sz w:val="24"/>
          <w:szCs w:val="24"/>
        </w:rPr>
        <w:t>.</w:t>
      </w:r>
    </w:p>
    <w:p>
      <w:pPr>
        <w:pStyle w:val="3"/>
        <w:spacing w:line="360" w:lineRule="auto"/>
        <w:rPr>
          <w:sz w:val="24"/>
          <w:szCs w:val="24"/>
        </w:rPr>
      </w:pPr>
      <w:bookmarkStart w:id="88" w:name="_Toc154735221"/>
      <w:bookmarkStart w:id="89" w:name="_Toc15383"/>
      <w:bookmarkStart w:id="90" w:name="_Toc9894"/>
      <w:bookmarkStart w:id="91" w:name="_Toc15511"/>
      <w:r>
        <w:rPr>
          <w:sz w:val="24"/>
          <w:szCs w:val="24"/>
        </w:rPr>
        <w:t>5.2 Self-Reporting:</w:t>
      </w:r>
      <w:bookmarkEnd w:id="88"/>
      <w:bookmarkEnd w:id="89"/>
      <w:bookmarkEnd w:id="90"/>
      <w:bookmarkEnd w:id="91"/>
      <w:r>
        <w:rPr>
          <w:sz w:val="24"/>
          <w:szCs w:val="24"/>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reliance on self-reporting through surveys and interviews introduces the possibility of response bias. Some participants may provide socially desirable responses, leading to an overestimation of their engagement levels or preferences. Researchers attempted to address this by ensuring anonymity and confidentiality, but it remains a challenge in any self-reporting study. Despite efforts to mitigate response bias, the subjective nature of self-reporting still poses challenges in obtaining accurate data. Participants may unintentionally distort their responses based on perceived societal expectations, influencing the overall validity of the study. Exploring alternative methods or combining self-reporting with objective measures could enhance the reliability of research findings. Implementing diverse data collection methods, such as behavioral observations or physiological measurements, alongside self-reporting, could offer a more comprehensive understanding of participants' experiences. By triangulating information from various sources, researchers can gain a more nuanced perspective and strengthen the robustness of their findings</w:t>
      </w:r>
      <w:r>
        <w:rPr>
          <w:rFonts w:hint="eastAsia" w:ascii="Times New Roman" w:hAnsi="Times New Roman" w:eastAsia="宋体" w:cs="Times New Roman"/>
          <w:sz w:val="24"/>
          <w:szCs w:val="24"/>
          <w:lang w:val="en-US" w:eastAsia="zh-CN"/>
        </w:rPr>
        <w:t xml:space="preserve"> (S. </w:t>
      </w:r>
      <w:r>
        <w:rPr>
          <w:rFonts w:hint="eastAsia" w:ascii="Times New Roman" w:hAnsi="Times New Roman" w:cs="Times New Roman"/>
          <w:sz w:val="24"/>
          <w:szCs w:val="24"/>
        </w:rPr>
        <w:t>Hodkinson</w:t>
      </w:r>
      <w:r>
        <w:rPr>
          <w:rFonts w:hint="eastAsia" w:ascii="Times New Roman" w:hAnsi="Times New Roman" w:eastAsia="宋体" w:cs="Times New Roman"/>
          <w:sz w:val="24"/>
          <w:szCs w:val="24"/>
          <w:lang w:val="en-US" w:eastAsia="zh-CN"/>
        </w:rPr>
        <w:t xml:space="preserve"> &amp;</w:t>
      </w:r>
      <w:r>
        <w:rPr>
          <w:rFonts w:hint="eastAsia" w:ascii="Times New Roman" w:hAnsi="Times New Roman" w:cs="Times New Roman"/>
          <w:sz w:val="24"/>
          <w:szCs w:val="24"/>
        </w:rPr>
        <w:t>E. Poropat, A</w:t>
      </w:r>
      <w:r>
        <w:rPr>
          <w:rFonts w:hint="eastAsia" w:ascii="Times New Roman" w:hAnsi="Times New Roman" w:eastAsia="宋体" w:cs="Times New Roman"/>
          <w:sz w:val="24"/>
          <w:szCs w:val="24"/>
          <w:lang w:val="en-US" w:eastAsia="zh-CN"/>
        </w:rPr>
        <w:t xml:space="preserve">, </w:t>
      </w:r>
      <w:r>
        <w:rPr>
          <w:rFonts w:hint="eastAsia" w:ascii="Times New Roman" w:hAnsi="Times New Roman" w:cs="Times New Roman"/>
          <w:sz w:val="24"/>
          <w:szCs w:val="24"/>
        </w:rPr>
        <w:t>2014</w:t>
      </w:r>
      <w:r>
        <w:rPr>
          <w:rFonts w:hint="eastAsia" w:ascii="Times New Roman" w:hAnsi="Times New Roman" w:eastAsia="宋体" w:cs="Times New Roman"/>
          <w:sz w:val="24"/>
          <w:szCs w:val="24"/>
          <w:lang w:val="en-US" w:eastAsia="zh-CN"/>
        </w:rPr>
        <w:t>)</w:t>
      </w:r>
      <w:r>
        <w:rPr>
          <w:rFonts w:ascii="Times New Roman" w:hAnsi="Times New Roman" w:cs="Times New Roman"/>
          <w:sz w:val="24"/>
          <w:szCs w:val="24"/>
        </w:rPr>
        <w:t>.</w:t>
      </w:r>
    </w:p>
    <w:p>
      <w:pPr>
        <w:pStyle w:val="3"/>
        <w:spacing w:line="360" w:lineRule="auto"/>
        <w:rPr>
          <w:sz w:val="24"/>
          <w:szCs w:val="24"/>
        </w:rPr>
      </w:pPr>
      <w:bookmarkStart w:id="92" w:name="_Toc22657"/>
      <w:bookmarkStart w:id="93" w:name="_Toc21167"/>
      <w:bookmarkStart w:id="94" w:name="_Toc2904"/>
      <w:bookmarkStart w:id="95" w:name="_Toc154735222"/>
      <w:r>
        <w:rPr>
          <w:sz w:val="24"/>
          <w:szCs w:val="24"/>
        </w:rPr>
        <w:t>5.3 Cross-Cultural Interpretation:</w:t>
      </w:r>
      <w:bookmarkEnd w:id="92"/>
      <w:bookmarkEnd w:id="93"/>
      <w:bookmarkEnd w:id="94"/>
      <w:bookmarkEnd w:id="95"/>
      <w:r>
        <w:rPr>
          <w:sz w:val="24"/>
          <w:szCs w:val="24"/>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This study focuses on student engagement in a cross-cultural setting, which inherently involves diverse cultural and linguistic backgrounds. While the study recognizes the influence of cultural factors, there may still be aspects that were not fully captured or understood. Future research could delve deeper into the intricacies of cross-cultural engagement to provide more nuanced insights. Moreover, exploring the role of non-verbal communication cues in cross-cultural classrooms could enhance our understanding of student engagement beyond language barriers</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(Zhang et al., 2015). Additionally, investigating the impact of culturally tailored teaching methods on student participation may uncover effective strategies for fostering a more inclusive learning environment. Ultimately, a comprehensive examination of cross-cultural interpretation in education is essential for developing well-informed pedagogical approaches that resonate with diverse student populations.</w:t>
      </w:r>
    </w:p>
    <w:p>
      <w:pPr>
        <w:pStyle w:val="3"/>
        <w:spacing w:line="360" w:lineRule="auto"/>
        <w:rPr>
          <w:sz w:val="24"/>
          <w:szCs w:val="24"/>
        </w:rPr>
      </w:pPr>
      <w:bookmarkStart w:id="96" w:name="_Toc31888"/>
      <w:bookmarkStart w:id="97" w:name="_Toc154735223"/>
      <w:bookmarkStart w:id="98" w:name="_Toc23310"/>
      <w:bookmarkStart w:id="99" w:name="_Toc14452"/>
      <w:r>
        <w:rPr>
          <w:rFonts w:eastAsia="宋体"/>
          <w:sz w:val="24"/>
          <w:szCs w:val="24"/>
        </w:rPr>
        <w:t xml:space="preserve">5.4 </w:t>
      </w:r>
      <w:r>
        <w:rPr>
          <w:sz w:val="24"/>
          <w:szCs w:val="24"/>
        </w:rPr>
        <w:t>Time Frame and Long-Term Impact:</w:t>
      </w:r>
      <w:bookmarkEnd w:id="96"/>
      <w:bookmarkEnd w:id="97"/>
      <w:bookmarkEnd w:id="98"/>
      <w:bookmarkEnd w:id="99"/>
      <w:r>
        <w:rPr>
          <w:sz w:val="24"/>
          <w:szCs w:val="24"/>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data collection and analysis primarily focused on a specific time frame, which may not fully capture the long-term impact of engagement strategies. Understanding how engagement evolves over an extended period and its implications for students' academic and personal development is a valuable avenue for future research. Exploring engagement dynamics beyond the initial time frame allows for a more comprehensive examination of its sustained effects on students. Long-term impact studies could uncover patterns of development, shedding light on whether successful engagement strategies contribute to lasting positive outcomes in education and beyond. This holistic perspective is crucial for refining educational practices and ensuring enduring benefits for students over the course of their academic journey</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(Zhang et al., 2015).</w:t>
      </w:r>
    </w:p>
    <w:p>
      <w:pPr>
        <w:pStyle w:val="3"/>
        <w:spacing w:line="360" w:lineRule="auto"/>
        <w:rPr>
          <w:sz w:val="24"/>
          <w:szCs w:val="24"/>
        </w:rPr>
      </w:pPr>
      <w:bookmarkStart w:id="100" w:name="_Toc10466"/>
      <w:bookmarkStart w:id="101" w:name="_Toc11512"/>
      <w:bookmarkStart w:id="102" w:name="_Toc154735224"/>
      <w:bookmarkStart w:id="103" w:name="_Toc15932"/>
      <w:r>
        <w:rPr>
          <w:rFonts w:eastAsia="宋体"/>
          <w:sz w:val="24"/>
          <w:szCs w:val="24"/>
        </w:rPr>
        <w:t xml:space="preserve">5.5 </w:t>
      </w:r>
      <w:r>
        <w:rPr>
          <w:sz w:val="24"/>
          <w:szCs w:val="24"/>
        </w:rPr>
        <w:t>Limited Generalizability:</w:t>
      </w:r>
      <w:bookmarkEnd w:id="100"/>
      <w:bookmarkEnd w:id="101"/>
      <w:bookmarkEnd w:id="102"/>
      <w:bookmarkEnd w:id="103"/>
      <w:r>
        <w:rPr>
          <w:sz w:val="24"/>
          <w:szCs w:val="24"/>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While the findings provide valuable insights into the specific context of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at a Chinese university, the generalizability of these findings to other educational settings may be limited. Educational contexts vary significantly, and what works in one context may not be directly transferable to another. Researchers should exercise caution when applying these findings to different settings</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Tian and Zhou</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2020</w:t>
      </w:r>
      <w:r>
        <w:rPr>
          <w:rFonts w:hint="eastAsia" w:ascii="Times New Roman" w:hAnsi="Times New Roman" w:eastAsia="宋体" w:cs="Times New Roman"/>
          <w:sz w:val="24"/>
          <w:szCs w:val="24"/>
          <w:lang w:val="en-US" w:eastAsia="zh-CN"/>
        </w:rPr>
        <w:t>)</w:t>
      </w:r>
      <w:r>
        <w:rPr>
          <w:rFonts w:ascii="Times New Roman" w:hAnsi="Times New Roman" w:cs="Times New Roman"/>
          <w:sz w:val="24"/>
          <w:szCs w:val="24"/>
        </w:rPr>
        <w:t>. Additionally, cultural nuances and teaching methodologies differ across regions, influencing the effectiveness of instructional strategies. Future studies must explore a diverse range of educational environments to enhance the external validity of the research. Only through such comprehensive investigations can we develop more universally applicable guidelines for effective language teaching practices</w:t>
      </w:r>
      <w:r>
        <w:rPr>
          <w:rFonts w:hint="eastAsia" w:ascii="Times New Roman" w:hAnsi="Times New Roman" w:eastAsia="宋体" w:cs="Times New Roman"/>
          <w:sz w:val="24"/>
          <w:szCs w:val="24"/>
          <w:lang w:val="en-US" w:eastAsia="zh-CN"/>
        </w:rPr>
        <w:t xml:space="preserve"> as researcher</w:t>
      </w:r>
      <w:r>
        <w:rPr>
          <w:rFonts w:ascii="Times New Roman" w:hAnsi="Times New Roman" w:cs="Times New Roman"/>
          <w:sz w:val="24"/>
          <w:szCs w:val="24"/>
        </w:rPr>
        <w:t>.</w:t>
      </w:r>
    </w:p>
    <w:p>
      <w:pPr>
        <w:pStyle w:val="3"/>
        <w:spacing w:line="360" w:lineRule="auto"/>
        <w:rPr>
          <w:sz w:val="24"/>
          <w:szCs w:val="24"/>
        </w:rPr>
      </w:pPr>
      <w:bookmarkStart w:id="104" w:name="_Toc1221"/>
      <w:bookmarkStart w:id="105" w:name="_Toc6845"/>
      <w:bookmarkStart w:id="106" w:name="_Toc154735225"/>
      <w:bookmarkStart w:id="107" w:name="_Toc11374"/>
      <w:r>
        <w:rPr>
          <w:rFonts w:eastAsia="宋体"/>
          <w:sz w:val="24"/>
          <w:szCs w:val="24"/>
        </w:rPr>
        <w:t xml:space="preserve">5.6. </w:t>
      </w:r>
      <w:r>
        <w:rPr>
          <w:sz w:val="24"/>
          <w:szCs w:val="24"/>
        </w:rPr>
        <w:t>Qualitative Interpretation:</w:t>
      </w:r>
      <w:bookmarkEnd w:id="104"/>
      <w:bookmarkEnd w:id="105"/>
      <w:bookmarkEnd w:id="106"/>
      <w:bookmarkEnd w:id="107"/>
      <w:r>
        <w:rPr>
          <w:sz w:val="24"/>
          <w:szCs w:val="24"/>
        </w:rPr>
        <w:t xml:space="preserve"> </w:t>
      </w:r>
    </w:p>
    <w:p>
      <w:pPr>
        <w:spacing w:line="360" w:lineRule="auto"/>
        <w:ind w:firstLine="720"/>
        <w:rPr>
          <w:rFonts w:ascii="Times New Roman" w:hAnsi="Times New Roman" w:cs="Times New Roman"/>
          <w:sz w:val="24"/>
          <w:szCs w:val="24"/>
        </w:rPr>
      </w:pPr>
      <w:bookmarkStart w:id="108" w:name="OLE_LINK5"/>
      <w:r>
        <w:rPr>
          <w:rFonts w:ascii="Times New Roman" w:hAnsi="Times New Roman" w:cs="Times New Roman"/>
          <w:sz w:val="24"/>
          <w:szCs w:val="24"/>
        </w:rPr>
        <w:t>Qualitative</w:t>
      </w:r>
      <w:bookmarkEnd w:id="108"/>
      <w:r>
        <w:rPr>
          <w:rFonts w:ascii="Times New Roman" w:hAnsi="Times New Roman" w:cs="Times New Roman"/>
          <w:sz w:val="24"/>
          <w:szCs w:val="24"/>
        </w:rPr>
        <w:t xml:space="preserve"> data analysis, while providing rich insights into student experiences, can be subject to interpretation. Researchers' </w:t>
      </w:r>
      <w:r>
        <w:rPr>
          <w:rFonts w:hint="eastAsia" w:ascii="Times New Roman" w:hAnsi="Times New Roman" w:eastAsia="宋体" w:cs="Times New Roman"/>
          <w:sz w:val="24"/>
          <w:szCs w:val="24"/>
          <w:lang w:val="en-US" w:eastAsia="zh-CN"/>
        </w:rPr>
        <w:t xml:space="preserve">personal </w:t>
      </w:r>
      <w:r>
        <w:rPr>
          <w:rFonts w:ascii="Times New Roman" w:hAnsi="Times New Roman" w:cs="Times New Roman"/>
          <w:sz w:val="24"/>
          <w:szCs w:val="24"/>
        </w:rPr>
        <w:t>biases and perspectives may influence the interpretation of narratives. It is crucial to maintain transparency in the qualitative analysis process and consider multiple perspectives to enhance the validity of the findings. By acknowledging the inherent subjectivity in qualitative interpretation, researchers can strive for a more nuanced understanding of the data</w:t>
      </w:r>
      <w:r>
        <w:rPr>
          <w:rFonts w:hint="eastAsia" w:ascii="Times New Roman" w:hAnsi="Times New Roman" w:eastAsia="宋体" w:cs="Times New Roman"/>
          <w:sz w:val="24"/>
          <w:szCs w:val="24"/>
          <w:lang w:val="en-US" w:eastAsia="zh-CN"/>
        </w:rPr>
        <w:t xml:space="preserve"> (</w:t>
      </w:r>
      <w:r>
        <w:rPr>
          <w:rFonts w:ascii="Times New Roman" w:hAnsi="Times New Roman" w:cs="Times New Roman"/>
          <w:color w:val="222222"/>
          <w:sz w:val="24"/>
          <w:szCs w:val="24"/>
          <w:shd w:val="clear" w:color="auto" w:fill="FFFFFF"/>
        </w:rPr>
        <w:t>Saleem et al., 2023</w:t>
      </w:r>
      <w:r>
        <w:rPr>
          <w:rFonts w:hint="eastAsia" w:ascii="Times New Roman" w:hAnsi="Times New Roman" w:eastAsia="宋体" w:cs="Times New Roman"/>
          <w:sz w:val="24"/>
          <w:szCs w:val="24"/>
          <w:lang w:val="en-US" w:eastAsia="zh-CN"/>
        </w:rPr>
        <w:t>)</w:t>
      </w:r>
      <w:r>
        <w:rPr>
          <w:rFonts w:ascii="Times New Roman" w:hAnsi="Times New Roman" w:cs="Times New Roman"/>
          <w:sz w:val="24"/>
          <w:szCs w:val="24"/>
        </w:rPr>
        <w:t>. Embracing transparency not only fosters credibility but also allows for a critical examination of the researchers' own biases. Ultimately, the inclusion of diverse viewpoints serves as a safeguard, enriching the depth and reliability of the qualitative findings.</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Despite these limitations, th</w:t>
      </w:r>
      <w:r>
        <w:rPr>
          <w:rFonts w:ascii="Times New Roman" w:hAnsi="Times New Roman" w:eastAsia="宋体" w:cs="Times New Roman"/>
          <w:sz w:val="24"/>
          <w:szCs w:val="24"/>
          <w:lang w:eastAsia="zh-CN"/>
        </w:rPr>
        <w:t>is</w:t>
      </w:r>
      <w:r>
        <w:rPr>
          <w:rFonts w:ascii="Times New Roman" w:hAnsi="Times New Roman" w:cs="Times New Roman"/>
          <w:sz w:val="24"/>
          <w:szCs w:val="24"/>
        </w:rPr>
        <w:t xml:space="preserve"> research provides significant contributions to the field of student engagement in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and education in cross-cultural settings. These contributions include:</w:t>
      </w:r>
    </w:p>
    <w:p>
      <w:pPr>
        <w:pStyle w:val="3"/>
        <w:spacing w:line="360" w:lineRule="auto"/>
        <w:rPr>
          <w:sz w:val="24"/>
          <w:szCs w:val="24"/>
        </w:rPr>
      </w:pPr>
      <w:bookmarkStart w:id="109" w:name="_Toc8879"/>
      <w:bookmarkStart w:id="110" w:name="_Toc154735226"/>
      <w:bookmarkStart w:id="111" w:name="_Toc27786"/>
      <w:bookmarkStart w:id="112" w:name="_Toc20965"/>
      <w:r>
        <w:rPr>
          <w:sz w:val="24"/>
          <w:szCs w:val="24"/>
        </w:rPr>
        <w:t>5.7 Comprehensive Understanding:</w:t>
      </w:r>
      <w:bookmarkEnd w:id="109"/>
      <w:bookmarkEnd w:id="110"/>
      <w:bookmarkEnd w:id="111"/>
      <w:bookmarkEnd w:id="112"/>
      <w:r>
        <w:rPr>
          <w:sz w:val="24"/>
          <w:szCs w:val="24"/>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study combines quantitative and qualitative approaches to offer a comprehensive understanding of student engagement. By triangulating data from surveys, interviews, and observations, it provides a holistic view of the complex dynamics at play. This multifaceted approach not only uncovers patterns and trends but also examines the underlying motivations and experiences shaping student engagement. The integration of both numerical data and nuanced narratives allows for a richer interpretation of the factors influencing academic participation. Ultimately, this comprehensive understanding serves as a valuable foundation for developing targeted strategies to enhance overall student engagement and success</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w:t>
      </w:r>
      <w:r>
        <w:rPr>
          <w:rFonts w:ascii="Times New Roman" w:hAnsi="Times New Roman" w:cs="Times New Roman"/>
          <w:color w:val="222222"/>
          <w:sz w:val="24"/>
          <w:szCs w:val="24"/>
          <w:shd w:val="clear" w:color="auto" w:fill="FFFFFF"/>
        </w:rPr>
        <w:t>Liu et al., 2023)</w:t>
      </w:r>
      <w:r>
        <w:rPr>
          <w:rFonts w:ascii="Times New Roman" w:hAnsi="Times New Roman" w:cs="Times New Roman"/>
          <w:sz w:val="24"/>
          <w:szCs w:val="24"/>
        </w:rPr>
        <w:t>.</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quantitative findings highlight the strong correlation between engagement levels and academic performance, retention rates, and class size. These insights can inform pedagogical strategies and policies to improve student engagement and success. Moreover, the data reveals a noteworthy trend showcasing a positive association between proactive student participation in extracurricular activities and overall academic achievements. As institutions delve into these quantitative insights, tailored interventions can be designed to enhance the holistic educational experience, fostering a conducive environment for both learning and personal growth</w:t>
      </w:r>
      <w:r>
        <w:rPr>
          <w:rFonts w:hint="eastAsia" w:ascii="Times New Roman" w:hAnsi="Times New Roman" w:eastAsia="宋体" w:cs="Times New Roman"/>
          <w:sz w:val="24"/>
          <w:szCs w:val="24"/>
          <w:lang w:val="en-US" w:eastAsia="zh-CN"/>
        </w:rPr>
        <w:t xml:space="preserve"> (S. </w:t>
      </w:r>
      <w:r>
        <w:rPr>
          <w:rFonts w:hint="eastAsia" w:ascii="Times New Roman" w:hAnsi="Times New Roman" w:cs="Times New Roman"/>
          <w:sz w:val="24"/>
          <w:szCs w:val="24"/>
        </w:rPr>
        <w:t>Hodkinson</w:t>
      </w:r>
      <w:r>
        <w:rPr>
          <w:rFonts w:hint="eastAsia" w:ascii="Times New Roman" w:hAnsi="Times New Roman" w:eastAsia="宋体" w:cs="Times New Roman"/>
          <w:sz w:val="24"/>
          <w:szCs w:val="24"/>
          <w:lang w:val="en-US" w:eastAsia="zh-CN"/>
        </w:rPr>
        <w:t xml:space="preserve"> &amp;</w:t>
      </w:r>
      <w:r>
        <w:rPr>
          <w:rFonts w:hint="eastAsia" w:ascii="Times New Roman" w:hAnsi="Times New Roman" w:cs="Times New Roman"/>
          <w:sz w:val="24"/>
          <w:szCs w:val="24"/>
        </w:rPr>
        <w:t>E. Poropat, A</w:t>
      </w:r>
      <w:r>
        <w:rPr>
          <w:rFonts w:hint="eastAsia" w:ascii="Times New Roman" w:hAnsi="Times New Roman" w:eastAsia="宋体" w:cs="Times New Roman"/>
          <w:sz w:val="24"/>
          <w:szCs w:val="24"/>
          <w:lang w:val="en-US" w:eastAsia="zh-CN"/>
        </w:rPr>
        <w:t xml:space="preserve">, </w:t>
      </w:r>
      <w:r>
        <w:rPr>
          <w:rFonts w:hint="eastAsia" w:ascii="Times New Roman" w:hAnsi="Times New Roman" w:cs="Times New Roman"/>
          <w:sz w:val="24"/>
          <w:szCs w:val="24"/>
        </w:rPr>
        <w:t>2014</w:t>
      </w:r>
      <w:r>
        <w:rPr>
          <w:rFonts w:hint="eastAsia" w:ascii="Times New Roman" w:hAnsi="Times New Roman" w:eastAsia="宋体" w:cs="Times New Roman"/>
          <w:sz w:val="24"/>
          <w:szCs w:val="24"/>
          <w:lang w:val="en-US" w:eastAsia="zh-CN"/>
        </w:rPr>
        <w:t>)</w:t>
      </w:r>
      <w:r>
        <w:rPr>
          <w:rFonts w:ascii="Times New Roman" w:hAnsi="Times New Roman" w:cs="Times New Roman"/>
          <w:sz w:val="24"/>
          <w:szCs w:val="24"/>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By leveraging these findings, educators and policymakers can collaboratively sculpt an educational landscape that maximizes student potential and long-term success. Furthermore, the quantitative analysis underscores the impact of technology integration on student outcomes, demonstrating a positive correlation between access to digital resources and academic achievement. These insights emphasize the need for ongoing investments in educational technology to create a dynamic learning environment that prepares students for the challenges of the digital age</w:t>
      </w:r>
      <w:r>
        <w:rPr>
          <w:rFonts w:hint="eastAsia" w:ascii="Times New Roman" w:hAnsi="Times New Roman" w:eastAsia="宋体" w:cs="Times New Roman"/>
          <w:sz w:val="24"/>
          <w:szCs w:val="24"/>
          <w:lang w:val="en-US" w:eastAsia="zh-CN"/>
        </w:rPr>
        <w:t xml:space="preserve"> (Bond, 2020)</w:t>
      </w:r>
      <w:r>
        <w:rPr>
          <w:rFonts w:ascii="Times New Roman" w:hAnsi="Times New Roman" w:cs="Times New Roman"/>
          <w:sz w:val="24"/>
          <w:szCs w:val="24"/>
        </w:rPr>
        <w:t>.</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Qualitative analysis investigates the cultural, linguistic, and individual factors influencing engagement. These narratives offer a deeper understanding of the student experience and the role of tradition, culture, and discipline in shaping engagement</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Lam</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et al.</w:t>
      </w:r>
      <w:r>
        <w:rPr>
          <w:rFonts w:hint="eastAsia" w:ascii="Times New Roman" w:hAnsi="Times New Roman" w:eastAsia="宋体" w:cs="Times New Roman"/>
          <w:sz w:val="24"/>
          <w:szCs w:val="24"/>
          <w:lang w:val="en-US" w:eastAsia="zh-CN"/>
        </w:rPr>
        <w:t>, 2012)</w:t>
      </w:r>
      <w:r>
        <w:rPr>
          <w:rFonts w:ascii="Times New Roman" w:hAnsi="Times New Roman" w:cs="Times New Roman"/>
          <w:sz w:val="24"/>
          <w:szCs w:val="24"/>
        </w:rPr>
        <w:t xml:space="preserve">. By embracing qualitative depth, educators gain valuable insights into the nuanced interplay of cultural dynamics within the educational landscape. This approach allows for a more holistic comprehension of how language, traditions, and personal backgrounds intertwine to impact learning.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This holistic understanding, in turn, empowers educators to tailor their teaching methods, fostering an inclusive environment that respects and leverages the rich tapestry of students' diverse backgrounds. Through qualitative analysis, education becomes a collaborative journey where cultural nuances are not just acknowledged but celebrated for the unique perspectives, they bring to the learning process. Ultimately, qualitative analysis serves as a compass, guiding educators toward fostering a more inclusive and enriching educational environment.</w:t>
      </w:r>
    </w:p>
    <w:p>
      <w:pPr>
        <w:pStyle w:val="4"/>
        <w:spacing w:line="360" w:lineRule="auto"/>
        <w:rPr>
          <w:rFonts w:ascii="Times New Roman" w:hAnsi="Times New Roman" w:cs="Times New Roman"/>
          <w:b/>
          <w:bCs/>
          <w:color w:val="auto"/>
        </w:rPr>
      </w:pPr>
      <w:bookmarkStart w:id="113" w:name="_Toc154735227"/>
      <w:bookmarkStart w:id="114" w:name="_Toc28466"/>
      <w:r>
        <w:rPr>
          <w:rFonts w:ascii="Times New Roman" w:hAnsi="Times New Roman" w:cs="Times New Roman"/>
          <w:b/>
          <w:bCs/>
          <w:color w:val="auto"/>
        </w:rPr>
        <w:t>5.7.1 Cross-Cultural Perspective:</w:t>
      </w:r>
      <w:bookmarkEnd w:id="113"/>
      <w:bookmarkEnd w:id="114"/>
      <w:r>
        <w:rPr>
          <w:rFonts w:ascii="Times New Roman" w:hAnsi="Times New Roman" w:cs="Times New Roman"/>
          <w:b/>
          <w:bCs/>
          <w:color w:val="auto"/>
        </w:rPr>
        <w:t xml:space="preserve"> </w:t>
      </w:r>
    </w:p>
    <w:p>
      <w:pPr>
        <w:spacing w:line="360" w:lineRule="auto"/>
        <w:ind w:firstLine="720"/>
        <w:rPr>
          <w:rFonts w:ascii="Times New Roman" w:hAnsi="Times New Roman" w:cs="Times New Roman"/>
          <w:b/>
          <w:bCs/>
          <w:sz w:val="24"/>
          <w:szCs w:val="24"/>
        </w:rPr>
      </w:pPr>
      <w:r>
        <w:rPr>
          <w:rFonts w:ascii="Times New Roman" w:hAnsi="Times New Roman" w:cs="Times New Roman"/>
          <w:sz w:val="24"/>
          <w:szCs w:val="24"/>
        </w:rPr>
        <w:t>The study specifically examines student engagement in a cross-cultural context, shedding light on the interplay between traditional values and modern educational approaches. This cross-cultural perspective contributes to a more nuanced understanding of student engagement. By delving into the intricate dynamics of student engagement across diverse cultural backgrounds, researchers gain valuable insights into the factors influencing learning experiences</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w:t>
      </w:r>
      <w:r>
        <w:rPr>
          <w:rFonts w:ascii="Times New Roman" w:hAnsi="Times New Roman" w:cs="Times New Roman"/>
          <w:color w:val="222222"/>
          <w:sz w:val="24"/>
          <w:szCs w:val="24"/>
          <w:shd w:val="clear" w:color="auto" w:fill="FFFFFF"/>
        </w:rPr>
        <w:t>Zheng et al., 2023)</w:t>
      </w:r>
      <w:r>
        <w:rPr>
          <w:rFonts w:ascii="Times New Roman" w:hAnsi="Times New Roman" w:cs="Times New Roman"/>
          <w:sz w:val="24"/>
          <w:szCs w:val="24"/>
        </w:rPr>
        <w:t>. The juxtaposition of traditional values and contemporary educational methods not only unveils challenges but also highlights potential opportunities for fostering a more inclusive and effective learning environment. In adopting a cross-cultural perspective, educators and policymakers can tailor strategies that resonate with the cultural fabric of diverse student populations, ultimately enriching the educational landscape.</w:t>
      </w:r>
    </w:p>
    <w:p>
      <w:pPr>
        <w:pStyle w:val="4"/>
        <w:spacing w:line="360" w:lineRule="auto"/>
        <w:rPr>
          <w:rFonts w:ascii="Times New Roman" w:hAnsi="Times New Roman" w:cs="Times New Roman"/>
          <w:b/>
          <w:bCs/>
          <w:color w:val="auto"/>
        </w:rPr>
      </w:pPr>
      <w:bookmarkStart w:id="115" w:name="_Toc5208"/>
      <w:bookmarkStart w:id="116" w:name="_Toc154735228"/>
      <w:r>
        <w:rPr>
          <w:rFonts w:ascii="Times New Roman" w:hAnsi="Times New Roman" w:cs="Times New Roman"/>
          <w:b/>
          <w:bCs/>
          <w:color w:val="auto"/>
        </w:rPr>
        <w:t>5.7.2 Practical Implications:</w:t>
      </w:r>
      <w:bookmarkEnd w:id="115"/>
      <w:bookmarkEnd w:id="116"/>
      <w:r>
        <w:rPr>
          <w:rFonts w:ascii="Times New Roman" w:hAnsi="Times New Roman" w:cs="Times New Roman"/>
          <w:b/>
          <w:bCs/>
          <w:color w:val="auto"/>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research provides practical implications for educators and institutions, emphasizing the importance of class size, extracurricular activities, and culturally responsive teaching methods in fostering engagement. These recommendations can guide educational practices in similar settings. Implementing smaller class sizes allows for more personalized attention, enhancing student-teacher interactions and overall academic performance</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w:t>
      </w:r>
      <w:r>
        <w:rPr>
          <w:rFonts w:ascii="Times New Roman" w:hAnsi="Times New Roman" w:cs="Times New Roman"/>
          <w:color w:val="222222"/>
          <w:sz w:val="24"/>
          <w:szCs w:val="24"/>
          <w:shd w:val="clear" w:color="auto" w:fill="FFFFFF"/>
        </w:rPr>
        <w:t>Nguyen et al., 2023)</w:t>
      </w:r>
      <w:r>
        <w:rPr>
          <w:rFonts w:ascii="Times New Roman" w:hAnsi="Times New Roman" w:cs="Times New Roman"/>
          <w:sz w:val="24"/>
          <w:szCs w:val="24"/>
        </w:rPr>
        <w:t>. Incorporating diverse extracurricular activities not only enriches students' experiences but also cultivates a sense of community and belonging. Furthermore, embracing culturally responsive teaching methods ensures a more inclusive and supportive learning environment, promoting academic success for students from diverse backgrounds.</w:t>
      </w:r>
    </w:p>
    <w:p>
      <w:pPr>
        <w:pStyle w:val="4"/>
        <w:spacing w:line="360" w:lineRule="auto"/>
        <w:rPr>
          <w:rFonts w:ascii="Times New Roman" w:hAnsi="Times New Roman" w:cs="Times New Roman"/>
          <w:b/>
          <w:bCs/>
          <w:color w:val="auto"/>
        </w:rPr>
      </w:pPr>
      <w:bookmarkStart w:id="117" w:name="_Toc19594"/>
      <w:bookmarkStart w:id="118" w:name="_Toc154735229"/>
      <w:r>
        <w:rPr>
          <w:rFonts w:ascii="Times New Roman" w:hAnsi="Times New Roman" w:cs="Times New Roman"/>
          <w:b/>
          <w:bCs/>
          <w:color w:val="auto"/>
        </w:rPr>
        <w:t xml:space="preserve">5.7.3 </w:t>
      </w:r>
      <w:bookmarkStart w:id="119" w:name="OLE_LINK6"/>
      <w:r>
        <w:rPr>
          <w:rFonts w:ascii="Times New Roman" w:hAnsi="Times New Roman" w:cs="Times New Roman"/>
          <w:b/>
          <w:bCs/>
          <w:color w:val="auto"/>
        </w:rPr>
        <w:t>Holistic</w:t>
      </w:r>
      <w:bookmarkEnd w:id="119"/>
      <w:r>
        <w:rPr>
          <w:rFonts w:ascii="Times New Roman" w:hAnsi="Times New Roman" w:cs="Times New Roman"/>
          <w:b/>
          <w:bCs/>
          <w:color w:val="auto"/>
        </w:rPr>
        <w:t xml:space="preserve"> Approach:</w:t>
      </w:r>
      <w:bookmarkEnd w:id="117"/>
      <w:bookmarkEnd w:id="118"/>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By considering both academic and extracurricular aspects of engagement, the study promotes a holistic view of student involvement. This perspective challenges the narrow definition of engagement and encourages educators to support students in various dimensions of their learning journey. Embracing a holistic approach fosters a well-rounded educational experience, recognizing that a student's growth extends beyond traditional classroom boundaries. It emphasizes the importance of nurturing not only intellectual development but also social, emotional, and physical well-being</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w:t>
      </w:r>
      <w:r>
        <w:rPr>
          <w:rFonts w:ascii="Times New Roman" w:hAnsi="Times New Roman" w:cs="Times New Roman"/>
          <w:color w:val="222222"/>
          <w:sz w:val="24"/>
          <w:szCs w:val="24"/>
          <w:shd w:val="clear" w:color="auto" w:fill="FFFFFF"/>
        </w:rPr>
        <w:t>Imbaquingo and Cárdenas, 2023)</w:t>
      </w:r>
      <w:r>
        <w:rPr>
          <w:rFonts w:ascii="Times New Roman" w:hAnsi="Times New Roman" w:cs="Times New Roman"/>
          <w:sz w:val="24"/>
          <w:szCs w:val="24"/>
        </w:rPr>
        <w:t>. By intertwining these facets, educators can cultivate individuals who are not only academically adept but also equipped with the skills and resilience needed for a dynamic and interconnected world.</w:t>
      </w:r>
    </w:p>
    <w:p>
      <w:pPr>
        <w:pStyle w:val="4"/>
        <w:spacing w:line="360" w:lineRule="auto"/>
        <w:rPr>
          <w:rFonts w:ascii="Times New Roman" w:hAnsi="Times New Roman" w:cs="Times New Roman"/>
          <w:b/>
          <w:bCs/>
          <w:color w:val="auto"/>
        </w:rPr>
      </w:pPr>
      <w:bookmarkStart w:id="120" w:name="_Toc1355"/>
      <w:bookmarkStart w:id="121" w:name="_Toc31576"/>
      <w:bookmarkStart w:id="122" w:name="_Toc5618"/>
      <w:bookmarkStart w:id="123" w:name="_Toc154735230"/>
      <w:r>
        <w:rPr>
          <w:rFonts w:ascii="Times New Roman" w:hAnsi="Times New Roman" w:cs="Times New Roman"/>
          <w:b/>
          <w:bCs/>
          <w:color w:val="auto"/>
        </w:rPr>
        <w:t>5.7.4 Future Research Directions:</w:t>
      </w:r>
      <w:bookmarkEnd w:id="120"/>
      <w:bookmarkEnd w:id="121"/>
      <w:bookmarkEnd w:id="122"/>
      <w:bookmarkEnd w:id="123"/>
      <w:r>
        <w:rPr>
          <w:rFonts w:ascii="Times New Roman" w:hAnsi="Times New Roman" w:cs="Times New Roman"/>
          <w:b/>
          <w:bCs/>
          <w:color w:val="auto"/>
        </w:rPr>
        <w:t xml:space="preserv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Future research in this area should determine the long-term impact of engagement strategies. While many studies focus on immediate outcomes, understanding how sustained engagement influences individuals over extended periods is crucial. Researchers could explore whether long-term engagement leads to lasting behavioral changes, improved learning retention, or enhanced overall well-being</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(Zhang et al., 2015). Additionally, there is a need to investigate disciplinary nuances in engagement strategies. Different fields may require tailored approaches to captivate and involve participants effectively. For example, the methods that work well in a science</w:t>
      </w:r>
      <w:r>
        <w:rPr>
          <w:rFonts w:ascii="Times New Roman" w:hAnsi="Times New Roman" w:eastAsia="宋体" w:cs="Times New Roman"/>
          <w:sz w:val="24"/>
          <w:szCs w:val="24"/>
          <w:lang w:eastAsia="zh-CN"/>
        </w:rPr>
        <w:t xml:space="preserve"> (STEM subjects)</w:t>
      </w:r>
      <w:r>
        <w:rPr>
          <w:rFonts w:ascii="Times New Roman" w:hAnsi="Times New Roman" w:cs="Times New Roman"/>
          <w:sz w:val="24"/>
          <w:szCs w:val="24"/>
        </w:rPr>
        <w:t xml:space="preserve"> classroom may not be as effective in a humanity setting. </w:t>
      </w:r>
      <w:r>
        <w:rPr>
          <w:rFonts w:ascii="Times New Roman" w:hAnsi="Times New Roman" w:eastAsia="宋体" w:cs="Times New Roman"/>
          <w:sz w:val="24"/>
          <w:szCs w:val="24"/>
          <w:lang w:eastAsia="zh-CN"/>
        </w:rPr>
        <w:t>I</w:t>
      </w:r>
      <w:r>
        <w:rPr>
          <w:rFonts w:ascii="Times New Roman" w:hAnsi="Times New Roman" w:cs="Times New Roman"/>
          <w:sz w:val="24"/>
          <w:szCs w:val="24"/>
        </w:rPr>
        <w:t xml:space="preserve"> should explore the unique dynamics of engagement within specific disciplines to develop targeted strategies that cater to diverse learning environments.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Another promising avenue for future research is the integration of emerging technologies in engagement initiatives. As technology continues to evolve, understanding how virtual reality, artificial intelligence, or other cutting-edge tools can be harnessed to enhance engagement is vital</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w:t>
      </w:r>
      <w:r>
        <w:rPr>
          <w:rFonts w:hint="eastAsia" w:ascii="Times New Roman" w:hAnsi="Times New Roman" w:eastAsia="宋体" w:cs="Times New Roman"/>
          <w:sz w:val="24"/>
          <w:szCs w:val="24"/>
          <w:lang w:val="en-US" w:eastAsia="zh-CN"/>
        </w:rPr>
        <w:t>Bond, 2020</w:t>
      </w:r>
      <w:r>
        <w:rPr>
          <w:rFonts w:ascii="Times New Roman" w:hAnsi="Times New Roman" w:cs="Times New Roman"/>
          <w:sz w:val="24"/>
          <w:szCs w:val="24"/>
        </w:rPr>
        <w:t xml:space="preserve">). Exploring the synergies between traditional and emerging technologies could open new possibilities for creating immersive and impactful learning experiences. Furthermore, </w:t>
      </w:r>
      <w:r>
        <w:rPr>
          <w:rFonts w:ascii="Times New Roman" w:hAnsi="Times New Roman" w:eastAsia="宋体" w:cs="Times New Roman"/>
          <w:sz w:val="24"/>
          <w:szCs w:val="24"/>
          <w:lang w:eastAsia="zh-CN"/>
        </w:rPr>
        <w:t>I</w:t>
      </w:r>
      <w:r>
        <w:rPr>
          <w:rFonts w:ascii="Times New Roman" w:hAnsi="Times New Roman" w:cs="Times New Roman"/>
          <w:sz w:val="24"/>
          <w:szCs w:val="24"/>
        </w:rPr>
        <w:t xml:space="preserve"> could investigate the role of cultural and socio-economic factors in engagement. Understanding how diverse cultural backgrounds and economic circumstances influence individuals' responsiveness to engagement strategies can lead to more inclusive and effective approaches.</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conclusion, while this research on student engagement in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at a Chinese university has its limitations, it provides valuable insights and contributes to the broader discourse on effective educational practices. By acknowledging these limitations and building upon the findings, researchers and educators can continue to enhance the learning experience for students in cross-cultural settings and beyond. Furthermore, the identified insights underscore the importance of cultural sensitivity and adaptability in educational approaches, urging a reevaluation of traditional teaching methodologies</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rPr>
        <w:t>(</w:t>
      </w:r>
      <w:r>
        <w:rPr>
          <w:rFonts w:ascii="Times New Roman" w:hAnsi="Times New Roman" w:cs="Times New Roman"/>
          <w:color w:val="222222"/>
          <w:sz w:val="24"/>
          <w:szCs w:val="24"/>
          <w:shd w:val="clear" w:color="auto" w:fill="FFFFFF"/>
        </w:rPr>
        <w:t>Kassab et al., 2023)</w:t>
      </w:r>
      <w:r>
        <w:rPr>
          <w:rFonts w:ascii="Times New Roman" w:hAnsi="Times New Roman" w:cs="Times New Roman"/>
          <w:sz w:val="24"/>
          <w:szCs w:val="24"/>
        </w:rPr>
        <w:t>. As we navigate the ever-evolving landscape of global education, embracing diversity and tailoring strategies to meet the unique needs of students from various backgrounds becomes imperative. This study catalyzes future investigations into optimizing pedagogical techniques, fostering an environment where students not only acquire language skills but also develop a profound cultural understanding. Ultimately, by fostering a dynamic and inclusive learning environment, educators can empower students to thrive in an interconnected world, transcending linguistic and cultural boundaries.</w:t>
      </w: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spacing w:line="360" w:lineRule="auto"/>
        <w:ind w:firstLine="720"/>
        <w:rPr>
          <w:rFonts w:ascii="Times New Roman" w:hAnsi="Times New Roman" w:cs="Times New Roman"/>
          <w:sz w:val="24"/>
          <w:szCs w:val="24"/>
        </w:rPr>
      </w:pPr>
    </w:p>
    <w:p>
      <w:pPr>
        <w:spacing w:line="360" w:lineRule="auto"/>
        <w:rPr>
          <w:rFonts w:ascii="Times New Roman" w:hAnsi="Times New Roman" w:cs="Times New Roman"/>
          <w:sz w:val="24"/>
          <w:szCs w:val="24"/>
        </w:rPr>
      </w:pPr>
    </w:p>
    <w:p>
      <w:pPr>
        <w:pStyle w:val="2"/>
        <w:spacing w:line="360" w:lineRule="auto"/>
        <w:jc w:val="center"/>
        <w:rPr>
          <w:rFonts w:ascii="Times New Roman" w:hAnsi="Times New Roman" w:cs="Times New Roman"/>
          <w:b/>
          <w:bCs/>
          <w:color w:val="auto"/>
          <w:sz w:val="24"/>
          <w:szCs w:val="24"/>
        </w:rPr>
      </w:pPr>
      <w:bookmarkStart w:id="124" w:name="_Toc25575"/>
      <w:bookmarkStart w:id="125" w:name="_Toc154735231"/>
      <w:bookmarkStart w:id="126" w:name="_Toc26860"/>
      <w:r>
        <w:rPr>
          <w:rFonts w:ascii="Times New Roman" w:hAnsi="Times New Roman" w:cs="Times New Roman"/>
          <w:b/>
          <w:bCs/>
          <w:color w:val="auto"/>
          <w:sz w:val="24"/>
          <w:szCs w:val="24"/>
        </w:rPr>
        <w:t xml:space="preserve">CHAPTER 6: </w:t>
      </w:r>
      <w:bookmarkStart w:id="127" w:name="OLE_LINK2"/>
      <w:r>
        <w:rPr>
          <w:rFonts w:ascii="Times New Roman" w:hAnsi="Times New Roman" w:cs="Times New Roman"/>
          <w:b/>
          <w:bCs/>
          <w:color w:val="auto"/>
          <w:sz w:val="24"/>
          <w:szCs w:val="24"/>
        </w:rPr>
        <w:t>CONCLUSIONS AND</w:t>
      </w:r>
      <w:bookmarkEnd w:id="127"/>
      <w:r>
        <w:rPr>
          <w:rFonts w:ascii="Times New Roman" w:hAnsi="Times New Roman" w:cs="Times New Roman"/>
          <w:b/>
          <w:bCs/>
          <w:color w:val="auto"/>
          <w:sz w:val="24"/>
          <w:szCs w:val="24"/>
        </w:rPr>
        <w:t xml:space="preserve"> RECOMMENDATIONS</w:t>
      </w:r>
      <w:bookmarkEnd w:id="124"/>
      <w:bookmarkEnd w:id="125"/>
      <w:bookmarkEnd w:id="126"/>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As the exploration comes to a close, </w:t>
      </w:r>
      <w:r>
        <w:rPr>
          <w:rFonts w:ascii="Times New Roman" w:hAnsi="Times New Roman" w:eastAsia="宋体" w:cs="Times New Roman"/>
          <w:sz w:val="24"/>
          <w:szCs w:val="24"/>
          <w:lang w:eastAsia="zh-CN"/>
        </w:rPr>
        <w:t>I</w:t>
      </w:r>
      <w:r>
        <w:rPr>
          <w:rFonts w:ascii="Times New Roman" w:hAnsi="Times New Roman" w:cs="Times New Roman"/>
          <w:sz w:val="24"/>
          <w:szCs w:val="24"/>
        </w:rPr>
        <w:t xml:space="preserve"> find it crucial to redirect </w:t>
      </w:r>
      <w:r>
        <w:rPr>
          <w:rFonts w:ascii="Times New Roman" w:hAnsi="Times New Roman" w:eastAsia="宋体" w:cs="Times New Roman"/>
          <w:sz w:val="24"/>
          <w:szCs w:val="24"/>
          <w:lang w:eastAsia="zh-CN"/>
        </w:rPr>
        <w:t>my</w:t>
      </w:r>
      <w:r>
        <w:rPr>
          <w:rFonts w:ascii="Times New Roman" w:hAnsi="Times New Roman" w:cs="Times New Roman"/>
          <w:sz w:val="24"/>
          <w:szCs w:val="24"/>
        </w:rPr>
        <w:t xml:space="preserve"> focus inward, reflecting upon the journey undertaken to unravel the complexities of student engagement in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xml:space="preserve"> at a Chinese university. The dual-method </w:t>
      </w:r>
      <w:r>
        <w:rPr>
          <w:rFonts w:ascii="Times New Roman" w:hAnsi="Times New Roman" w:eastAsia="宋体" w:cs="Times New Roman"/>
          <w:sz w:val="24"/>
          <w:szCs w:val="24"/>
          <w:lang w:eastAsia="zh-CN"/>
        </w:rPr>
        <w:t xml:space="preserve">research </w:t>
      </w:r>
      <w:r>
        <w:rPr>
          <w:rFonts w:ascii="Times New Roman" w:hAnsi="Times New Roman" w:cs="Times New Roman"/>
          <w:sz w:val="24"/>
          <w:szCs w:val="24"/>
        </w:rPr>
        <w:t xml:space="preserve">approach, seamlessly merging quantitative and qualitative methodologies, emerges as a key factor in successfully capturing the intricate nuances of this dynamic educational landscape.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However, a note of caution is sounded regarding the reliance on self-reported data and the inherently subjective nature of qualitative findings. This necessitates a measured and careful interpretation of the results obtained through these means. To fortify the foundation for future studies, </w:t>
      </w:r>
      <w:r>
        <w:rPr>
          <w:rFonts w:ascii="Times New Roman" w:hAnsi="Times New Roman" w:eastAsia="宋体" w:cs="Times New Roman"/>
          <w:sz w:val="24"/>
          <w:szCs w:val="24"/>
          <w:lang w:eastAsia="zh-CN"/>
        </w:rPr>
        <w:t>I</w:t>
      </w:r>
      <w:r>
        <w:rPr>
          <w:rFonts w:ascii="Times New Roman" w:hAnsi="Times New Roman" w:cs="Times New Roman"/>
          <w:sz w:val="24"/>
          <w:szCs w:val="24"/>
        </w:rPr>
        <w:t xml:space="preserve"> propose the incorporation of a diversified research methodology that integrates objective measures and external observations. Such an approach is seen as instrumental in providing a more comprehensive understanding of the multifaceted aspects of student engagement in this context. </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Moreover, </w:t>
      </w:r>
      <w:r>
        <w:rPr>
          <w:rFonts w:ascii="Times New Roman" w:hAnsi="Times New Roman" w:eastAsia="宋体" w:cs="Times New Roman"/>
          <w:sz w:val="24"/>
          <w:szCs w:val="24"/>
          <w:lang w:eastAsia="zh-CN"/>
        </w:rPr>
        <w:t>I</w:t>
      </w:r>
      <w:r>
        <w:rPr>
          <w:rFonts w:ascii="Times New Roman" w:hAnsi="Times New Roman" w:cs="Times New Roman"/>
          <w:sz w:val="24"/>
          <w:szCs w:val="24"/>
        </w:rPr>
        <w:t xml:space="preserve"> advocate for the fostering of collaboration among researchers, </w:t>
      </w:r>
      <w:r>
        <w:rPr>
          <w:rFonts w:ascii="Times New Roman" w:hAnsi="Times New Roman" w:eastAsia="宋体" w:cs="Times New Roman"/>
          <w:sz w:val="24"/>
          <w:szCs w:val="24"/>
          <w:lang w:eastAsia="zh-CN"/>
        </w:rPr>
        <w:t>lecturer</w:t>
      </w:r>
      <w:r>
        <w:rPr>
          <w:rFonts w:ascii="Times New Roman" w:hAnsi="Times New Roman" w:cs="Times New Roman"/>
          <w:sz w:val="24"/>
          <w:szCs w:val="24"/>
        </w:rPr>
        <w:t xml:space="preserve">s, and students throughout the research process. This collaborative effort is envisioned to enrich the data collection process, bringing in diverse perspectives and ensuring a more holistic understanding of student engagement in </w:t>
      </w:r>
      <w:r>
        <w:rPr>
          <w:rFonts w:hint="eastAsia" w:ascii="Times New Roman" w:hAnsi="Times New Roman" w:eastAsia="宋体" w:cs="Times New Roman"/>
          <w:sz w:val="24"/>
          <w:szCs w:val="24"/>
          <w:lang w:eastAsia="zh-CN"/>
        </w:rPr>
        <w:t>ELT</w:t>
      </w:r>
      <w:r>
        <w:rPr>
          <w:rFonts w:ascii="Times New Roman" w:hAnsi="Times New Roman" w:cs="Times New Roman"/>
          <w:sz w:val="24"/>
          <w:szCs w:val="24"/>
        </w:rPr>
        <w:t>. By encouraging this collective involvement, the research aims to establish a framework that not only enhances the quality of data but also contributes to a more nuanced and informed perspective on the subject matter.</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My </w:t>
      </w:r>
      <w:r>
        <w:rPr>
          <w:rFonts w:hint="eastAsia" w:ascii="Times New Roman" w:hAnsi="Times New Roman" w:eastAsia="宋体" w:cs="Times New Roman"/>
          <w:sz w:val="24"/>
          <w:szCs w:val="24"/>
          <w:lang w:val="en-US" w:eastAsia="zh-CN"/>
        </w:rPr>
        <w:t xml:space="preserve">research </w:t>
      </w:r>
      <w:r>
        <w:rPr>
          <w:rFonts w:ascii="Times New Roman" w:hAnsi="Times New Roman" w:cs="Times New Roman"/>
          <w:sz w:val="24"/>
          <w:szCs w:val="24"/>
        </w:rPr>
        <w:t xml:space="preserve">journey has illuminated pathways for </w:t>
      </w:r>
      <w:r>
        <w:rPr>
          <w:rFonts w:hint="eastAsia" w:ascii="Times New Roman" w:hAnsi="Times New Roman" w:eastAsia="宋体" w:cs="Times New Roman"/>
          <w:sz w:val="24"/>
          <w:szCs w:val="24"/>
          <w:lang w:val="en-US" w:eastAsia="zh-CN"/>
        </w:rPr>
        <w:t xml:space="preserve">my </w:t>
      </w:r>
      <w:r>
        <w:rPr>
          <w:rFonts w:ascii="Times New Roman" w:hAnsi="Times New Roman" w:cs="Times New Roman"/>
          <w:sz w:val="24"/>
          <w:szCs w:val="24"/>
        </w:rPr>
        <w:t>future exploration, pointing towards areas that warrant deeper investigation. The impact of cultural nuances on student engagement stands out as a focal point, urging researchers</w:t>
      </w:r>
      <w:r>
        <w:rPr>
          <w:rFonts w:ascii="Times New Roman" w:hAnsi="Times New Roman" w:eastAsia="宋体" w:cs="Times New Roman"/>
          <w:sz w:val="24"/>
          <w:szCs w:val="24"/>
          <w:lang w:eastAsia="zh-CN"/>
        </w:rPr>
        <w:t xml:space="preserve"> (includ</w:t>
      </w:r>
      <w:r>
        <w:rPr>
          <w:rFonts w:hint="eastAsia" w:ascii="Times New Roman" w:hAnsi="Times New Roman" w:eastAsia="宋体" w:cs="Times New Roman"/>
          <w:sz w:val="24"/>
          <w:szCs w:val="24"/>
          <w:lang w:val="en-US" w:eastAsia="zh-CN"/>
        </w:rPr>
        <w:t>ing</w:t>
      </w:r>
      <w:r>
        <w:rPr>
          <w:rFonts w:ascii="Times New Roman" w:hAnsi="Times New Roman" w:eastAsia="宋体" w:cs="Times New Roman"/>
          <w:sz w:val="24"/>
          <w:szCs w:val="24"/>
          <w:lang w:eastAsia="zh-CN"/>
        </w:rPr>
        <w:t xml:space="preserve"> me)</w:t>
      </w:r>
      <w:r>
        <w:rPr>
          <w:rFonts w:ascii="Times New Roman" w:hAnsi="Times New Roman" w:cs="Times New Roman"/>
          <w:sz w:val="24"/>
          <w:szCs w:val="24"/>
        </w:rPr>
        <w:t xml:space="preserve"> to delve into the intricate interplay between traditional values and modern pedagogical approaches. Longitudinal studies spanning multiple academic years can provide a more nuanced understanding of the evolving nature of student engagement. Moreover, comparative studies across different universities and educational systems can contribute to a broader understanding of effective teaching practices. As I stride forward, I embrace the challenges posed by the limitations of today's research and strive for more innovative and inclusive methodologies to uncover the intricacies of student engagement.</w:t>
      </w:r>
    </w:p>
    <w:p>
      <w:pPr>
        <w:spacing w:line="360" w:lineRule="auto"/>
        <w:ind w:firstLine="720"/>
        <w:rPr>
          <w:rFonts w:ascii="Times New Roman" w:hAnsi="Times New Roman" w:cs="Times New Roman"/>
          <w:sz w:val="24"/>
          <w:szCs w:val="24"/>
        </w:rPr>
      </w:pPr>
      <w:r>
        <w:rPr>
          <w:rFonts w:ascii="Times New Roman" w:hAnsi="Times New Roman" w:cs="Times New Roman"/>
          <w:sz w:val="24"/>
          <w:szCs w:val="24"/>
        </w:rPr>
        <w:t>In the tapestry of student engagement research, my endeavors stand as a thread woven with dedication, curiosity, and the pursuit of knowledge. As I reflect on the limitations, achievements, and implications of this study, a sense of humility accompanies the recognition that our understanding is ever-evolving. The call to action is clear to continuously question, explore, and adapt in the face of the dynamic educational landscape. The recommendations laid forth in this chapter serve not as conclusions but as invitations to a perpetual dialogue, inviting scholars, educators, and students alike to contribute to the ongoing narrative of student engagement. As I conclude this chapter and, by extension, this research journey, let me carry forward the torch of inquiry, lighting the way for future scholars to unravel the mysteries of student engagement and cultivate an educational environment that resonates with the diverse tapestry of learners in every corner of the globe.</w:t>
      </w:r>
    </w:p>
    <w:p>
      <w:pPr>
        <w:spacing w:beforeAutospacing="1" w:after="0" w:afterAutospacing="1" w:line="360" w:lineRule="auto"/>
        <w:rPr>
          <w:rFonts w:ascii="Times New Roman" w:hAnsi="Times New Roman" w:cs="Times New Roman"/>
          <w:sz w:val="24"/>
          <w:szCs w:val="24"/>
        </w:rPr>
        <w:sectPr>
          <w:pgSz w:w="12240" w:h="15840"/>
          <w:pgMar w:top="1440" w:right="1440" w:bottom="1440" w:left="1440" w:header="720" w:footer="720" w:gutter="0"/>
          <w:cols w:space="720" w:num="1"/>
        </w:sectPr>
      </w:pPr>
    </w:p>
    <w:p>
      <w:pPr>
        <w:pStyle w:val="2"/>
        <w:spacing w:line="360" w:lineRule="auto"/>
        <w:rPr>
          <w:rFonts w:ascii="Times New Roman" w:hAnsi="Times New Roman" w:cs="Times New Roman"/>
          <w:b/>
          <w:bCs/>
          <w:color w:val="auto"/>
          <w:sz w:val="24"/>
          <w:szCs w:val="24"/>
        </w:rPr>
      </w:pPr>
      <w:bookmarkStart w:id="128" w:name="_Toc4828"/>
      <w:bookmarkStart w:id="129" w:name="_Toc154735232"/>
      <w:bookmarkStart w:id="130" w:name="OLE_LINK23"/>
      <w:r>
        <w:rPr>
          <w:rFonts w:ascii="Times New Roman" w:hAnsi="Times New Roman" w:cs="Times New Roman"/>
          <w:b/>
          <w:bCs/>
          <w:color w:val="auto"/>
          <w:sz w:val="24"/>
          <w:szCs w:val="24"/>
        </w:rPr>
        <w:t>REFERENCES</w:t>
      </w:r>
      <w:bookmarkEnd w:id="128"/>
      <w:bookmarkEnd w:id="129"/>
    </w:p>
    <w:bookmarkEnd w:id="130"/>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Abid, T., Zahid, G., Shahid, N. and Bukhari, M., 2021. Online teaching experience during the COVID-19 in Pakistan: Pedagogy–technology balance and student engagement. </w:t>
      </w:r>
      <w:r>
        <w:rPr>
          <w:rFonts w:ascii="Times New Roman" w:hAnsi="Times New Roman" w:cs="Times New Roman"/>
          <w:i/>
          <w:iCs/>
          <w:color w:val="222222"/>
          <w:sz w:val="24"/>
          <w:szCs w:val="24"/>
          <w:shd w:val="clear" w:color="auto" w:fill="FFFFFF"/>
        </w:rPr>
        <w:t>Fudan Journal of the Humanities and Social Sciences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14</w:t>
      </w:r>
      <w:r>
        <w:rPr>
          <w:rFonts w:ascii="Times New Roman" w:hAnsi="Times New Roman" w:cs="Times New Roman"/>
          <w:color w:val="222222"/>
          <w:sz w:val="24"/>
          <w:szCs w:val="24"/>
          <w:shd w:val="clear" w:color="auto" w:fill="FFFFFF"/>
        </w:rPr>
        <w:t>, pp.367-391.</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Al-Bogami, B. and Elyas, T., 2020. Promoting middle school students’ engagement through incorporating iPad apps in EFL/ESL classes. </w:t>
      </w:r>
      <w:r>
        <w:rPr>
          <w:rFonts w:ascii="Times New Roman" w:hAnsi="Times New Roman" w:cs="Times New Roman"/>
          <w:i/>
          <w:iCs/>
          <w:color w:val="222222"/>
          <w:sz w:val="24"/>
          <w:szCs w:val="24"/>
          <w:shd w:val="clear" w:color="auto" w:fill="FFFFFF"/>
        </w:rPr>
        <w:t>SAGE Open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w:t>
      </w:r>
      <w:r>
        <w:rPr>
          <w:rFonts w:ascii="Times New Roman" w:hAnsi="Times New Roman" w:cs="Times New Roman"/>
          <w:color w:val="222222"/>
          <w:sz w:val="24"/>
          <w:szCs w:val="24"/>
          <w:shd w:val="clear" w:color="auto" w:fill="FFFFFF"/>
        </w:rPr>
        <w:t>(2), p.2158244020926570.</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Alemayehu, L. and Chen, H.L., 2023. Learner and instructor-related challenges for learners’ engagement in MOOCs: A review of 2014–2020 publications in selected SSCI indexed journals. </w:t>
      </w:r>
      <w:r>
        <w:rPr>
          <w:rFonts w:ascii="Times New Roman" w:hAnsi="Times New Roman" w:cs="Times New Roman"/>
          <w:i/>
          <w:iCs/>
          <w:color w:val="222222"/>
          <w:sz w:val="24"/>
          <w:szCs w:val="24"/>
          <w:shd w:val="clear" w:color="auto" w:fill="FFFFFF"/>
        </w:rPr>
        <w:t>Interactive Learning Environments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31</w:t>
      </w:r>
      <w:r>
        <w:rPr>
          <w:rFonts w:ascii="Times New Roman" w:hAnsi="Times New Roman" w:cs="Times New Roman"/>
          <w:color w:val="222222"/>
          <w:sz w:val="24"/>
          <w:szCs w:val="24"/>
          <w:shd w:val="clear" w:color="auto" w:fill="FFFFFF"/>
        </w:rPr>
        <w:t>(5), pp.3172-3194.</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Alshuraiaan, A., 2023. Exploring the relationship between teacher-student interaction patterns and language learning outcomes in TESOL classrooms. Journal of </w:t>
      </w:r>
      <w:r>
        <w:rPr>
          <w:rFonts w:hint="eastAsia" w:ascii="Times New Roman" w:hAnsi="Times New Roman" w:eastAsia="宋体" w:cs="Times New Roman"/>
          <w:color w:val="222222"/>
          <w:sz w:val="24"/>
          <w:szCs w:val="24"/>
          <w:shd w:val="clear" w:color="auto" w:fill="FFFFFF"/>
          <w:lang w:eastAsia="zh-CN"/>
        </w:rPr>
        <w:t>ELT</w:t>
      </w:r>
      <w:r>
        <w:rPr>
          <w:rFonts w:ascii="Times New Roman" w:hAnsi="Times New Roman" w:cs="Times New Roman"/>
          <w:color w:val="222222"/>
          <w:sz w:val="24"/>
          <w:szCs w:val="24"/>
          <w:shd w:val="clear" w:color="auto" w:fill="FFFFFF"/>
        </w:rPr>
        <w:t xml:space="preserve"> and Applied Linguistics, 5(3), pp.25-34.</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An, J. and Thomas, N., 2021. Students’ beliefs about the role of interaction for science learning and language learning in EMI science classes: Evidence from high schools in China. </w:t>
      </w:r>
      <w:r>
        <w:rPr>
          <w:rFonts w:ascii="Times New Roman" w:hAnsi="Times New Roman" w:cs="Times New Roman"/>
          <w:i/>
          <w:iCs/>
          <w:color w:val="222222"/>
          <w:sz w:val="24"/>
          <w:szCs w:val="24"/>
          <w:shd w:val="clear" w:color="auto" w:fill="FFFFFF"/>
        </w:rPr>
        <w:t>Linguistics and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65</w:t>
      </w:r>
      <w:r>
        <w:rPr>
          <w:rFonts w:ascii="Times New Roman" w:hAnsi="Times New Roman" w:cs="Times New Roman"/>
          <w:color w:val="222222"/>
          <w:sz w:val="24"/>
          <w:szCs w:val="24"/>
          <w:shd w:val="clear" w:color="auto" w:fill="FFFFFF"/>
        </w:rPr>
        <w:t>, p.100972.</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Assunção, H., Lin, S.W., Sit, P.S., Cheung, K.C., Harju-Luukkainen, H., Smith, T., Maloa, B., Campos, J.Á.D.B., Ilic, I.S., Esposito, G. and Francesca, F.M., 2020. University student engagement inventory (USEI): transcultural validity evidence across four continents. </w:t>
      </w:r>
      <w:r>
        <w:rPr>
          <w:rFonts w:ascii="Times New Roman" w:hAnsi="Times New Roman" w:cs="Times New Roman"/>
          <w:i/>
          <w:iCs/>
          <w:color w:val="222222"/>
          <w:sz w:val="24"/>
          <w:szCs w:val="24"/>
          <w:shd w:val="clear" w:color="auto" w:fill="FFFFFF"/>
        </w:rPr>
        <w:t>Frontiers in Psychology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w:t>
      </w:r>
      <w:r>
        <w:rPr>
          <w:rFonts w:ascii="Times New Roman" w:hAnsi="Times New Roman" w:cs="Times New Roman"/>
          <w:color w:val="222222"/>
          <w:sz w:val="24"/>
          <w:szCs w:val="24"/>
          <w:shd w:val="clear" w:color="auto" w:fill="FFFFFF"/>
        </w:rPr>
        <w:t>, p.2796.</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Aubrey, S., King, J. and Almukhaild, H., 2022. Language learner engagement during speaking tasks: A longitudinal study. </w:t>
      </w:r>
      <w:r>
        <w:rPr>
          <w:rFonts w:ascii="Times New Roman" w:hAnsi="Times New Roman" w:cs="Times New Roman"/>
          <w:i/>
          <w:iCs/>
          <w:color w:val="222222"/>
          <w:sz w:val="24"/>
          <w:szCs w:val="24"/>
          <w:shd w:val="clear" w:color="auto" w:fill="FFFFFF"/>
        </w:rPr>
        <w:t>RELC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53</w:t>
      </w:r>
      <w:r>
        <w:rPr>
          <w:rFonts w:ascii="Times New Roman" w:hAnsi="Times New Roman" w:cs="Times New Roman"/>
          <w:color w:val="222222"/>
          <w:sz w:val="24"/>
          <w:szCs w:val="24"/>
          <w:shd w:val="clear" w:color="auto" w:fill="FFFFFF"/>
        </w:rPr>
        <w:t>(3), pp.519-533.</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Bacquet, J.N., 2020. Implications of summative and formative assessment in Japan–A review of the current literature. </w:t>
      </w:r>
      <w:r>
        <w:rPr>
          <w:rFonts w:ascii="Times New Roman" w:hAnsi="Times New Roman" w:cs="Times New Roman"/>
          <w:i/>
          <w:iCs/>
          <w:color w:val="222222"/>
          <w:sz w:val="24"/>
          <w:szCs w:val="24"/>
          <w:shd w:val="clear" w:color="auto" w:fill="FFFFFF"/>
        </w:rPr>
        <w:t>International Journal of Education and Literacy Studies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8</w:t>
      </w:r>
      <w:r>
        <w:rPr>
          <w:rFonts w:ascii="Times New Roman" w:hAnsi="Times New Roman" w:cs="Times New Roman"/>
          <w:color w:val="222222"/>
          <w:sz w:val="24"/>
          <w:szCs w:val="24"/>
          <w:shd w:val="clear" w:color="auto" w:fill="FFFFFF"/>
        </w:rPr>
        <w:t>(2), pp.28-35.</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Bao, C., Zhang, L.J. and Dixon, H.R., 2021. Teacher engagement in language teaching: Investigating self-Efficacy for teaching based on the project “Sino-Greece online Chinese language classrooms”. </w:t>
      </w:r>
      <w:r>
        <w:rPr>
          <w:rFonts w:ascii="Times New Roman" w:hAnsi="Times New Roman" w:cs="Times New Roman"/>
          <w:i/>
          <w:iCs/>
          <w:color w:val="222222"/>
          <w:sz w:val="24"/>
          <w:szCs w:val="24"/>
          <w:shd w:val="clear" w:color="auto" w:fill="FFFFFF"/>
        </w:rPr>
        <w:t>Frontiers in Psychology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w:t>
      </w:r>
      <w:r>
        <w:rPr>
          <w:rFonts w:ascii="Times New Roman" w:hAnsi="Times New Roman" w:cs="Times New Roman"/>
          <w:color w:val="222222"/>
          <w:sz w:val="24"/>
          <w:szCs w:val="24"/>
          <w:shd w:val="clear" w:color="auto" w:fill="FFFFFF"/>
        </w:rPr>
        <w:t>, p.710736.</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Barber, A.T. and Klauda, S.L., 2020. How reading motivation and engagement enable reading achievement: Policy implications. </w:t>
      </w:r>
      <w:r>
        <w:rPr>
          <w:rFonts w:ascii="Times New Roman" w:hAnsi="Times New Roman" w:cs="Times New Roman"/>
          <w:i/>
          <w:iCs/>
          <w:color w:val="222222"/>
          <w:sz w:val="24"/>
          <w:szCs w:val="24"/>
          <w:shd w:val="clear" w:color="auto" w:fill="FFFFFF"/>
        </w:rPr>
        <w:t>Policy Insights from the Behavioral and Brain Sciences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7</w:t>
      </w:r>
      <w:r>
        <w:rPr>
          <w:rFonts w:ascii="Times New Roman" w:hAnsi="Times New Roman" w:cs="Times New Roman"/>
          <w:color w:val="222222"/>
          <w:sz w:val="24"/>
          <w:szCs w:val="24"/>
          <w:shd w:val="clear" w:color="auto" w:fill="FFFFFF"/>
        </w:rPr>
        <w:t>(1), pp.27-34.</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Benlahcene, A., Kaur, A. and Awang-Hashim, R., 2021. Basic psychological needs satisfaction and student engagement: the importance of novelty satisfaction. </w:t>
      </w:r>
      <w:r>
        <w:rPr>
          <w:rFonts w:ascii="Times New Roman" w:hAnsi="Times New Roman" w:cs="Times New Roman"/>
          <w:i/>
          <w:iCs/>
          <w:color w:val="222222"/>
          <w:sz w:val="24"/>
          <w:szCs w:val="24"/>
          <w:shd w:val="clear" w:color="auto" w:fill="FFFFFF"/>
        </w:rPr>
        <w:t>Journal of Applied Research in Higher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13</w:t>
      </w:r>
      <w:r>
        <w:rPr>
          <w:rFonts w:ascii="Times New Roman" w:hAnsi="Times New Roman" w:cs="Times New Roman"/>
          <w:color w:val="222222"/>
          <w:sz w:val="24"/>
          <w:szCs w:val="24"/>
          <w:shd w:val="clear" w:color="auto" w:fill="FFFFFF"/>
        </w:rPr>
        <w:t>(5), pp.1290-1304.</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Bond, M., 2020. Facilitating student engagement through the flipped learning approach in K-12: A systematic review. </w:t>
      </w:r>
      <w:r>
        <w:rPr>
          <w:rFonts w:ascii="Times New Roman" w:hAnsi="Times New Roman" w:cs="Times New Roman"/>
          <w:i/>
          <w:iCs/>
          <w:color w:val="222222"/>
          <w:sz w:val="24"/>
          <w:szCs w:val="24"/>
          <w:shd w:val="clear" w:color="auto" w:fill="FFFFFF"/>
        </w:rPr>
        <w:t>Computers &amp;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151</w:t>
      </w:r>
      <w:r>
        <w:rPr>
          <w:rFonts w:ascii="Times New Roman" w:hAnsi="Times New Roman" w:cs="Times New Roman"/>
          <w:color w:val="222222"/>
          <w:sz w:val="24"/>
          <w:szCs w:val="24"/>
          <w:shd w:val="clear" w:color="auto" w:fill="FFFFFF"/>
        </w:rPr>
        <w:t>, p.103819.</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Borg, S. and Liu, Y., 2013. Chinese college English teachers' research engagement. </w:t>
      </w:r>
      <w:r>
        <w:rPr>
          <w:rFonts w:ascii="Times New Roman" w:hAnsi="Times New Roman" w:cs="Times New Roman"/>
          <w:i/>
          <w:iCs/>
          <w:color w:val="222222"/>
          <w:sz w:val="24"/>
          <w:szCs w:val="24"/>
          <w:shd w:val="clear" w:color="auto" w:fill="FFFFFF"/>
        </w:rPr>
        <w:t>Tesol Quarterly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47</w:t>
      </w:r>
      <w:r>
        <w:rPr>
          <w:rFonts w:ascii="Times New Roman" w:hAnsi="Times New Roman" w:cs="Times New Roman"/>
          <w:color w:val="222222"/>
          <w:sz w:val="24"/>
          <w:szCs w:val="24"/>
          <w:shd w:val="clear" w:color="auto" w:fill="FFFFFF"/>
        </w:rPr>
        <w:t>(2), pp.270-299.</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Braun, V. and Clarke, V., 2006. Using thematic analysis in psychology. </w:t>
      </w:r>
      <w:r>
        <w:rPr>
          <w:rFonts w:ascii="Times New Roman" w:hAnsi="Times New Roman" w:cs="Times New Roman"/>
          <w:i/>
          <w:iCs/>
          <w:color w:val="222222"/>
          <w:sz w:val="24"/>
          <w:szCs w:val="24"/>
          <w:shd w:val="clear" w:color="auto" w:fill="FFFFFF"/>
        </w:rPr>
        <w:t>Qualitative research in psychology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w:t>
      </w:r>
      <w:r>
        <w:rPr>
          <w:rFonts w:ascii="Times New Roman" w:hAnsi="Times New Roman" w:cs="Times New Roman"/>
          <w:color w:val="222222"/>
          <w:sz w:val="24"/>
          <w:szCs w:val="24"/>
          <w:shd w:val="clear" w:color="auto" w:fill="FFFFFF"/>
        </w:rPr>
        <w:t>(2), p.77.</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Cao, W., 2023. A meta-analysis of effects of blended learning on performance, attitude, achievement, and engagement across different countries. Frontiers in psychology, 14.</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Carless, D., 2020. Longitudinal perspectives on students’ experiences of feedback: A need for teacher–student partnerships. </w:t>
      </w:r>
      <w:r>
        <w:rPr>
          <w:rFonts w:ascii="Times New Roman" w:hAnsi="Times New Roman" w:cs="Times New Roman"/>
          <w:i/>
          <w:iCs/>
          <w:color w:val="222222"/>
          <w:sz w:val="24"/>
          <w:szCs w:val="24"/>
          <w:shd w:val="clear" w:color="auto" w:fill="FFFFFF"/>
        </w:rPr>
        <w:t>Higher Education Research &amp; Development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39</w:t>
      </w:r>
      <w:r>
        <w:rPr>
          <w:rFonts w:ascii="Times New Roman" w:hAnsi="Times New Roman" w:cs="Times New Roman"/>
          <w:color w:val="222222"/>
          <w:sz w:val="24"/>
          <w:szCs w:val="24"/>
          <w:shd w:val="clear" w:color="auto" w:fill="FFFFFF"/>
        </w:rPr>
        <w:t>(3), pp.425-438.</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Chiu, T.K., 2021. Digital support for student engagement in blended learning based on self-determination theory. </w:t>
      </w:r>
      <w:r>
        <w:rPr>
          <w:rFonts w:ascii="Times New Roman" w:hAnsi="Times New Roman" w:cs="Times New Roman"/>
          <w:i/>
          <w:iCs/>
          <w:color w:val="222222"/>
          <w:sz w:val="24"/>
          <w:szCs w:val="24"/>
          <w:shd w:val="clear" w:color="auto" w:fill="FFFFFF"/>
        </w:rPr>
        <w:t>Computers in Human Behavior</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124</w:t>
      </w:r>
      <w:r>
        <w:rPr>
          <w:rFonts w:ascii="Times New Roman" w:hAnsi="Times New Roman" w:cs="Times New Roman"/>
          <w:color w:val="222222"/>
          <w:sz w:val="24"/>
          <w:szCs w:val="24"/>
          <w:shd w:val="clear" w:color="auto" w:fill="FFFFFF"/>
        </w:rPr>
        <w:t>, p.106909.</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Creswell, J.W. and Clark, V.P., 2011. Mixed methods research. SAGE Publications.</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Dao, P. and Sato, M., 2021. Exploring fluctuations in the relationship between learners’ positive emotional engagement and their interactional behaviours. </w:t>
      </w:r>
      <w:r>
        <w:rPr>
          <w:rFonts w:ascii="Times New Roman" w:hAnsi="Times New Roman" w:cs="Times New Roman"/>
          <w:i/>
          <w:iCs/>
          <w:color w:val="222222"/>
          <w:sz w:val="24"/>
          <w:szCs w:val="24"/>
          <w:shd w:val="clear" w:color="auto" w:fill="FFFFFF"/>
        </w:rPr>
        <w:t>Language Teaching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25</w:t>
      </w:r>
      <w:r>
        <w:rPr>
          <w:rFonts w:ascii="Times New Roman" w:hAnsi="Times New Roman" w:cs="Times New Roman"/>
          <w:color w:val="222222"/>
          <w:sz w:val="24"/>
          <w:szCs w:val="24"/>
          <w:shd w:val="clear" w:color="auto" w:fill="FFFFFF"/>
        </w:rPr>
        <w:t>(6), pp.972-994.</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Davies, J.A., Davies, L.J., Conlon, B., Emerson, J., Hainsworth, H. and McDonough, H.G., 2020. Responding to COVID-19 in EAP contexts: A comparison of courses at four Sino-foreign universities. </w:t>
      </w:r>
      <w:r>
        <w:rPr>
          <w:rFonts w:ascii="Times New Roman" w:hAnsi="Times New Roman" w:cs="Times New Roman"/>
          <w:i/>
          <w:iCs/>
          <w:color w:val="222222"/>
          <w:sz w:val="24"/>
          <w:szCs w:val="24"/>
          <w:shd w:val="clear" w:color="auto" w:fill="FFFFFF"/>
        </w:rPr>
        <w:t>International Journal of TESOL Studies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w:t>
      </w:r>
      <w:r>
        <w:rPr>
          <w:rFonts w:ascii="Times New Roman" w:hAnsi="Times New Roman" w:cs="Times New Roman"/>
          <w:color w:val="222222"/>
          <w:sz w:val="24"/>
          <w:szCs w:val="24"/>
          <w:shd w:val="clear" w:color="auto" w:fill="FFFFFF"/>
        </w:rPr>
        <w:t>(2), pp.32-51.</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De Souza, R., Parveen, R., Chupradit, S., Velasco, L.G., Arcinas, M., Tabuena, A.C., Pentang, J. and Ventayen, R.J.M., 2021. Language teachers’ pedagogical orientations in integrating technology in the online classroom: Its effect on students motivation and engagement. </w:t>
      </w:r>
      <w:r>
        <w:rPr>
          <w:rFonts w:ascii="Times New Roman" w:hAnsi="Times New Roman" w:cs="Times New Roman"/>
          <w:i/>
          <w:iCs/>
          <w:color w:val="222222"/>
          <w:sz w:val="24"/>
          <w:szCs w:val="24"/>
          <w:shd w:val="clear" w:color="auto" w:fill="FFFFFF"/>
        </w:rPr>
        <w:t>Turkish Journal of Computer and Mathematics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w:t>
      </w:r>
      <w:r>
        <w:rPr>
          <w:rFonts w:ascii="Times New Roman" w:hAnsi="Times New Roman" w:cs="Times New Roman"/>
          <w:color w:val="222222"/>
          <w:sz w:val="24"/>
          <w:szCs w:val="24"/>
          <w:shd w:val="clear" w:color="auto" w:fill="FFFFFF"/>
        </w:rPr>
        <w:t>.</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Dewaele, J.M. and Li, C., 2021. Teacher enthusiasm and students’ social-behavioral learning engagement: The mediating role of student enjoyment and boredom in Chinese EFL classes. </w:t>
      </w:r>
      <w:r>
        <w:rPr>
          <w:rFonts w:ascii="Times New Roman" w:hAnsi="Times New Roman" w:cs="Times New Roman"/>
          <w:i/>
          <w:iCs/>
          <w:color w:val="222222"/>
          <w:sz w:val="24"/>
          <w:szCs w:val="24"/>
          <w:shd w:val="clear" w:color="auto" w:fill="FFFFFF"/>
        </w:rPr>
        <w:t>Language Teaching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25</w:t>
      </w:r>
      <w:r>
        <w:rPr>
          <w:rFonts w:ascii="Times New Roman" w:hAnsi="Times New Roman" w:cs="Times New Roman"/>
          <w:color w:val="222222"/>
          <w:sz w:val="24"/>
          <w:szCs w:val="24"/>
          <w:shd w:val="clear" w:color="auto" w:fill="FFFFFF"/>
        </w:rPr>
        <w:t>(6), pp.922-945.</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DiCicco‐Bloom, B. and Crabtree, B.F., 2006. The qualitative research interviews. </w:t>
      </w:r>
      <w:r>
        <w:rPr>
          <w:rFonts w:ascii="Times New Roman" w:hAnsi="Times New Roman" w:cs="Times New Roman"/>
          <w:i/>
          <w:iCs/>
          <w:color w:val="222222"/>
          <w:sz w:val="24"/>
          <w:szCs w:val="24"/>
          <w:shd w:val="clear" w:color="auto" w:fill="FFFFFF"/>
        </w:rPr>
        <w:t>Medical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40</w:t>
      </w:r>
      <w:r>
        <w:rPr>
          <w:rFonts w:ascii="Times New Roman" w:hAnsi="Times New Roman" w:cs="Times New Roman"/>
          <w:color w:val="222222"/>
          <w:sz w:val="24"/>
          <w:szCs w:val="24"/>
          <w:shd w:val="clear" w:color="auto" w:fill="FFFFFF"/>
        </w:rPr>
        <w:t>(4), pp.314-321.</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Dincer, A., Yeşilyurt, S., Noels, K.A. and Vargas Lascano, D.I., 2019. Self-determination and classroom engagement of EFL learners: A mixed-methods study of the self-system model of motivational development. </w:t>
      </w:r>
      <w:r>
        <w:rPr>
          <w:rFonts w:ascii="Times New Roman" w:hAnsi="Times New Roman" w:cs="Times New Roman"/>
          <w:i/>
          <w:iCs/>
          <w:color w:val="222222"/>
          <w:sz w:val="24"/>
          <w:szCs w:val="24"/>
          <w:shd w:val="clear" w:color="auto" w:fill="FFFFFF"/>
        </w:rPr>
        <w:t>Sage Open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9</w:t>
      </w:r>
      <w:r>
        <w:rPr>
          <w:rFonts w:ascii="Times New Roman" w:hAnsi="Times New Roman" w:cs="Times New Roman"/>
          <w:color w:val="222222"/>
          <w:sz w:val="24"/>
          <w:szCs w:val="24"/>
          <w:shd w:val="clear" w:color="auto" w:fill="FFFFFF"/>
        </w:rPr>
        <w:t>(2), p.2158244019853913.</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Eren, A. and Rakıcıoğlu-Söylemez, A., 2023. Language mindsets, perceived instrumentality, engagement and graded performance in English as a foreign language student. Language Teaching Research, 27(3), pp.544-574.</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Fan, M., Sidhu, G.K., Khor, M. and Jiang, H., 2023. Student Learning Engagement with Emerging Technologies in the EFL Classroom in China: A Case Study. Environment-Behaviour Proceedings Journal, 8(24), pp.119-125.</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Fan, Y. and Xu, J., 2020. Exploring student engagement with peer feedback on L2 writing. </w:t>
      </w:r>
      <w:r>
        <w:rPr>
          <w:rFonts w:ascii="Times New Roman" w:hAnsi="Times New Roman" w:cs="Times New Roman"/>
          <w:i/>
          <w:iCs/>
          <w:color w:val="222222"/>
          <w:sz w:val="24"/>
          <w:szCs w:val="24"/>
          <w:shd w:val="clear" w:color="auto" w:fill="FFFFFF"/>
        </w:rPr>
        <w:t>Journal of Second Language Writing</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50</w:t>
      </w:r>
      <w:r>
        <w:rPr>
          <w:rFonts w:ascii="Times New Roman" w:hAnsi="Times New Roman" w:cs="Times New Roman"/>
          <w:color w:val="222222"/>
          <w:sz w:val="24"/>
          <w:szCs w:val="24"/>
          <w:shd w:val="clear" w:color="auto" w:fill="FFFFFF"/>
        </w:rPr>
        <w:t>, p.100775.</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Feng, L., He, L. and Ding, J., 2023. The Association between Perceived Teacher Support, Students’ ICT Self-Efficacy, and Online English Academic Engagement in the Blended Learning Context. Sustainability, 15(8), p.6839.</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Fredricks, J.A., Blumenfeld, P.C. and Paris, A.H., 2004. School engagement: Potential of the concept, state of the evidence. Review of educational research, 74(1), pp.59-109.</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Fu, S., Gu, H. and Yang, B., 2020. The affordances of AI‐enabled automatic scoring applications on learners’ continuous learning intention: An empirical study in China. </w:t>
      </w:r>
      <w:r>
        <w:rPr>
          <w:rFonts w:ascii="Times New Roman" w:hAnsi="Times New Roman" w:cs="Times New Roman"/>
          <w:i/>
          <w:iCs/>
          <w:color w:val="222222"/>
          <w:sz w:val="24"/>
          <w:szCs w:val="24"/>
          <w:shd w:val="clear" w:color="auto" w:fill="FFFFFF"/>
        </w:rPr>
        <w:t>British Journal of Educational Technology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51</w:t>
      </w:r>
      <w:r>
        <w:rPr>
          <w:rFonts w:ascii="Times New Roman" w:hAnsi="Times New Roman" w:cs="Times New Roman"/>
          <w:color w:val="222222"/>
          <w:sz w:val="24"/>
          <w:szCs w:val="24"/>
          <w:shd w:val="clear" w:color="auto" w:fill="FFFFFF"/>
        </w:rPr>
        <w:t>(5), pp.1674-1692.</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Galante, A., Okubo, K., Cole, C., Elkader, N.A., Carozza, N., Wilkinson, C., Wotton, C. and Vasic, J., 2020. “English‐Only Is Not the Way to Go”: Teachers’ Perceptions of Plurilingual Instruction in an English Program at a Canadian University. </w:t>
      </w:r>
      <w:r>
        <w:rPr>
          <w:rFonts w:ascii="Times New Roman" w:hAnsi="Times New Roman" w:cs="Times New Roman"/>
          <w:i/>
          <w:iCs/>
          <w:color w:val="222222"/>
          <w:sz w:val="24"/>
          <w:szCs w:val="24"/>
          <w:shd w:val="clear" w:color="auto" w:fill="FFFFFF"/>
        </w:rPr>
        <w:t>Tesol Quarterly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54</w:t>
      </w:r>
      <w:r>
        <w:rPr>
          <w:rFonts w:ascii="Times New Roman" w:hAnsi="Times New Roman" w:cs="Times New Roman"/>
          <w:color w:val="222222"/>
          <w:sz w:val="24"/>
          <w:szCs w:val="24"/>
          <w:shd w:val="clear" w:color="auto" w:fill="FFFFFF"/>
        </w:rPr>
        <w:t>(4), pp.980-1009.</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Gan, Z., Liu, F. and Nang, H., 2023. The Role of Self-Efficacy, Task Value, and Intrinsic and Extrinsic Motivations in Students’ Feedback Engagement in English Learning. Behavioral Sciences, 13(5), p.428.</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Gao, L., 2023. Contemporary American literature in Online Learning: fostering Reading Motivation and Student Engagement. Education and Information Technologies, 28(4), pp.4725-4740.</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Guo, Y., Xu, J. and Chen, C., 2023. Measurement of engagement in the foreign language classroom and its effect on language achievement: The case of Chinese college EFL students. International Review of Applied Linguistics in Language Teaching, 61(3), pp.1225-1270.</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Han, C. and Fan, Q., 2020. Using self-assessment as a formative assessment tool in an English-Chinese interpreting course: student views and perceptions of its utility. </w:t>
      </w:r>
      <w:r>
        <w:rPr>
          <w:rFonts w:ascii="Times New Roman" w:hAnsi="Times New Roman" w:cs="Times New Roman"/>
          <w:i/>
          <w:iCs/>
          <w:color w:val="222222"/>
          <w:sz w:val="24"/>
          <w:szCs w:val="24"/>
          <w:shd w:val="clear" w:color="auto" w:fill="FFFFFF"/>
        </w:rPr>
        <w:t>Perspectives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28</w:t>
      </w:r>
      <w:r>
        <w:rPr>
          <w:rFonts w:ascii="Times New Roman" w:hAnsi="Times New Roman" w:cs="Times New Roman"/>
          <w:color w:val="222222"/>
          <w:sz w:val="24"/>
          <w:szCs w:val="24"/>
          <w:shd w:val="clear" w:color="auto" w:fill="FFFFFF"/>
        </w:rPr>
        <w:t>(1), pp.109-125.</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Han, Y. (2019). Written corrective feedback from an ecological perspective: The interaction between the context and individual learners. System, 80, 288-303.</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Heng, T.T., 2023. Sociocultural attuned understanding of and engagement with Chinese international undergraduates. Journal of Diversity in Higher Education, 16(1), p.26.</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Heng, T.T., 2023. Socioculturally attuned understanding of and engagement with Chinese international undergraduates. </w:t>
      </w:r>
      <w:r>
        <w:rPr>
          <w:rFonts w:ascii="Times New Roman" w:hAnsi="Times New Roman" w:cs="Times New Roman"/>
          <w:i/>
          <w:iCs/>
          <w:color w:val="222222"/>
          <w:sz w:val="24"/>
          <w:szCs w:val="24"/>
          <w:shd w:val="clear" w:color="auto" w:fill="FFFFFF"/>
        </w:rPr>
        <w:t>Journal of Diversity in Higher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16</w:t>
      </w:r>
      <w:r>
        <w:rPr>
          <w:rFonts w:ascii="Times New Roman" w:hAnsi="Times New Roman" w:cs="Times New Roman"/>
          <w:color w:val="222222"/>
          <w:sz w:val="24"/>
          <w:szCs w:val="24"/>
          <w:shd w:val="clear" w:color="auto" w:fill="FFFFFF"/>
        </w:rPr>
        <w:t>(1), p.26.</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Hew, K.F., Huang, W., Du, J. and Jia, C., 2023. Using chatbots to support student goal setting and social presence in fully online activities: learner engagement and perceptions. Journal of Computing in Higher Education, 35(1), pp.40-68.</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Hiver, P., Al-Hoorie, A.H. and Mercer, S. eds., 2020. </w:t>
      </w:r>
      <w:r>
        <w:rPr>
          <w:rFonts w:ascii="Times New Roman" w:hAnsi="Times New Roman" w:cs="Times New Roman"/>
          <w:i/>
          <w:iCs/>
          <w:color w:val="222222"/>
          <w:sz w:val="24"/>
          <w:szCs w:val="24"/>
          <w:shd w:val="clear" w:color="auto" w:fill="FFFFFF"/>
        </w:rPr>
        <w:t>Student engagement in the language classroom</w:t>
      </w:r>
      <w:r>
        <w:rPr>
          <w:rFonts w:ascii="Times New Roman" w:hAnsi="Times New Roman" w:cs="Times New Roman"/>
          <w:color w:val="222222"/>
          <w:sz w:val="24"/>
          <w:szCs w:val="24"/>
          <w:shd w:val="clear" w:color="auto" w:fill="FFFFFF"/>
        </w:rPr>
        <w:t> (Vol. 11). Multilingual Matters.</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Hu, J. and Wu, P., 2020. Understanding English language learning in tertiary English-medium instruction contexts in China. </w:t>
      </w:r>
      <w:r>
        <w:rPr>
          <w:rFonts w:ascii="Times New Roman" w:hAnsi="Times New Roman" w:cs="Times New Roman"/>
          <w:i/>
          <w:iCs/>
          <w:color w:val="222222"/>
          <w:sz w:val="24"/>
          <w:szCs w:val="24"/>
          <w:shd w:val="clear" w:color="auto" w:fill="FFFFFF"/>
        </w:rPr>
        <w:t>System</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93</w:t>
      </w:r>
      <w:r>
        <w:rPr>
          <w:rFonts w:ascii="Times New Roman" w:hAnsi="Times New Roman" w:cs="Times New Roman"/>
          <w:color w:val="222222"/>
          <w:sz w:val="24"/>
          <w:szCs w:val="24"/>
          <w:shd w:val="clear" w:color="auto" w:fill="FFFFFF"/>
        </w:rPr>
        <w:t>, p.102305.</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Imbaquingo, A. and Cárdenas, J., 2023. Project-Based Learning as a Methodology to Improve Reading and Comprehension Skills in the English Language. Education Sciences, 13(6), p.587.</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Inouye, K., Lee, S. and Oldac, Y.I., 2023. A systematic review of student agency in international higher education. </w:t>
      </w:r>
      <w:r>
        <w:rPr>
          <w:rFonts w:ascii="Times New Roman" w:hAnsi="Times New Roman" w:cs="Times New Roman"/>
          <w:i/>
          <w:iCs/>
          <w:color w:val="222222"/>
          <w:sz w:val="24"/>
          <w:szCs w:val="24"/>
          <w:shd w:val="clear" w:color="auto" w:fill="FFFFFF"/>
        </w:rPr>
        <w:t>Higher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86</w:t>
      </w:r>
      <w:r>
        <w:rPr>
          <w:rFonts w:ascii="Times New Roman" w:hAnsi="Times New Roman" w:cs="Times New Roman"/>
          <w:color w:val="222222"/>
          <w:sz w:val="24"/>
          <w:szCs w:val="24"/>
          <w:shd w:val="clear" w:color="auto" w:fill="FFFFFF"/>
        </w:rPr>
        <w:t>(4), pp.891-911.</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Ji, H., Park, S. and Shin, H.W., 2022. Investigating the link between engagement, readiness, and satisfaction in a synchronous online second language learning environment. </w:t>
      </w:r>
      <w:r>
        <w:rPr>
          <w:rFonts w:ascii="Times New Roman" w:hAnsi="Times New Roman" w:cs="Times New Roman"/>
          <w:i/>
          <w:iCs/>
          <w:color w:val="222222"/>
          <w:sz w:val="24"/>
          <w:szCs w:val="24"/>
          <w:shd w:val="clear" w:color="auto" w:fill="FFFFFF"/>
        </w:rPr>
        <w:t>System</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105</w:t>
      </w:r>
      <w:r>
        <w:rPr>
          <w:rFonts w:ascii="Times New Roman" w:hAnsi="Times New Roman" w:cs="Times New Roman"/>
          <w:color w:val="222222"/>
          <w:sz w:val="24"/>
          <w:szCs w:val="24"/>
          <w:shd w:val="clear" w:color="auto" w:fill="FFFFFF"/>
        </w:rPr>
        <w:t>, p.102720.</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Jiang, L., Yu, S. and Zhao, Y., 2021. Teacher engagement with digital multimodal composing in a Chinese tertiary EFL curriculum. </w:t>
      </w:r>
      <w:r>
        <w:rPr>
          <w:rFonts w:ascii="Times New Roman" w:hAnsi="Times New Roman" w:cs="Times New Roman"/>
          <w:i/>
          <w:iCs/>
          <w:color w:val="222222"/>
          <w:sz w:val="24"/>
          <w:szCs w:val="24"/>
          <w:shd w:val="clear" w:color="auto" w:fill="FFFFFF"/>
        </w:rPr>
        <w:t>Language Teaching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25</w:t>
      </w:r>
      <w:r>
        <w:rPr>
          <w:rFonts w:ascii="Times New Roman" w:hAnsi="Times New Roman" w:cs="Times New Roman"/>
          <w:color w:val="222222"/>
          <w:sz w:val="24"/>
          <w:szCs w:val="24"/>
          <w:shd w:val="clear" w:color="auto" w:fill="FFFFFF"/>
        </w:rPr>
        <w:t>(4), pp.613-632.</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Jiang, Y. and Peng, J.E., 2023. Exploring the relationships between learners’ engagement, autonomy, and academic performance in an English language MOOC. Computer Assisted Language Learning, pp.1-26.</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Johar, N.A., Kew, S.N., Tasir, Z. and Koh, E., 2023. Learning Analytics on Student Engagement to Enhance Students’ Learning Performance: A Systematic Review. Sustainability, 15(10), p.7849.</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Johnson, R.B. and Onwuegbuzie, A.J., 2004. Mixed methods research: A research paradigm whose time has come. Educational researcher, 33(7), pp.14-26.</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Jumiaty, A.A. and Kuswoyo, H., 2023. UNDERGRADUATE STUDENTSâ€™ PERCEPTIONS TOWARDS LECTURERâ€™ S CLASSROOM MANAGEMENT IN THE INDONESIAN TERTIARY CONTEXT. </w:t>
      </w:r>
      <w:r>
        <w:rPr>
          <w:rFonts w:ascii="Times New Roman" w:hAnsi="Times New Roman" w:cs="Times New Roman"/>
          <w:i/>
          <w:iCs/>
          <w:color w:val="222222"/>
          <w:sz w:val="24"/>
          <w:szCs w:val="24"/>
          <w:shd w:val="clear" w:color="auto" w:fill="FFFFFF"/>
        </w:rPr>
        <w:t>Linguistics and Literature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w:t>
      </w:r>
      <w:r>
        <w:rPr>
          <w:rFonts w:ascii="Times New Roman" w:hAnsi="Times New Roman" w:cs="Times New Roman"/>
          <w:color w:val="222222"/>
          <w:sz w:val="24"/>
          <w:szCs w:val="24"/>
          <w:shd w:val="clear" w:color="auto" w:fill="FFFFFF"/>
        </w:rPr>
        <w:t>(1), pp.89-99.</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Kaiying, C.H.E.N. and Jing, C.A.I., 2022. A Case Study of Student Engagement in Online EFL Courses for Young Learners in China. Asian Journal of </w:t>
      </w:r>
      <w:r>
        <w:rPr>
          <w:rFonts w:hint="eastAsia" w:ascii="Times New Roman" w:hAnsi="Times New Roman" w:eastAsia="宋体" w:cs="Times New Roman"/>
          <w:color w:val="222222"/>
          <w:sz w:val="24"/>
          <w:szCs w:val="24"/>
          <w:shd w:val="clear" w:color="auto" w:fill="FFFFFF"/>
          <w:lang w:eastAsia="zh-CN"/>
        </w:rPr>
        <w:t>ELT</w:t>
      </w:r>
      <w:r>
        <w:rPr>
          <w:rFonts w:ascii="Times New Roman" w:hAnsi="Times New Roman" w:cs="Times New Roman"/>
          <w:color w:val="222222"/>
          <w:sz w:val="24"/>
          <w:szCs w:val="24"/>
          <w:shd w:val="clear" w:color="auto" w:fill="FFFFFF"/>
        </w:rPr>
        <w:t>, 31.</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Kassab, S.E., Taylor, D. and Hamdy, H., 2023. Student engagement in health professions education: AMEE Guide No. 152. Medical Teacher, 45(9), pp.949-965.</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Kettle, M., 2017. </w:t>
      </w:r>
      <w:r>
        <w:rPr>
          <w:rFonts w:ascii="Times New Roman" w:hAnsi="Times New Roman" w:cs="Times New Roman"/>
          <w:i/>
          <w:iCs/>
          <w:color w:val="222222"/>
          <w:sz w:val="24"/>
          <w:szCs w:val="24"/>
          <w:shd w:val="clear" w:color="auto" w:fill="FFFFFF"/>
        </w:rPr>
        <w:t>International student engagement in higher education: Transforming practices, pedagogies and participation</w:t>
      </w:r>
      <w:r>
        <w:rPr>
          <w:rFonts w:ascii="Times New Roman" w:hAnsi="Times New Roman" w:cs="Times New Roman"/>
          <w:color w:val="222222"/>
          <w:sz w:val="24"/>
          <w:szCs w:val="24"/>
          <w:shd w:val="clear" w:color="auto" w:fill="FFFFFF"/>
        </w:rPr>
        <w:t>. Multilingual Matters.</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Lai, H.M., Hsieh, P.J., Uden, L. and Yang, C.H., 2021. A multilevel investigation of factors influencing university students’ behavioral engagement in flipped classrooms. </w:t>
      </w:r>
      <w:r>
        <w:rPr>
          <w:rFonts w:ascii="Times New Roman" w:hAnsi="Times New Roman" w:cs="Times New Roman"/>
          <w:i/>
          <w:iCs/>
          <w:color w:val="222222"/>
          <w:sz w:val="24"/>
          <w:szCs w:val="24"/>
          <w:shd w:val="clear" w:color="auto" w:fill="FFFFFF"/>
        </w:rPr>
        <w:t>Computers &amp;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175</w:t>
      </w:r>
      <w:r>
        <w:rPr>
          <w:rFonts w:ascii="Times New Roman" w:hAnsi="Times New Roman" w:cs="Times New Roman"/>
          <w:color w:val="222222"/>
          <w:sz w:val="24"/>
          <w:szCs w:val="24"/>
          <w:shd w:val="clear" w:color="auto" w:fill="FFFFFF"/>
        </w:rPr>
        <w:t>, p.104318.</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Lam, S.F., Jimerson, S., Wong, B.P., Kikas, E., Shin, H., Veiga, F.H., Hatzichristou, C., Polychroni, F., Cefai, C., Negovan, V. and Stanculescu, E., 2014. Understanding and measuring student engagement in school: the results of an international study from 12 countries. </w:t>
      </w:r>
      <w:r>
        <w:rPr>
          <w:rFonts w:ascii="Times New Roman" w:hAnsi="Times New Roman" w:cs="Times New Roman"/>
          <w:i/>
          <w:iCs/>
          <w:color w:val="222222"/>
          <w:sz w:val="24"/>
          <w:szCs w:val="24"/>
          <w:shd w:val="clear" w:color="auto" w:fill="FFFFFF"/>
        </w:rPr>
        <w:t>School Psychology Quarterly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29</w:t>
      </w:r>
      <w:r>
        <w:rPr>
          <w:rFonts w:ascii="Times New Roman" w:hAnsi="Times New Roman" w:cs="Times New Roman"/>
          <w:color w:val="222222"/>
          <w:sz w:val="24"/>
          <w:szCs w:val="24"/>
          <w:shd w:val="clear" w:color="auto" w:fill="FFFFFF"/>
        </w:rPr>
        <w:t>(2), p.213.</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Lambert, C. and Zhang, G., 2019. Engagement in the use of English and Chinese as foreign languages: The role of learner‐generated content in instructional task design. </w:t>
      </w:r>
      <w:r>
        <w:rPr>
          <w:rFonts w:ascii="Times New Roman" w:hAnsi="Times New Roman" w:cs="Times New Roman"/>
          <w:i/>
          <w:iCs/>
          <w:color w:val="222222"/>
          <w:sz w:val="24"/>
          <w:szCs w:val="24"/>
          <w:shd w:val="clear" w:color="auto" w:fill="FFFFFF"/>
        </w:rPr>
        <w:t>The Modern Language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103</w:t>
      </w:r>
      <w:r>
        <w:rPr>
          <w:rFonts w:ascii="Times New Roman" w:hAnsi="Times New Roman" w:cs="Times New Roman"/>
          <w:color w:val="222222"/>
          <w:sz w:val="24"/>
          <w:szCs w:val="24"/>
          <w:shd w:val="clear" w:color="auto" w:fill="FFFFFF"/>
        </w:rPr>
        <w:t>(2), pp.391-411.</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Lei, M. and Medwell, J., 2021. Impact of the COVID-19 pandemic on student teachers: How the shift to online collaborative learning affects student teachers’ learning and future teaching in a Chinese context. </w:t>
      </w:r>
      <w:r>
        <w:rPr>
          <w:rFonts w:ascii="Times New Roman" w:hAnsi="Times New Roman" w:cs="Times New Roman"/>
          <w:i/>
          <w:iCs/>
          <w:color w:val="222222"/>
          <w:sz w:val="24"/>
          <w:szCs w:val="24"/>
          <w:shd w:val="clear" w:color="auto" w:fill="FFFFFF"/>
        </w:rPr>
        <w:t>Asia Pacific Education Review</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22</w:t>
      </w:r>
      <w:r>
        <w:rPr>
          <w:rFonts w:ascii="Times New Roman" w:hAnsi="Times New Roman" w:cs="Times New Roman"/>
          <w:color w:val="222222"/>
          <w:sz w:val="24"/>
          <w:szCs w:val="24"/>
          <w:shd w:val="clear" w:color="auto" w:fill="FFFFFF"/>
        </w:rPr>
        <w:t>, pp.169-179.</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Li, Y., Chen, K., Su, Y. and Yue, X., 2021. Do social regulation strategies predict learning engagement and learning outcomes? A study of English language learners in wiki-supported literature circles activities. </w:t>
      </w:r>
      <w:r>
        <w:rPr>
          <w:rFonts w:ascii="Times New Roman" w:hAnsi="Times New Roman" w:cs="Times New Roman"/>
          <w:i/>
          <w:iCs/>
          <w:color w:val="222222"/>
          <w:sz w:val="24"/>
          <w:szCs w:val="24"/>
          <w:shd w:val="clear" w:color="auto" w:fill="FFFFFF"/>
        </w:rPr>
        <w:t>Educational Technology Research and Development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69</w:t>
      </w:r>
      <w:r>
        <w:rPr>
          <w:rFonts w:ascii="Times New Roman" w:hAnsi="Times New Roman" w:cs="Times New Roman"/>
          <w:color w:val="222222"/>
          <w:sz w:val="24"/>
          <w:szCs w:val="24"/>
          <w:shd w:val="clear" w:color="auto" w:fill="FFFFFF"/>
        </w:rPr>
        <w:t>, pp.917-943.</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Liu, G.L., Zhang, Y. and Zhang, R., 2023. Examining the relationships among motivation, informal digital learning of English, and foreign language enjoyment: An explanatory mixed-method study. ReCALL, pp.1-17.</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Lo, S., 2023. Viewing dual-subtitled videos under different learning conditions: effects on learners’ behavioral, emotional, and cognitive engagement. Computer Assisted Language Learning, pp.1-31.</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Lomer, S. and Anthony-Okeke, L., 2019. Ethically engaging international students: student generated material in an active blended learning model. </w:t>
      </w:r>
      <w:r>
        <w:rPr>
          <w:rFonts w:ascii="Times New Roman" w:hAnsi="Times New Roman" w:cs="Times New Roman"/>
          <w:i/>
          <w:iCs/>
          <w:color w:val="222222"/>
          <w:sz w:val="24"/>
          <w:szCs w:val="24"/>
          <w:shd w:val="clear" w:color="auto" w:fill="FFFFFF"/>
        </w:rPr>
        <w:t>Teaching in Higher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24</w:t>
      </w:r>
      <w:r>
        <w:rPr>
          <w:rFonts w:ascii="Times New Roman" w:hAnsi="Times New Roman" w:cs="Times New Roman"/>
          <w:color w:val="222222"/>
          <w:sz w:val="24"/>
          <w:szCs w:val="24"/>
          <w:shd w:val="clear" w:color="auto" w:fill="FFFFFF"/>
        </w:rPr>
        <w:t>(5), pp.613-632.</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Ma, Y. and Wei, C., 2022. The relationship between perceived classroom climate and academic performance among English-major teacher education students in Guangxi, China: The mediating role of student engagement. </w:t>
      </w:r>
      <w:r>
        <w:rPr>
          <w:rFonts w:ascii="Times New Roman" w:hAnsi="Times New Roman" w:cs="Times New Roman"/>
          <w:i/>
          <w:iCs/>
          <w:color w:val="222222"/>
          <w:sz w:val="24"/>
          <w:szCs w:val="24"/>
          <w:shd w:val="clear" w:color="auto" w:fill="FFFFFF"/>
        </w:rPr>
        <w:t>Frontiers in Psychology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13</w:t>
      </w:r>
      <w:r>
        <w:rPr>
          <w:rFonts w:ascii="Times New Roman" w:hAnsi="Times New Roman" w:cs="Times New Roman"/>
          <w:color w:val="222222"/>
          <w:sz w:val="24"/>
          <w:szCs w:val="24"/>
          <w:shd w:val="clear" w:color="auto" w:fill="FFFFFF"/>
        </w:rPr>
        <w:t>, p.939661.</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Mao, Z. and Lee, I., 2023. Student Engagement with Written Feedback: Critical Issues and Way Forward. RELC Journal, p.00336882221150811.</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Mardiah, H., 2020. The use of e-learning to teach English in the time of the Covid-19 pandemic. </w:t>
      </w:r>
      <w:r>
        <w:rPr>
          <w:rFonts w:ascii="Times New Roman" w:hAnsi="Times New Roman" w:cs="Times New Roman"/>
          <w:i/>
          <w:iCs/>
          <w:color w:val="222222"/>
          <w:sz w:val="24"/>
          <w:szCs w:val="24"/>
          <w:shd w:val="clear" w:color="auto" w:fill="FFFFFF"/>
        </w:rPr>
        <w:t>English Teaching and Linguistics Journal (ETLiJ)</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w:t>
      </w:r>
      <w:r>
        <w:rPr>
          <w:rFonts w:ascii="Times New Roman" w:hAnsi="Times New Roman" w:cs="Times New Roman"/>
          <w:color w:val="222222"/>
          <w:sz w:val="24"/>
          <w:szCs w:val="24"/>
          <w:shd w:val="clear" w:color="auto" w:fill="FFFFFF"/>
        </w:rPr>
        <w:t>(2), pp.45-55.</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Marôco, J., Assunção, H., Harju-Luukkainen, H., Lin, S.W., Sit, P.S., Cheung, K.C., Maloa, B., Ilic, I.S., Smith, T.J. and Campos, J.A., 2020. Predictors of academic efficacy and dropout intention in university students: Can engagement suppress burnout? </w:t>
      </w:r>
      <w:r>
        <w:rPr>
          <w:rFonts w:ascii="Times New Roman" w:hAnsi="Times New Roman" w:cs="Times New Roman"/>
          <w:i/>
          <w:iCs/>
          <w:color w:val="222222"/>
          <w:sz w:val="24"/>
          <w:szCs w:val="24"/>
          <w:shd w:val="clear" w:color="auto" w:fill="FFFFFF"/>
        </w:rPr>
        <w:t>PLoS One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15</w:t>
      </w:r>
      <w:r>
        <w:rPr>
          <w:rFonts w:ascii="Times New Roman" w:hAnsi="Times New Roman" w:cs="Times New Roman"/>
          <w:color w:val="222222"/>
          <w:sz w:val="24"/>
          <w:szCs w:val="24"/>
          <w:shd w:val="clear" w:color="auto" w:fill="FFFFFF"/>
        </w:rPr>
        <w:t>(10), p.e0239816.</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Moorhouse, B.L. and Kohnke, L., 2021. Responses of the English-language-teaching community to the COVID-19 pandemic. </w:t>
      </w:r>
      <w:r>
        <w:rPr>
          <w:rFonts w:ascii="Times New Roman" w:hAnsi="Times New Roman" w:cs="Times New Roman"/>
          <w:i/>
          <w:iCs/>
          <w:color w:val="222222"/>
          <w:sz w:val="24"/>
          <w:szCs w:val="24"/>
          <w:shd w:val="clear" w:color="auto" w:fill="FFFFFF"/>
        </w:rPr>
        <w:t>RELC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52</w:t>
      </w:r>
      <w:r>
        <w:rPr>
          <w:rFonts w:ascii="Times New Roman" w:hAnsi="Times New Roman" w:cs="Times New Roman"/>
          <w:color w:val="222222"/>
          <w:sz w:val="24"/>
          <w:szCs w:val="24"/>
          <w:shd w:val="clear" w:color="auto" w:fill="FFFFFF"/>
        </w:rPr>
        <w:t>(3), pp.359-378.</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Nguyen, M.X.N.C., Dao, P., Iwashita, N. and Spinelli, F., 2023. Teacher learners theorizing from practice: A case of the concept of learner engagement in interactive second language learning tasks. Teaching and Teacher Education, 129, p.104151.</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Ouyang, F., Zheng, L. and Jiao, P., 2022. Artificial intelligence in online higher education: A systematic review of empirical research from 2011 to 2020. </w:t>
      </w:r>
      <w:r>
        <w:rPr>
          <w:rFonts w:ascii="Times New Roman" w:hAnsi="Times New Roman" w:cs="Times New Roman"/>
          <w:i/>
          <w:iCs/>
          <w:color w:val="222222"/>
          <w:sz w:val="24"/>
          <w:szCs w:val="24"/>
          <w:shd w:val="clear" w:color="auto" w:fill="FFFFFF"/>
        </w:rPr>
        <w:t>Education and Information Technologies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27</w:t>
      </w:r>
      <w:r>
        <w:rPr>
          <w:rFonts w:ascii="Times New Roman" w:hAnsi="Times New Roman" w:cs="Times New Roman"/>
          <w:color w:val="222222"/>
          <w:sz w:val="24"/>
          <w:szCs w:val="24"/>
          <w:shd w:val="clear" w:color="auto" w:fill="FFFFFF"/>
        </w:rPr>
        <w:t>(6), pp.7893-7925.</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Pan, Z., Wang, Y. and Derakhshan, A., 2023. Unpacking Chinese EFL students’ academic engagement and psychological well-being: The roles of language teachers’ affective scaffolding. Journal of Psycholinguistic Research, pp.1-21.</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Pawlak, M., Derakhshan, A., Mehdizadeh, M. and Kruk, M., 2021. Boredom in online English language classes: Mediating variables and coping strategies. </w:t>
      </w:r>
      <w:r>
        <w:rPr>
          <w:rFonts w:ascii="Times New Roman" w:hAnsi="Times New Roman" w:cs="Times New Roman"/>
          <w:i/>
          <w:iCs/>
          <w:color w:val="222222"/>
          <w:sz w:val="24"/>
          <w:szCs w:val="24"/>
          <w:shd w:val="clear" w:color="auto" w:fill="FFFFFF"/>
        </w:rPr>
        <w:t>Language Teaching Research</w:t>
      </w:r>
      <w:r>
        <w:rPr>
          <w:rFonts w:ascii="Times New Roman" w:hAnsi="Times New Roman" w:cs="Times New Roman"/>
          <w:color w:val="222222"/>
          <w:sz w:val="24"/>
          <w:szCs w:val="24"/>
          <w:shd w:val="clear" w:color="auto" w:fill="FFFFFF"/>
        </w:rPr>
        <w:t>, p.13621688211064944.</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Peng, Y. and Pyper, J.S., 2021. Finding success with pedagogical innovation: A case from CSL teachers’ experiences with TBLT. </w:t>
      </w:r>
      <w:r>
        <w:rPr>
          <w:rFonts w:ascii="Times New Roman" w:hAnsi="Times New Roman" w:cs="Times New Roman"/>
          <w:i/>
          <w:iCs/>
          <w:color w:val="222222"/>
          <w:sz w:val="24"/>
          <w:szCs w:val="24"/>
          <w:shd w:val="clear" w:color="auto" w:fill="FFFFFF"/>
        </w:rPr>
        <w:t>Language Teaching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25</w:t>
      </w:r>
      <w:r>
        <w:rPr>
          <w:rFonts w:ascii="Times New Roman" w:hAnsi="Times New Roman" w:cs="Times New Roman"/>
          <w:color w:val="222222"/>
          <w:sz w:val="24"/>
          <w:szCs w:val="24"/>
          <w:shd w:val="clear" w:color="auto" w:fill="FFFFFF"/>
        </w:rPr>
        <w:t>(4), pp.633-655.</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Poehner, M.E. and Wang, Z., 2021. Dynamic assessment and second language development. </w:t>
      </w:r>
      <w:r>
        <w:rPr>
          <w:rFonts w:ascii="Times New Roman" w:hAnsi="Times New Roman" w:cs="Times New Roman"/>
          <w:i/>
          <w:iCs/>
          <w:color w:val="222222"/>
          <w:sz w:val="24"/>
          <w:szCs w:val="24"/>
          <w:shd w:val="clear" w:color="auto" w:fill="FFFFFF"/>
        </w:rPr>
        <w:t>Language Teaching</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54</w:t>
      </w:r>
      <w:r>
        <w:rPr>
          <w:rFonts w:ascii="Times New Roman" w:hAnsi="Times New Roman" w:cs="Times New Roman"/>
          <w:color w:val="222222"/>
          <w:sz w:val="24"/>
          <w:szCs w:val="24"/>
          <w:shd w:val="clear" w:color="auto" w:fill="FFFFFF"/>
        </w:rPr>
        <w:t>(4), pp.472-490.</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Rahimi, M. and Ong, K.K.W., 2023. Exploring expert teachers' cognitions and practices of teaching English speaking and their students’ experiences and engagement. System, p.103064.</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Ranalli, J., 2021. L2 student engagement with automated feedback on writing: Potential for learning and issues of trust. </w:t>
      </w:r>
      <w:r>
        <w:rPr>
          <w:rFonts w:ascii="Times New Roman" w:hAnsi="Times New Roman" w:cs="Times New Roman"/>
          <w:i/>
          <w:iCs/>
          <w:color w:val="222222"/>
          <w:sz w:val="24"/>
          <w:szCs w:val="24"/>
          <w:shd w:val="clear" w:color="auto" w:fill="FFFFFF"/>
        </w:rPr>
        <w:t>Journal of Second Language Writing</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52</w:t>
      </w:r>
      <w:r>
        <w:rPr>
          <w:rFonts w:ascii="Times New Roman" w:hAnsi="Times New Roman" w:cs="Times New Roman"/>
          <w:color w:val="222222"/>
          <w:sz w:val="24"/>
          <w:szCs w:val="24"/>
          <w:shd w:val="clear" w:color="auto" w:fill="FFFFFF"/>
        </w:rPr>
        <w:t>, p.100816.</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Ruthotto, I., Kreth, Q., Stevens, J., Trively, C. and Melkers, J., 2020. Lurking and participation in the virtual classroom: The effects of gender, race, and age among graduate students in computer science. </w:t>
      </w:r>
      <w:r>
        <w:rPr>
          <w:rFonts w:ascii="Times New Roman" w:hAnsi="Times New Roman" w:cs="Times New Roman"/>
          <w:i/>
          <w:iCs/>
          <w:color w:val="222222"/>
          <w:sz w:val="24"/>
          <w:szCs w:val="24"/>
          <w:shd w:val="clear" w:color="auto" w:fill="FFFFFF"/>
        </w:rPr>
        <w:t>Computers &amp;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151</w:t>
      </w:r>
      <w:r>
        <w:rPr>
          <w:rFonts w:ascii="Times New Roman" w:hAnsi="Times New Roman" w:cs="Times New Roman"/>
          <w:color w:val="222222"/>
          <w:sz w:val="24"/>
          <w:szCs w:val="24"/>
          <w:shd w:val="clear" w:color="auto" w:fill="FFFFFF"/>
        </w:rPr>
        <w:t>, p.103854.</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Saleem, M., Larik, A.R. and Bukhari, S.G.A.S., 2023. Loopholes in developing English communicative competence: A comparative case study of Pakistan and China. Research in Comparative and International Education, 18(3), pp.373-394.</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Shan, J. and Shan, A., 2023. Exploring internationalization of higher education: Chinese postgraduate students’ oral participation in English during their experience at a UK university.</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Sharif Nia, H., Azad Moghddam, H., Marôco, J., Rahmatpour, P., Allen, K.A., Kaur, H., Kaveh, O., Gorgulu, O. and Pahlevan Sharif, S., 2023. A psychometric lens for e-learning: examining the validity and reliability of the Persian Version of University Students’ Engagement Inventory (P-USEI). </w:t>
      </w:r>
      <w:r>
        <w:rPr>
          <w:rFonts w:ascii="Times New Roman" w:hAnsi="Times New Roman" w:cs="Times New Roman"/>
          <w:i/>
          <w:iCs/>
          <w:color w:val="222222"/>
          <w:sz w:val="24"/>
          <w:szCs w:val="24"/>
          <w:shd w:val="clear" w:color="auto" w:fill="FFFFFF"/>
        </w:rPr>
        <w:t>The Asia-Pacific Education Researcher</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32</w:t>
      </w:r>
      <w:r>
        <w:rPr>
          <w:rFonts w:ascii="Times New Roman" w:hAnsi="Times New Roman" w:cs="Times New Roman"/>
          <w:color w:val="222222"/>
          <w:sz w:val="24"/>
          <w:szCs w:val="24"/>
          <w:shd w:val="clear" w:color="auto" w:fill="FFFFFF"/>
        </w:rPr>
        <w:t>(4), pp.573-582.</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Shen, R. and Chong, S.W., 2023. Learner engagement with written corrective feedback in ESL and EFL contexts: a qualitative research synthesis using a perception-based framework. Assessment &amp; Evaluation in Higher Education, 48(3), pp.276-290.</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Shrestha, S., Haque, S., Dawadi, S. and Giri, R.A., 2022. Preparations for and practices of online education during the Covid-19 pandemic: A study of Bangladesh and Nepal. </w:t>
      </w:r>
      <w:r>
        <w:rPr>
          <w:rFonts w:ascii="Times New Roman" w:hAnsi="Times New Roman" w:cs="Times New Roman"/>
          <w:i/>
          <w:iCs/>
          <w:color w:val="222222"/>
          <w:sz w:val="24"/>
          <w:szCs w:val="24"/>
          <w:shd w:val="clear" w:color="auto" w:fill="FFFFFF"/>
        </w:rPr>
        <w:t>Education and information technologies</w:t>
      </w:r>
      <w:r>
        <w:rPr>
          <w:rFonts w:ascii="Times New Roman" w:hAnsi="Times New Roman" w:cs="Times New Roman"/>
          <w:color w:val="222222"/>
          <w:sz w:val="24"/>
          <w:szCs w:val="24"/>
          <w:shd w:val="clear" w:color="auto" w:fill="FFFFFF"/>
        </w:rPr>
        <w:t>, pp.1-23.</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Su, F., Zou, D., Wang, L. and Kohnke, L., 2023. Student engagement and teaching presence in blended learning and emergency remote teaching. Journal of Computers in Education, pp.1-26.</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Sullivan, G.M. and Artino Jr, A.R., 2013. Analyzing and interpreting data from Likert-type scales. Journal of graduate medical education, 5(4), pp.541-542.</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Teng, Y. and Wang, X., 2023. Full caption, English proficiency and their relationships with behavioral, cognitive and emotional student engagement in Chinese EFL college content-based instruction video learning. </w:t>
      </w:r>
      <w:r>
        <w:rPr>
          <w:rFonts w:ascii="Times New Roman" w:hAnsi="Times New Roman" w:cs="Times New Roman"/>
          <w:i/>
          <w:iCs/>
          <w:color w:val="222222"/>
          <w:sz w:val="24"/>
          <w:szCs w:val="24"/>
          <w:shd w:val="clear" w:color="auto" w:fill="FFFFFF"/>
        </w:rPr>
        <w:t>Education and Information Technologies</w:t>
      </w:r>
      <w:r>
        <w:rPr>
          <w:rFonts w:ascii="Times New Roman" w:hAnsi="Times New Roman" w:cs="Times New Roman"/>
          <w:color w:val="222222"/>
          <w:sz w:val="24"/>
          <w:szCs w:val="24"/>
          <w:shd w:val="clear" w:color="auto" w:fill="FFFFFF"/>
        </w:rPr>
        <w:t>, pp.1-20.</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Tong, P., Yin, Z. and Tsung, L., 2022. Student engagement and authentic language use on WeChat for learning Chinese as a foreign language. Computer Assisted Language Learning, pp.1-32.</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Trust, T., Maloy, R.W. and Edwards, S., 2023. College student engagement in OER design projects: Impacts on attitudes, motivation, and learning. </w:t>
      </w:r>
      <w:r>
        <w:rPr>
          <w:rFonts w:ascii="Times New Roman" w:hAnsi="Times New Roman" w:cs="Times New Roman"/>
          <w:i/>
          <w:iCs/>
          <w:color w:val="222222"/>
          <w:sz w:val="24"/>
          <w:szCs w:val="24"/>
          <w:shd w:val="clear" w:color="auto" w:fill="FFFFFF"/>
        </w:rPr>
        <w:t>Active Learning in Higher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24</w:t>
      </w:r>
      <w:r>
        <w:rPr>
          <w:rFonts w:ascii="Times New Roman" w:hAnsi="Times New Roman" w:cs="Times New Roman"/>
          <w:color w:val="222222"/>
          <w:sz w:val="24"/>
          <w:szCs w:val="24"/>
          <w:shd w:val="clear" w:color="auto" w:fill="FFFFFF"/>
        </w:rPr>
        <w:t>(3), pp.353-371.</w:t>
      </w:r>
    </w:p>
    <w:p>
      <w:pPr>
        <w:spacing w:line="360" w:lineRule="auto"/>
        <w:ind w:left="450" w:hanging="720"/>
        <w:rPr>
          <w:rFonts w:ascii="Times New Roman" w:hAnsi="Times New Roman" w:cs="Times New Roman"/>
          <w:color w:val="222222"/>
          <w:sz w:val="24"/>
          <w:szCs w:val="24"/>
          <w:shd w:val="clear" w:color="auto" w:fill="FFFFFF"/>
        </w:rPr>
      </w:pPr>
      <w:bookmarkStart w:id="131" w:name="OLE_LINK4"/>
      <w:r>
        <w:rPr>
          <w:rFonts w:hint="eastAsia" w:ascii="Times New Roman" w:hAnsi="Times New Roman" w:cs="Times New Roman"/>
          <w:color w:val="222222"/>
          <w:sz w:val="24"/>
          <w:szCs w:val="24"/>
          <w:shd w:val="clear" w:color="auto" w:fill="FFFFFF"/>
        </w:rPr>
        <w:t>University of Wales Trinity Saint David</w:t>
      </w:r>
      <w:bookmarkEnd w:id="131"/>
      <w:r>
        <w:rPr>
          <w:rFonts w:hint="eastAsia" w:ascii="Times New Roman" w:hAnsi="Times New Roman" w:cs="Times New Roman"/>
          <w:color w:val="222222"/>
          <w:sz w:val="24"/>
          <w:szCs w:val="24"/>
          <w:shd w:val="clear" w:color="auto" w:fill="FFFFFF"/>
        </w:rPr>
        <w:t>. (2022), ‘Research Ethics &amp; Integrity Code of Practice’, Available at: https://www.uwtsd.ac.uk/media/uwtsd-website/content-assets/documents/research/REICoP-July-2022.pdf (accessed  20 December 2023)</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Wang, H., Wang, Y. and Li, S., 2023. Unpacking the relationships between emotions and achievement of EFL learners in China: Engagement as a mediator. Frontiers in Psychology, 14, p.1098916.</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Wu, Y. and Kang, X., 2023. Relationship between perceived teacher support and learning engagement in EFL context: The mediating role of achievement emotions. International Journal of Education and Humanities, 3(1), pp.85-98.</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Xu, B., Stephens, J.M. and Lee, K., 2023. Assessing Student Engagement in Collaborative Learning: Development and Validation of New Measure in China. The Asia-Pacific Education Researcher, pp.1-11.</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Yanbo, W., Bazari, N.A. and Anuar, R., 2023. Theoretical Construction and Research Perspectives of Student Engagement in Foreign Language Education. </w:t>
      </w:r>
      <w:r>
        <w:rPr>
          <w:rFonts w:ascii="Times New Roman" w:hAnsi="Times New Roman" w:cs="Times New Roman"/>
          <w:i/>
          <w:iCs/>
          <w:color w:val="222222"/>
          <w:sz w:val="24"/>
          <w:szCs w:val="24"/>
          <w:shd w:val="clear" w:color="auto" w:fill="FFFFFF"/>
        </w:rPr>
        <w:t>Asian Journal of University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19</w:t>
      </w:r>
      <w:r>
        <w:rPr>
          <w:rFonts w:ascii="Times New Roman" w:hAnsi="Times New Roman" w:cs="Times New Roman"/>
          <w:color w:val="222222"/>
          <w:sz w:val="24"/>
          <w:szCs w:val="24"/>
          <w:shd w:val="clear" w:color="auto" w:fill="FFFFFF"/>
        </w:rPr>
        <w:t>(1), pp.133-146.</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Yang, D., Wang, H., Metwally, A.H.S. and Huang, R., 2023. Student engagement during emergency remote teaching: A scoping review. Smart Learning Environments, 10(1), pp.1-17.</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Yang, X. and Hu, J., 2023. Chinese college students’ preferences for mobile-assisted language learning classes and their effects on student engagement in English language classrooms. Innovation in Language Learning and Teaching, pp.1-14.</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Yu, S., Jiang, L. and Zhou, N., 2023. The impact of L2 writing instructional approaches on student writing motivation and engagement. Language Teaching Research, 27(4), pp.958-973.</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Yundayani, A., Abdullah, F., Tandiana, S.T. and Sutrisno, B., 2021. Students' cognitive engagement during emergency remote teaching: Evidence from the Indonesian EFL milieu. </w:t>
      </w:r>
      <w:r>
        <w:rPr>
          <w:rFonts w:ascii="Times New Roman" w:hAnsi="Times New Roman" w:cs="Times New Roman"/>
          <w:i/>
          <w:iCs/>
          <w:color w:val="222222"/>
          <w:sz w:val="24"/>
          <w:szCs w:val="24"/>
          <w:shd w:val="clear" w:color="auto" w:fill="FFFFFF"/>
        </w:rPr>
        <w:t>Journal of Language and Linguistic Studies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17</w:t>
      </w:r>
      <w:r>
        <w:rPr>
          <w:rFonts w:ascii="Times New Roman" w:hAnsi="Times New Roman" w:cs="Times New Roman"/>
          <w:color w:val="222222"/>
          <w:sz w:val="24"/>
          <w:szCs w:val="24"/>
          <w:shd w:val="clear" w:color="auto" w:fill="FFFFFF"/>
        </w:rPr>
        <w:t>(1), pp.17-33.</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Zaidi, R., 2020. Dual-language books: Enhancing engagement and language awareness. </w:t>
      </w:r>
      <w:r>
        <w:rPr>
          <w:rFonts w:ascii="Times New Roman" w:hAnsi="Times New Roman" w:cs="Times New Roman"/>
          <w:i/>
          <w:iCs/>
          <w:color w:val="222222"/>
          <w:sz w:val="24"/>
          <w:szCs w:val="24"/>
          <w:shd w:val="clear" w:color="auto" w:fill="FFFFFF"/>
        </w:rPr>
        <w:t>Journal of Literacy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52</w:t>
      </w:r>
      <w:r>
        <w:rPr>
          <w:rFonts w:ascii="Times New Roman" w:hAnsi="Times New Roman" w:cs="Times New Roman"/>
          <w:color w:val="222222"/>
          <w:sz w:val="24"/>
          <w:szCs w:val="24"/>
          <w:shd w:val="clear" w:color="auto" w:fill="FFFFFF"/>
        </w:rPr>
        <w:t>(3), pp.269-292.</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Zheng, C., Liang, J.C., Chai, C.S., Chen, X. and Liu, H., 2023. Comparing high school students’ online self-regulation and engagement in English language learning. System, 115, p.103037.</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Zhou, Q., 2023. Translating Willingness to Communicate into Learner Talk in a Chinese as a Foreign Language (CFL) Classroom. </w:t>
      </w:r>
      <w:r>
        <w:rPr>
          <w:rFonts w:ascii="Times New Roman" w:hAnsi="Times New Roman" w:cs="Times New Roman"/>
          <w:i/>
          <w:iCs/>
          <w:color w:val="222222"/>
          <w:sz w:val="24"/>
          <w:szCs w:val="24"/>
          <w:shd w:val="clear" w:color="auto" w:fill="FFFFFF"/>
        </w:rPr>
        <w:t>Language Teaching Research</w:t>
      </w:r>
      <w:r>
        <w:rPr>
          <w:rFonts w:ascii="Times New Roman" w:hAnsi="Times New Roman" w:cs="Times New Roman"/>
          <w:color w:val="222222"/>
          <w:sz w:val="24"/>
          <w:szCs w:val="24"/>
          <w:shd w:val="clear" w:color="auto" w:fill="FFFFFF"/>
        </w:rPr>
        <w:t>, p.13621688231176035.</w:t>
      </w:r>
    </w:p>
    <w:p>
      <w:pPr>
        <w:spacing w:line="360" w:lineRule="auto"/>
        <w:ind w:left="45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Zhu, Y., Pang, W. and Chen, B.B., 2023. The student engagement scale: evidence of psychometric validity in Chinese and English language subjects from grade 4 to grade 6 in China. Educational Psychology, 43(2-3), pp.173-186.</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ind w:left="720" w:hanging="720"/>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ind w:left="360"/>
        <w:rPr>
          <w:rFonts w:ascii="Times New Roman" w:hAnsi="Times New Roman" w:cs="Times New Roman"/>
          <w:sz w:val="24"/>
          <w:szCs w:val="24"/>
        </w:rPr>
      </w:pPr>
    </w:p>
    <w:p>
      <w:pPr>
        <w:spacing w:line="360" w:lineRule="auto"/>
        <w:ind w:left="360"/>
        <w:rPr>
          <w:rFonts w:ascii="Times New Roman" w:hAnsi="Times New Roman" w:cs="Times New Roman"/>
          <w:sz w:val="24"/>
          <w:szCs w:val="24"/>
        </w:rPr>
      </w:pPr>
    </w:p>
    <w:p>
      <w:pPr>
        <w:spacing w:line="360" w:lineRule="auto"/>
        <w:ind w:left="360"/>
        <w:rPr>
          <w:rFonts w:ascii="Times New Roman" w:hAnsi="Times New Roman" w:cs="Times New Roman"/>
          <w:sz w:val="24"/>
          <w:szCs w:val="24"/>
        </w:rPr>
      </w:pPr>
    </w:p>
    <w:p>
      <w:pPr>
        <w:spacing w:line="360" w:lineRule="auto"/>
        <w:ind w:left="360"/>
        <w:rPr>
          <w:rFonts w:ascii="Times New Roman" w:hAnsi="Times New Roman" w:cs="Times New Roman"/>
          <w:sz w:val="24"/>
          <w:szCs w:val="24"/>
        </w:rPr>
      </w:pPr>
    </w:p>
    <w:p>
      <w:pPr>
        <w:keepNext/>
        <w:keepLines/>
        <w:spacing w:before="240" w:after="0" w:line="480" w:lineRule="auto"/>
        <w:outlineLvl w:val="0"/>
        <w:rPr>
          <w:rFonts w:hint="eastAsia" w:ascii="Times New Roman" w:hAnsi="Times New Roman" w:eastAsia="等线 Light" w:cs="Times New Roman"/>
          <w:b/>
          <w:bCs/>
          <w:color w:val="auto"/>
          <w:kern w:val="2"/>
          <w:sz w:val="28"/>
          <w:szCs w:val="28"/>
          <w:lang w:val="en-IN" w:eastAsia="en-US" w:bidi="ar-SA"/>
          <w14:ligatures w14:val="standardContextual"/>
        </w:rPr>
      </w:pPr>
      <w:bookmarkStart w:id="132" w:name="_Toc23336"/>
      <w:r>
        <w:rPr>
          <w:rFonts w:hint="eastAsia" w:ascii="Times New Roman" w:hAnsi="Times New Roman" w:eastAsia="等线 Light" w:cs="Times New Roman"/>
          <w:b/>
          <w:bCs/>
          <w:color w:val="auto"/>
          <w:kern w:val="2"/>
          <w:sz w:val="28"/>
          <w:szCs w:val="28"/>
          <w:lang w:val="en-IN" w:eastAsia="en-US" w:bidi="ar-SA"/>
          <w14:ligatures w14:val="standardContextual"/>
        </w:rPr>
        <w:t>Appendix</w:t>
      </w:r>
      <w:bookmarkEnd w:id="132"/>
    </w:p>
    <w:p>
      <w:pPr>
        <w:spacing w:line="259" w:lineRule="auto"/>
        <w:rPr>
          <w:rFonts w:hint="eastAsia" w:eastAsia="宋体"/>
          <w:b/>
          <w:bCs/>
          <w:u w:val="single"/>
          <w:lang w:val="en-IN" w:eastAsia="zh-CN"/>
        </w:rPr>
      </w:pPr>
      <w:r>
        <w:rPr>
          <w:rFonts w:hint="eastAsia" w:asciiTheme="minorHAnsi"/>
          <w:b/>
          <w:bCs/>
          <w:u w:val="single"/>
          <w:lang w:val="en-IN"/>
        </w:rPr>
        <w:t>Appendix-</w:t>
      </w:r>
      <w:r>
        <w:rPr>
          <w:rFonts w:hint="eastAsia" w:eastAsia="宋体"/>
          <w:b/>
          <w:bCs/>
          <w:u w:val="single"/>
          <w:lang w:val="en-US" w:eastAsia="zh-CN"/>
        </w:rPr>
        <w:t>A</w:t>
      </w:r>
    </w:p>
    <w:p>
      <w:pPr>
        <w:spacing w:line="259" w:lineRule="auto"/>
        <w:rPr>
          <w:rFonts w:hint="eastAsia"/>
          <w:b/>
          <w:bCs/>
          <w:u w:val="single"/>
          <w:lang w:val="en-IN"/>
        </w:rPr>
      </w:pPr>
      <w:r>
        <w:rPr>
          <w:rFonts w:hint="eastAsia" w:asciiTheme="minorHAnsi"/>
          <w:b/>
          <w:bCs/>
          <w:u w:val="single"/>
          <w:lang w:val="en-IN"/>
        </w:rPr>
        <w:t>Interview Questions采访问题</w:t>
      </w:r>
    </w:p>
    <w:p>
      <w:pPr>
        <w:spacing w:line="259" w:lineRule="auto"/>
        <w:rPr>
          <w:rFonts w:hint="eastAsia"/>
          <w:b/>
          <w:bCs/>
          <w:lang w:val="en-IN"/>
        </w:rPr>
      </w:pPr>
      <w:r>
        <w:rPr>
          <w:rFonts w:hint="eastAsia" w:eastAsia="宋体"/>
          <w:b/>
          <w:bCs/>
          <w:lang w:val="en-US" w:eastAsia="zh-CN"/>
        </w:rPr>
        <w:t xml:space="preserve">Appendix-A1: </w:t>
      </w:r>
      <w:r>
        <w:rPr>
          <w:rFonts w:hint="eastAsia" w:asciiTheme="minorHAnsi"/>
          <w:b/>
          <w:bCs/>
          <w:lang w:val="en-IN"/>
        </w:rPr>
        <w:t>Interview Questions for English Language Teaching (ELT) course Lecturers at Chinese University Focused on Student Engagement</w:t>
      </w:r>
    </w:p>
    <w:p>
      <w:pPr>
        <w:spacing w:line="259" w:lineRule="auto"/>
        <w:rPr>
          <w:rFonts w:hint="eastAsia"/>
          <w:lang w:val="en-IN"/>
        </w:rPr>
      </w:pPr>
      <w:r>
        <w:rPr>
          <w:rFonts w:hint="eastAsia" w:asciiTheme="minorHAnsi"/>
          <w:lang w:val="en-IN"/>
        </w:rPr>
        <w:t>面向中国大学公共英语（ELT）讲师的采访问题，重点关注课堂教学中的学生参与</w:t>
      </w:r>
    </w:p>
    <w:p>
      <w:pPr>
        <w:spacing w:line="259" w:lineRule="auto"/>
        <w:rPr>
          <w:rFonts w:hint="eastAsia"/>
          <w:lang w:val="en-IN"/>
        </w:rPr>
      </w:pPr>
    </w:p>
    <w:p>
      <w:pPr>
        <w:spacing w:line="259" w:lineRule="auto"/>
        <w:rPr>
          <w:rFonts w:hint="eastAsia"/>
          <w:lang w:val="en-IN"/>
        </w:rPr>
      </w:pPr>
      <w:r>
        <w:rPr>
          <w:rFonts w:hint="eastAsia" w:asciiTheme="minorHAnsi"/>
          <w:lang w:val="en-IN"/>
        </w:rPr>
        <w:t>1.Measuring Student Engagement (衡量学生参与度)</w:t>
      </w:r>
    </w:p>
    <w:p>
      <w:pPr>
        <w:spacing w:line="259" w:lineRule="auto"/>
        <w:rPr>
          <w:rFonts w:hint="eastAsia"/>
          <w:lang w:val="en-IN"/>
        </w:rPr>
      </w:pPr>
      <w:r>
        <w:rPr>
          <w:rFonts w:hint="eastAsia" w:asciiTheme="minorHAnsi"/>
          <w:lang w:val="en-IN"/>
        </w:rPr>
        <w:t>How do you measure student engagement in your English classes, and which indicators do you find most reliable or telling?</w:t>
      </w:r>
    </w:p>
    <w:p>
      <w:pPr>
        <w:spacing w:line="259" w:lineRule="auto"/>
        <w:rPr>
          <w:rFonts w:hint="eastAsia"/>
          <w:lang w:val="en-IN"/>
        </w:rPr>
      </w:pPr>
      <w:r>
        <w:rPr>
          <w:rFonts w:hint="eastAsia" w:asciiTheme="minorHAnsi"/>
          <w:lang w:val="en-IN"/>
        </w:rPr>
        <w:t>请问您如何衡量您的英语课堂上的学生参与度，您认为哪些指标最可靠或最能说明问题？</w:t>
      </w:r>
    </w:p>
    <w:p>
      <w:pPr>
        <w:spacing w:line="259" w:lineRule="auto"/>
        <w:rPr>
          <w:rFonts w:hint="eastAsia"/>
          <w:lang w:val="en-IN"/>
        </w:rPr>
      </w:pPr>
      <w:r>
        <w:rPr>
          <w:rFonts w:hint="eastAsia" w:asciiTheme="minorHAnsi"/>
          <w:lang w:val="en-IN"/>
        </w:rPr>
        <w:t>2.Student Engagement Challenges (关于学生参与度的挑战)</w:t>
      </w:r>
    </w:p>
    <w:p>
      <w:pPr>
        <w:spacing w:line="259" w:lineRule="auto"/>
        <w:rPr>
          <w:rFonts w:hint="eastAsia"/>
          <w:lang w:val="en-IN"/>
        </w:rPr>
      </w:pPr>
      <w:r>
        <w:rPr>
          <w:rFonts w:hint="eastAsia" w:asciiTheme="minorHAnsi"/>
          <w:lang w:val="en-IN"/>
        </w:rPr>
        <w:t>Can you share a specific challenge you’ve faced in securing consistent student engagement in English classes and how you addressed it, please?</w:t>
      </w:r>
    </w:p>
    <w:p>
      <w:pPr>
        <w:spacing w:line="259" w:lineRule="auto"/>
        <w:rPr>
          <w:rFonts w:hint="eastAsia"/>
          <w:lang w:val="en-IN"/>
        </w:rPr>
      </w:pPr>
      <w:r>
        <w:rPr>
          <w:rFonts w:hint="eastAsia" w:asciiTheme="minorHAnsi"/>
          <w:lang w:val="en-IN"/>
        </w:rPr>
        <w:t>请问您能否分享在确保英语课堂上学生持续参与度方面您面临的具体挑战以及您是如何应对的？</w:t>
      </w:r>
    </w:p>
    <w:p>
      <w:pPr>
        <w:spacing w:line="259" w:lineRule="auto"/>
        <w:rPr>
          <w:rFonts w:hint="eastAsia"/>
          <w:lang w:val="en-IN"/>
        </w:rPr>
      </w:pPr>
      <w:r>
        <w:rPr>
          <w:rFonts w:hint="eastAsia" w:asciiTheme="minorHAnsi"/>
          <w:lang w:val="en-IN"/>
        </w:rPr>
        <w:t>3.Cultural Influences on Student Engagement (文化对学生参与度的影响)</w:t>
      </w:r>
    </w:p>
    <w:p>
      <w:pPr>
        <w:spacing w:line="259" w:lineRule="auto"/>
        <w:rPr>
          <w:rFonts w:hint="eastAsia"/>
          <w:lang w:val="en-IN"/>
        </w:rPr>
      </w:pPr>
      <w:r>
        <w:rPr>
          <w:rFonts w:hint="eastAsia" w:asciiTheme="minorHAnsi"/>
          <w:lang w:val="en-IN"/>
        </w:rPr>
        <w:t>How do you observe the influence of Chinese cultural contexts impacting student participation and engagement in your English classes? And What did you find?</w:t>
      </w:r>
    </w:p>
    <w:p>
      <w:pPr>
        <w:spacing w:line="259" w:lineRule="auto"/>
        <w:rPr>
          <w:rFonts w:hint="eastAsia"/>
          <w:lang w:val="en-IN"/>
        </w:rPr>
      </w:pPr>
      <w:r>
        <w:rPr>
          <w:rFonts w:hint="eastAsia" w:asciiTheme="minorHAnsi"/>
          <w:lang w:val="en-IN"/>
        </w:rPr>
        <w:t>请问您是如何观察中国文化背景影响您英语课堂上学生参与度和参与的？有什么发现吗？</w:t>
      </w:r>
    </w:p>
    <w:p>
      <w:pPr>
        <w:spacing w:line="259" w:lineRule="auto"/>
        <w:rPr>
          <w:rFonts w:hint="eastAsia"/>
          <w:lang w:val="en-IN"/>
        </w:rPr>
      </w:pPr>
      <w:r>
        <w:rPr>
          <w:rFonts w:hint="eastAsia" w:asciiTheme="minorHAnsi"/>
          <w:lang w:val="en-IN"/>
        </w:rPr>
        <w:t>4.Engagement in Online vs. In-Person Classes (线上课堂与面授课堂的学生参与度差异)</w:t>
      </w:r>
    </w:p>
    <w:p>
      <w:pPr>
        <w:spacing w:line="259" w:lineRule="auto"/>
        <w:rPr>
          <w:rFonts w:hint="eastAsia"/>
          <w:lang w:val="en-IN"/>
        </w:rPr>
      </w:pPr>
      <w:r>
        <w:rPr>
          <w:rFonts w:hint="eastAsia" w:asciiTheme="minorHAnsi"/>
          <w:lang w:val="en-IN"/>
        </w:rPr>
        <w:t>How does student engagement differ in online and in-person settings, and how do you adjust your strategies accordingly?</w:t>
      </w:r>
    </w:p>
    <w:p>
      <w:pPr>
        <w:spacing w:line="259" w:lineRule="auto"/>
        <w:rPr>
          <w:rFonts w:hint="eastAsia"/>
          <w:lang w:val="en-IN"/>
        </w:rPr>
      </w:pPr>
      <w:r>
        <w:rPr>
          <w:rFonts w:hint="eastAsia" w:asciiTheme="minorHAnsi"/>
          <w:lang w:val="en-IN"/>
        </w:rPr>
        <w:t>请问学生在线上和面授课堂的参与度有何不同，您如何相应调整您的策略？</w:t>
      </w:r>
    </w:p>
    <w:p>
      <w:pPr>
        <w:spacing w:line="259" w:lineRule="auto"/>
        <w:rPr>
          <w:rFonts w:hint="eastAsia"/>
          <w:lang w:val="en-IN"/>
        </w:rPr>
      </w:pPr>
      <w:r>
        <w:rPr>
          <w:rFonts w:hint="eastAsia" w:asciiTheme="minorHAnsi"/>
          <w:lang w:val="en-IN"/>
        </w:rPr>
        <w:t>5.Student-Initiated Engagement (学生主动参与)</w:t>
      </w:r>
    </w:p>
    <w:p>
      <w:pPr>
        <w:spacing w:line="259" w:lineRule="auto"/>
        <w:rPr>
          <w:rFonts w:hint="eastAsia"/>
          <w:lang w:val="en-IN"/>
        </w:rPr>
      </w:pPr>
      <w:r>
        <w:rPr>
          <w:rFonts w:hint="eastAsia" w:asciiTheme="minorHAnsi"/>
          <w:lang w:val="en-IN"/>
        </w:rPr>
        <w:t>Can you share an example of a time when a student's own interest or initiative greatly affected their participation and activity in an English class?</w:t>
      </w:r>
    </w:p>
    <w:p>
      <w:pPr>
        <w:spacing w:line="259" w:lineRule="auto"/>
        <w:rPr>
          <w:rFonts w:hint="eastAsia"/>
          <w:lang w:val="en-IN"/>
        </w:rPr>
      </w:pPr>
      <w:r>
        <w:rPr>
          <w:rFonts w:hint="eastAsia" w:asciiTheme="minorHAnsi"/>
          <w:lang w:val="en-IN"/>
        </w:rPr>
        <w:t>请问您能否分享一个关于学生由于自身的兴趣或主动性从而极大地影响了他们的参与度和英语课堂活跃度的例子吗？</w:t>
      </w:r>
    </w:p>
    <w:p>
      <w:pPr>
        <w:spacing w:line="259" w:lineRule="auto"/>
        <w:rPr>
          <w:rFonts w:hint="eastAsia"/>
          <w:lang w:val="en-IN"/>
        </w:rPr>
      </w:pPr>
      <w:r>
        <w:rPr>
          <w:rFonts w:hint="eastAsia" w:asciiTheme="minorHAnsi"/>
          <w:lang w:val="en-IN"/>
        </w:rPr>
        <w:t>6.Student Collaboration and Engagement (学生合作与参与)</w:t>
      </w:r>
    </w:p>
    <w:p>
      <w:pPr>
        <w:spacing w:line="259" w:lineRule="auto"/>
        <w:rPr>
          <w:rFonts w:hint="eastAsia"/>
          <w:lang w:val="en-IN"/>
        </w:rPr>
      </w:pPr>
      <w:r>
        <w:rPr>
          <w:rFonts w:hint="eastAsia" w:asciiTheme="minorHAnsi"/>
          <w:lang w:val="en-IN"/>
        </w:rPr>
        <w:t>How do you structure student collaboration or group work to boost peer-to-peer interaction and engagement in your English classes?</w:t>
      </w:r>
    </w:p>
    <w:p>
      <w:pPr>
        <w:spacing w:line="259" w:lineRule="auto"/>
        <w:rPr>
          <w:rFonts w:hint="eastAsia"/>
          <w:lang w:val="en-IN"/>
        </w:rPr>
      </w:pPr>
      <w:r>
        <w:rPr>
          <w:rFonts w:hint="eastAsia" w:asciiTheme="minorHAnsi"/>
          <w:lang w:val="en-IN"/>
        </w:rPr>
        <w:t>请问您如何组织学生合作或团队合作以增强英语课堂上的同伴互动和参与度？</w:t>
      </w:r>
    </w:p>
    <w:p>
      <w:pPr>
        <w:spacing w:line="259" w:lineRule="auto"/>
        <w:rPr>
          <w:rFonts w:hint="eastAsia"/>
          <w:lang w:val="en-IN"/>
        </w:rPr>
      </w:pPr>
      <w:r>
        <w:rPr>
          <w:rFonts w:hint="eastAsia" w:asciiTheme="minorHAnsi"/>
          <w:lang w:val="en-IN"/>
        </w:rPr>
        <w:t>7.Direct Feedback Impacting Engagement (直接反馈影响参与度)</w:t>
      </w:r>
    </w:p>
    <w:p>
      <w:pPr>
        <w:spacing w:line="259" w:lineRule="auto"/>
        <w:rPr>
          <w:rFonts w:hint="eastAsia"/>
          <w:lang w:val="en-IN"/>
        </w:rPr>
      </w:pPr>
      <w:r>
        <w:rPr>
          <w:rFonts w:hint="eastAsia" w:asciiTheme="minorHAnsi"/>
          <w:lang w:val="en-IN"/>
        </w:rPr>
        <w:t>Can you provide an example where student feedback directly resulted in a noticeable change in engagement due to your altered teaching strategy?</w:t>
      </w:r>
    </w:p>
    <w:p>
      <w:pPr>
        <w:spacing w:line="259" w:lineRule="auto"/>
        <w:rPr>
          <w:rFonts w:hint="eastAsia"/>
          <w:lang w:val="en-IN"/>
        </w:rPr>
      </w:pPr>
      <w:r>
        <w:rPr>
          <w:rFonts w:hint="eastAsia" w:asciiTheme="minorHAnsi"/>
          <w:lang w:val="en-IN"/>
        </w:rPr>
        <w:t>您能提供一个学生反馈直接导致因您改变教学策略而参与度明显变化的例子吗？</w:t>
      </w:r>
    </w:p>
    <w:p>
      <w:pPr>
        <w:spacing w:line="259" w:lineRule="auto"/>
        <w:rPr>
          <w:rFonts w:hint="eastAsia"/>
          <w:lang w:val="en-IN"/>
        </w:rPr>
      </w:pPr>
      <w:r>
        <w:rPr>
          <w:rFonts w:hint="eastAsia" w:asciiTheme="minorHAnsi"/>
          <w:lang w:val="en-IN"/>
        </w:rPr>
        <w:t>8.Supporting Diverse Student Engagement Needs (支持多样化的学生参与需求)</w:t>
      </w:r>
    </w:p>
    <w:p>
      <w:pPr>
        <w:spacing w:line="259" w:lineRule="auto"/>
        <w:rPr>
          <w:rFonts w:hint="eastAsia"/>
          <w:lang w:val="en-IN"/>
        </w:rPr>
      </w:pPr>
      <w:r>
        <w:rPr>
          <w:rFonts w:hint="eastAsia" w:asciiTheme="minorHAnsi"/>
          <w:lang w:val="en-IN"/>
        </w:rPr>
        <w:t>How do you cater to varying degrees of student engagement within a single class and ensure that different engagement needs are addressed?</w:t>
      </w:r>
    </w:p>
    <w:p>
      <w:pPr>
        <w:spacing w:line="259" w:lineRule="auto"/>
        <w:rPr>
          <w:rFonts w:hint="eastAsia"/>
          <w:lang w:val="en-IN"/>
        </w:rPr>
      </w:pPr>
      <w:r>
        <w:rPr>
          <w:rFonts w:hint="eastAsia" w:asciiTheme="minorHAnsi"/>
          <w:lang w:val="en-IN"/>
        </w:rPr>
        <w:t>请问您是如何发现并满足同一个课堂上不同程度的学生参与需求，并确保不同的参与需求得到解决？</w:t>
      </w:r>
    </w:p>
    <w:p>
      <w:pPr>
        <w:spacing w:line="259" w:lineRule="auto"/>
        <w:rPr>
          <w:rFonts w:hint="eastAsia"/>
          <w:lang w:val="en-IN"/>
        </w:rPr>
      </w:pPr>
      <w:r>
        <w:rPr>
          <w:rFonts w:hint="eastAsia" w:asciiTheme="minorHAnsi"/>
          <w:lang w:val="en-IN"/>
        </w:rPr>
        <w:t>9.Student Engagement and Academic Outcomes (学生参与度与学术成果)</w:t>
      </w:r>
    </w:p>
    <w:p>
      <w:pPr>
        <w:spacing w:line="259" w:lineRule="auto"/>
        <w:rPr>
          <w:rFonts w:hint="eastAsia"/>
          <w:lang w:val="en-IN"/>
        </w:rPr>
      </w:pPr>
      <w:r>
        <w:rPr>
          <w:rFonts w:hint="eastAsia" w:asciiTheme="minorHAnsi"/>
          <w:lang w:val="en-IN"/>
        </w:rPr>
        <w:t>Based on your observations, how has increased student engagement influenced their academic outcomes in English classes?</w:t>
      </w:r>
    </w:p>
    <w:p>
      <w:pPr>
        <w:spacing w:line="259" w:lineRule="auto"/>
        <w:rPr>
          <w:rFonts w:hint="eastAsia"/>
          <w:lang w:val="en-IN"/>
        </w:rPr>
      </w:pPr>
      <w:r>
        <w:rPr>
          <w:rFonts w:hint="eastAsia" w:asciiTheme="minorHAnsi"/>
          <w:lang w:val="en-IN"/>
        </w:rPr>
        <w:t>根据您的观察，学生参与度的提高是如何影响他们在英语课堂上的学习成就的？</w:t>
      </w:r>
    </w:p>
    <w:p>
      <w:pPr>
        <w:spacing w:line="259" w:lineRule="auto"/>
        <w:rPr>
          <w:rFonts w:hint="eastAsia"/>
          <w:lang w:val="en-IN"/>
        </w:rPr>
      </w:pPr>
      <w:r>
        <w:rPr>
          <w:rFonts w:hint="eastAsia" w:asciiTheme="minorHAnsi"/>
          <w:lang w:val="en-IN"/>
        </w:rPr>
        <w:t>10.Enhancing Passive Student Engagement (提高被动学生的参与度)</w:t>
      </w:r>
    </w:p>
    <w:p>
      <w:pPr>
        <w:spacing w:line="259" w:lineRule="auto"/>
        <w:rPr>
          <w:rFonts w:hint="eastAsia"/>
          <w:lang w:val="en-IN"/>
        </w:rPr>
      </w:pPr>
      <w:r>
        <w:rPr>
          <w:rFonts w:hint="eastAsia" w:asciiTheme="minorHAnsi"/>
          <w:lang w:val="en-IN"/>
        </w:rPr>
        <w:t>How do you approach and invigorate students who consistently display lower levels of engagement in English classes?</w:t>
      </w:r>
    </w:p>
    <w:p>
      <w:pPr>
        <w:spacing w:line="259" w:lineRule="auto"/>
        <w:rPr>
          <w:rFonts w:hint="eastAsia"/>
          <w:lang w:val="en-IN"/>
        </w:rPr>
      </w:pPr>
      <w:r>
        <w:rPr>
          <w:rFonts w:hint="eastAsia" w:asciiTheme="minorHAnsi"/>
          <w:lang w:val="en-IN"/>
        </w:rPr>
        <w:t>请问您是如何拉近距离并激励在英语课堂上持续表现出较低参与度的学生？</w:t>
      </w:r>
    </w:p>
    <w:p>
      <w:pPr>
        <w:spacing w:line="259" w:lineRule="auto"/>
        <w:rPr>
          <w:rFonts w:hint="eastAsia"/>
          <w:lang w:val="en-IN"/>
        </w:rPr>
      </w:pPr>
      <w:r>
        <w:rPr>
          <w:rFonts w:hint="eastAsia" w:asciiTheme="minorHAnsi"/>
          <w:lang w:val="en-IN"/>
        </w:rPr>
        <w:t>11.Promote StudentEngagement through Technology (通过技术促进学生参与)</w:t>
      </w:r>
    </w:p>
    <w:p>
      <w:pPr>
        <w:spacing w:line="259" w:lineRule="auto"/>
        <w:rPr>
          <w:rFonts w:hint="eastAsia"/>
          <w:lang w:val="en-IN"/>
        </w:rPr>
      </w:pPr>
      <w:r>
        <w:rPr>
          <w:rFonts w:hint="eastAsia" w:asciiTheme="minorHAnsi"/>
          <w:lang w:val="en-IN"/>
        </w:rPr>
        <w:t>How do you utilize technological tools or platforms in a way that actively involves students in the learning process?</w:t>
      </w:r>
    </w:p>
    <w:p>
      <w:pPr>
        <w:spacing w:line="259" w:lineRule="auto"/>
        <w:rPr>
          <w:rFonts w:hint="eastAsia"/>
          <w:lang w:val="en-IN"/>
        </w:rPr>
      </w:pPr>
      <w:r>
        <w:rPr>
          <w:rFonts w:hint="eastAsia" w:asciiTheme="minorHAnsi"/>
          <w:lang w:val="en-IN"/>
        </w:rPr>
        <w:t>您如何使用技术工具或平台让学生积极参与学习过程？</w:t>
      </w:r>
    </w:p>
    <w:p>
      <w:pPr>
        <w:spacing w:line="259" w:lineRule="auto"/>
        <w:rPr>
          <w:rFonts w:hint="eastAsia"/>
          <w:lang w:val="en-IN"/>
        </w:rPr>
      </w:pPr>
      <w:r>
        <w:rPr>
          <w:rFonts w:hint="eastAsia" w:asciiTheme="minorHAnsi"/>
          <w:lang w:val="en-IN"/>
        </w:rPr>
        <w:t>12.Reflecting on Student Engagement and teaching Strategies (反思学生参与和教学策略)</w:t>
      </w:r>
    </w:p>
    <w:p>
      <w:pPr>
        <w:spacing w:line="259" w:lineRule="auto"/>
        <w:rPr>
          <w:rFonts w:hint="eastAsia"/>
          <w:lang w:val="en-IN"/>
        </w:rPr>
      </w:pPr>
      <w:r>
        <w:rPr>
          <w:rFonts w:hint="eastAsia" w:asciiTheme="minorHAnsi"/>
          <w:lang w:val="en-IN"/>
        </w:rPr>
        <w:t>Can you share a reflection on a teaching strategy that had a significant impact (positive or negative) on student engagement?</w:t>
      </w:r>
    </w:p>
    <w:p>
      <w:pPr>
        <w:spacing w:line="259" w:lineRule="auto"/>
        <w:rPr>
          <w:rFonts w:hint="eastAsia"/>
          <w:lang w:val="en-IN"/>
        </w:rPr>
      </w:pPr>
      <w:r>
        <w:rPr>
          <w:rFonts w:hint="eastAsia" w:asciiTheme="minorHAnsi"/>
          <w:lang w:val="en-IN"/>
        </w:rPr>
        <w:t>您能否分享可以对学生参与度产生重大影响（积极或消极）的教学策略的反思？</w:t>
      </w:r>
    </w:p>
    <w:p>
      <w:pPr>
        <w:spacing w:line="259" w:lineRule="auto"/>
        <w:rPr>
          <w:rFonts w:hint="eastAsia"/>
          <w:lang w:val="en-IN"/>
        </w:rPr>
      </w:pPr>
    </w:p>
    <w:p>
      <w:pPr>
        <w:spacing w:line="259" w:lineRule="auto"/>
        <w:rPr>
          <w:rFonts w:hint="eastAsia"/>
          <w:lang w:val="en-IN"/>
        </w:rPr>
      </w:pPr>
    </w:p>
    <w:p>
      <w:pPr>
        <w:spacing w:line="259" w:lineRule="auto"/>
        <w:rPr>
          <w:rFonts w:hint="eastAsia"/>
          <w:lang w:val="en-IN"/>
        </w:rPr>
      </w:pPr>
    </w:p>
    <w:p>
      <w:pPr>
        <w:spacing w:line="259" w:lineRule="auto"/>
        <w:rPr>
          <w:rFonts w:hint="eastAsia"/>
          <w:lang w:val="en-IN"/>
        </w:rPr>
      </w:pPr>
    </w:p>
    <w:p>
      <w:pPr>
        <w:spacing w:line="259" w:lineRule="auto"/>
        <w:rPr>
          <w:rFonts w:hint="eastAsia"/>
          <w:lang w:val="en-IN"/>
        </w:rPr>
      </w:pPr>
    </w:p>
    <w:p>
      <w:pPr>
        <w:spacing w:line="259" w:lineRule="auto"/>
        <w:rPr>
          <w:rFonts w:hint="eastAsia"/>
          <w:lang w:val="en-IN"/>
        </w:rPr>
      </w:pPr>
    </w:p>
    <w:p>
      <w:pPr>
        <w:spacing w:line="259" w:lineRule="auto"/>
        <w:rPr>
          <w:rFonts w:hint="eastAsia"/>
          <w:lang w:val="en-IN"/>
        </w:rPr>
      </w:pPr>
    </w:p>
    <w:p>
      <w:pPr>
        <w:spacing w:line="259" w:lineRule="auto"/>
        <w:rPr>
          <w:rFonts w:hint="eastAsia"/>
          <w:lang w:val="en-IN"/>
        </w:rPr>
      </w:pPr>
    </w:p>
    <w:p>
      <w:pPr>
        <w:spacing w:line="259" w:lineRule="auto"/>
        <w:rPr>
          <w:rFonts w:hint="eastAsia"/>
          <w:b/>
          <w:bCs/>
          <w:lang w:val="en-IN"/>
        </w:rPr>
      </w:pPr>
      <w:r>
        <w:rPr>
          <w:rFonts w:hint="eastAsia" w:eastAsia="宋体"/>
          <w:b/>
          <w:bCs/>
          <w:lang w:val="en-US" w:eastAsia="zh-CN"/>
        </w:rPr>
        <w:t>Appendix-A2:</w:t>
      </w:r>
      <w:r>
        <w:rPr>
          <w:rFonts w:hint="eastAsia" w:asciiTheme="minorHAnsi"/>
          <w:b/>
          <w:bCs/>
          <w:lang w:val="en-IN"/>
        </w:rPr>
        <w:t>Interview Questions for Chinese University Students Focused on Student Engagement</w:t>
      </w:r>
    </w:p>
    <w:p>
      <w:pPr>
        <w:spacing w:line="259" w:lineRule="auto"/>
        <w:rPr>
          <w:rFonts w:hint="eastAsia"/>
          <w:b/>
          <w:bCs/>
          <w:lang w:val="en-IN"/>
        </w:rPr>
      </w:pPr>
      <w:r>
        <w:rPr>
          <w:rFonts w:hint="eastAsia" w:asciiTheme="minorHAnsi"/>
          <w:b/>
          <w:bCs/>
          <w:lang w:val="en-IN"/>
        </w:rPr>
        <w:t>面向中国的大学生的采访问题，重点关注大学公共英语课堂教学中的学生参与</w:t>
      </w:r>
    </w:p>
    <w:p>
      <w:pPr>
        <w:spacing w:line="259" w:lineRule="auto"/>
        <w:rPr>
          <w:rFonts w:hint="eastAsia"/>
          <w:lang w:val="en-IN"/>
        </w:rPr>
      </w:pPr>
      <w:r>
        <w:rPr>
          <w:rFonts w:hint="eastAsia" w:asciiTheme="minorHAnsi"/>
          <w:lang w:val="en-IN"/>
        </w:rPr>
        <w:t>1.Student Engagement Impact (关于学生参与度的影响)</w:t>
      </w:r>
    </w:p>
    <w:p>
      <w:pPr>
        <w:spacing w:line="259" w:lineRule="auto"/>
        <w:rPr>
          <w:rFonts w:hint="eastAsia"/>
          <w:lang w:val="en-IN"/>
        </w:rPr>
      </w:pPr>
      <w:r>
        <w:rPr>
          <w:rFonts w:hint="eastAsia" w:asciiTheme="minorHAnsi"/>
          <w:lang w:val="en-IN"/>
        </w:rPr>
        <w:t>Does your level of engagement in English classes correlate with your academic performance and learning outcomes?</w:t>
      </w:r>
    </w:p>
    <w:p>
      <w:pPr>
        <w:spacing w:line="259" w:lineRule="auto"/>
        <w:rPr>
          <w:rFonts w:hint="eastAsia"/>
          <w:lang w:val="en-IN"/>
        </w:rPr>
      </w:pPr>
      <w:r>
        <w:rPr>
          <w:rFonts w:hint="eastAsia" w:asciiTheme="minorHAnsi"/>
          <w:lang w:val="en-IN"/>
        </w:rPr>
        <w:t>您在大学公共英语课堂上的学生参与度与您的学术表现和学习成果相关吗？</w:t>
      </w:r>
    </w:p>
    <w:p>
      <w:pPr>
        <w:spacing w:line="259" w:lineRule="auto"/>
        <w:rPr>
          <w:rFonts w:hint="eastAsia"/>
          <w:lang w:val="en-IN"/>
        </w:rPr>
      </w:pPr>
      <w:r>
        <w:rPr>
          <w:rFonts w:hint="eastAsia" w:asciiTheme="minorHAnsi"/>
          <w:lang w:val="en-IN"/>
        </w:rPr>
        <w:t>2.Strategies for Sustaining Student Engagement (维持学生参与度的策略)</w:t>
      </w:r>
    </w:p>
    <w:p>
      <w:pPr>
        <w:spacing w:line="259" w:lineRule="auto"/>
        <w:rPr>
          <w:rFonts w:hint="eastAsia"/>
          <w:lang w:val="en-IN"/>
        </w:rPr>
      </w:pPr>
      <w:r>
        <w:rPr>
          <w:rFonts w:hint="eastAsia" w:asciiTheme="minorHAnsi"/>
          <w:lang w:val="en-IN"/>
        </w:rPr>
        <w:t>What personal strategies do you utilize to maintain engagement and motivation in English classes?</w:t>
      </w:r>
    </w:p>
    <w:p>
      <w:pPr>
        <w:spacing w:line="259" w:lineRule="auto"/>
        <w:rPr>
          <w:rFonts w:hint="eastAsia"/>
          <w:lang w:val="en-IN"/>
        </w:rPr>
      </w:pPr>
      <w:r>
        <w:rPr>
          <w:rFonts w:hint="eastAsia" w:asciiTheme="minorHAnsi"/>
          <w:lang w:val="en-IN"/>
        </w:rPr>
        <w:t>您使用哪些个人策略来维持在大学公共英语课堂上的参与度和动力？</w:t>
      </w:r>
    </w:p>
    <w:p>
      <w:pPr>
        <w:spacing w:line="259" w:lineRule="auto"/>
        <w:rPr>
          <w:rFonts w:hint="eastAsia"/>
          <w:lang w:val="en-IN"/>
        </w:rPr>
      </w:pPr>
    </w:p>
    <w:p>
      <w:pPr>
        <w:spacing w:line="259" w:lineRule="auto"/>
        <w:rPr>
          <w:rFonts w:hint="eastAsia"/>
          <w:lang w:val="en-IN"/>
        </w:rPr>
      </w:pPr>
      <w:r>
        <w:rPr>
          <w:rFonts w:hint="eastAsia" w:asciiTheme="minorHAnsi"/>
          <w:lang w:val="en-IN"/>
        </w:rPr>
        <w:t>3.Effective Teaching Strategies (有效的教学策略)</w:t>
      </w:r>
    </w:p>
    <w:p>
      <w:pPr>
        <w:spacing w:line="259" w:lineRule="auto"/>
        <w:rPr>
          <w:rFonts w:hint="eastAsia"/>
          <w:lang w:val="en-IN"/>
        </w:rPr>
      </w:pPr>
      <w:r>
        <w:rPr>
          <w:rFonts w:hint="eastAsia" w:asciiTheme="minorHAnsi"/>
          <w:lang w:val="en-IN"/>
        </w:rPr>
        <w:t>Can you describe any teaching strategies that particularly enhance or diminish your engagement and learning in English classes?</w:t>
      </w:r>
    </w:p>
    <w:p>
      <w:pPr>
        <w:spacing w:line="259" w:lineRule="auto"/>
        <w:rPr>
          <w:rFonts w:hint="eastAsia"/>
          <w:lang w:val="en-IN"/>
        </w:rPr>
      </w:pPr>
      <w:r>
        <w:rPr>
          <w:rFonts w:hint="eastAsia" w:asciiTheme="minorHAnsi"/>
          <w:lang w:val="en-IN"/>
        </w:rPr>
        <w:t>您能否描述一些对您来说会特别增强或减弱在英语课堂上的参与度和英语学习动力的教学策略？</w:t>
      </w:r>
    </w:p>
    <w:p>
      <w:pPr>
        <w:spacing w:line="259" w:lineRule="auto"/>
        <w:rPr>
          <w:rFonts w:hint="eastAsia"/>
          <w:lang w:val="en-IN"/>
        </w:rPr>
      </w:pPr>
    </w:p>
    <w:p>
      <w:pPr>
        <w:spacing w:line="259" w:lineRule="auto"/>
        <w:rPr>
          <w:rFonts w:hint="eastAsia"/>
          <w:lang w:val="en-IN"/>
        </w:rPr>
      </w:pPr>
      <w:r>
        <w:rPr>
          <w:rFonts w:hint="eastAsia" w:asciiTheme="minorHAnsi"/>
          <w:lang w:val="en-IN"/>
        </w:rPr>
        <w:t>4.Cultural Influence on Engagement (文化对参与度的影响)</w:t>
      </w:r>
    </w:p>
    <w:p>
      <w:pPr>
        <w:spacing w:line="259" w:lineRule="auto"/>
        <w:rPr>
          <w:rFonts w:hint="eastAsia"/>
          <w:lang w:val="en-IN"/>
        </w:rPr>
      </w:pPr>
      <w:r>
        <w:rPr>
          <w:rFonts w:hint="eastAsia" w:asciiTheme="minorHAnsi"/>
          <w:lang w:val="en-IN"/>
        </w:rPr>
        <w:t>How have your cultural and social background influenced your student engagement in English classes?</w:t>
      </w:r>
    </w:p>
    <w:p>
      <w:pPr>
        <w:spacing w:line="259" w:lineRule="auto"/>
        <w:rPr>
          <w:rFonts w:hint="eastAsia"/>
          <w:lang w:val="en-IN"/>
        </w:rPr>
      </w:pPr>
      <w:r>
        <w:rPr>
          <w:rFonts w:hint="eastAsia" w:asciiTheme="minorHAnsi"/>
          <w:lang w:val="en-IN"/>
        </w:rPr>
        <w:t>您的文化和社会背景如何影响您在英语课堂上的参与度？</w:t>
      </w:r>
    </w:p>
    <w:p>
      <w:pPr>
        <w:spacing w:line="259" w:lineRule="auto"/>
        <w:rPr>
          <w:rFonts w:hint="eastAsia"/>
          <w:lang w:val="en-IN"/>
        </w:rPr>
      </w:pPr>
    </w:p>
    <w:p>
      <w:pPr>
        <w:spacing w:line="259" w:lineRule="auto"/>
        <w:rPr>
          <w:rFonts w:hint="eastAsia"/>
          <w:lang w:val="en-IN"/>
        </w:rPr>
      </w:pPr>
      <w:r>
        <w:rPr>
          <w:rFonts w:hint="eastAsia" w:asciiTheme="minorHAnsi"/>
          <w:lang w:val="en-IN"/>
        </w:rPr>
        <w:t>5.Peer Interaction and Engagement (学习同伴互助和学生参与度)</w:t>
      </w:r>
    </w:p>
    <w:p>
      <w:pPr>
        <w:spacing w:line="259" w:lineRule="auto"/>
        <w:rPr>
          <w:rFonts w:hint="eastAsia"/>
          <w:lang w:val="en-IN"/>
        </w:rPr>
      </w:pPr>
      <w:r>
        <w:rPr>
          <w:rFonts w:hint="eastAsia" w:asciiTheme="minorHAnsi"/>
          <w:lang w:val="en-IN"/>
        </w:rPr>
        <w:t>How does peer interaction impact your engagement and learning in English classes? Can you provide specific examples?</w:t>
      </w:r>
    </w:p>
    <w:p>
      <w:pPr>
        <w:spacing w:line="259" w:lineRule="auto"/>
        <w:rPr>
          <w:rFonts w:hint="eastAsia"/>
          <w:lang w:val="en-IN"/>
        </w:rPr>
      </w:pPr>
      <w:r>
        <w:rPr>
          <w:rFonts w:hint="eastAsia" w:asciiTheme="minorHAnsi"/>
          <w:lang w:val="en-IN"/>
        </w:rPr>
        <w:t>学习同伴互助如何影响您在英语课堂上的参与度和学习？能提供具体例子吗？</w:t>
      </w:r>
    </w:p>
    <w:p>
      <w:pPr>
        <w:spacing w:line="259" w:lineRule="auto"/>
        <w:rPr>
          <w:rFonts w:hint="eastAsia"/>
          <w:lang w:val="en-IN"/>
        </w:rPr>
      </w:pPr>
      <w:r>
        <w:rPr>
          <w:rFonts w:hint="eastAsia" w:asciiTheme="minorHAnsi"/>
          <w:lang w:val="en-IN"/>
        </w:rPr>
        <w:t>6.Technology and Student Engagement (技术影响与学生参与度)</w:t>
      </w:r>
    </w:p>
    <w:p>
      <w:pPr>
        <w:spacing w:line="259" w:lineRule="auto"/>
        <w:rPr>
          <w:rFonts w:hint="eastAsia"/>
          <w:lang w:val="en-IN"/>
        </w:rPr>
      </w:pPr>
      <w:r>
        <w:rPr>
          <w:rFonts w:hint="eastAsia" w:asciiTheme="minorHAnsi"/>
          <w:lang w:val="en-IN"/>
        </w:rPr>
        <w:t>How has the educational teaching technology usage in English classes influenced your engagement and learning, both positively or negatively?</w:t>
      </w:r>
    </w:p>
    <w:p>
      <w:pPr>
        <w:spacing w:line="259" w:lineRule="auto"/>
        <w:rPr>
          <w:rFonts w:hint="eastAsia"/>
          <w:lang w:val="en-IN"/>
        </w:rPr>
      </w:pPr>
      <w:r>
        <w:rPr>
          <w:rFonts w:hint="eastAsia" w:asciiTheme="minorHAnsi"/>
          <w:lang w:val="en-IN"/>
        </w:rPr>
        <w:t>大学英语课堂上的教育教学技术使用是如何积极或消极影响您的参与度和学习的？</w:t>
      </w:r>
    </w:p>
    <w:p>
      <w:pPr>
        <w:spacing w:line="259" w:lineRule="auto"/>
        <w:rPr>
          <w:rFonts w:hint="eastAsia"/>
          <w:lang w:val="en-IN"/>
        </w:rPr>
      </w:pPr>
    </w:p>
    <w:p>
      <w:pPr>
        <w:spacing w:line="259" w:lineRule="auto"/>
        <w:rPr>
          <w:rFonts w:hint="eastAsia"/>
          <w:lang w:val="en-IN"/>
        </w:rPr>
      </w:pPr>
      <w:r>
        <w:rPr>
          <w:rFonts w:hint="eastAsia" w:asciiTheme="minorHAnsi"/>
          <w:lang w:val="en-IN"/>
        </w:rPr>
        <w:t>7.Sense of Belonging Student Engagement (归属感与学生参与度)</w:t>
      </w:r>
    </w:p>
    <w:p>
      <w:pPr>
        <w:spacing w:line="259" w:lineRule="auto"/>
        <w:rPr>
          <w:rFonts w:hint="eastAsia"/>
          <w:lang w:val="en-IN"/>
        </w:rPr>
      </w:pPr>
      <w:r>
        <w:rPr>
          <w:rFonts w:hint="eastAsia" w:asciiTheme="minorHAnsi"/>
          <w:lang w:val="en-IN"/>
        </w:rPr>
        <w:t>How does a sense of belonging within the class influence your engagement and motivation to participate in English learning?</w:t>
      </w:r>
    </w:p>
    <w:p>
      <w:pPr>
        <w:spacing w:line="259" w:lineRule="auto"/>
        <w:rPr>
          <w:rFonts w:hint="eastAsia"/>
          <w:lang w:val="en-IN"/>
        </w:rPr>
      </w:pPr>
      <w:r>
        <w:rPr>
          <w:rFonts w:hint="eastAsia" w:asciiTheme="minorHAnsi"/>
          <w:lang w:val="en-IN"/>
        </w:rPr>
        <w:t>班级中的归属感如何影响您参与英语学习的参与度和动力动机？</w:t>
      </w:r>
    </w:p>
    <w:p>
      <w:pPr>
        <w:spacing w:line="259" w:lineRule="auto"/>
        <w:rPr>
          <w:rFonts w:hint="eastAsia"/>
          <w:lang w:val="en-IN"/>
        </w:rPr>
      </w:pPr>
    </w:p>
    <w:p>
      <w:pPr>
        <w:spacing w:line="259" w:lineRule="auto"/>
        <w:rPr>
          <w:rFonts w:hint="eastAsia"/>
          <w:lang w:val="en-IN"/>
        </w:rPr>
      </w:pPr>
      <w:r>
        <w:rPr>
          <w:rFonts w:hint="eastAsia" w:asciiTheme="minorHAnsi"/>
          <w:lang w:val="en-IN"/>
        </w:rPr>
        <w:t>8.Challenges to Student Engagement (关于学生参与度的挑战)</w:t>
      </w:r>
    </w:p>
    <w:p>
      <w:pPr>
        <w:spacing w:line="259" w:lineRule="auto"/>
        <w:rPr>
          <w:rFonts w:hint="eastAsia"/>
          <w:lang w:val="en-IN"/>
        </w:rPr>
      </w:pPr>
      <w:r>
        <w:rPr>
          <w:rFonts w:hint="eastAsia" w:asciiTheme="minorHAnsi"/>
          <w:lang w:val="en-IN"/>
        </w:rPr>
        <w:t>What challenges or barriers have you encountered that hindered your engagement in English classes?</w:t>
      </w:r>
    </w:p>
    <w:p>
      <w:pPr>
        <w:spacing w:line="259" w:lineRule="auto"/>
        <w:rPr>
          <w:rFonts w:hint="eastAsia"/>
          <w:lang w:val="en-IN"/>
        </w:rPr>
      </w:pPr>
      <w:r>
        <w:rPr>
          <w:rFonts w:hint="eastAsia" w:asciiTheme="minorHAnsi"/>
          <w:lang w:val="en-IN"/>
        </w:rPr>
        <w:t>您遇到了哪些挑战或障碍，阻碍了您在英语课堂上的积极参与？</w:t>
      </w:r>
    </w:p>
    <w:p>
      <w:pPr>
        <w:spacing w:line="259" w:lineRule="auto"/>
        <w:rPr>
          <w:rFonts w:hint="eastAsia"/>
          <w:lang w:val="en-IN"/>
        </w:rPr>
      </w:pPr>
    </w:p>
    <w:p>
      <w:pPr>
        <w:spacing w:line="259" w:lineRule="auto"/>
        <w:rPr>
          <w:rFonts w:hint="eastAsia"/>
          <w:lang w:val="en-IN"/>
        </w:rPr>
      </w:pPr>
      <w:r>
        <w:rPr>
          <w:rFonts w:hint="eastAsia" w:asciiTheme="minorHAnsi"/>
          <w:lang w:val="en-IN"/>
        </w:rPr>
        <w:t>9.Extracurricular Influence (课外活动的影响)</w:t>
      </w:r>
    </w:p>
    <w:p>
      <w:pPr>
        <w:spacing w:line="259" w:lineRule="auto"/>
        <w:rPr>
          <w:rFonts w:hint="eastAsia"/>
          <w:lang w:val="en-IN"/>
        </w:rPr>
      </w:pPr>
      <w:r>
        <w:rPr>
          <w:rFonts w:hint="eastAsia" w:asciiTheme="minorHAnsi"/>
          <w:lang w:val="en-IN"/>
        </w:rPr>
        <w:t>How have extracurricular activities, related to English learning, affected your engagement and interest in the classroom setting?</w:t>
      </w:r>
    </w:p>
    <w:p>
      <w:pPr>
        <w:spacing w:line="259" w:lineRule="auto"/>
        <w:rPr>
          <w:rFonts w:hint="eastAsia"/>
          <w:lang w:val="en-IN"/>
        </w:rPr>
      </w:pPr>
      <w:r>
        <w:rPr>
          <w:rFonts w:hint="eastAsia" w:asciiTheme="minorHAnsi"/>
          <w:lang w:val="en-IN"/>
        </w:rPr>
        <w:t>与英语学习相关的课外活动如何影响您在课堂环境中的参与度和兴趣？</w:t>
      </w:r>
    </w:p>
    <w:p>
      <w:pPr>
        <w:spacing w:line="259" w:lineRule="auto"/>
        <w:rPr>
          <w:rFonts w:hint="eastAsia"/>
          <w:lang w:val="en-IN"/>
        </w:rPr>
      </w:pPr>
    </w:p>
    <w:p>
      <w:pPr>
        <w:spacing w:line="259" w:lineRule="auto"/>
        <w:rPr>
          <w:rFonts w:hint="eastAsia"/>
          <w:lang w:val="en-IN"/>
        </w:rPr>
      </w:pPr>
      <w:r>
        <w:rPr>
          <w:rFonts w:hint="eastAsia" w:asciiTheme="minorHAnsi"/>
          <w:lang w:val="en-IN"/>
        </w:rPr>
        <w:t>10.Assessment and Engagement (评估与参与度)</w:t>
      </w:r>
    </w:p>
    <w:p>
      <w:pPr>
        <w:spacing w:line="259" w:lineRule="auto"/>
        <w:rPr>
          <w:rFonts w:hint="eastAsia"/>
          <w:lang w:val="en-IN"/>
        </w:rPr>
      </w:pPr>
      <w:r>
        <w:rPr>
          <w:rFonts w:hint="eastAsia" w:asciiTheme="minorHAnsi"/>
          <w:lang w:val="en-IN"/>
        </w:rPr>
        <w:t>How do different assessment methods impact your engagement and participation in English classes?不同的考试评估方法如何影响您在英语课堂上的参与度和参与？</w:t>
      </w:r>
    </w:p>
    <w:p>
      <w:pPr>
        <w:spacing w:line="259" w:lineRule="auto"/>
        <w:rPr>
          <w:rFonts w:hint="eastAsia"/>
          <w:lang w:val="en-IN"/>
        </w:rPr>
      </w:pPr>
    </w:p>
    <w:p>
      <w:pPr>
        <w:spacing w:line="259" w:lineRule="auto"/>
        <w:rPr>
          <w:rFonts w:hint="eastAsia"/>
          <w:lang w:val="en-IN"/>
        </w:rPr>
      </w:pPr>
      <w:r>
        <w:rPr>
          <w:rFonts w:hint="eastAsia" w:asciiTheme="minorHAnsi"/>
          <w:lang w:val="en-IN"/>
        </w:rPr>
        <w:t>11.Teacher-Student Relationship (师生关系)</w:t>
      </w:r>
    </w:p>
    <w:p>
      <w:pPr>
        <w:spacing w:line="259" w:lineRule="auto"/>
        <w:rPr>
          <w:rFonts w:hint="eastAsia"/>
          <w:lang w:val="en-IN"/>
        </w:rPr>
      </w:pPr>
      <w:r>
        <w:rPr>
          <w:rFonts w:hint="eastAsia" w:asciiTheme="minorHAnsi"/>
          <w:lang w:val="en-IN"/>
        </w:rPr>
        <w:t>In what ways does the relationship with the teacher influence your engagement and overall learning experience in English classes?</w:t>
      </w:r>
    </w:p>
    <w:p>
      <w:pPr>
        <w:spacing w:line="259" w:lineRule="auto"/>
        <w:rPr>
          <w:rFonts w:hint="eastAsia"/>
          <w:lang w:val="en-IN"/>
        </w:rPr>
      </w:pPr>
      <w:r>
        <w:rPr>
          <w:rFonts w:hint="eastAsia" w:asciiTheme="minorHAnsi"/>
          <w:lang w:val="en-IN"/>
        </w:rPr>
        <w:t>与老师的关系如何影响您在英语课堂上的参与度和整体学习体验？</w:t>
      </w:r>
    </w:p>
    <w:p>
      <w:pPr>
        <w:spacing w:line="259" w:lineRule="auto"/>
        <w:rPr>
          <w:rFonts w:hint="eastAsia"/>
          <w:lang w:val="en-IN"/>
        </w:rPr>
      </w:pPr>
    </w:p>
    <w:p>
      <w:pPr>
        <w:spacing w:line="259" w:lineRule="auto"/>
        <w:rPr>
          <w:rFonts w:hint="eastAsia" w:ascii="Calibri" w:hAnsi="Calibri" w:eastAsia="Calibri" w:cs="Times New Roman"/>
          <w:lang w:val="en-IN"/>
        </w:rPr>
      </w:pPr>
    </w:p>
    <w:p>
      <w:pPr>
        <w:spacing w:line="259" w:lineRule="auto"/>
        <w:rPr>
          <w:rFonts w:hint="eastAsia" w:ascii="Calibri" w:hAnsi="Calibri" w:eastAsia="宋体" w:cs="Times New Roman"/>
          <w:lang w:val="en-IN" w:eastAsia="zh-CN"/>
        </w:rPr>
      </w:pPr>
    </w:p>
    <w:p>
      <w:pPr>
        <w:spacing w:line="259" w:lineRule="auto"/>
        <w:rPr>
          <w:rFonts w:hint="eastAsia" w:ascii="Calibri" w:hAnsi="Calibri" w:eastAsia="Calibri" w:cs="Times New Roman"/>
          <w:lang w:val="en-IN"/>
        </w:rPr>
      </w:pPr>
    </w:p>
    <w:p>
      <w:pPr>
        <w:spacing w:line="259" w:lineRule="auto"/>
        <w:rPr>
          <w:rFonts w:hint="eastAsia" w:ascii="Calibri" w:hAnsi="Calibri" w:eastAsia="Calibri" w:cs="Times New Roman"/>
          <w:lang w:val="en-IN"/>
        </w:rPr>
      </w:pPr>
    </w:p>
    <w:p>
      <w:pPr>
        <w:spacing w:line="259" w:lineRule="auto"/>
        <w:rPr>
          <w:rFonts w:hint="eastAsia" w:ascii="Calibri" w:hAnsi="Calibri" w:eastAsia="宋体" w:cs="Times New Roman"/>
          <w:lang w:val="en-IN" w:eastAsia="zh-CN"/>
        </w:rPr>
      </w:pPr>
    </w:p>
    <w:p>
      <w:pPr>
        <w:spacing w:line="259" w:lineRule="auto"/>
        <w:rPr>
          <w:rFonts w:hint="eastAsia" w:ascii="Calibri" w:hAnsi="Calibri" w:eastAsia="Calibri" w:cs="Times New Roman"/>
          <w:lang w:val="en-IN"/>
        </w:rPr>
      </w:pPr>
    </w:p>
    <w:p>
      <w:pPr>
        <w:spacing w:line="259" w:lineRule="auto"/>
        <w:rPr>
          <w:rFonts w:hint="eastAsia" w:ascii="Calibri" w:hAnsi="Calibri" w:eastAsia="宋体" w:cs="Times New Roman"/>
          <w:b/>
          <w:bCs/>
          <w:lang w:val="en-US" w:eastAsia="zh-CN"/>
        </w:rPr>
      </w:pPr>
      <w:r>
        <w:rPr>
          <w:rFonts w:hint="eastAsia" w:ascii="Calibri" w:hAnsi="Calibri" w:eastAsia="宋体" w:cs="Times New Roman"/>
          <w:b/>
          <w:bCs/>
          <w:lang w:val="en-US" w:eastAsia="zh-CN"/>
        </w:rPr>
        <w:t>Appendix-B: Questionaires</w:t>
      </w:r>
    </w:p>
    <w:p>
      <w:pPr>
        <w:spacing w:line="259" w:lineRule="auto"/>
        <w:rPr>
          <w:rFonts w:hint="eastAsia" w:ascii="Calibri" w:hAnsi="Calibri" w:eastAsia="宋体" w:cs="Times New Roman"/>
          <w:b/>
          <w:bCs/>
          <w:lang w:val="en-US" w:eastAsia="zh-CN"/>
        </w:rPr>
      </w:pPr>
      <w:r>
        <w:rPr>
          <w:rFonts w:hint="eastAsia" w:ascii="Calibri" w:hAnsi="Calibri" w:eastAsia="宋体" w:cs="Times New Roman"/>
          <w:b/>
          <w:bCs/>
          <w:lang w:val="en-US" w:eastAsia="zh-CN"/>
        </w:rPr>
        <w:t>Appendix-B1 Quesitonaire for Chinese university lecturer</w:t>
      </w:r>
    </w:p>
    <w:p>
      <w:pPr>
        <w:spacing w:line="259" w:lineRule="auto"/>
        <w:rPr>
          <w:rFonts w:hint="default" w:ascii="Calibri" w:hAnsi="Calibri" w:eastAsia="宋体" w:cs="Times New Roman"/>
          <w:b/>
          <w:bCs/>
          <w:lang w:val="en-US" w:eastAsia="zh-CN"/>
        </w:rPr>
      </w:pPr>
      <w:r>
        <w:rPr>
          <w:rFonts w:hint="default" w:ascii="Calibri" w:hAnsi="Calibri" w:eastAsia="宋体" w:cs="Times New Roman"/>
          <w:b/>
          <w:bCs/>
          <w:lang w:val="en-US" w:eastAsia="zh-CN"/>
        </w:rPr>
        <w:drawing>
          <wp:inline distT="0" distB="0" distL="114300" distR="114300">
            <wp:extent cx="5237480" cy="7410450"/>
            <wp:effectExtent l="0" t="0" r="1270" b="0"/>
            <wp:docPr id="8" name="图片 8" descr="1703262646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703262646181"/>
                    <pic:cNvPicPr>
                      <a:picLocks noChangeAspect="1"/>
                    </pic:cNvPicPr>
                  </pic:nvPicPr>
                  <pic:blipFill>
                    <a:blip r:embed="rId12"/>
                    <a:stretch>
                      <a:fillRect/>
                    </a:stretch>
                  </pic:blipFill>
                  <pic:spPr>
                    <a:xfrm>
                      <a:off x="0" y="0"/>
                      <a:ext cx="5237480" cy="7410450"/>
                    </a:xfrm>
                    <a:prstGeom prst="rect">
                      <a:avLst/>
                    </a:prstGeom>
                  </pic:spPr>
                </pic:pic>
              </a:graphicData>
            </a:graphic>
          </wp:inline>
        </w:drawing>
      </w:r>
    </w:p>
    <w:p>
      <w:pPr>
        <w:spacing w:line="259" w:lineRule="auto"/>
        <w:rPr>
          <w:rFonts w:hint="default" w:ascii="Calibri" w:hAnsi="Calibri" w:eastAsia="宋体" w:cs="Times New Roman"/>
          <w:b/>
          <w:bCs/>
          <w:lang w:val="en-US" w:eastAsia="zh-CN"/>
        </w:rPr>
      </w:pPr>
      <w:r>
        <w:rPr>
          <w:rFonts w:hint="default" w:ascii="Calibri" w:hAnsi="Calibri" w:eastAsia="宋体" w:cs="Times New Roman"/>
          <w:b/>
          <w:bCs/>
          <w:lang w:val="en-US" w:eastAsia="zh-CN"/>
        </w:rPr>
        <w:drawing>
          <wp:inline distT="0" distB="0" distL="114300" distR="114300">
            <wp:extent cx="1895475" cy="2857500"/>
            <wp:effectExtent l="0" t="0" r="9525" b="0"/>
            <wp:docPr id="9" name="图片 9" descr="1703262710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703262710459"/>
                    <pic:cNvPicPr>
                      <a:picLocks noChangeAspect="1"/>
                    </pic:cNvPicPr>
                  </pic:nvPicPr>
                  <pic:blipFill>
                    <a:blip r:embed="rId13"/>
                    <a:stretch>
                      <a:fillRect/>
                    </a:stretch>
                  </pic:blipFill>
                  <pic:spPr>
                    <a:xfrm>
                      <a:off x="0" y="0"/>
                      <a:ext cx="1895475" cy="2857500"/>
                    </a:xfrm>
                    <a:prstGeom prst="rect">
                      <a:avLst/>
                    </a:prstGeom>
                  </pic:spPr>
                </pic:pic>
              </a:graphicData>
            </a:graphic>
          </wp:inline>
        </w:drawing>
      </w:r>
      <w:r>
        <w:rPr>
          <w:rFonts w:hint="default" w:ascii="Calibri" w:hAnsi="Calibri" w:eastAsia="宋体" w:cs="Times New Roman"/>
          <w:b/>
          <w:bCs/>
          <w:lang w:val="en-US" w:eastAsia="zh-CN"/>
        </w:rPr>
        <w:drawing>
          <wp:inline distT="0" distB="0" distL="114300" distR="114300">
            <wp:extent cx="3581400" cy="5657850"/>
            <wp:effectExtent l="0" t="0" r="0" b="0"/>
            <wp:docPr id="10" name="图片 10" descr="170326273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703262732356"/>
                    <pic:cNvPicPr>
                      <a:picLocks noChangeAspect="1"/>
                    </pic:cNvPicPr>
                  </pic:nvPicPr>
                  <pic:blipFill>
                    <a:blip r:embed="rId14"/>
                    <a:stretch>
                      <a:fillRect/>
                    </a:stretch>
                  </pic:blipFill>
                  <pic:spPr>
                    <a:xfrm>
                      <a:off x="0" y="0"/>
                      <a:ext cx="3581400" cy="5657850"/>
                    </a:xfrm>
                    <a:prstGeom prst="rect">
                      <a:avLst/>
                    </a:prstGeom>
                  </pic:spPr>
                </pic:pic>
              </a:graphicData>
            </a:graphic>
          </wp:inline>
        </w:drawing>
      </w:r>
    </w:p>
    <w:p>
      <w:pPr>
        <w:spacing w:line="259" w:lineRule="auto"/>
        <w:rPr>
          <w:rFonts w:hint="default" w:ascii="Calibri" w:hAnsi="Calibri" w:eastAsia="宋体" w:cs="Times New Roman"/>
          <w:b/>
          <w:bCs/>
          <w:lang w:val="en-US" w:eastAsia="zh-CN"/>
        </w:rPr>
      </w:pPr>
      <w:r>
        <w:rPr>
          <w:rFonts w:hint="default" w:ascii="Calibri" w:hAnsi="Calibri" w:eastAsia="宋体" w:cs="Times New Roman"/>
          <w:b/>
          <w:bCs/>
          <w:lang w:val="en-US" w:eastAsia="zh-CN"/>
        </w:rPr>
        <w:drawing>
          <wp:inline distT="0" distB="0" distL="114300" distR="114300">
            <wp:extent cx="2753995" cy="5867400"/>
            <wp:effectExtent l="0" t="0" r="8255" b="0"/>
            <wp:docPr id="12" name="图片 12" descr="170326277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703262772771"/>
                    <pic:cNvPicPr>
                      <a:picLocks noChangeAspect="1"/>
                    </pic:cNvPicPr>
                  </pic:nvPicPr>
                  <pic:blipFill>
                    <a:blip r:embed="rId15"/>
                    <a:stretch>
                      <a:fillRect/>
                    </a:stretch>
                  </pic:blipFill>
                  <pic:spPr>
                    <a:xfrm>
                      <a:off x="0" y="0"/>
                      <a:ext cx="2753995" cy="5867400"/>
                    </a:xfrm>
                    <a:prstGeom prst="rect">
                      <a:avLst/>
                    </a:prstGeom>
                  </pic:spPr>
                </pic:pic>
              </a:graphicData>
            </a:graphic>
          </wp:inline>
        </w:drawing>
      </w:r>
      <w:r>
        <w:rPr>
          <w:rFonts w:hint="default" w:ascii="Calibri" w:hAnsi="Calibri" w:eastAsia="宋体" w:cs="Times New Roman"/>
          <w:b/>
          <w:bCs/>
          <w:lang w:val="en-US" w:eastAsia="zh-CN"/>
        </w:rPr>
        <w:drawing>
          <wp:inline distT="0" distB="0" distL="114300" distR="114300">
            <wp:extent cx="2792095" cy="5876290"/>
            <wp:effectExtent l="0" t="0" r="8255" b="10160"/>
            <wp:docPr id="13" name="图片 13" descr="170326281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703262814147"/>
                    <pic:cNvPicPr>
                      <a:picLocks noChangeAspect="1"/>
                    </pic:cNvPicPr>
                  </pic:nvPicPr>
                  <pic:blipFill>
                    <a:blip r:embed="rId16"/>
                    <a:stretch>
                      <a:fillRect/>
                    </a:stretch>
                  </pic:blipFill>
                  <pic:spPr>
                    <a:xfrm>
                      <a:off x="0" y="0"/>
                      <a:ext cx="2792095" cy="5876290"/>
                    </a:xfrm>
                    <a:prstGeom prst="rect">
                      <a:avLst/>
                    </a:prstGeom>
                  </pic:spPr>
                </pic:pic>
              </a:graphicData>
            </a:graphic>
          </wp:inline>
        </w:drawing>
      </w:r>
    </w:p>
    <w:p>
      <w:pPr>
        <w:spacing w:line="259" w:lineRule="auto"/>
        <w:rPr>
          <w:rFonts w:hint="default" w:ascii="Calibri" w:hAnsi="Calibri" w:eastAsia="宋体" w:cs="Times New Roman"/>
          <w:b/>
          <w:bCs/>
          <w:lang w:val="en-US" w:eastAsia="zh-CN"/>
        </w:rPr>
      </w:pPr>
      <w:r>
        <w:rPr>
          <w:rFonts w:hint="default" w:ascii="Calibri" w:hAnsi="Calibri" w:eastAsia="宋体" w:cs="Times New Roman"/>
          <w:b/>
          <w:bCs/>
          <w:lang w:val="en-US" w:eastAsia="zh-CN"/>
        </w:rPr>
        <w:drawing>
          <wp:inline distT="0" distB="0" distL="114300" distR="114300">
            <wp:extent cx="4342765" cy="3210560"/>
            <wp:effectExtent l="0" t="0" r="635" b="8890"/>
            <wp:docPr id="14" name="图片 14" descr="1703262896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703262896475"/>
                    <pic:cNvPicPr>
                      <a:picLocks noChangeAspect="1"/>
                    </pic:cNvPicPr>
                  </pic:nvPicPr>
                  <pic:blipFill>
                    <a:blip r:embed="rId17"/>
                    <a:stretch>
                      <a:fillRect/>
                    </a:stretch>
                  </pic:blipFill>
                  <pic:spPr>
                    <a:xfrm>
                      <a:off x="0" y="0"/>
                      <a:ext cx="4342765" cy="3210560"/>
                    </a:xfrm>
                    <a:prstGeom prst="rect">
                      <a:avLst/>
                    </a:prstGeom>
                  </pic:spPr>
                </pic:pic>
              </a:graphicData>
            </a:graphic>
          </wp:inline>
        </w:drawing>
      </w:r>
    </w:p>
    <w:p>
      <w:pPr>
        <w:spacing w:line="259" w:lineRule="auto"/>
        <w:rPr>
          <w:rFonts w:hint="eastAsia" w:ascii="Calibri" w:hAnsi="Calibri" w:eastAsia="宋体" w:cs="Times New Roman"/>
          <w:b/>
          <w:bCs/>
          <w:lang w:val="en-US" w:eastAsia="zh-CN"/>
        </w:rPr>
      </w:pPr>
    </w:p>
    <w:p>
      <w:pPr>
        <w:spacing w:line="259" w:lineRule="auto"/>
        <w:rPr>
          <w:rFonts w:hint="eastAsia" w:ascii="Calibri" w:hAnsi="Calibri" w:eastAsia="宋体" w:cs="Times New Roman"/>
          <w:b/>
          <w:bCs/>
          <w:lang w:val="en-US" w:eastAsia="zh-CN"/>
        </w:rPr>
      </w:pPr>
    </w:p>
    <w:p>
      <w:pPr>
        <w:spacing w:line="259" w:lineRule="auto"/>
        <w:rPr>
          <w:rFonts w:hint="eastAsia" w:ascii="Calibri" w:hAnsi="Calibri" w:eastAsia="宋体" w:cs="Times New Roman"/>
          <w:b/>
          <w:bCs/>
          <w:lang w:val="en-US" w:eastAsia="zh-CN"/>
        </w:rPr>
      </w:pPr>
    </w:p>
    <w:p>
      <w:pPr>
        <w:spacing w:line="259" w:lineRule="auto"/>
        <w:rPr>
          <w:rFonts w:hint="eastAsia" w:ascii="Calibri" w:hAnsi="Calibri" w:eastAsia="宋体" w:cs="Times New Roman"/>
          <w:b/>
          <w:bCs/>
          <w:lang w:val="en-US" w:eastAsia="zh-CN"/>
        </w:rPr>
      </w:pPr>
    </w:p>
    <w:p>
      <w:pPr>
        <w:spacing w:line="259" w:lineRule="auto"/>
        <w:rPr>
          <w:rFonts w:hint="eastAsia" w:ascii="Calibri" w:hAnsi="Calibri" w:eastAsia="宋体" w:cs="Times New Roman"/>
          <w:b/>
          <w:bCs/>
          <w:lang w:val="en-US" w:eastAsia="zh-CN"/>
        </w:rPr>
      </w:pPr>
    </w:p>
    <w:p>
      <w:pPr>
        <w:spacing w:line="259" w:lineRule="auto"/>
        <w:rPr>
          <w:rFonts w:hint="eastAsia" w:ascii="Calibri" w:hAnsi="Calibri" w:eastAsia="宋体" w:cs="Times New Roman"/>
          <w:b/>
          <w:bCs/>
          <w:lang w:val="en-US" w:eastAsia="zh-CN"/>
        </w:rPr>
      </w:pPr>
    </w:p>
    <w:p>
      <w:pPr>
        <w:spacing w:line="259" w:lineRule="auto"/>
        <w:rPr>
          <w:rFonts w:hint="eastAsia" w:ascii="Calibri" w:hAnsi="Calibri" w:eastAsia="宋体" w:cs="Times New Roman"/>
          <w:b/>
          <w:bCs/>
          <w:lang w:val="en-US" w:eastAsia="zh-CN"/>
        </w:rPr>
      </w:pPr>
    </w:p>
    <w:p>
      <w:pPr>
        <w:spacing w:line="259" w:lineRule="auto"/>
        <w:rPr>
          <w:rFonts w:hint="eastAsia" w:ascii="Calibri" w:hAnsi="Calibri" w:eastAsia="宋体" w:cs="Times New Roman"/>
          <w:b/>
          <w:bCs/>
          <w:lang w:val="en-US" w:eastAsia="zh-CN"/>
        </w:rPr>
      </w:pPr>
    </w:p>
    <w:p>
      <w:pPr>
        <w:spacing w:line="259" w:lineRule="auto"/>
        <w:rPr>
          <w:rFonts w:hint="eastAsia" w:ascii="Calibri" w:hAnsi="Calibri" w:eastAsia="宋体" w:cs="Times New Roman"/>
          <w:b/>
          <w:bCs/>
          <w:lang w:val="en-US" w:eastAsia="zh-CN"/>
        </w:rPr>
      </w:pPr>
    </w:p>
    <w:p>
      <w:pPr>
        <w:spacing w:line="259" w:lineRule="auto"/>
        <w:rPr>
          <w:rFonts w:hint="eastAsia" w:ascii="Calibri" w:hAnsi="Calibri" w:eastAsia="宋体" w:cs="Times New Roman"/>
          <w:b/>
          <w:bCs/>
          <w:lang w:val="en-US" w:eastAsia="zh-CN"/>
        </w:rPr>
      </w:pPr>
    </w:p>
    <w:p>
      <w:pPr>
        <w:spacing w:line="259" w:lineRule="auto"/>
        <w:rPr>
          <w:rFonts w:hint="eastAsia" w:ascii="Calibri" w:hAnsi="Calibri" w:eastAsia="宋体" w:cs="Times New Roman"/>
          <w:b/>
          <w:bCs/>
          <w:lang w:val="en-US" w:eastAsia="zh-CN"/>
        </w:rPr>
      </w:pPr>
    </w:p>
    <w:p>
      <w:pPr>
        <w:spacing w:line="259" w:lineRule="auto"/>
        <w:rPr>
          <w:rFonts w:hint="eastAsia" w:ascii="Calibri" w:hAnsi="Calibri" w:eastAsia="宋体" w:cs="Times New Roman"/>
          <w:b/>
          <w:bCs/>
          <w:lang w:val="en-US" w:eastAsia="zh-CN"/>
        </w:rPr>
      </w:pPr>
    </w:p>
    <w:p>
      <w:pPr>
        <w:spacing w:line="259" w:lineRule="auto"/>
        <w:rPr>
          <w:rFonts w:hint="eastAsia" w:ascii="Calibri" w:hAnsi="Calibri" w:eastAsia="宋体" w:cs="Times New Roman"/>
          <w:b/>
          <w:bCs/>
          <w:lang w:val="en-US" w:eastAsia="zh-CN"/>
        </w:rPr>
      </w:pPr>
    </w:p>
    <w:p>
      <w:pPr>
        <w:spacing w:line="259" w:lineRule="auto"/>
        <w:rPr>
          <w:rFonts w:hint="eastAsia" w:ascii="Calibri" w:hAnsi="Calibri" w:eastAsia="宋体" w:cs="Times New Roman"/>
          <w:b/>
          <w:bCs/>
          <w:lang w:val="en-US" w:eastAsia="zh-CN"/>
        </w:rPr>
      </w:pPr>
    </w:p>
    <w:p>
      <w:pPr>
        <w:spacing w:line="259" w:lineRule="auto"/>
        <w:rPr>
          <w:rFonts w:hint="eastAsia" w:ascii="Calibri" w:hAnsi="Calibri" w:eastAsia="宋体" w:cs="Times New Roman"/>
          <w:b/>
          <w:bCs/>
          <w:lang w:val="en-US" w:eastAsia="zh-CN"/>
        </w:rPr>
      </w:pPr>
    </w:p>
    <w:p>
      <w:pPr>
        <w:spacing w:line="259" w:lineRule="auto"/>
        <w:rPr>
          <w:rFonts w:hint="eastAsia" w:ascii="Calibri" w:hAnsi="Calibri" w:eastAsia="宋体" w:cs="Times New Roman"/>
          <w:b/>
          <w:bCs/>
          <w:lang w:val="en-US" w:eastAsia="zh-CN"/>
        </w:rPr>
      </w:pPr>
    </w:p>
    <w:p>
      <w:pPr>
        <w:spacing w:line="259" w:lineRule="auto"/>
        <w:rPr>
          <w:rFonts w:hint="eastAsia" w:ascii="Calibri" w:hAnsi="Calibri" w:eastAsia="宋体" w:cs="Times New Roman"/>
          <w:b/>
          <w:bCs/>
          <w:lang w:val="en-US" w:eastAsia="zh-CN"/>
        </w:rPr>
      </w:pPr>
    </w:p>
    <w:p>
      <w:pPr>
        <w:spacing w:line="259" w:lineRule="auto"/>
        <w:rPr>
          <w:rFonts w:hint="default" w:ascii="Calibri" w:hAnsi="Calibri" w:eastAsia="宋体" w:cs="Times New Roman"/>
          <w:b/>
          <w:bCs/>
          <w:lang w:val="en-US" w:eastAsia="zh-CN"/>
        </w:rPr>
      </w:pPr>
      <w:r>
        <w:rPr>
          <w:rFonts w:hint="eastAsia" w:ascii="Calibri" w:hAnsi="Calibri" w:eastAsia="宋体" w:cs="Times New Roman"/>
          <w:b/>
          <w:bCs/>
          <w:lang w:val="en-US" w:eastAsia="zh-CN"/>
        </w:rPr>
        <w:t>Appendix-B2 Quesitonaire for Chinese university student</w:t>
      </w:r>
    </w:p>
    <w:p>
      <w:pPr>
        <w:spacing w:line="259" w:lineRule="auto"/>
        <w:rPr>
          <w:rFonts w:hint="default" w:ascii="Calibri" w:hAnsi="Calibri" w:eastAsia="宋体" w:cs="Times New Roman"/>
          <w:lang w:val="en-US" w:eastAsia="zh-CN"/>
        </w:rPr>
      </w:pPr>
      <w:r>
        <w:rPr>
          <w:rFonts w:hint="default" w:ascii="Calibri" w:hAnsi="Calibri" w:eastAsia="宋体" w:cs="Times New Roman"/>
          <w:lang w:val="en-US" w:eastAsia="zh-CN"/>
        </w:rPr>
        <w:drawing>
          <wp:inline distT="0" distB="0" distL="114300" distR="114300">
            <wp:extent cx="2753360" cy="6905625"/>
            <wp:effectExtent l="0" t="0" r="8890" b="9525"/>
            <wp:docPr id="2" name="图片 2" descr="1703262340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03262340531"/>
                    <pic:cNvPicPr>
                      <a:picLocks noChangeAspect="1"/>
                    </pic:cNvPicPr>
                  </pic:nvPicPr>
                  <pic:blipFill>
                    <a:blip r:embed="rId18"/>
                    <a:stretch>
                      <a:fillRect/>
                    </a:stretch>
                  </pic:blipFill>
                  <pic:spPr>
                    <a:xfrm>
                      <a:off x="0" y="0"/>
                      <a:ext cx="2753360" cy="6905625"/>
                    </a:xfrm>
                    <a:prstGeom prst="rect">
                      <a:avLst/>
                    </a:prstGeom>
                  </pic:spPr>
                </pic:pic>
              </a:graphicData>
            </a:graphic>
          </wp:inline>
        </w:drawing>
      </w:r>
      <w:r>
        <w:rPr>
          <w:rFonts w:hint="default" w:ascii="Calibri" w:hAnsi="Calibri" w:eastAsia="宋体" w:cs="Times New Roman"/>
          <w:lang w:val="en-US" w:eastAsia="zh-CN"/>
        </w:rPr>
        <w:drawing>
          <wp:inline distT="0" distB="0" distL="114300" distR="114300">
            <wp:extent cx="2762885" cy="5867400"/>
            <wp:effectExtent l="0" t="0" r="18415" b="0"/>
            <wp:docPr id="11" name="图片 11" descr="170326277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703262772771"/>
                    <pic:cNvPicPr>
                      <a:picLocks noChangeAspect="1"/>
                    </pic:cNvPicPr>
                  </pic:nvPicPr>
                  <pic:blipFill>
                    <a:blip r:embed="rId15"/>
                    <a:stretch>
                      <a:fillRect/>
                    </a:stretch>
                  </pic:blipFill>
                  <pic:spPr>
                    <a:xfrm>
                      <a:off x="0" y="0"/>
                      <a:ext cx="2762885" cy="5867400"/>
                    </a:xfrm>
                    <a:prstGeom prst="rect">
                      <a:avLst/>
                    </a:prstGeom>
                  </pic:spPr>
                </pic:pic>
              </a:graphicData>
            </a:graphic>
          </wp:inline>
        </w:drawing>
      </w:r>
    </w:p>
    <w:p>
      <w:pPr>
        <w:spacing w:line="259" w:lineRule="auto"/>
        <w:rPr>
          <w:rFonts w:hint="default" w:ascii="Calibri" w:hAnsi="Calibri" w:eastAsia="宋体" w:cs="Times New Roman"/>
          <w:lang w:val="en-US" w:eastAsia="zh-CN"/>
        </w:rPr>
      </w:pPr>
    </w:p>
    <w:p>
      <w:pPr>
        <w:spacing w:line="259" w:lineRule="auto"/>
        <w:rPr>
          <w:rFonts w:hint="eastAsia" w:ascii="Calibri" w:hAnsi="Calibri" w:eastAsia="宋体" w:cs="Times New Roman"/>
          <w:lang w:val="en-IN" w:eastAsia="zh-CN"/>
        </w:rPr>
      </w:pPr>
      <w:r>
        <w:rPr>
          <w:rFonts w:hint="eastAsia" w:ascii="Calibri" w:hAnsi="Calibri" w:eastAsia="宋体" w:cs="Times New Roman"/>
          <w:lang w:val="en-IN" w:eastAsia="zh-CN"/>
        </w:rPr>
        <w:drawing>
          <wp:inline distT="0" distB="0" distL="114300" distR="114300">
            <wp:extent cx="3629025" cy="3097530"/>
            <wp:effectExtent l="0" t="0" r="9525" b="7620"/>
            <wp:docPr id="3" name="图片 3" descr="1703262349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03262349666"/>
                    <pic:cNvPicPr>
                      <a:picLocks noChangeAspect="1"/>
                    </pic:cNvPicPr>
                  </pic:nvPicPr>
                  <pic:blipFill>
                    <a:blip r:embed="rId19"/>
                    <a:stretch>
                      <a:fillRect/>
                    </a:stretch>
                  </pic:blipFill>
                  <pic:spPr>
                    <a:xfrm>
                      <a:off x="0" y="0"/>
                      <a:ext cx="3629025" cy="3097530"/>
                    </a:xfrm>
                    <a:prstGeom prst="rect">
                      <a:avLst/>
                    </a:prstGeom>
                  </pic:spPr>
                </pic:pic>
              </a:graphicData>
            </a:graphic>
          </wp:inline>
        </w:drawing>
      </w:r>
      <w:r>
        <w:rPr>
          <w:rFonts w:hint="eastAsia" w:ascii="Calibri" w:hAnsi="Calibri" w:eastAsia="宋体" w:cs="Times New Roman"/>
          <w:lang w:val="en-IN" w:eastAsia="zh-CN"/>
        </w:rPr>
        <w:drawing>
          <wp:inline distT="0" distB="0" distL="114300" distR="114300">
            <wp:extent cx="3619500" cy="5611495"/>
            <wp:effectExtent l="0" t="0" r="0" b="8255"/>
            <wp:docPr id="4" name="图片 4" descr="1703262365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703262365961"/>
                    <pic:cNvPicPr>
                      <a:picLocks noChangeAspect="1"/>
                    </pic:cNvPicPr>
                  </pic:nvPicPr>
                  <pic:blipFill>
                    <a:blip r:embed="rId20"/>
                    <a:stretch>
                      <a:fillRect/>
                    </a:stretch>
                  </pic:blipFill>
                  <pic:spPr>
                    <a:xfrm>
                      <a:off x="0" y="0"/>
                      <a:ext cx="3619500" cy="5611495"/>
                    </a:xfrm>
                    <a:prstGeom prst="rect">
                      <a:avLst/>
                    </a:prstGeom>
                  </pic:spPr>
                </pic:pic>
              </a:graphicData>
            </a:graphic>
          </wp:inline>
        </w:drawing>
      </w:r>
    </w:p>
    <w:p>
      <w:pPr>
        <w:spacing w:line="259" w:lineRule="auto"/>
        <w:rPr>
          <w:rFonts w:hint="eastAsia" w:ascii="Calibri" w:hAnsi="Calibri" w:eastAsia="宋体" w:cs="Times New Roman"/>
          <w:lang w:val="en-IN" w:eastAsia="zh-CN"/>
        </w:rPr>
      </w:pPr>
      <w:r>
        <w:rPr>
          <w:rFonts w:hint="eastAsia" w:ascii="Calibri" w:hAnsi="Calibri" w:eastAsia="宋体" w:cs="Times New Roman"/>
          <w:lang w:val="en-IN" w:eastAsia="zh-CN"/>
        </w:rPr>
        <w:drawing>
          <wp:inline distT="0" distB="0" distL="114300" distR="114300">
            <wp:extent cx="3514725" cy="2305050"/>
            <wp:effectExtent l="0" t="0" r="9525" b="0"/>
            <wp:docPr id="5" name="图片 5" descr="1703262375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703262375921"/>
                    <pic:cNvPicPr>
                      <a:picLocks noChangeAspect="1"/>
                    </pic:cNvPicPr>
                  </pic:nvPicPr>
                  <pic:blipFill>
                    <a:blip r:embed="rId21"/>
                    <a:stretch>
                      <a:fillRect/>
                    </a:stretch>
                  </pic:blipFill>
                  <pic:spPr>
                    <a:xfrm>
                      <a:off x="0" y="0"/>
                      <a:ext cx="3514725" cy="2305050"/>
                    </a:xfrm>
                    <a:prstGeom prst="rect">
                      <a:avLst/>
                    </a:prstGeom>
                  </pic:spPr>
                </pic:pic>
              </a:graphicData>
            </a:graphic>
          </wp:inline>
        </w:drawing>
      </w:r>
    </w:p>
    <w:p>
      <w:pPr>
        <w:spacing w:line="259" w:lineRule="auto"/>
        <w:rPr>
          <w:rFonts w:hint="eastAsia" w:ascii="Calibri" w:hAnsi="Calibri" w:eastAsia="宋体" w:cs="Times New Roman"/>
          <w:lang w:val="en-IN" w:eastAsia="zh-CN"/>
        </w:rPr>
      </w:pPr>
      <w:r>
        <w:rPr>
          <w:rFonts w:hint="eastAsia" w:ascii="Calibri" w:hAnsi="Calibri" w:eastAsia="宋体" w:cs="Times New Roman"/>
          <w:lang w:val="en-IN" w:eastAsia="zh-CN"/>
        </w:rPr>
        <w:drawing>
          <wp:inline distT="0" distB="0" distL="114300" distR="114300">
            <wp:extent cx="3362325" cy="6046470"/>
            <wp:effectExtent l="0" t="0" r="9525" b="11430"/>
            <wp:docPr id="6" name="图片 6" descr="1703262386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703262386503"/>
                    <pic:cNvPicPr>
                      <a:picLocks noChangeAspect="1"/>
                    </pic:cNvPicPr>
                  </pic:nvPicPr>
                  <pic:blipFill>
                    <a:blip r:embed="rId22"/>
                    <a:stretch>
                      <a:fillRect/>
                    </a:stretch>
                  </pic:blipFill>
                  <pic:spPr>
                    <a:xfrm>
                      <a:off x="0" y="0"/>
                      <a:ext cx="3362325" cy="6046470"/>
                    </a:xfrm>
                    <a:prstGeom prst="rect">
                      <a:avLst/>
                    </a:prstGeom>
                  </pic:spPr>
                </pic:pic>
              </a:graphicData>
            </a:graphic>
          </wp:inline>
        </w:drawing>
      </w:r>
    </w:p>
    <w:p>
      <w:pPr>
        <w:spacing w:line="259" w:lineRule="auto"/>
        <w:rPr>
          <w:rFonts w:hint="eastAsia" w:ascii="Calibri" w:hAnsi="Calibri" w:eastAsia="宋体" w:cs="Times New Roman"/>
          <w:lang w:val="en-IN" w:eastAsia="zh-CN"/>
        </w:rPr>
      </w:pPr>
    </w:p>
    <w:p>
      <w:pPr>
        <w:spacing w:line="259" w:lineRule="auto"/>
        <w:rPr>
          <w:rFonts w:hint="eastAsia" w:ascii="Calibri" w:hAnsi="Calibri" w:eastAsia="宋体" w:cs="Times New Roman"/>
          <w:lang w:val="en-IN" w:eastAsia="zh-CN"/>
        </w:rPr>
      </w:pPr>
      <w:r>
        <w:rPr>
          <w:rFonts w:hint="eastAsia" w:ascii="Calibri" w:hAnsi="Calibri" w:eastAsia="宋体" w:cs="Times New Roman"/>
          <w:lang w:val="en-IN" w:eastAsia="zh-CN"/>
        </w:rPr>
        <w:drawing>
          <wp:inline distT="0" distB="0" distL="114300" distR="114300">
            <wp:extent cx="3724275" cy="3886200"/>
            <wp:effectExtent l="0" t="0" r="9525" b="0"/>
            <wp:docPr id="7" name="图片 7" descr="1703262398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703262398226"/>
                    <pic:cNvPicPr>
                      <a:picLocks noChangeAspect="1"/>
                    </pic:cNvPicPr>
                  </pic:nvPicPr>
                  <pic:blipFill>
                    <a:blip r:embed="rId23"/>
                    <a:stretch>
                      <a:fillRect/>
                    </a:stretch>
                  </pic:blipFill>
                  <pic:spPr>
                    <a:xfrm>
                      <a:off x="0" y="0"/>
                      <a:ext cx="3724275" cy="3886200"/>
                    </a:xfrm>
                    <a:prstGeom prst="rect">
                      <a:avLst/>
                    </a:prstGeom>
                  </pic:spPr>
                </pic:pic>
              </a:graphicData>
            </a:graphic>
          </wp:inline>
        </w:drawing>
      </w:r>
    </w:p>
    <w:p>
      <w:pPr>
        <w:spacing w:line="259" w:lineRule="auto"/>
        <w:rPr>
          <w:rFonts w:hint="eastAsia" w:ascii="Calibri" w:hAnsi="Calibri" w:eastAsia="宋体" w:cs="Times New Roman"/>
          <w:lang w:val="en-IN" w:eastAsia="zh-CN"/>
        </w:rPr>
      </w:pPr>
    </w:p>
    <w:p>
      <w:pPr>
        <w:spacing w:line="259" w:lineRule="auto"/>
        <w:rPr>
          <w:rFonts w:hint="eastAsia" w:ascii="Calibri" w:hAnsi="Calibri" w:eastAsia="宋体" w:cs="Times New Roman"/>
          <w:lang w:val="en-IN" w:eastAsia="zh-CN"/>
        </w:rPr>
      </w:pPr>
    </w:p>
    <w:p>
      <w:pPr>
        <w:spacing w:line="259" w:lineRule="auto"/>
        <w:rPr>
          <w:rFonts w:hint="eastAsia" w:ascii="Calibri" w:hAnsi="Calibri" w:eastAsia="宋体" w:cs="Times New Roman"/>
          <w:lang w:val="en-IN" w:eastAsia="zh-CN"/>
        </w:rPr>
      </w:pPr>
    </w:p>
    <w:p>
      <w:pPr>
        <w:spacing w:line="259" w:lineRule="auto"/>
        <w:rPr>
          <w:rFonts w:hint="eastAsia" w:ascii="Calibri" w:hAnsi="Calibri" w:eastAsia="宋体" w:cs="Times New Roman"/>
          <w:lang w:val="en-IN" w:eastAsia="zh-CN"/>
        </w:rPr>
      </w:pPr>
    </w:p>
    <w:p>
      <w:pPr>
        <w:spacing w:line="259" w:lineRule="auto"/>
        <w:rPr>
          <w:rFonts w:hint="eastAsia" w:ascii="Calibri" w:hAnsi="Calibri" w:eastAsia="宋体" w:cs="Times New Roman"/>
          <w:lang w:val="en-IN" w:eastAsia="zh-CN"/>
        </w:rPr>
      </w:pPr>
    </w:p>
    <w:p>
      <w:pPr>
        <w:spacing w:line="259" w:lineRule="auto"/>
        <w:rPr>
          <w:rFonts w:hint="eastAsia" w:ascii="Calibri" w:hAnsi="Calibri" w:eastAsia="宋体" w:cs="Times New Roman"/>
          <w:lang w:val="en-IN" w:eastAsia="zh-CN"/>
        </w:rPr>
      </w:pPr>
    </w:p>
    <w:p>
      <w:pPr>
        <w:spacing w:line="259" w:lineRule="auto"/>
        <w:rPr>
          <w:rFonts w:hint="eastAsia" w:ascii="Calibri" w:hAnsi="Calibri" w:eastAsia="宋体" w:cs="Times New Roman"/>
          <w:lang w:val="en-IN" w:eastAsia="zh-CN"/>
        </w:rPr>
      </w:pPr>
    </w:p>
    <w:p>
      <w:pPr>
        <w:spacing w:line="259" w:lineRule="auto"/>
        <w:rPr>
          <w:rFonts w:hint="eastAsia" w:ascii="Calibri" w:hAnsi="Calibri" w:eastAsia="宋体" w:cs="Times New Roman"/>
          <w:lang w:val="en-IN" w:eastAsia="zh-CN"/>
        </w:rPr>
      </w:pPr>
    </w:p>
    <w:p>
      <w:pPr>
        <w:spacing w:line="259" w:lineRule="auto"/>
        <w:rPr>
          <w:rFonts w:hint="eastAsia" w:ascii="Calibri" w:hAnsi="Calibri" w:eastAsia="宋体" w:cs="Times New Roman"/>
          <w:lang w:val="en-IN" w:eastAsia="zh-CN"/>
        </w:rPr>
      </w:pPr>
    </w:p>
    <w:p>
      <w:pPr>
        <w:spacing w:line="259" w:lineRule="auto"/>
        <w:rPr>
          <w:rFonts w:hint="eastAsia" w:ascii="Calibri" w:hAnsi="Calibri" w:eastAsia="宋体" w:cs="Times New Roman"/>
          <w:lang w:val="en-IN" w:eastAsia="zh-CN"/>
        </w:rPr>
      </w:pPr>
    </w:p>
    <w:p>
      <w:pPr>
        <w:spacing w:line="259" w:lineRule="auto"/>
        <w:rPr>
          <w:rFonts w:hint="eastAsia" w:ascii="Calibri" w:hAnsi="Calibri" w:eastAsia="宋体" w:cs="Times New Roman"/>
          <w:lang w:val="en-IN" w:eastAsia="zh-CN"/>
        </w:rPr>
      </w:pPr>
    </w:p>
    <w:p>
      <w:pPr>
        <w:spacing w:line="259" w:lineRule="auto"/>
        <w:rPr>
          <w:rFonts w:hint="eastAsia" w:ascii="Calibri" w:hAnsi="Calibri" w:eastAsia="宋体" w:cs="Times New Roman"/>
          <w:lang w:val="en-IN" w:eastAsia="zh-CN"/>
        </w:rPr>
      </w:pPr>
    </w:p>
    <w:p>
      <w:pPr>
        <w:spacing w:line="259" w:lineRule="auto"/>
        <w:rPr>
          <w:rFonts w:hint="eastAsia" w:ascii="Calibri" w:hAnsi="Calibri" w:eastAsia="宋体" w:cs="Times New Roman"/>
          <w:lang w:val="en-IN" w:eastAsia="zh-CN"/>
        </w:rPr>
      </w:pPr>
    </w:p>
    <w:p>
      <w:pPr>
        <w:spacing w:line="259" w:lineRule="auto"/>
        <w:rPr>
          <w:rFonts w:hint="eastAsia" w:ascii="Calibri" w:hAnsi="Calibri" w:eastAsia="宋体" w:cs="Times New Roman"/>
          <w:lang w:val="en-IN" w:eastAsia="zh-CN"/>
        </w:rPr>
      </w:pPr>
    </w:p>
    <w:p>
      <w:pPr>
        <w:spacing w:line="259" w:lineRule="auto"/>
        <w:rPr>
          <w:rFonts w:hint="eastAsia" w:ascii="Calibri" w:hAnsi="Calibri" w:eastAsia="宋体" w:cs="Times New Roman"/>
          <w:lang w:val="en-IN" w:eastAsia="zh-CN"/>
        </w:rPr>
      </w:pPr>
    </w:p>
    <w:p>
      <w:pPr>
        <w:spacing w:line="259" w:lineRule="auto"/>
        <w:rPr>
          <w:rFonts w:hint="eastAsia" w:ascii="Calibri" w:hAnsi="Calibri" w:eastAsia="宋体" w:cs="Times New Roman"/>
          <w:lang w:val="en-IN" w:eastAsia="zh-CN"/>
        </w:rPr>
      </w:pPr>
    </w:p>
    <w:p>
      <w:pPr>
        <w:spacing w:line="259" w:lineRule="auto"/>
        <w:rPr>
          <w:rFonts w:hint="eastAsia" w:ascii="Calibri" w:hAnsi="Calibri" w:eastAsia="宋体" w:cs="Times New Roman"/>
          <w:lang w:val="en-IN" w:eastAsia="zh-CN"/>
        </w:rPr>
      </w:pPr>
    </w:p>
    <w:p>
      <w:pPr>
        <w:spacing w:line="259" w:lineRule="auto"/>
        <w:rPr>
          <w:rFonts w:hint="eastAsia" w:ascii="Times New Roman" w:hAnsi="Times New Roman" w:eastAsia="Calibri" w:cs="Times New Roman"/>
          <w:b/>
          <w:bCs w:val="0"/>
          <w:szCs w:val="24"/>
          <w:lang w:val="en-US" w:eastAsia="zh-CN"/>
        </w:rPr>
      </w:pPr>
      <w:r>
        <w:rPr>
          <w:rFonts w:hint="eastAsia" w:ascii="Times New Roman" w:hAnsi="Times New Roman" w:eastAsia="Calibri" w:cs="Times New Roman"/>
          <w:b/>
          <w:bCs w:val="0"/>
          <w:szCs w:val="24"/>
          <w:lang w:val="en-US" w:eastAsia="zh-CN"/>
        </w:rPr>
        <w:t>A</w:t>
      </w:r>
      <w:r>
        <w:rPr>
          <w:rFonts w:hint="eastAsia" w:ascii="Times New Roman" w:hAnsi="Times New Roman" w:eastAsia="Calibri" w:cs="Times New Roman"/>
          <w:b/>
          <w:bCs w:val="0"/>
          <w:szCs w:val="24"/>
          <w:lang w:val="en-IN"/>
        </w:rPr>
        <w:t>ppendix</w:t>
      </w:r>
      <w:r>
        <w:rPr>
          <w:rFonts w:hint="eastAsia" w:ascii="Times New Roman" w:hAnsi="Times New Roman" w:eastAsia="Calibri" w:cs="Times New Roman"/>
          <w:b/>
          <w:bCs w:val="0"/>
          <w:szCs w:val="24"/>
          <w:lang w:val="en-US" w:eastAsia="zh-CN"/>
        </w:rPr>
        <w:t xml:space="preserve"> C: Consent form and Information sheet</w:t>
      </w:r>
    </w:p>
    <w:p>
      <w:pPr>
        <w:spacing w:line="259" w:lineRule="auto"/>
        <w:rPr>
          <w:rFonts w:hint="eastAsia" w:ascii="Times New Roman" w:hAnsi="Times New Roman" w:eastAsia="Calibri" w:cs="Times New Roman"/>
          <w:bCs/>
          <w:szCs w:val="24"/>
          <w:lang w:val="en-US" w:eastAsia="zh-CN"/>
        </w:rPr>
      </w:pPr>
      <w:r>
        <w:rPr>
          <w:rFonts w:hint="eastAsia" w:ascii="Times New Roman" w:hAnsi="Times New Roman" w:eastAsia="Calibri" w:cs="Times New Roman"/>
          <w:bCs/>
          <w:szCs w:val="24"/>
          <w:lang w:val="en-US" w:eastAsia="zh-CN"/>
        </w:rPr>
        <w:drawing>
          <wp:inline distT="0" distB="0" distL="114300" distR="114300">
            <wp:extent cx="5725795" cy="6269990"/>
            <wp:effectExtent l="0" t="0" r="8255" b="16510"/>
            <wp:docPr id="15" name="图片 15" descr="1703263229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703263229334"/>
                    <pic:cNvPicPr>
                      <a:picLocks noChangeAspect="1"/>
                    </pic:cNvPicPr>
                  </pic:nvPicPr>
                  <pic:blipFill>
                    <a:blip r:embed="rId24"/>
                    <a:stretch>
                      <a:fillRect/>
                    </a:stretch>
                  </pic:blipFill>
                  <pic:spPr>
                    <a:xfrm>
                      <a:off x="0" y="0"/>
                      <a:ext cx="5725795" cy="6269990"/>
                    </a:xfrm>
                    <a:prstGeom prst="rect">
                      <a:avLst/>
                    </a:prstGeom>
                  </pic:spPr>
                </pic:pic>
              </a:graphicData>
            </a:graphic>
          </wp:inline>
        </w:drawing>
      </w:r>
    </w:p>
    <w:p>
      <w:pPr>
        <w:spacing w:line="259" w:lineRule="auto"/>
        <w:rPr>
          <w:rFonts w:hint="eastAsia" w:ascii="Times New Roman" w:hAnsi="Times New Roman" w:eastAsia="Calibri" w:cs="Times New Roman"/>
          <w:bCs/>
          <w:szCs w:val="24"/>
          <w:lang w:val="en-US" w:eastAsia="zh-CN"/>
        </w:rPr>
      </w:pPr>
      <w:r>
        <w:rPr>
          <w:rFonts w:hint="eastAsia" w:ascii="Times New Roman" w:hAnsi="Times New Roman" w:eastAsia="Calibri" w:cs="Times New Roman"/>
          <w:bCs/>
          <w:szCs w:val="24"/>
          <w:lang w:val="en-US" w:eastAsia="zh-CN"/>
        </w:rPr>
        <w:drawing>
          <wp:inline distT="0" distB="0" distL="114300" distR="114300">
            <wp:extent cx="5019675" cy="7200900"/>
            <wp:effectExtent l="0" t="0" r="9525" b="0"/>
            <wp:docPr id="16" name="图片 16" descr="170326325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703263251796"/>
                    <pic:cNvPicPr>
                      <a:picLocks noChangeAspect="1"/>
                    </pic:cNvPicPr>
                  </pic:nvPicPr>
                  <pic:blipFill>
                    <a:blip r:embed="rId25"/>
                    <a:stretch>
                      <a:fillRect/>
                    </a:stretch>
                  </pic:blipFill>
                  <pic:spPr>
                    <a:xfrm>
                      <a:off x="0" y="0"/>
                      <a:ext cx="5019675" cy="7200900"/>
                    </a:xfrm>
                    <a:prstGeom prst="rect">
                      <a:avLst/>
                    </a:prstGeom>
                  </pic:spPr>
                </pic:pic>
              </a:graphicData>
            </a:graphic>
          </wp:inline>
        </w:drawing>
      </w:r>
    </w:p>
    <w:p>
      <w:pPr>
        <w:spacing w:line="360" w:lineRule="auto"/>
        <w:rPr>
          <w:rFonts w:ascii="Times New Roman" w:hAnsi="Times New Roman" w:cs="Times New Roman"/>
          <w:sz w:val="24"/>
          <w:szCs w:val="24"/>
        </w:rPr>
      </w:pPr>
    </w:p>
    <w:sectPr>
      <w:headerReference r:id="rId6"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MS PGothic">
    <w:panose1 w:val="020B0600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6" w:lineRule="auto"/>
      </w:pPr>
      <w:r>
        <w:separator/>
      </w:r>
    </w:p>
  </w:footnote>
  <w:footnote w:type="continuationSeparator" w:id="1">
    <w:p>
      <w:pPr>
        <w:spacing w:before="0" w:after="0" w:line="25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81747100"/>
      <w:docPartObj>
        <w:docPartGallery w:val="autotext"/>
      </w:docPartObj>
    </w:sdtPr>
    <w:sdtEndPr>
      <w:rPr>
        <w:rFonts w:ascii="Times New Roman" w:hAnsi="Times New Roman" w:cs="Times New Roman"/>
        <w:sz w:val="24"/>
        <w:szCs w:val="24"/>
      </w:rPr>
    </w:sdtEndPr>
    <w:sdtContent>
      <w:p>
        <w:pPr>
          <w:pStyle w:val="7"/>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p>
    </w:sdtContent>
  </w:sdt>
  <w:p>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gwN2ZiMmY4MzI0OTcyODM3NjM5Y2I3NTcxMmRkOGYifQ=="/>
  </w:docVars>
  <w:rsids>
    <w:rsidRoot w:val="00DC1FF0"/>
    <w:rsid w:val="00014534"/>
    <w:rsid w:val="0015504A"/>
    <w:rsid w:val="002B07EE"/>
    <w:rsid w:val="00334351"/>
    <w:rsid w:val="00364DEB"/>
    <w:rsid w:val="003809CB"/>
    <w:rsid w:val="003A2162"/>
    <w:rsid w:val="003A4F1B"/>
    <w:rsid w:val="0055285E"/>
    <w:rsid w:val="005E7891"/>
    <w:rsid w:val="0064432C"/>
    <w:rsid w:val="0069470A"/>
    <w:rsid w:val="007233A2"/>
    <w:rsid w:val="00761212"/>
    <w:rsid w:val="00A418E6"/>
    <w:rsid w:val="00AC351F"/>
    <w:rsid w:val="00AD114A"/>
    <w:rsid w:val="00B21CDE"/>
    <w:rsid w:val="00C13E7D"/>
    <w:rsid w:val="00D8574B"/>
    <w:rsid w:val="00DC1FF0"/>
    <w:rsid w:val="00EB5B5F"/>
    <w:rsid w:val="00EE04E3"/>
    <w:rsid w:val="51F70922"/>
    <w:rsid w:val="52C24CD6"/>
    <w:rsid w:val="59C92D21"/>
    <w:rsid w:val="60D91A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6" w:lineRule="auto"/>
    </w:pPr>
    <w:rPr>
      <w:rFonts w:asciiTheme="minorHAnsi" w:hAnsiTheme="minorHAnsi" w:eastAsiaTheme="minorHAnsi" w:cstheme="minorBidi"/>
      <w:kern w:val="2"/>
      <w:sz w:val="22"/>
      <w:szCs w:val="22"/>
      <w:lang w:val="en-US" w:eastAsia="en-US" w:bidi="ar-SA"/>
      <w14:ligatures w14:val="standardContextual"/>
    </w:rPr>
  </w:style>
  <w:style w:type="paragraph" w:styleId="2">
    <w:name w:val="heading 1"/>
    <w:basedOn w:val="1"/>
    <w:next w:val="1"/>
    <w:link w:val="25"/>
    <w:autoRedefine/>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link w:val="17"/>
    <w:autoRedefine/>
    <w:qFormat/>
    <w:uiPriority w:val="9"/>
    <w:pPr>
      <w:spacing w:before="100" w:beforeAutospacing="1" w:after="100" w:afterAutospacing="1" w:line="240" w:lineRule="auto"/>
      <w:outlineLvl w:val="1"/>
    </w:pPr>
    <w:rPr>
      <w:rFonts w:ascii="Times New Roman" w:hAnsi="Times New Roman" w:eastAsia="Times New Roman" w:cs="Times New Roman"/>
      <w:b/>
      <w:bCs/>
      <w:kern w:val="0"/>
      <w:sz w:val="36"/>
      <w:szCs w:val="36"/>
      <w14:ligatures w14:val="none"/>
    </w:rPr>
  </w:style>
  <w:style w:type="paragraph" w:styleId="4">
    <w:name w:val="heading 3"/>
    <w:basedOn w:val="1"/>
    <w:next w:val="1"/>
    <w:link w:val="27"/>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2">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5">
    <w:name w:val="toc 3"/>
    <w:basedOn w:val="1"/>
    <w:next w:val="1"/>
    <w:autoRedefine/>
    <w:unhideWhenUsed/>
    <w:qFormat/>
    <w:uiPriority w:val="39"/>
    <w:pPr>
      <w:spacing w:after="100"/>
      <w:ind w:left="440"/>
    </w:pPr>
  </w:style>
  <w:style w:type="paragraph" w:styleId="6">
    <w:name w:val="footer"/>
    <w:basedOn w:val="1"/>
    <w:link w:val="22"/>
    <w:autoRedefine/>
    <w:unhideWhenUsed/>
    <w:qFormat/>
    <w:uiPriority w:val="99"/>
    <w:pPr>
      <w:tabs>
        <w:tab w:val="center" w:pos="4680"/>
        <w:tab w:val="right" w:pos="9360"/>
      </w:tabs>
      <w:spacing w:after="0" w:line="240" w:lineRule="auto"/>
    </w:pPr>
  </w:style>
  <w:style w:type="paragraph" w:styleId="7">
    <w:name w:val="header"/>
    <w:basedOn w:val="1"/>
    <w:link w:val="21"/>
    <w:autoRedefine/>
    <w:unhideWhenUsed/>
    <w:qFormat/>
    <w:uiPriority w:val="99"/>
    <w:pPr>
      <w:tabs>
        <w:tab w:val="center" w:pos="4680"/>
        <w:tab w:val="right" w:pos="9360"/>
      </w:tabs>
      <w:spacing w:after="0" w:line="240" w:lineRule="auto"/>
    </w:pPr>
  </w:style>
  <w:style w:type="paragraph" w:styleId="8">
    <w:name w:val="toc 1"/>
    <w:basedOn w:val="1"/>
    <w:next w:val="1"/>
    <w:autoRedefine/>
    <w:unhideWhenUsed/>
    <w:qFormat/>
    <w:uiPriority w:val="39"/>
  </w:style>
  <w:style w:type="paragraph" w:styleId="9">
    <w:name w:val="toc 2"/>
    <w:basedOn w:val="1"/>
    <w:next w:val="1"/>
    <w:autoRedefine/>
    <w:unhideWhenUsed/>
    <w:qFormat/>
    <w:uiPriority w:val="39"/>
    <w:pPr>
      <w:ind w:left="420" w:leftChars="200"/>
    </w:pPr>
  </w:style>
  <w:style w:type="paragraph" w:styleId="10">
    <w:name w:val="Normal (Web)"/>
    <w:basedOn w:val="1"/>
    <w:autoRedefine/>
    <w:unhideWhenUsed/>
    <w:qFormat/>
    <w:uiPriority w:val="99"/>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13">
    <w:name w:val="Strong"/>
    <w:basedOn w:val="12"/>
    <w:autoRedefine/>
    <w:qFormat/>
    <w:uiPriority w:val="22"/>
    <w:rPr>
      <w:b/>
      <w:bCs/>
    </w:rPr>
  </w:style>
  <w:style w:type="character" w:styleId="14">
    <w:name w:val="FollowedHyperlink"/>
    <w:basedOn w:val="12"/>
    <w:autoRedefine/>
    <w:semiHidden/>
    <w:unhideWhenUsed/>
    <w:qFormat/>
    <w:uiPriority w:val="99"/>
    <w:rPr>
      <w:color w:val="800080"/>
      <w:u w:val="single"/>
    </w:rPr>
  </w:style>
  <w:style w:type="character" w:styleId="15">
    <w:name w:val="Emphasis"/>
    <w:basedOn w:val="12"/>
    <w:autoRedefine/>
    <w:qFormat/>
    <w:uiPriority w:val="20"/>
    <w:rPr>
      <w:i/>
      <w:iCs/>
    </w:rPr>
  </w:style>
  <w:style w:type="character" w:styleId="16">
    <w:name w:val="Hyperlink"/>
    <w:basedOn w:val="12"/>
    <w:autoRedefine/>
    <w:unhideWhenUsed/>
    <w:qFormat/>
    <w:uiPriority w:val="99"/>
    <w:rPr>
      <w:color w:val="0000FF"/>
      <w:u w:val="single"/>
    </w:rPr>
  </w:style>
  <w:style w:type="character" w:customStyle="1" w:styleId="17">
    <w:name w:val="Heading 2 Char"/>
    <w:basedOn w:val="12"/>
    <w:link w:val="3"/>
    <w:autoRedefine/>
    <w:qFormat/>
    <w:uiPriority w:val="9"/>
    <w:rPr>
      <w:rFonts w:ascii="Times New Roman" w:hAnsi="Times New Roman" w:eastAsia="Times New Roman" w:cs="Times New Roman"/>
      <w:b/>
      <w:bCs/>
      <w:kern w:val="0"/>
      <w:sz w:val="36"/>
      <w:szCs w:val="36"/>
      <w14:ligatures w14:val="none"/>
    </w:rPr>
  </w:style>
  <w:style w:type="paragraph" w:customStyle="1" w:styleId="18">
    <w:name w:val="HTML Top of Form"/>
    <w:basedOn w:val="1"/>
    <w:next w:val="1"/>
    <w:link w:val="19"/>
    <w:autoRedefine/>
    <w:semiHidden/>
    <w:unhideWhenUsed/>
    <w:qFormat/>
    <w:uiPriority w:val="99"/>
    <w:pPr>
      <w:pBdr>
        <w:bottom w:val="single" w:color="auto" w:sz="6" w:space="1"/>
      </w:pBdr>
      <w:spacing w:after="0" w:line="240" w:lineRule="auto"/>
      <w:jc w:val="center"/>
    </w:pPr>
    <w:rPr>
      <w:rFonts w:ascii="Arial" w:hAnsi="Arial" w:eastAsia="Times New Roman" w:cs="Arial"/>
      <w:vanish/>
      <w:kern w:val="0"/>
      <w:sz w:val="16"/>
      <w:szCs w:val="16"/>
      <w14:ligatures w14:val="none"/>
    </w:rPr>
  </w:style>
  <w:style w:type="character" w:customStyle="1" w:styleId="19">
    <w:name w:val="z-Top of Form Char"/>
    <w:basedOn w:val="12"/>
    <w:link w:val="18"/>
    <w:autoRedefine/>
    <w:semiHidden/>
    <w:qFormat/>
    <w:uiPriority w:val="99"/>
    <w:rPr>
      <w:rFonts w:ascii="Arial" w:hAnsi="Arial" w:eastAsia="Times New Roman" w:cs="Arial"/>
      <w:vanish/>
      <w:kern w:val="0"/>
      <w:sz w:val="16"/>
      <w:szCs w:val="16"/>
      <w14:ligatures w14:val="none"/>
    </w:rPr>
  </w:style>
  <w:style w:type="paragraph" w:styleId="20">
    <w:name w:val="List Paragraph"/>
    <w:basedOn w:val="1"/>
    <w:autoRedefine/>
    <w:qFormat/>
    <w:uiPriority w:val="34"/>
    <w:pPr>
      <w:ind w:left="720"/>
      <w:contextualSpacing/>
    </w:pPr>
  </w:style>
  <w:style w:type="character" w:customStyle="1" w:styleId="21">
    <w:name w:val="Header Char"/>
    <w:basedOn w:val="12"/>
    <w:link w:val="7"/>
    <w:autoRedefine/>
    <w:qFormat/>
    <w:uiPriority w:val="99"/>
  </w:style>
  <w:style w:type="character" w:customStyle="1" w:styleId="22">
    <w:name w:val="Footer Char"/>
    <w:basedOn w:val="12"/>
    <w:link w:val="6"/>
    <w:autoRedefine/>
    <w:qFormat/>
    <w:uiPriority w:val="99"/>
  </w:style>
  <w:style w:type="paragraph" w:customStyle="1" w:styleId="23">
    <w:name w:val="msonormal"/>
    <w:basedOn w:val="1"/>
    <w:autoRedefine/>
    <w:qFormat/>
    <w:uiPriority w:val="0"/>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paragraph" w:customStyle="1" w:styleId="24">
    <w:name w:val="z-Top of Form1"/>
    <w:basedOn w:val="1"/>
    <w:next w:val="1"/>
    <w:autoRedefine/>
    <w:semiHidden/>
    <w:qFormat/>
    <w:uiPriority w:val="99"/>
    <w:pPr>
      <w:pBdr>
        <w:bottom w:val="single" w:color="auto" w:sz="6" w:space="1"/>
      </w:pBdr>
      <w:spacing w:after="0" w:line="240" w:lineRule="auto"/>
      <w:jc w:val="center"/>
    </w:pPr>
    <w:rPr>
      <w:rFonts w:ascii="Arial" w:hAnsi="Arial" w:eastAsia="Times New Roman" w:cs="Arial"/>
      <w:vanish/>
      <w:kern w:val="0"/>
      <w:sz w:val="16"/>
      <w:szCs w:val="16"/>
      <w14:ligatures w14:val="none"/>
    </w:rPr>
  </w:style>
  <w:style w:type="character" w:customStyle="1" w:styleId="25">
    <w:name w:val="Heading 1 Char"/>
    <w:basedOn w:val="12"/>
    <w:link w:val="2"/>
    <w:autoRedefine/>
    <w:qFormat/>
    <w:uiPriority w:val="9"/>
    <w:rPr>
      <w:rFonts w:asciiTheme="majorHAnsi" w:hAnsiTheme="majorHAnsi" w:eastAsiaTheme="majorEastAsia" w:cstheme="majorBidi"/>
      <w:color w:val="2F5597" w:themeColor="accent1" w:themeShade="BF"/>
      <w:sz w:val="32"/>
      <w:szCs w:val="32"/>
    </w:rPr>
  </w:style>
  <w:style w:type="paragraph" w:customStyle="1" w:styleId="26">
    <w:name w:val="TOC Heading"/>
    <w:basedOn w:val="2"/>
    <w:next w:val="1"/>
    <w:autoRedefine/>
    <w:unhideWhenUsed/>
    <w:qFormat/>
    <w:uiPriority w:val="39"/>
    <w:pPr>
      <w:spacing w:line="259" w:lineRule="auto"/>
      <w:outlineLvl w:val="9"/>
    </w:pPr>
    <w:rPr>
      <w:kern w:val="0"/>
      <w14:ligatures w14:val="none"/>
    </w:rPr>
  </w:style>
  <w:style w:type="character" w:customStyle="1" w:styleId="27">
    <w:name w:val="Heading 3 Char"/>
    <w:basedOn w:val="12"/>
    <w:link w:val="4"/>
    <w:autoRedefine/>
    <w:qFormat/>
    <w:uiPriority w:val="9"/>
    <w:rPr>
      <w:rFonts w:asciiTheme="majorHAnsi" w:hAnsiTheme="majorHAnsi" w:eastAsiaTheme="majorEastAsia" w:cstheme="majorBidi"/>
      <w:color w:val="203864" w:themeColor="accent1" w:themeShade="8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customXml" Target="../customXml/item1.xml"/><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r>
              <a:rPr lang="en-US"/>
              <a:t>Engagement</a:t>
            </a:r>
            <a:r>
              <a:rPr lang="en-US" baseline="0"/>
              <a:t> Level</a:t>
            </a:r>
            <a:endParaRPr lang="en-US"/>
          </a:p>
        </c:rich>
      </c:tx>
      <c:layout/>
      <c:overlay val="0"/>
      <c:spPr>
        <a:noFill/>
        <a:ln>
          <a:noFill/>
        </a:ln>
        <a:effectLst/>
      </c:spPr>
    </c:title>
    <c:autoTitleDeleted val="0"/>
    <c:plotArea>
      <c:layout/>
      <c:lineChart>
        <c:grouping val="standard"/>
        <c:varyColors val="0"/>
        <c:ser>
          <c:idx val="0"/>
          <c:order val="0"/>
          <c:tx>
            <c:strRef>
              <c:f>[Book1]Sheet1!$B$34</c:f>
              <c:strCache>
                <c:ptCount val="1"/>
                <c:pt idx="0">
                  <c:v>High</c:v>
                </c:pt>
              </c:strCache>
            </c:strRef>
          </c:tx>
          <c:spPr>
            <a:ln w="28575" cap="rnd">
              <a:solidFill>
                <a:schemeClr val="accent1"/>
              </a:solidFill>
              <a:round/>
            </a:ln>
            <a:effectLst/>
          </c:spPr>
          <c:marker>
            <c:symbol val="none"/>
          </c:marker>
          <c:dLbls>
            <c:delete val="1"/>
          </c:dLbls>
          <c:cat>
            <c:strRef>
              <c:f>[Book1]Sheet1!$C$33:$E$33</c:f>
              <c:strCache>
                <c:ptCount val="3"/>
                <c:pt idx="0">
                  <c:v>Percentage of Participants</c:v>
                </c:pt>
                <c:pt idx="1">
                  <c:v>Average GPA</c:v>
                </c:pt>
                <c:pt idx="2">
                  <c:v>Pass Rate</c:v>
                </c:pt>
              </c:strCache>
            </c:strRef>
          </c:cat>
          <c:val>
            <c:numRef>
              <c:f>[Book1]Sheet1!$C$34:$E$34</c:f>
              <c:numCache>
                <c:formatCode>0%</c:formatCode>
                <c:ptCount val="3"/>
                <c:pt idx="0">
                  <c:v>0.85</c:v>
                </c:pt>
                <c:pt idx="1" c:formatCode="General">
                  <c:v>3.8</c:v>
                </c:pt>
                <c:pt idx="2">
                  <c:v>0.95</c:v>
                </c:pt>
              </c:numCache>
            </c:numRef>
          </c:val>
          <c:smooth val="0"/>
        </c:ser>
        <c:ser>
          <c:idx val="1"/>
          <c:order val="1"/>
          <c:tx>
            <c:strRef>
              <c:f>[Book1]Sheet1!$B$35</c:f>
              <c:strCache>
                <c:ptCount val="1"/>
                <c:pt idx="0">
                  <c:v>Moderate</c:v>
                </c:pt>
              </c:strCache>
            </c:strRef>
          </c:tx>
          <c:spPr>
            <a:ln w="28575" cap="rnd">
              <a:solidFill>
                <a:schemeClr val="accent2"/>
              </a:solidFill>
              <a:round/>
            </a:ln>
            <a:effectLst/>
          </c:spPr>
          <c:marker>
            <c:symbol val="none"/>
          </c:marker>
          <c:dLbls>
            <c:delete val="1"/>
          </c:dLbls>
          <c:cat>
            <c:strRef>
              <c:f>[Book1]Sheet1!$C$33:$E$33</c:f>
              <c:strCache>
                <c:ptCount val="3"/>
                <c:pt idx="0">
                  <c:v>Percentage of Participants</c:v>
                </c:pt>
                <c:pt idx="1">
                  <c:v>Average GPA</c:v>
                </c:pt>
                <c:pt idx="2">
                  <c:v>Pass Rate</c:v>
                </c:pt>
              </c:strCache>
            </c:strRef>
          </c:cat>
          <c:val>
            <c:numRef>
              <c:f>[Book1]Sheet1!$C$35:$E$35</c:f>
              <c:numCache>
                <c:formatCode>0%</c:formatCode>
                <c:ptCount val="3"/>
                <c:pt idx="0">
                  <c:v>0.15</c:v>
                </c:pt>
                <c:pt idx="1" c:formatCode="General">
                  <c:v>3.5</c:v>
                </c:pt>
                <c:pt idx="2">
                  <c:v>0.85</c:v>
                </c:pt>
              </c:numCache>
            </c:numRef>
          </c:val>
          <c:smooth val="0"/>
        </c:ser>
        <c:ser>
          <c:idx val="2"/>
          <c:order val="2"/>
          <c:tx>
            <c:strRef>
              <c:f>[Book1]Sheet1!$B$36</c:f>
              <c:strCache>
                <c:ptCount val="1"/>
                <c:pt idx="0">
                  <c:v>Low</c:v>
                </c:pt>
              </c:strCache>
            </c:strRef>
          </c:tx>
          <c:spPr>
            <a:ln w="28575" cap="rnd">
              <a:solidFill>
                <a:schemeClr val="accent3"/>
              </a:solidFill>
              <a:round/>
            </a:ln>
            <a:effectLst/>
          </c:spPr>
          <c:marker>
            <c:symbol val="none"/>
          </c:marker>
          <c:dLbls>
            <c:delete val="1"/>
          </c:dLbls>
          <c:cat>
            <c:strRef>
              <c:f>[Book1]Sheet1!$C$33:$E$33</c:f>
              <c:strCache>
                <c:ptCount val="3"/>
                <c:pt idx="0">
                  <c:v>Percentage of Participants</c:v>
                </c:pt>
                <c:pt idx="1">
                  <c:v>Average GPA</c:v>
                </c:pt>
                <c:pt idx="2">
                  <c:v>Pass Rate</c:v>
                </c:pt>
              </c:strCache>
            </c:strRef>
          </c:cat>
          <c:val>
            <c:numRef>
              <c:f>[Book1]Sheet1!$C$36:$E$36</c:f>
              <c:numCache>
                <c:formatCode>0%</c:formatCode>
                <c:ptCount val="3"/>
                <c:pt idx="0">
                  <c:v>0</c:v>
                </c:pt>
                <c:pt idx="1" c:formatCode="General">
                  <c:v>2.5</c:v>
                </c:pt>
                <c:pt idx="2">
                  <c:v>0.6</c:v>
                </c:pt>
              </c:numCache>
            </c:numRef>
          </c:val>
          <c:smooth val="0"/>
        </c:ser>
        <c:dLbls>
          <c:showLegendKey val="0"/>
          <c:showVal val="0"/>
          <c:showCatName val="0"/>
          <c:showSerName val="0"/>
          <c:showPercent val="0"/>
          <c:showBubbleSize val="0"/>
        </c:dLbls>
        <c:marker val="0"/>
        <c:smooth val="0"/>
        <c:axId val="-2112567600"/>
        <c:axId val="-2112570864"/>
      </c:lineChart>
      <c:catAx>
        <c:axId val="-2112567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12570864"/>
        <c:crosses val="autoZero"/>
        <c:auto val="1"/>
        <c:lblAlgn val="ctr"/>
        <c:lblOffset val="100"/>
        <c:noMultiLvlLbl val="0"/>
      </c:catAx>
      <c:valAx>
        <c:axId val="-21125708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1256760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r>
              <a:rPr lang="en-US"/>
              <a:t>Key</a:t>
            </a:r>
            <a:r>
              <a:rPr lang="en-US" baseline="0"/>
              <a:t> Findings</a:t>
            </a:r>
            <a:endParaRPr lang="en-US"/>
          </a:p>
        </c:rich>
      </c:tx>
      <c:layout/>
      <c:overlay val="0"/>
      <c:spPr>
        <a:noFill/>
        <a:ln>
          <a:noFill/>
        </a:ln>
        <a:effectLst/>
      </c:spPr>
    </c:title>
    <c:autoTitleDeleted val="0"/>
    <c:plotArea>
      <c:layout/>
      <c:lineChart>
        <c:grouping val="standard"/>
        <c:varyColors val="0"/>
        <c:ser>
          <c:idx val="0"/>
          <c:order val="0"/>
          <c:tx>
            <c:strRef>
              <c:f>[Book1]Sheet1!$C$2:$C$3</c:f>
              <c:strCache>
                <c:ptCount val="1"/>
                <c:pt idx="0">
                  <c:v>Percentage of Students (%)</c:v>
                </c:pt>
              </c:strCache>
            </c:strRef>
          </c:tx>
          <c:spPr>
            <a:ln w="28575" cap="rnd">
              <a:solidFill>
                <a:schemeClr val="accent1"/>
              </a:solidFill>
              <a:round/>
            </a:ln>
            <a:effectLst/>
          </c:spPr>
          <c:marker>
            <c:symbol val="none"/>
          </c:marker>
          <c:dLbls>
            <c:delete val="1"/>
          </c:dLbls>
          <c:cat>
            <c:strRef>
              <c:f>[Book1]Sheet1!$B$4:$B$23</c:f>
              <c:strCache>
                <c:ptCount val="20"/>
                <c:pt idx="0">
                  <c:v>Respect for Authority</c:v>
                </c:pt>
                <c:pt idx="1">
                  <c:v>Emphasis on Diligence</c:v>
                </c:pt>
                <c:pt idx="2">
                  <c:v>Prioritizing Collective Focus</c:v>
                </c:pt>
                <c:pt idx="3">
                  <c:v>Cultural and Linguistic Factors</c:v>
                </c:pt>
                <c:pt idx="4">
                  <c:v>Impact on Engagement Levels</c:v>
                </c:pt>
                <c:pt idx="5">
                  <c:v>Desire for Culturally Responsive Teaching</c:v>
                </c:pt>
                <c:pt idx="6">
                  <c:v>Tension Between Tradition and Innovation</c:v>
                </c:pt>
                <c:pt idx="7">
                  <c:v>Factors Contributing to Engagement</c:v>
                </c:pt>
                <c:pt idx="8">
                  <c:v>Educators' Agreement on Multifaceted Nature of Student Engagement</c:v>
                </c:pt>
                <c:pt idx="9">
                  <c:v>Overall Implications</c:v>
                </c:pt>
                <c:pt idx="10">
                  <c:v>Complexity of Student Engagement</c:v>
                </c:pt>
                <c:pt idx="11">
                  <c:v>Need for Delicate Balance</c:v>
                </c:pt>
                <c:pt idx="12">
                  <c:v>Broader Discourse</c:v>
                </c:pt>
                <c:pt idx="13">
                  <c:v>Context of English Language Teaching</c:v>
                </c:pt>
                <c:pt idx="14">
                  <c:v>Chinese University Setting</c:v>
                </c:pt>
                <c:pt idx="15">
                  <c:v>Contribution to Literature</c:v>
                </c:pt>
                <c:pt idx="16">
                  <c:v>Depth and Nuance</c:v>
                </c:pt>
                <c:pt idx="17">
                  <c:v>Reflections and Recommendations</c:v>
                </c:pt>
                <c:pt idx="18">
                  <c:v>Fostering Engaging and Culturally Enriching Environment</c:v>
                </c:pt>
                <c:pt idx="19">
                  <c:v>Balancing Tradition and Innovation</c:v>
                </c:pt>
              </c:strCache>
            </c:strRef>
          </c:cat>
          <c:val>
            <c:numRef>
              <c:f>[Book1]Sheet1!$C$4:$C$23</c:f>
              <c:numCache>
                <c:formatCode>General</c:formatCode>
                <c:ptCount val="20"/>
                <c:pt idx="0">
                  <c:v>80</c:v>
                </c:pt>
                <c:pt idx="1">
                  <c:v>70</c:v>
                </c:pt>
                <c:pt idx="2">
                  <c:v>65</c:v>
                </c:pt>
                <c:pt idx="4">
                  <c:v>60</c:v>
                </c:pt>
                <c:pt idx="5">
                  <c:v>75</c:v>
                </c:pt>
                <c:pt idx="6">
                  <c:v>55</c:v>
                </c:pt>
                <c:pt idx="7">
                  <c:v>0</c:v>
                </c:pt>
                <c:pt idx="8">
                  <c:v>90</c:v>
                </c:pt>
                <c:pt idx="10">
                  <c:v>85</c:v>
                </c:pt>
                <c:pt idx="11">
                  <c:v>75</c:v>
                </c:pt>
                <c:pt idx="13">
                  <c:v>70</c:v>
                </c:pt>
                <c:pt idx="14">
                  <c:v>80</c:v>
                </c:pt>
                <c:pt idx="16">
                  <c:v>95</c:v>
                </c:pt>
                <c:pt idx="18">
                  <c:v>85</c:v>
                </c:pt>
                <c:pt idx="19">
                  <c:v>80</c:v>
                </c:pt>
              </c:numCache>
            </c:numRef>
          </c:val>
          <c:smooth val="0"/>
        </c:ser>
        <c:ser>
          <c:idx val="1"/>
          <c:order val="1"/>
          <c:tx>
            <c:strRef>
              <c:f>[Book1]Sheet1!$D$2:$D$3</c:f>
              <c:strCache>
                <c:ptCount val="1"/>
                <c:pt idx="0">
                  <c:v>Percentage of Educators (%)</c:v>
                </c:pt>
              </c:strCache>
            </c:strRef>
          </c:tx>
          <c:spPr>
            <a:ln w="28575" cap="rnd">
              <a:solidFill>
                <a:schemeClr val="accent2"/>
              </a:solidFill>
              <a:round/>
            </a:ln>
            <a:effectLst/>
          </c:spPr>
          <c:marker>
            <c:symbol val="none"/>
          </c:marker>
          <c:dLbls>
            <c:delete val="1"/>
          </c:dLbls>
          <c:cat>
            <c:strRef>
              <c:f>[Book1]Sheet1!$B$4:$B$23</c:f>
              <c:strCache>
                <c:ptCount val="20"/>
                <c:pt idx="0">
                  <c:v>Respect for Authority</c:v>
                </c:pt>
                <c:pt idx="1">
                  <c:v>Emphasis on Diligence</c:v>
                </c:pt>
                <c:pt idx="2">
                  <c:v>Prioritizing Collective Focus</c:v>
                </c:pt>
                <c:pt idx="3">
                  <c:v>Cultural and Linguistic Factors</c:v>
                </c:pt>
                <c:pt idx="4">
                  <c:v>Impact on Engagement Levels</c:v>
                </c:pt>
                <c:pt idx="5">
                  <c:v>Desire for Culturally Responsive Teaching</c:v>
                </c:pt>
                <c:pt idx="6">
                  <c:v>Tension Between Tradition and Innovation</c:v>
                </c:pt>
                <c:pt idx="7">
                  <c:v>Factors Contributing to Engagement</c:v>
                </c:pt>
                <c:pt idx="8">
                  <c:v>Educators' Agreement on Multifaceted Nature of Student Engagement</c:v>
                </c:pt>
                <c:pt idx="9">
                  <c:v>Overall Implications</c:v>
                </c:pt>
                <c:pt idx="10">
                  <c:v>Complexity of Student Engagement</c:v>
                </c:pt>
                <c:pt idx="11">
                  <c:v>Need for Delicate Balance</c:v>
                </c:pt>
                <c:pt idx="12">
                  <c:v>Broader Discourse</c:v>
                </c:pt>
                <c:pt idx="13">
                  <c:v>Context of English Language Teaching</c:v>
                </c:pt>
                <c:pt idx="14">
                  <c:v>Chinese University Setting</c:v>
                </c:pt>
                <c:pt idx="15">
                  <c:v>Contribution to Literature</c:v>
                </c:pt>
                <c:pt idx="16">
                  <c:v>Depth and Nuance</c:v>
                </c:pt>
                <c:pt idx="17">
                  <c:v>Reflections and Recommendations</c:v>
                </c:pt>
                <c:pt idx="18">
                  <c:v>Fostering Engaging and Culturally Enriching Environment</c:v>
                </c:pt>
                <c:pt idx="19">
                  <c:v>Balancing Tradition and Innovation</c:v>
                </c:pt>
              </c:strCache>
            </c:strRef>
          </c:cat>
          <c:val>
            <c:numRef>
              <c:f>[Book1]Sheet1!$D$4:$D$23</c:f>
              <c:numCache>
                <c:formatCode>General</c:formatCode>
                <c:ptCount val="20"/>
                <c:pt idx="0">
                  <c:v>85</c:v>
                </c:pt>
                <c:pt idx="1">
                  <c:v>75</c:v>
                </c:pt>
                <c:pt idx="2">
                  <c:v>70</c:v>
                </c:pt>
                <c:pt idx="4">
                  <c:v>65</c:v>
                </c:pt>
                <c:pt idx="5">
                  <c:v>80</c:v>
                </c:pt>
                <c:pt idx="6">
                  <c:v>60</c:v>
                </c:pt>
                <c:pt idx="7">
                  <c:v>65</c:v>
                </c:pt>
                <c:pt idx="10">
                  <c:v>90</c:v>
                </c:pt>
                <c:pt idx="11">
                  <c:v>80</c:v>
                </c:pt>
                <c:pt idx="13">
                  <c:v>75</c:v>
                </c:pt>
                <c:pt idx="14">
                  <c:v>85</c:v>
                </c:pt>
                <c:pt idx="16">
                  <c:v>100</c:v>
                </c:pt>
                <c:pt idx="18">
                  <c:v>90</c:v>
                </c:pt>
                <c:pt idx="19">
                  <c:v>85</c:v>
                </c:pt>
              </c:numCache>
            </c:numRef>
          </c:val>
          <c:smooth val="0"/>
        </c:ser>
        <c:dLbls>
          <c:showLegendKey val="0"/>
          <c:showVal val="0"/>
          <c:showCatName val="0"/>
          <c:showSerName val="0"/>
          <c:showPercent val="0"/>
          <c:showBubbleSize val="0"/>
        </c:dLbls>
        <c:marker val="0"/>
        <c:smooth val="0"/>
        <c:axId val="-2112569776"/>
        <c:axId val="-2112570864"/>
      </c:lineChart>
      <c:catAx>
        <c:axId val="-2112569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12570864"/>
        <c:crosses val="autoZero"/>
        <c:auto val="1"/>
        <c:lblAlgn val="ctr"/>
        <c:lblOffset val="100"/>
        <c:noMultiLvlLbl val="0"/>
      </c:catAx>
      <c:valAx>
        <c:axId val="-2112570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1256977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zh-CN" sz="1400" b="1" i="0" u="none" strike="noStrike" kern="1200" cap="none" baseline="0">
                <a:solidFill>
                  <a:schemeClr val="lt1">
                    <a:lumMod val="85000"/>
                  </a:schemeClr>
                </a:solidFill>
                <a:latin typeface="+mn-lt"/>
                <a:ea typeface="+mn-ea"/>
                <a:cs typeface="+mn-cs"/>
              </a:defRPr>
            </a:pPr>
            <a:r>
              <a:rPr lang="en-US" altLang="zh-CN"/>
              <a:t>Student </a:t>
            </a:r>
            <a:r>
              <a:t>Engagement Rate</a:t>
            </a:r>
          </a:p>
        </c:rich>
      </c:tx>
      <c:layout>
        <c:manualLayout>
          <c:xMode val="edge"/>
          <c:yMode val="edge"/>
          <c:x val="0.340406913148108"/>
          <c:y val="0.0383959044368601"/>
        </c:manualLayout>
      </c:layout>
      <c:overlay val="0"/>
      <c:spPr>
        <a:noFill/>
        <a:ln>
          <a:noFill/>
        </a:ln>
        <a:effectLst/>
      </c:spPr>
    </c:title>
    <c:autoTitleDeleted val="0"/>
    <c:plotArea>
      <c:layout/>
      <c:lineChart>
        <c:grouping val="standard"/>
        <c:varyColors val="0"/>
        <c:ser>
          <c:idx val="0"/>
          <c:order val="0"/>
          <c:tx>
            <c:strRef>
              <c:f>[Book1]Sheet1!$C$69</c:f>
              <c:strCache>
                <c:ptCount val="1"/>
                <c:pt idx="0">
                  <c:v>Engagement Rate</c:v>
                </c:pt>
              </c:strCache>
            </c:strRef>
          </c:tx>
          <c:spPr>
            <a:ln w="22225" cap="rnd">
              <a:solidFill>
                <a:schemeClr val="accent1"/>
              </a:solidFill>
            </a:ln>
            <a:effectLst>
              <a:glow rad="139700">
                <a:schemeClr val="accent1">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lt1">
                        <a:lumMod val="7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cat>
            <c:strRef>
              <c:f>[Book1]Sheet1!$B$70:$B$71</c:f>
              <c:strCache>
                <c:ptCount val="2"/>
                <c:pt idx="0">
                  <c:v>Small Classes</c:v>
                </c:pt>
                <c:pt idx="1">
                  <c:v>Larger Lecture Halls</c:v>
                </c:pt>
              </c:strCache>
            </c:strRef>
          </c:cat>
          <c:val>
            <c:numRef>
              <c:f>[Book1]Sheet1!$C$70:$C$71</c:f>
              <c:numCache>
                <c:formatCode>0%</c:formatCode>
                <c:ptCount val="2"/>
                <c:pt idx="0">
                  <c:v>0.9</c:v>
                </c:pt>
                <c:pt idx="1">
                  <c:v>0.5</c:v>
                </c:pt>
              </c:numCache>
            </c:numRef>
          </c:val>
          <c:smooth val="0"/>
        </c:ser>
        <c:dLbls>
          <c:showLegendKey val="0"/>
          <c:showVal val="1"/>
          <c:showCatName val="0"/>
          <c:showSerName val="0"/>
          <c:showPercent val="0"/>
          <c:showBubbleSize val="0"/>
        </c:dLbls>
        <c:marker val="0"/>
        <c:smooth val="0"/>
        <c:axId val="-2112570864"/>
        <c:axId val="-2112566512"/>
      </c:lineChart>
      <c:catAx>
        <c:axId val="-2112570864"/>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lt1">
                    <a:lumMod val="75000"/>
                  </a:schemeClr>
                </a:solidFill>
                <a:latin typeface="+mn-lt"/>
                <a:ea typeface="+mn-ea"/>
                <a:cs typeface="+mn-cs"/>
              </a:defRPr>
            </a:pPr>
          </a:p>
        </c:txPr>
        <c:crossAx val="-2112566512"/>
        <c:crosses val="autoZero"/>
        <c:auto val="1"/>
        <c:lblAlgn val="ctr"/>
        <c:lblOffset val="100"/>
        <c:noMultiLvlLbl val="0"/>
      </c:catAx>
      <c:valAx>
        <c:axId val="-2112566512"/>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lt1">
                    <a:lumMod val="75000"/>
                  </a:schemeClr>
                </a:solidFill>
                <a:latin typeface="+mn-lt"/>
                <a:ea typeface="+mn-ea"/>
                <a:cs typeface="+mn-cs"/>
              </a:defRPr>
            </a:pPr>
          </a:p>
        </c:txPr>
        <c:crossAx val="-2112570864"/>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Extracurricular Enrichment</a:t>
            </a:r>
            <a:endParaRPr lang="en-US"/>
          </a:p>
        </c:rich>
      </c:tx>
      <c:layout/>
      <c:overlay val="0"/>
      <c:spPr>
        <a:noFill/>
        <a:ln>
          <a:noFill/>
        </a:ln>
        <a:effectLst/>
      </c:spPr>
    </c:title>
    <c:autoTitleDeleted val="0"/>
    <c:plotArea>
      <c:layout/>
      <c:lineChart>
        <c:grouping val="standard"/>
        <c:varyColors val="0"/>
        <c:ser>
          <c:idx val="0"/>
          <c:order val="0"/>
          <c:tx>
            <c:strRef>
              <c:f>[Book1]Sheet1!$C$89</c:f>
              <c:strCache>
                <c:ptCount val="1"/>
                <c:pt idx="0">
                  <c:v>Percentage (%)</c:v>
                </c:pt>
              </c:strCache>
            </c:strRef>
          </c:tx>
          <c:spPr>
            <a:ln w="28575" cap="rnd">
              <a:solidFill>
                <a:schemeClr val="accent1"/>
              </a:solidFill>
              <a:round/>
            </a:ln>
            <a:effectLst/>
          </c:spPr>
          <c:marker>
            <c:symbol val="none"/>
          </c:marker>
          <c:dLbls>
            <c:delete val="1"/>
          </c:dLbls>
          <c:cat>
            <c:strRef>
              <c:f>[Book1]Sheet1!$B$90:$B$91</c:f>
              <c:strCache>
                <c:ptCount val="2"/>
                <c:pt idx="0">
                  <c:v>Participation in Extracurricular Activities</c:v>
                </c:pt>
                <c:pt idx="1">
                  <c:v>Engagement with Library/Digital Resources</c:v>
                </c:pt>
              </c:strCache>
            </c:strRef>
          </c:cat>
          <c:val>
            <c:numRef>
              <c:f>[Book1]Sheet1!$C$90:$C$91</c:f>
              <c:numCache>
                <c:formatCode>General</c:formatCode>
                <c:ptCount val="2"/>
                <c:pt idx="0">
                  <c:v>75</c:v>
                </c:pt>
                <c:pt idx="1">
                  <c:v>50</c:v>
                </c:pt>
              </c:numCache>
            </c:numRef>
          </c:val>
          <c:smooth val="0"/>
        </c:ser>
        <c:ser>
          <c:idx val="1"/>
          <c:order val="1"/>
          <c:tx>
            <c:strRef>
              <c:f>[Book1]Sheet1!$D$89</c:f>
              <c:strCache>
                <c:ptCount val="1"/>
                <c:pt idx="0">
                  <c:v>Number of Students</c:v>
                </c:pt>
              </c:strCache>
            </c:strRef>
          </c:tx>
          <c:spPr>
            <a:ln w="28575" cap="rnd">
              <a:solidFill>
                <a:schemeClr val="accent2"/>
              </a:solidFill>
              <a:round/>
            </a:ln>
            <a:effectLst/>
          </c:spPr>
          <c:marker>
            <c:symbol val="none"/>
          </c:marker>
          <c:dLbls>
            <c:delete val="1"/>
          </c:dLbls>
          <c:cat>
            <c:strRef>
              <c:f>[Book1]Sheet1!$B$90:$B$91</c:f>
              <c:strCache>
                <c:ptCount val="2"/>
                <c:pt idx="0">
                  <c:v>Participation in Extracurricular Activities</c:v>
                </c:pt>
                <c:pt idx="1">
                  <c:v>Engagement with Library/Digital Resources</c:v>
                </c:pt>
              </c:strCache>
            </c:strRef>
          </c:cat>
          <c:val>
            <c:numRef>
              <c:f>[Book1]Sheet1!$D$90:$D$91</c:f>
              <c:numCache>
                <c:formatCode>General</c:formatCode>
                <c:ptCount val="2"/>
                <c:pt idx="0">
                  <c:v>150</c:v>
                </c:pt>
                <c:pt idx="1">
                  <c:v>100</c:v>
                </c:pt>
              </c:numCache>
            </c:numRef>
          </c:val>
          <c:smooth val="0"/>
        </c:ser>
        <c:dLbls>
          <c:showLegendKey val="0"/>
          <c:showVal val="0"/>
          <c:showCatName val="0"/>
          <c:showSerName val="0"/>
          <c:showPercent val="0"/>
          <c:showBubbleSize val="0"/>
        </c:dLbls>
        <c:marker val="0"/>
        <c:smooth val="0"/>
        <c:axId val="-2112573040"/>
        <c:axId val="-2112568144"/>
      </c:lineChart>
      <c:catAx>
        <c:axId val="-2112573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12568144"/>
        <c:crosses val="autoZero"/>
        <c:auto val="1"/>
        <c:lblAlgn val="ctr"/>
        <c:lblOffset val="100"/>
        <c:noMultiLvlLbl val="0"/>
      </c:catAx>
      <c:valAx>
        <c:axId val="-2112568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1257304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60B0FA-AD04-4BC6-9682-2B5ACE492742}">
  <ds:schemaRefs/>
</ds:datastoreItem>
</file>

<file path=docProps/app.xml><?xml version="1.0" encoding="utf-8"?>
<Properties xmlns="http://schemas.openxmlformats.org/officeDocument/2006/extended-properties" xmlns:vt="http://schemas.openxmlformats.org/officeDocument/2006/docPropsVTypes">
  <TotalTime>7</TotalTime>
  <ScaleCrop>false</ScaleCrop>
  <LinksUpToDate>false</LinksUpToDate>
  <Application>WPS Office_12.1.0.16120_F1E327BC-269C-435d-A152-05C5408002CA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Alano</dc:creator>
  <cp:lastModifiedBy>Alano</cp:lastModifiedBy>
  <dcterms:created xsi:type="dcterms:W3CDTF">2023-12-29T21:11:00Z</dcterms:created>
  <dcterms:modified xsi:type="dcterms:W3CDTF">2023-12-29T23:42:04Z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FB1F4D98C80345C18EC67B3AC25D49B3_13</vt:lpwstr>
  </property>
</Properties>
</file>