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B724A" w14:textId="77777777" w:rsidR="00945A7D" w:rsidRDefault="00945A7D" w:rsidP="00945A7D">
      <w:pPr>
        <w:jc w:val="center"/>
        <w:rPr>
          <w:rFonts w:ascii="Times New Roman" w:hAnsi="Times New Roman" w:cs="Times New Roman"/>
          <w:b/>
        </w:rPr>
      </w:pPr>
    </w:p>
    <w:p w14:paraId="644A1499" w14:textId="77777777" w:rsidR="00945A7D" w:rsidRDefault="00945A7D" w:rsidP="00945A7D">
      <w:pPr>
        <w:jc w:val="center"/>
        <w:rPr>
          <w:rFonts w:ascii="Times New Roman" w:hAnsi="Times New Roman" w:cs="Times New Roman"/>
          <w:b/>
        </w:rPr>
      </w:pPr>
    </w:p>
    <w:p w14:paraId="26EC4259" w14:textId="77777777" w:rsidR="00945A7D" w:rsidRDefault="00945A7D" w:rsidP="00945A7D">
      <w:pPr>
        <w:jc w:val="center"/>
        <w:rPr>
          <w:rFonts w:ascii="Times New Roman" w:hAnsi="Times New Roman" w:cs="Times New Roman"/>
          <w:b/>
        </w:rPr>
      </w:pPr>
    </w:p>
    <w:p w14:paraId="101BF53B" w14:textId="77777777" w:rsidR="00945A7D" w:rsidRDefault="00945A7D" w:rsidP="00945A7D">
      <w:pPr>
        <w:jc w:val="center"/>
        <w:rPr>
          <w:rFonts w:ascii="Times New Roman" w:hAnsi="Times New Roman" w:cs="Times New Roman"/>
          <w:b/>
        </w:rPr>
      </w:pPr>
    </w:p>
    <w:p w14:paraId="38F73F75" w14:textId="77777777" w:rsidR="00945A7D" w:rsidRDefault="00945A7D" w:rsidP="00945A7D">
      <w:pPr>
        <w:jc w:val="center"/>
        <w:rPr>
          <w:rFonts w:ascii="Times New Roman" w:hAnsi="Times New Roman" w:cs="Times New Roman"/>
          <w:b/>
        </w:rPr>
      </w:pPr>
    </w:p>
    <w:p w14:paraId="3905F8AA" w14:textId="77777777" w:rsidR="00945A7D" w:rsidRDefault="00945A7D" w:rsidP="00945A7D">
      <w:pPr>
        <w:jc w:val="center"/>
        <w:rPr>
          <w:rFonts w:ascii="Times New Roman" w:hAnsi="Times New Roman" w:cs="Times New Roman"/>
          <w:b/>
        </w:rPr>
      </w:pPr>
    </w:p>
    <w:p w14:paraId="079F141E" w14:textId="5D7F9712" w:rsidR="00945A7D" w:rsidRDefault="00E84A91" w:rsidP="00EF010D">
      <w:pPr>
        <w:jc w:val="center"/>
        <w:rPr>
          <w:rFonts w:ascii="Times New Roman" w:hAnsi="Times New Roman" w:cs="Times New Roman"/>
          <w:b/>
        </w:rPr>
      </w:pPr>
      <w:r w:rsidRPr="00E84A91">
        <w:rPr>
          <w:rFonts w:ascii="Times New Roman" w:hAnsi="Times New Roman" w:cs="Times New Roman"/>
          <w:b/>
        </w:rPr>
        <w:t>Debate: Assistive Technology</w:t>
      </w:r>
      <w:r w:rsidR="00EF60E8">
        <w:rPr>
          <w:rFonts w:ascii="Times New Roman" w:hAnsi="Times New Roman" w:cs="Times New Roman"/>
          <w:b/>
        </w:rPr>
        <w:t>:</w:t>
      </w:r>
      <w:r w:rsidR="00EF60E8" w:rsidRPr="00EF60E8">
        <w:rPr>
          <w:rFonts w:ascii="Times New Roman" w:hAnsi="Times New Roman" w:cs="Times New Roman"/>
          <w:b/>
        </w:rPr>
        <w:t xml:space="preserve"> </w:t>
      </w:r>
      <w:r w:rsidR="00EF60E8" w:rsidRPr="00945A7D">
        <w:rPr>
          <w:rFonts w:ascii="Times New Roman" w:hAnsi="Times New Roman" w:cs="Times New Roman"/>
          <w:b/>
        </w:rPr>
        <w:t>Does it Enhance or Undermine Autonomy in Elder Care</w:t>
      </w:r>
    </w:p>
    <w:p w14:paraId="6BA58308" w14:textId="4AADBFD2" w:rsidR="00AC33BF" w:rsidRDefault="00EE6920" w:rsidP="00EF010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(References in Harvard style</w:t>
      </w:r>
      <w:r w:rsidR="00572B4E">
        <w:rPr>
          <w:rFonts w:ascii="Times New Roman" w:hAnsi="Times New Roman" w:cs="Times New Roman"/>
          <w:b/>
        </w:rPr>
        <w:t>)</w:t>
      </w:r>
    </w:p>
    <w:p w14:paraId="07989338" w14:textId="2E6BBA01" w:rsidR="00EF010D" w:rsidRDefault="00EF010D" w:rsidP="00EF010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Maria </w:t>
      </w:r>
      <w:proofErr w:type="spellStart"/>
      <w:r>
        <w:rPr>
          <w:rFonts w:ascii="Times New Roman" w:hAnsi="Times New Roman" w:cs="Times New Roman"/>
          <w:b/>
        </w:rPr>
        <w:t>Costescu</w:t>
      </w:r>
      <w:proofErr w:type="spellEnd"/>
      <w:r>
        <w:rPr>
          <w:rFonts w:ascii="Times New Roman" w:hAnsi="Times New Roman" w:cs="Times New Roman"/>
          <w:b/>
        </w:rPr>
        <w:t xml:space="preserve"> </w:t>
      </w:r>
    </w:p>
    <w:p w14:paraId="1A9875E4" w14:textId="59A33ABA" w:rsidR="00EF010D" w:rsidRPr="00EF010D" w:rsidRDefault="00EF010D" w:rsidP="00EF010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ID: 19</w:t>
      </w:r>
      <w:r w:rsidR="00D83A35">
        <w:rPr>
          <w:rFonts w:ascii="Times New Roman" w:hAnsi="Times New Roman" w:cs="Times New Roman"/>
          <w:b/>
        </w:rPr>
        <w:t>13812</w:t>
      </w:r>
    </w:p>
    <w:p w14:paraId="7CD366F0" w14:textId="509B37F9" w:rsidR="00945A7D" w:rsidRPr="00945A7D" w:rsidRDefault="0019415F" w:rsidP="00945A7D">
      <w:pPr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BMHP6027-C2</w:t>
      </w:r>
    </w:p>
    <w:p w14:paraId="5520ED30" w14:textId="42EFC06B" w:rsidR="00945A7D" w:rsidRPr="00945A7D" w:rsidRDefault="0019415F" w:rsidP="00945A7D">
      <w:pPr>
        <w:jc w:val="center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</w:rPr>
        <w:t>Lecturer:Kennedy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Obohwemu</w:t>
      </w:r>
      <w:proofErr w:type="spellEnd"/>
      <w:r>
        <w:rPr>
          <w:rFonts w:ascii="Times New Roman" w:hAnsi="Times New Roman" w:cs="Times New Roman"/>
        </w:rPr>
        <w:t xml:space="preserve"> </w:t>
      </w:r>
    </w:p>
    <w:p w14:paraId="6B3828C5" w14:textId="4CF4B4E6" w:rsidR="00945A7D" w:rsidRPr="00945A7D" w:rsidRDefault="00945A7D" w:rsidP="00945A7D">
      <w:pPr>
        <w:jc w:val="center"/>
        <w:rPr>
          <w:rFonts w:ascii="Times New Roman" w:hAnsi="Times New Roman" w:cs="Times New Roman"/>
          <w:bCs/>
        </w:rPr>
      </w:pPr>
    </w:p>
    <w:p w14:paraId="53BD3D9A" w14:textId="77D08621" w:rsidR="00945A7D" w:rsidRPr="00945A7D" w:rsidRDefault="00945A7D" w:rsidP="00945A7D">
      <w:pPr>
        <w:pStyle w:val="NormalWeb"/>
        <w:spacing w:before="0" w:beforeAutospacing="0" w:after="0" w:afterAutospacing="0" w:line="480" w:lineRule="auto"/>
        <w:contextualSpacing/>
        <w:jc w:val="center"/>
        <w:rPr>
          <w:b/>
          <w:bCs/>
          <w:color w:val="0E101A"/>
        </w:rPr>
      </w:pPr>
    </w:p>
    <w:p w14:paraId="47489491" w14:textId="77777777" w:rsidR="00945A7D" w:rsidRPr="00945A7D" w:rsidRDefault="00945A7D" w:rsidP="00945A7D">
      <w:pPr>
        <w:pStyle w:val="NormalWeb"/>
        <w:spacing w:before="0" w:beforeAutospacing="0" w:after="0" w:afterAutospacing="0" w:line="480" w:lineRule="auto"/>
        <w:ind w:firstLine="720"/>
        <w:contextualSpacing/>
        <w:jc w:val="center"/>
        <w:rPr>
          <w:b/>
          <w:bCs/>
          <w:color w:val="0E101A"/>
        </w:rPr>
      </w:pPr>
    </w:p>
    <w:p w14:paraId="1391FE7D" w14:textId="77777777" w:rsidR="00945A7D" w:rsidRPr="00945A7D" w:rsidRDefault="00945A7D" w:rsidP="00945A7D">
      <w:pPr>
        <w:pStyle w:val="NormalWeb"/>
        <w:spacing w:before="0" w:beforeAutospacing="0" w:after="0" w:afterAutospacing="0" w:line="480" w:lineRule="auto"/>
        <w:ind w:firstLine="720"/>
        <w:contextualSpacing/>
        <w:jc w:val="center"/>
        <w:rPr>
          <w:b/>
          <w:bCs/>
          <w:color w:val="0E101A"/>
        </w:rPr>
      </w:pPr>
    </w:p>
    <w:p w14:paraId="48987430" w14:textId="77777777" w:rsidR="00945A7D" w:rsidRPr="00945A7D" w:rsidRDefault="00945A7D" w:rsidP="00945A7D">
      <w:pPr>
        <w:pStyle w:val="NormalWeb"/>
        <w:spacing w:before="0" w:beforeAutospacing="0" w:after="0" w:afterAutospacing="0" w:line="480" w:lineRule="auto"/>
        <w:ind w:firstLine="720"/>
        <w:contextualSpacing/>
        <w:jc w:val="center"/>
        <w:rPr>
          <w:b/>
          <w:bCs/>
          <w:color w:val="0E101A"/>
        </w:rPr>
      </w:pPr>
    </w:p>
    <w:p w14:paraId="049D855D" w14:textId="77777777" w:rsidR="00945A7D" w:rsidRPr="00945A7D" w:rsidRDefault="00945A7D" w:rsidP="00945A7D">
      <w:pPr>
        <w:pStyle w:val="NormalWeb"/>
        <w:spacing w:before="0" w:beforeAutospacing="0" w:after="0" w:afterAutospacing="0" w:line="480" w:lineRule="auto"/>
        <w:ind w:firstLine="720"/>
        <w:contextualSpacing/>
        <w:jc w:val="center"/>
        <w:rPr>
          <w:b/>
          <w:bCs/>
          <w:color w:val="0E101A"/>
        </w:rPr>
      </w:pPr>
    </w:p>
    <w:p w14:paraId="103024DB" w14:textId="77777777" w:rsidR="00945A7D" w:rsidRPr="00945A7D" w:rsidRDefault="00945A7D" w:rsidP="00945A7D">
      <w:pPr>
        <w:pStyle w:val="NormalWeb"/>
        <w:spacing w:before="0" w:beforeAutospacing="0" w:after="0" w:afterAutospacing="0" w:line="480" w:lineRule="auto"/>
        <w:ind w:firstLine="720"/>
        <w:contextualSpacing/>
        <w:jc w:val="center"/>
        <w:rPr>
          <w:b/>
          <w:bCs/>
          <w:color w:val="0E101A"/>
        </w:rPr>
      </w:pPr>
    </w:p>
    <w:p w14:paraId="5B2E237D" w14:textId="77777777" w:rsidR="00945A7D" w:rsidRPr="00945A7D" w:rsidRDefault="00945A7D" w:rsidP="00945A7D">
      <w:pPr>
        <w:pStyle w:val="NormalWeb"/>
        <w:spacing w:before="0" w:beforeAutospacing="0" w:after="0" w:afterAutospacing="0" w:line="480" w:lineRule="auto"/>
        <w:ind w:firstLine="720"/>
        <w:contextualSpacing/>
        <w:jc w:val="center"/>
        <w:rPr>
          <w:b/>
          <w:bCs/>
          <w:color w:val="0E101A"/>
        </w:rPr>
      </w:pPr>
    </w:p>
    <w:p w14:paraId="6BC92D62" w14:textId="77777777" w:rsidR="00945A7D" w:rsidRPr="00945A7D" w:rsidRDefault="00945A7D" w:rsidP="00945A7D">
      <w:pPr>
        <w:pStyle w:val="NormalWeb"/>
        <w:spacing w:before="0" w:beforeAutospacing="0" w:after="0" w:afterAutospacing="0" w:line="480" w:lineRule="auto"/>
        <w:ind w:firstLine="720"/>
        <w:contextualSpacing/>
        <w:jc w:val="center"/>
        <w:rPr>
          <w:b/>
          <w:bCs/>
          <w:color w:val="0E101A"/>
        </w:rPr>
      </w:pPr>
    </w:p>
    <w:p w14:paraId="4725BDD4" w14:textId="77777777" w:rsidR="00945A7D" w:rsidRPr="00945A7D" w:rsidRDefault="00945A7D" w:rsidP="00945A7D">
      <w:pPr>
        <w:pStyle w:val="NormalWeb"/>
        <w:spacing w:before="0" w:beforeAutospacing="0" w:after="0" w:afterAutospacing="0" w:line="480" w:lineRule="auto"/>
        <w:ind w:firstLine="720"/>
        <w:contextualSpacing/>
        <w:jc w:val="center"/>
        <w:rPr>
          <w:b/>
          <w:bCs/>
          <w:color w:val="0E101A"/>
        </w:rPr>
      </w:pPr>
    </w:p>
    <w:p w14:paraId="569F871E" w14:textId="77777777" w:rsidR="00945A7D" w:rsidRPr="00945A7D" w:rsidRDefault="00945A7D" w:rsidP="00945A7D">
      <w:pPr>
        <w:pStyle w:val="NormalWeb"/>
        <w:spacing w:before="0" w:beforeAutospacing="0" w:after="0" w:afterAutospacing="0" w:line="480" w:lineRule="auto"/>
        <w:ind w:firstLine="720"/>
        <w:contextualSpacing/>
        <w:jc w:val="center"/>
        <w:rPr>
          <w:b/>
          <w:bCs/>
          <w:color w:val="0E101A"/>
        </w:rPr>
      </w:pPr>
    </w:p>
    <w:p w14:paraId="06E7F609" w14:textId="77777777" w:rsidR="00945A7D" w:rsidRPr="00945A7D" w:rsidRDefault="00945A7D" w:rsidP="00945A7D">
      <w:pPr>
        <w:pStyle w:val="NormalWeb"/>
        <w:spacing w:before="0" w:beforeAutospacing="0" w:after="0" w:afterAutospacing="0" w:line="480" w:lineRule="auto"/>
        <w:ind w:firstLine="720"/>
        <w:contextualSpacing/>
        <w:jc w:val="center"/>
        <w:rPr>
          <w:b/>
          <w:bCs/>
          <w:color w:val="0E101A"/>
        </w:rPr>
      </w:pPr>
    </w:p>
    <w:p w14:paraId="3965AE9B" w14:textId="77777777" w:rsidR="00945A7D" w:rsidRPr="00945A7D" w:rsidRDefault="00945A7D" w:rsidP="00945A7D">
      <w:pPr>
        <w:pStyle w:val="NormalWeb"/>
        <w:spacing w:before="0" w:beforeAutospacing="0" w:after="0" w:afterAutospacing="0" w:line="480" w:lineRule="auto"/>
        <w:ind w:firstLine="720"/>
        <w:contextualSpacing/>
        <w:jc w:val="center"/>
        <w:rPr>
          <w:b/>
          <w:bCs/>
          <w:color w:val="0E101A"/>
        </w:rPr>
      </w:pPr>
    </w:p>
    <w:p w14:paraId="45B0CE24" w14:textId="77777777" w:rsidR="00945A7D" w:rsidRPr="00945A7D" w:rsidRDefault="00945A7D" w:rsidP="00945A7D">
      <w:pPr>
        <w:pStyle w:val="NormalWeb"/>
        <w:spacing w:before="0" w:beforeAutospacing="0" w:after="0" w:afterAutospacing="0" w:line="480" w:lineRule="auto"/>
        <w:ind w:firstLine="720"/>
        <w:contextualSpacing/>
        <w:jc w:val="center"/>
        <w:rPr>
          <w:b/>
          <w:bCs/>
          <w:color w:val="0E101A"/>
        </w:rPr>
      </w:pPr>
    </w:p>
    <w:p w14:paraId="3B4DE43A" w14:textId="77777777" w:rsidR="00945A7D" w:rsidRDefault="00945A7D" w:rsidP="00945A7D">
      <w:pPr>
        <w:pStyle w:val="NormalWeb"/>
        <w:spacing w:before="0" w:beforeAutospacing="0" w:after="0" w:afterAutospacing="0" w:line="480" w:lineRule="auto"/>
        <w:contextualSpacing/>
        <w:rPr>
          <w:b/>
          <w:bCs/>
          <w:color w:val="0E101A"/>
        </w:rPr>
      </w:pPr>
    </w:p>
    <w:p w14:paraId="40BC4E26" w14:textId="77777777" w:rsidR="00E81FAA" w:rsidRDefault="00E81FAA" w:rsidP="00945A7D">
      <w:pPr>
        <w:pStyle w:val="NormalWeb"/>
        <w:spacing w:before="0" w:beforeAutospacing="0" w:after="0" w:afterAutospacing="0" w:line="480" w:lineRule="auto"/>
        <w:contextualSpacing/>
        <w:jc w:val="center"/>
        <w:rPr>
          <w:b/>
          <w:bCs/>
          <w:color w:val="0E101A"/>
        </w:rPr>
      </w:pPr>
    </w:p>
    <w:p w14:paraId="74439E98" w14:textId="47F94441" w:rsidR="00130772" w:rsidRPr="00945A7D" w:rsidRDefault="00130772" w:rsidP="00945A7D">
      <w:pPr>
        <w:pStyle w:val="NormalWeb"/>
        <w:spacing w:before="0" w:beforeAutospacing="0" w:after="0" w:afterAutospacing="0" w:line="480" w:lineRule="auto"/>
        <w:contextualSpacing/>
        <w:jc w:val="center"/>
        <w:rPr>
          <w:b/>
          <w:bCs/>
          <w:color w:val="0E101A"/>
        </w:rPr>
      </w:pPr>
      <w:r w:rsidRPr="00945A7D">
        <w:rPr>
          <w:b/>
          <w:bCs/>
          <w:color w:val="0E101A"/>
        </w:rPr>
        <w:t>Reference List</w:t>
      </w:r>
    </w:p>
    <w:p w14:paraId="6128264D" w14:textId="61F79428" w:rsidR="00130772" w:rsidRPr="00945A7D" w:rsidRDefault="00130772" w:rsidP="009F5C42">
      <w:pPr>
        <w:pStyle w:val="NormalWeb"/>
        <w:spacing w:before="0" w:beforeAutospacing="0" w:after="0" w:afterAutospacing="0" w:line="480" w:lineRule="auto"/>
        <w:ind w:left="720"/>
        <w:contextualSpacing/>
      </w:pPr>
      <w:r w:rsidRPr="00945A7D">
        <w:t xml:space="preserve">Albarqi, M.N. (2024). </w:t>
      </w:r>
      <w:r w:rsidR="002A720D">
        <w:t xml:space="preserve">Exploring </w:t>
      </w:r>
      <w:r w:rsidRPr="00945A7D">
        <w:t xml:space="preserve"> </w:t>
      </w:r>
      <w:r w:rsidR="00E321A5">
        <w:t xml:space="preserve">the </w:t>
      </w:r>
      <w:r w:rsidRPr="00945A7D">
        <w:t xml:space="preserve"> </w:t>
      </w:r>
      <w:r w:rsidR="00E321A5">
        <w:t xml:space="preserve">Effectiveness of </w:t>
      </w:r>
      <w:r w:rsidRPr="00945A7D">
        <w:t xml:space="preserve"> </w:t>
      </w:r>
      <w:r w:rsidR="0038316B">
        <w:t xml:space="preserve">Intervention for </w:t>
      </w:r>
      <w:r w:rsidRPr="00945A7D">
        <w:t xml:space="preserve"> </w:t>
      </w:r>
      <w:r w:rsidR="0038316B">
        <w:t>Promoting</w:t>
      </w:r>
      <w:r w:rsidRPr="00945A7D">
        <w:t xml:space="preserve"> </w:t>
      </w:r>
      <w:r w:rsidR="0038316B">
        <w:t xml:space="preserve">Independence in </w:t>
      </w:r>
      <w:r w:rsidRPr="00945A7D">
        <w:t xml:space="preserve"> </w:t>
      </w:r>
      <w:proofErr w:type="spellStart"/>
      <w:r w:rsidR="0038316B">
        <w:t>Elderi</w:t>
      </w:r>
      <w:proofErr w:type="spellEnd"/>
      <w:r w:rsidR="0038316B">
        <w:t xml:space="preserve"> </w:t>
      </w:r>
      <w:r w:rsidR="00982202" w:rsidRPr="00945A7D">
        <w:t>Patients:</w:t>
      </w:r>
      <w:r w:rsidR="00982202">
        <w:t xml:space="preserve"> A</w:t>
      </w:r>
      <w:r w:rsidR="00D02278">
        <w:t xml:space="preserve"> Systematic </w:t>
      </w:r>
      <w:r w:rsidRPr="00945A7D">
        <w:t xml:space="preserve"> </w:t>
      </w:r>
      <w:r w:rsidR="00982202">
        <w:t>Review</w:t>
      </w:r>
      <w:r w:rsidRPr="00945A7D">
        <w:t xml:space="preserve">. </w:t>
      </w:r>
      <w:r w:rsidRPr="00945A7D">
        <w:rPr>
          <w:i/>
          <w:iCs/>
        </w:rPr>
        <w:t>Healthcare</w:t>
      </w:r>
      <w:r w:rsidRPr="00945A7D">
        <w:t xml:space="preserve">, [online] 12(21), p.2105. </w:t>
      </w:r>
      <w:proofErr w:type="spellStart"/>
      <w:r w:rsidR="0074383D">
        <w:t>do</w:t>
      </w:r>
      <w:r w:rsidRPr="00945A7D">
        <w:t>i</w:t>
      </w:r>
      <w:proofErr w:type="spellEnd"/>
      <w:r w:rsidRPr="00945A7D">
        <w:t xml:space="preserve">: </w:t>
      </w:r>
      <w:hyperlink r:id="rId4" w:history="1">
        <w:r w:rsidRPr="00945A7D">
          <w:rPr>
            <w:rStyle w:val="Hyperlink"/>
          </w:rPr>
          <w:t>https://doi.org/10.3390/healthcare12212105</w:t>
        </w:r>
      </w:hyperlink>
      <w:r w:rsidRPr="00945A7D">
        <w:t xml:space="preserve">. </w:t>
      </w:r>
    </w:p>
    <w:p w14:paraId="5C524631" w14:textId="421004F1" w:rsidR="00130772" w:rsidRPr="00945A7D" w:rsidRDefault="00221BC6" w:rsidP="009F5C42">
      <w:pPr>
        <w:pStyle w:val="NormalWeb"/>
        <w:spacing w:before="0" w:beforeAutospacing="0" w:after="0" w:afterAutospacing="0" w:line="480" w:lineRule="auto"/>
        <w:ind w:left="720"/>
        <w:contextualSpacing/>
      </w:pPr>
      <w:proofErr w:type="spellStart"/>
      <w:r>
        <w:t>Bertolazzi</w:t>
      </w:r>
      <w:proofErr w:type="spellEnd"/>
      <w:r>
        <w:t>,</w:t>
      </w:r>
      <w:r w:rsidR="00130772" w:rsidRPr="00945A7D">
        <w:t xml:space="preserve"> </w:t>
      </w:r>
      <w:r w:rsidR="001D39D6">
        <w:t>A.,</w:t>
      </w:r>
      <w:r w:rsidR="00130772" w:rsidRPr="00945A7D">
        <w:t xml:space="preserve"> </w:t>
      </w:r>
      <w:proofErr w:type="spellStart"/>
      <w:r w:rsidR="001D39D6">
        <w:t>Quaglia</w:t>
      </w:r>
      <w:proofErr w:type="spellEnd"/>
      <w:r w:rsidR="001D39D6">
        <w:t>,</w:t>
      </w:r>
      <w:r w:rsidR="00130772" w:rsidRPr="00945A7D">
        <w:t xml:space="preserve"> </w:t>
      </w:r>
      <w:r w:rsidR="00584C36">
        <w:t>V.</w:t>
      </w:r>
      <w:r w:rsidR="00130772" w:rsidRPr="00945A7D">
        <w:t xml:space="preserve"> </w:t>
      </w:r>
      <w:r w:rsidR="00584C36">
        <w:t xml:space="preserve">and </w:t>
      </w:r>
      <w:proofErr w:type="spellStart"/>
      <w:r w:rsidR="00584C36">
        <w:t>Bongelli</w:t>
      </w:r>
      <w:proofErr w:type="spellEnd"/>
      <w:r w:rsidR="00584C36">
        <w:t xml:space="preserve">, </w:t>
      </w:r>
      <w:proofErr w:type="spellStart"/>
      <w:r w:rsidR="00130772" w:rsidRPr="00945A7D">
        <w:t>Bongelli</w:t>
      </w:r>
      <w:proofErr w:type="spellEnd"/>
      <w:r w:rsidR="00130772" w:rsidRPr="00945A7D">
        <w:t xml:space="preserve">, R. (2024). </w:t>
      </w:r>
      <w:r w:rsidR="00584C36">
        <w:t>Barriers</w:t>
      </w:r>
      <w:r w:rsidR="000A2CFB">
        <w:t xml:space="preserve"> and </w:t>
      </w:r>
      <w:proofErr w:type="spellStart"/>
      <w:r w:rsidR="000A2CFB">
        <w:t>facilitors</w:t>
      </w:r>
      <w:proofErr w:type="spellEnd"/>
      <w:r w:rsidR="00130772" w:rsidRPr="00945A7D">
        <w:t xml:space="preserve"> </w:t>
      </w:r>
      <w:r w:rsidR="000A2CFB">
        <w:t>to health</w:t>
      </w:r>
      <w:r w:rsidR="00130772" w:rsidRPr="00945A7D">
        <w:t xml:space="preserve"> </w:t>
      </w:r>
      <w:r w:rsidR="00E154DF">
        <w:t>technology</w:t>
      </w:r>
      <w:r w:rsidR="00130772" w:rsidRPr="00945A7D">
        <w:t xml:space="preserve"> </w:t>
      </w:r>
      <w:r w:rsidR="00E154DF">
        <w:t>adoption</w:t>
      </w:r>
      <w:r w:rsidR="00130772" w:rsidRPr="00945A7D">
        <w:t xml:space="preserve"> </w:t>
      </w:r>
      <w:r w:rsidR="00E154DF">
        <w:t xml:space="preserve">older </w:t>
      </w:r>
      <w:r w:rsidR="00130772" w:rsidRPr="00945A7D">
        <w:t xml:space="preserve">adults </w:t>
      </w:r>
      <w:r w:rsidR="00F24D62">
        <w:t>with chronic</w:t>
      </w:r>
      <w:r w:rsidR="00F24D62" w:rsidRPr="00945A7D">
        <w:t xml:space="preserve"> diseases</w:t>
      </w:r>
      <w:r w:rsidR="00130772" w:rsidRPr="00945A7D">
        <w:t xml:space="preserve">: an integrative systematic review. </w:t>
      </w:r>
      <w:r w:rsidR="004E3F1A">
        <w:rPr>
          <w:i/>
          <w:iCs/>
        </w:rPr>
        <w:t>BMC</w:t>
      </w:r>
      <w:r w:rsidR="00130772" w:rsidRPr="00945A7D">
        <w:rPr>
          <w:i/>
          <w:iCs/>
        </w:rPr>
        <w:t xml:space="preserve"> </w:t>
      </w:r>
      <w:proofErr w:type="spellStart"/>
      <w:r w:rsidR="007473D3">
        <w:rPr>
          <w:i/>
          <w:iCs/>
        </w:rPr>
        <w:t>PublicHealth</w:t>
      </w:r>
      <w:proofErr w:type="spellEnd"/>
      <w:r w:rsidR="00130772" w:rsidRPr="00945A7D">
        <w:t xml:space="preserve">, [online] 24(1). doi: </w:t>
      </w:r>
      <w:hyperlink r:id="rId5" w:history="1">
        <w:r w:rsidR="00130772" w:rsidRPr="00945A7D">
          <w:rPr>
            <w:rStyle w:val="Hyperlink"/>
          </w:rPr>
          <w:t>https://doi.org/10.1186/s12889-024-18036-5</w:t>
        </w:r>
      </w:hyperlink>
      <w:r w:rsidR="00130772" w:rsidRPr="00945A7D">
        <w:t xml:space="preserve">. </w:t>
      </w:r>
    </w:p>
    <w:p w14:paraId="5B5BA70E" w14:textId="19FEBADA" w:rsidR="00130772" w:rsidRPr="00945A7D" w:rsidRDefault="007473D3" w:rsidP="009F5C42">
      <w:pPr>
        <w:pStyle w:val="NormalWeb"/>
        <w:spacing w:before="0" w:beforeAutospacing="0" w:after="0" w:afterAutospacing="0" w:line="480" w:lineRule="auto"/>
        <w:ind w:left="720"/>
        <w:contextualSpacing/>
      </w:pPr>
      <w:proofErr w:type="spellStart"/>
      <w:r>
        <w:t>Bonanno</w:t>
      </w:r>
      <w:proofErr w:type="spellEnd"/>
      <w:r w:rsidR="00130772" w:rsidRPr="00945A7D">
        <w:t xml:space="preserve">, </w:t>
      </w:r>
      <w:r>
        <w:t>M.,</w:t>
      </w:r>
      <w:proofErr w:type="spellStart"/>
      <w:r>
        <w:t>Saracino,</w:t>
      </w:r>
      <w:r w:rsidR="00130772" w:rsidRPr="00945A7D">
        <w:t>B</w:t>
      </w:r>
      <w:proofErr w:type="spellEnd"/>
      <w:r w:rsidR="00130772" w:rsidRPr="00945A7D">
        <w:t xml:space="preserve">., </w:t>
      </w:r>
      <w:proofErr w:type="spellStart"/>
      <w:r w:rsidR="00130772" w:rsidRPr="00945A7D">
        <w:t>Ciancarelli</w:t>
      </w:r>
      <w:proofErr w:type="spellEnd"/>
      <w:r w:rsidR="00130772" w:rsidRPr="00945A7D">
        <w:t xml:space="preserve">, I., Panza, G., </w:t>
      </w:r>
      <w:proofErr w:type="spellStart"/>
      <w:r w:rsidR="00130772" w:rsidRPr="00945A7D">
        <w:t>Manuli</w:t>
      </w:r>
      <w:proofErr w:type="spellEnd"/>
      <w:r w:rsidR="00130772" w:rsidRPr="00945A7D">
        <w:t xml:space="preserve">, </w:t>
      </w:r>
      <w:r w:rsidR="00365FF8">
        <w:t>A</w:t>
      </w:r>
      <w:r w:rsidR="00130772" w:rsidRPr="00945A7D">
        <w:t xml:space="preserve">., Morone, G. and Calabrò, R.S. (2025). </w:t>
      </w:r>
      <w:proofErr w:type="spellStart"/>
      <w:r w:rsidR="00AD4608">
        <w:t>A</w:t>
      </w:r>
      <w:r w:rsidR="00D51972">
        <w:t>Assistive</w:t>
      </w:r>
      <w:proofErr w:type="spellEnd"/>
      <w:r w:rsidR="00D51972">
        <w:t xml:space="preserve"> Technologies or</w:t>
      </w:r>
      <w:r w:rsidR="00A9720C">
        <w:t xml:space="preserve"> </w:t>
      </w:r>
      <w:r w:rsidR="00130772" w:rsidRPr="00945A7D">
        <w:t xml:space="preserve"> </w:t>
      </w:r>
      <w:r w:rsidR="00D51972">
        <w:t>Individuals with</w:t>
      </w:r>
      <w:r w:rsidR="00130772" w:rsidRPr="00945A7D">
        <w:t xml:space="preserve"> </w:t>
      </w:r>
      <w:r w:rsidR="00D51972">
        <w:t xml:space="preserve">a </w:t>
      </w:r>
      <w:r w:rsidR="00130772" w:rsidRPr="00945A7D">
        <w:t xml:space="preserve"> </w:t>
      </w:r>
      <w:r w:rsidR="002F2BAE">
        <w:t>Disability from</w:t>
      </w:r>
      <w:r w:rsidR="00130772" w:rsidRPr="00945A7D">
        <w:t xml:space="preserve"> </w:t>
      </w:r>
      <w:r w:rsidR="002F2BAE">
        <w:t>a</w:t>
      </w:r>
      <w:r w:rsidR="00764D7A">
        <w:t xml:space="preserve"> </w:t>
      </w:r>
      <w:r w:rsidR="009D602A">
        <w:t>Neurological Condition Narrative</w:t>
      </w:r>
      <w:r w:rsidR="00A562B2">
        <w:t xml:space="preserve"> </w:t>
      </w:r>
      <w:r w:rsidR="009D602A">
        <w:t xml:space="preserve">on </w:t>
      </w:r>
      <w:r w:rsidR="009650FC">
        <w:t xml:space="preserve">the </w:t>
      </w:r>
      <w:r w:rsidR="009650FC" w:rsidRPr="00945A7D">
        <w:t>Multimodal</w:t>
      </w:r>
      <w:r w:rsidR="00130772" w:rsidRPr="00945A7D">
        <w:t xml:space="preserve"> </w:t>
      </w:r>
      <w:r w:rsidR="009650FC">
        <w:t>Integration.</w:t>
      </w:r>
      <w:r w:rsidR="00130772" w:rsidRPr="00945A7D">
        <w:t xml:space="preserve"> </w:t>
      </w:r>
      <w:r w:rsidR="007C15AC">
        <w:rPr>
          <w:i/>
          <w:iCs/>
        </w:rPr>
        <w:t>Healthcare</w:t>
      </w:r>
      <w:r w:rsidR="00130772" w:rsidRPr="00945A7D">
        <w:t xml:space="preserve">, [online] 13(13), p.1580. doi: </w:t>
      </w:r>
      <w:hyperlink r:id="rId6" w:history="1">
        <w:r w:rsidR="00130772" w:rsidRPr="00945A7D">
          <w:rPr>
            <w:rStyle w:val="Hyperlink"/>
          </w:rPr>
          <w:t>https://doi.org/10.3390/healthcare13131580</w:t>
        </w:r>
      </w:hyperlink>
      <w:r w:rsidR="00130772" w:rsidRPr="00945A7D">
        <w:t xml:space="preserve">. </w:t>
      </w:r>
    </w:p>
    <w:p w14:paraId="6624BB72" w14:textId="4A1A09BD" w:rsidR="00130772" w:rsidRPr="00945A7D" w:rsidRDefault="007C15AC" w:rsidP="009F5C42">
      <w:pPr>
        <w:pStyle w:val="NormalWeb"/>
        <w:spacing w:before="0" w:beforeAutospacing="0" w:after="0" w:afterAutospacing="0" w:line="480" w:lineRule="auto"/>
        <w:ind w:left="720"/>
        <w:contextualSpacing/>
      </w:pPr>
      <w:proofErr w:type="spellStart"/>
      <w:r>
        <w:t>Dermody</w:t>
      </w:r>
      <w:proofErr w:type="spellEnd"/>
      <w:r w:rsidR="00130772" w:rsidRPr="00945A7D">
        <w:t xml:space="preserve">, G., </w:t>
      </w:r>
      <w:r>
        <w:t>Wadsw</w:t>
      </w:r>
      <w:r w:rsidR="00130772" w:rsidRPr="00945A7D">
        <w:t xml:space="preserve">orth, </w:t>
      </w:r>
      <w:r w:rsidR="003E1F6A">
        <w:t>D.,</w:t>
      </w:r>
      <w:r w:rsidR="00130772" w:rsidRPr="00945A7D">
        <w:t xml:space="preserve"> Dunham, M., Glass, C. and Fritz, R. (2024). Factors Affecting Clinician Readiness to Adopt Smart Home Technology for Remote Health Monitoring: Systematic Review. </w:t>
      </w:r>
      <w:r w:rsidR="00130772" w:rsidRPr="00945A7D">
        <w:rPr>
          <w:i/>
          <w:iCs/>
        </w:rPr>
        <w:t>JMIR Aging</w:t>
      </w:r>
      <w:r w:rsidR="00130772" w:rsidRPr="00945A7D">
        <w:t xml:space="preserve">, [online] 7, p.e64367. doi: </w:t>
      </w:r>
      <w:hyperlink r:id="rId7" w:history="1">
        <w:r w:rsidR="00130772" w:rsidRPr="00945A7D">
          <w:rPr>
            <w:rStyle w:val="Hyperlink"/>
          </w:rPr>
          <w:t>https://doi.org/10.2196/64367</w:t>
        </w:r>
      </w:hyperlink>
      <w:r w:rsidR="00130772" w:rsidRPr="00945A7D">
        <w:t xml:space="preserve">. </w:t>
      </w:r>
    </w:p>
    <w:p w14:paraId="2A37EBD1" w14:textId="77777777" w:rsidR="00130772" w:rsidRPr="00945A7D" w:rsidRDefault="00130772" w:rsidP="009F5C42">
      <w:pPr>
        <w:pStyle w:val="NormalWeb"/>
        <w:spacing w:before="0" w:beforeAutospacing="0" w:after="0" w:afterAutospacing="0" w:line="480" w:lineRule="auto"/>
        <w:ind w:left="720"/>
        <w:contextualSpacing/>
      </w:pPr>
      <w:r w:rsidRPr="00945A7D">
        <w:t xml:space="preserve">Fernández-Solana, J., Vélez-Santamaría, R., Sánchez-Iglesias, A.I., Villanueva-Alameda, M.I., González-Bernal, J.J. and González-Santos, J. (2026). IoT-Based Intervention and Home Support to Address Frailty-Related Vulnerability and Well-Being in Older Adults Living in Rural Areas. </w:t>
      </w:r>
      <w:r w:rsidRPr="00945A7D">
        <w:rPr>
          <w:i/>
          <w:iCs/>
        </w:rPr>
        <w:t>Sensors</w:t>
      </w:r>
      <w:r w:rsidRPr="00945A7D">
        <w:t xml:space="preserve">, [online] 26(3), p.975. doi: </w:t>
      </w:r>
      <w:hyperlink r:id="rId8" w:history="1">
        <w:r w:rsidRPr="00945A7D">
          <w:rPr>
            <w:rStyle w:val="Hyperlink"/>
          </w:rPr>
          <w:t>https://doi.org/10.3390/s26030975</w:t>
        </w:r>
      </w:hyperlink>
      <w:r w:rsidRPr="00945A7D">
        <w:t xml:space="preserve">. </w:t>
      </w:r>
    </w:p>
    <w:p w14:paraId="3E5E7DE1" w14:textId="77777777" w:rsidR="00130772" w:rsidRPr="00945A7D" w:rsidRDefault="00130772" w:rsidP="009F5C42">
      <w:pPr>
        <w:pStyle w:val="NormalWeb"/>
        <w:spacing w:before="0" w:beforeAutospacing="0" w:after="0" w:afterAutospacing="0" w:line="480" w:lineRule="auto"/>
        <w:ind w:left="720"/>
        <w:contextualSpacing/>
      </w:pPr>
      <w:r w:rsidRPr="00945A7D">
        <w:t xml:space="preserve">Gong, E.J., Bang, C.S., Lee, J.J. and Baik, G.H. (2025). Smart Ring in Clinical Medicine: A Systematic Review. </w:t>
      </w:r>
      <w:r w:rsidRPr="00945A7D">
        <w:rPr>
          <w:i/>
          <w:iCs/>
        </w:rPr>
        <w:t>Biomimetics</w:t>
      </w:r>
      <w:r w:rsidRPr="00945A7D">
        <w:t xml:space="preserve">, [online] 10(12), p.819. doi: </w:t>
      </w:r>
      <w:hyperlink r:id="rId9" w:history="1">
        <w:r w:rsidRPr="00945A7D">
          <w:rPr>
            <w:rStyle w:val="Hyperlink"/>
          </w:rPr>
          <w:t>https://doi.org/10.3390/biomimetics10120819</w:t>
        </w:r>
      </w:hyperlink>
      <w:r w:rsidRPr="00945A7D">
        <w:t xml:space="preserve">. </w:t>
      </w:r>
    </w:p>
    <w:p w14:paraId="4A0FE91E" w14:textId="77777777" w:rsidR="00130772" w:rsidRPr="00945A7D" w:rsidRDefault="00130772" w:rsidP="009F5C42">
      <w:pPr>
        <w:pStyle w:val="NormalWeb"/>
        <w:spacing w:before="0" w:beforeAutospacing="0" w:after="0" w:afterAutospacing="0" w:line="480" w:lineRule="auto"/>
        <w:ind w:left="720"/>
        <w:contextualSpacing/>
      </w:pPr>
      <w:r w:rsidRPr="00945A7D">
        <w:t xml:space="preserve">Pinazo-Hernandis, S., Blanco-Molina, M. and Ortega-Moreno, R. (2022). Aging in Place: Connections, Relationships, Social Participation and Social Support in the Face of Crisis Situations. </w:t>
      </w:r>
      <w:r w:rsidRPr="00945A7D">
        <w:rPr>
          <w:i/>
          <w:iCs/>
        </w:rPr>
        <w:t>International Journal of Environmental Research and Public Health</w:t>
      </w:r>
      <w:r w:rsidRPr="00945A7D">
        <w:t xml:space="preserve">, [online] 19(24), p.16623. doi: </w:t>
      </w:r>
      <w:hyperlink r:id="rId10" w:history="1">
        <w:r w:rsidRPr="00945A7D">
          <w:rPr>
            <w:rStyle w:val="Hyperlink"/>
          </w:rPr>
          <w:t>https://doi.org/10.3390/ijerph192416623</w:t>
        </w:r>
      </w:hyperlink>
      <w:r w:rsidRPr="00945A7D">
        <w:t xml:space="preserve">. </w:t>
      </w:r>
    </w:p>
    <w:p w14:paraId="5F6F0F92" w14:textId="2748B56D" w:rsidR="00130772" w:rsidRPr="00945A7D" w:rsidRDefault="00130772" w:rsidP="009F5C42">
      <w:pPr>
        <w:pStyle w:val="NormalWeb"/>
        <w:spacing w:before="0" w:beforeAutospacing="0" w:after="0" w:afterAutospacing="0" w:line="480" w:lineRule="auto"/>
        <w:ind w:left="720"/>
        <w:contextualSpacing/>
      </w:pPr>
      <w:r w:rsidRPr="00945A7D">
        <w:t xml:space="preserve">Po, H.-W., Chu, Y.-C., Tsai, H.-C., Lin, C.-L., Chen, C.-Y. and Ma, M.H.-M. (2024). Efficacy of Remote Health </w:t>
      </w:r>
      <w:r w:rsidR="00BA407F">
        <w:t>Monitoring</w:t>
      </w:r>
      <w:r w:rsidRPr="00945A7D">
        <w:t xml:space="preserve"> </w:t>
      </w:r>
      <w:r w:rsidR="00BA407F">
        <w:t>in</w:t>
      </w:r>
      <w:r w:rsidRPr="00945A7D">
        <w:t xml:space="preserve"> </w:t>
      </w:r>
      <w:r w:rsidR="00BA407F">
        <w:t>Reduci</w:t>
      </w:r>
      <w:r w:rsidR="004348DB">
        <w:t>n</w:t>
      </w:r>
      <w:r w:rsidRPr="00945A7D">
        <w:t xml:space="preserve">g </w:t>
      </w:r>
      <w:r w:rsidR="004348DB">
        <w:t>Hospita</w:t>
      </w:r>
      <w:r w:rsidRPr="00945A7D">
        <w:t xml:space="preserve">l </w:t>
      </w:r>
      <w:r w:rsidR="004348DB">
        <w:t>Readmissions</w:t>
      </w:r>
      <w:r w:rsidRPr="00945A7D">
        <w:t xml:space="preserve"> </w:t>
      </w:r>
      <w:r w:rsidR="00DC0452">
        <w:t xml:space="preserve">Among High-Risk </w:t>
      </w:r>
      <w:r w:rsidR="00DC0452" w:rsidRPr="00945A7D">
        <w:t>Post discharge</w:t>
      </w:r>
      <w:r w:rsidRPr="00945A7D">
        <w:t xml:space="preserve"> </w:t>
      </w:r>
      <w:r w:rsidR="00AC79C8">
        <w:t>Patient:</w:t>
      </w:r>
      <w:r w:rsidRPr="00945A7D">
        <w:t xml:space="preserve"> </w:t>
      </w:r>
      <w:r w:rsidR="00AC79C8">
        <w:t>Prospecti</w:t>
      </w:r>
      <w:r w:rsidRPr="00945A7D">
        <w:t xml:space="preserve">ve </w:t>
      </w:r>
      <w:r w:rsidR="00AC79C8">
        <w:t>Cohort Stud</w:t>
      </w:r>
      <w:r w:rsidRPr="00945A7D">
        <w:t xml:space="preserve">y. </w:t>
      </w:r>
      <w:r w:rsidRPr="00945A7D">
        <w:rPr>
          <w:i/>
          <w:iCs/>
        </w:rPr>
        <w:t xml:space="preserve">JMIR </w:t>
      </w:r>
      <w:r w:rsidR="009D19F8">
        <w:rPr>
          <w:i/>
          <w:iCs/>
        </w:rPr>
        <w:t>Formative</w:t>
      </w:r>
      <w:r w:rsidRPr="00945A7D">
        <w:rPr>
          <w:i/>
          <w:iCs/>
        </w:rPr>
        <w:t xml:space="preserve"> </w:t>
      </w:r>
      <w:r w:rsidR="009D19F8">
        <w:rPr>
          <w:i/>
          <w:iCs/>
        </w:rPr>
        <w:t>Research</w:t>
      </w:r>
      <w:r w:rsidRPr="00945A7D">
        <w:t xml:space="preserve">, [online] 8, p.e53455. doi: </w:t>
      </w:r>
      <w:hyperlink r:id="rId11" w:history="1">
        <w:r w:rsidRPr="00945A7D">
          <w:rPr>
            <w:rStyle w:val="Hyperlink"/>
          </w:rPr>
          <w:t>https://doi.org/10.2196/53455</w:t>
        </w:r>
      </w:hyperlink>
      <w:r w:rsidRPr="00945A7D">
        <w:t xml:space="preserve">. </w:t>
      </w:r>
    </w:p>
    <w:p w14:paraId="42B52E8D" w14:textId="0162809E" w:rsidR="00130772" w:rsidRPr="00945A7D" w:rsidRDefault="00130772" w:rsidP="009F5C42">
      <w:pPr>
        <w:pStyle w:val="NormalWeb"/>
        <w:spacing w:before="0" w:beforeAutospacing="0" w:after="0" w:afterAutospacing="0" w:line="480" w:lineRule="auto"/>
        <w:ind w:left="720"/>
        <w:contextualSpacing/>
      </w:pPr>
      <w:r w:rsidRPr="00945A7D">
        <w:t xml:space="preserve">Rahmadani, F., Alshamsi, F., Almazrouei, B., </w:t>
      </w:r>
      <w:proofErr w:type="spellStart"/>
      <w:r w:rsidR="009D19F8">
        <w:t>Hanaya</w:t>
      </w:r>
      <w:proofErr w:type="spellEnd"/>
      <w:r w:rsidR="009D19F8">
        <w:t xml:space="preserve"> </w:t>
      </w:r>
      <w:proofErr w:type="spellStart"/>
      <w:r w:rsidRPr="00945A7D">
        <w:t>Alsuwaidi</w:t>
      </w:r>
      <w:proofErr w:type="spellEnd"/>
      <w:r w:rsidRPr="00945A7D">
        <w:t xml:space="preserve">, A., Alhammadi, M. and Simsekler, M.C.E. (2025). </w:t>
      </w:r>
      <w:r w:rsidR="00003470">
        <w:t>Streamlining Patient Fall</w:t>
      </w:r>
      <w:r w:rsidRPr="00945A7D">
        <w:t xml:space="preserve"> </w:t>
      </w:r>
      <w:r w:rsidR="00003470">
        <w:t xml:space="preserve">Prevention </w:t>
      </w:r>
      <w:r w:rsidR="00084D36">
        <w:t xml:space="preserve">Management </w:t>
      </w:r>
      <w:r w:rsidRPr="00945A7D">
        <w:t xml:space="preserve">Through </w:t>
      </w:r>
      <w:r w:rsidR="00084D36">
        <w:t>Human-</w:t>
      </w:r>
      <w:r w:rsidRPr="00945A7D">
        <w:t xml:space="preserve">Centered AI-Based </w:t>
      </w:r>
      <w:r w:rsidR="00A47ECD">
        <w:t>Decision</w:t>
      </w:r>
      <w:r w:rsidRPr="00945A7D">
        <w:t xml:space="preserve"> </w:t>
      </w:r>
      <w:r w:rsidR="00A47ECD">
        <w:t>Systems</w:t>
      </w:r>
      <w:r w:rsidRPr="00945A7D">
        <w:t xml:space="preserve">. </w:t>
      </w:r>
      <w:r w:rsidR="00A47ECD">
        <w:rPr>
          <w:i/>
          <w:iCs/>
        </w:rPr>
        <w:t xml:space="preserve">Risk </w:t>
      </w:r>
      <w:r w:rsidRPr="00945A7D">
        <w:rPr>
          <w:i/>
          <w:iCs/>
        </w:rPr>
        <w:t xml:space="preserve"> </w:t>
      </w:r>
      <w:r w:rsidR="00A47ECD">
        <w:rPr>
          <w:i/>
          <w:iCs/>
        </w:rPr>
        <w:t>Management an</w:t>
      </w:r>
      <w:r w:rsidRPr="00945A7D">
        <w:rPr>
          <w:i/>
          <w:iCs/>
        </w:rPr>
        <w:t xml:space="preserve">d </w:t>
      </w:r>
      <w:r w:rsidR="00A47ECD">
        <w:rPr>
          <w:i/>
          <w:iCs/>
        </w:rPr>
        <w:t>Healthcare</w:t>
      </w:r>
      <w:r w:rsidRPr="00945A7D">
        <w:rPr>
          <w:i/>
          <w:iCs/>
        </w:rPr>
        <w:t xml:space="preserve"> </w:t>
      </w:r>
      <w:r w:rsidR="00A47ECD">
        <w:rPr>
          <w:i/>
          <w:iCs/>
        </w:rPr>
        <w:t>Policy</w:t>
      </w:r>
      <w:r w:rsidRPr="00945A7D">
        <w:t xml:space="preserve">, [online] Volume 18, pp.3051–3062. doi: </w:t>
      </w:r>
      <w:hyperlink r:id="rId12" w:history="1">
        <w:r w:rsidRPr="00945A7D">
          <w:rPr>
            <w:rStyle w:val="Hyperlink"/>
          </w:rPr>
          <w:t>https://doi.org/10.2147/rmhp.s516070</w:t>
        </w:r>
      </w:hyperlink>
      <w:r w:rsidRPr="00945A7D">
        <w:t xml:space="preserve">. </w:t>
      </w:r>
    </w:p>
    <w:p w14:paraId="3BC7C13F" w14:textId="164CF84F" w:rsidR="00130772" w:rsidRPr="00945A7D" w:rsidRDefault="00130772" w:rsidP="009F5C42">
      <w:pPr>
        <w:pStyle w:val="NormalWeb"/>
        <w:spacing w:before="0" w:beforeAutospacing="0" w:after="0" w:afterAutospacing="0" w:line="480" w:lineRule="auto"/>
        <w:ind w:left="720"/>
        <w:contextualSpacing/>
      </w:pPr>
      <w:r w:rsidRPr="00945A7D">
        <w:t xml:space="preserve">Ratnayake, M., Lukas, S., Brathwaite, S., Neave, J. and Henry, H. (2022). Aging in </w:t>
      </w:r>
      <w:r w:rsidR="00D51B3C" w:rsidRPr="00945A7D">
        <w:t>Place:</w:t>
      </w:r>
      <w:r w:rsidR="00D51B3C">
        <w:t xml:space="preserve"> Delaware</w:t>
      </w:r>
      <w:r w:rsidR="00766D96">
        <w:t xml:space="preserve"> </w:t>
      </w:r>
      <w:r w:rsidRPr="00945A7D">
        <w:rPr>
          <w:i/>
          <w:iCs/>
        </w:rPr>
        <w:t>Journal of Public Health</w:t>
      </w:r>
      <w:r w:rsidRPr="00945A7D">
        <w:t xml:space="preserve">, [online] 8(3), pp.28–31. doi: </w:t>
      </w:r>
      <w:hyperlink r:id="rId13" w:history="1">
        <w:r w:rsidRPr="00945A7D">
          <w:rPr>
            <w:rStyle w:val="Hyperlink"/>
          </w:rPr>
          <w:t>https://doi.org/10.32481/djph.2022.08.007</w:t>
        </w:r>
      </w:hyperlink>
      <w:r w:rsidRPr="00945A7D">
        <w:t xml:space="preserve">. </w:t>
      </w:r>
    </w:p>
    <w:p w14:paraId="794D688C" w14:textId="77777777" w:rsidR="00130772" w:rsidRPr="00945A7D" w:rsidRDefault="00130772" w:rsidP="009F5C42">
      <w:pPr>
        <w:pStyle w:val="NormalWeb"/>
        <w:spacing w:before="0" w:beforeAutospacing="0" w:after="0" w:afterAutospacing="0" w:line="480" w:lineRule="auto"/>
        <w:ind w:left="720"/>
        <w:contextualSpacing/>
      </w:pPr>
      <w:r w:rsidRPr="00945A7D">
        <w:t xml:space="preserve">Salma, I., Testa, D., Mpoy, J., Perez-Torrents, J., Rehault, J., Cabanes, E. and Minvielle, E. (2025). Remote monitoring system for older adults at risk for complications: a scoping review. </w:t>
      </w:r>
      <w:r w:rsidRPr="00945A7D">
        <w:rPr>
          <w:i/>
          <w:iCs/>
        </w:rPr>
        <w:t>BMC Geriatrics</w:t>
      </w:r>
      <w:r w:rsidRPr="00945A7D">
        <w:t xml:space="preserve">, [online] 25(1). doi: </w:t>
      </w:r>
      <w:hyperlink r:id="rId14" w:history="1">
        <w:r w:rsidRPr="00945A7D">
          <w:rPr>
            <w:rStyle w:val="Hyperlink"/>
          </w:rPr>
          <w:t>https://doi.org/10.1186/s12877-025-06385-8</w:t>
        </w:r>
      </w:hyperlink>
      <w:r w:rsidRPr="00945A7D">
        <w:t xml:space="preserve">. </w:t>
      </w:r>
    </w:p>
    <w:p w14:paraId="29B0BAD2" w14:textId="77777777" w:rsidR="00130772" w:rsidRPr="00945A7D" w:rsidRDefault="00130772" w:rsidP="009F5C42">
      <w:pPr>
        <w:pStyle w:val="NormalWeb"/>
        <w:spacing w:before="0" w:beforeAutospacing="0" w:after="0" w:afterAutospacing="0" w:line="480" w:lineRule="auto"/>
        <w:ind w:left="720"/>
        <w:contextualSpacing/>
      </w:pPr>
      <w:r w:rsidRPr="00945A7D">
        <w:t xml:space="preserve">Scerri, A., Schou Juul, F., Silva, R., Serrat, R., Grech, A., Jarašiūnaitė Fedosejeva, G., Celdrán, M., Trypka, E., Borg Xuereb, C., Korkmaz-Yaylagul, N., Evripidou, M., Alexandre, I.M. and Lauridsen, S. (2025). Ethical issues associated with assistive technologies for persons living with dementia and their caregivers – An overview of reviews. </w:t>
      </w:r>
      <w:r w:rsidRPr="00945A7D">
        <w:rPr>
          <w:i/>
          <w:iCs/>
        </w:rPr>
        <w:t>Dementia</w:t>
      </w:r>
      <w:r w:rsidRPr="00945A7D">
        <w:t xml:space="preserve">. [online] doi: </w:t>
      </w:r>
      <w:hyperlink r:id="rId15" w:history="1">
        <w:r w:rsidRPr="00945A7D">
          <w:rPr>
            <w:rStyle w:val="Hyperlink"/>
          </w:rPr>
          <w:t>https://doi.org/10.1177/14713012251341374</w:t>
        </w:r>
      </w:hyperlink>
      <w:r w:rsidRPr="00945A7D">
        <w:t xml:space="preserve">. </w:t>
      </w:r>
    </w:p>
    <w:p w14:paraId="7BFBDCC8" w14:textId="77777777" w:rsidR="00130772" w:rsidRPr="00945A7D" w:rsidRDefault="00130772" w:rsidP="009F5C42">
      <w:pPr>
        <w:pStyle w:val="NormalWeb"/>
        <w:spacing w:before="0" w:beforeAutospacing="0" w:after="0" w:afterAutospacing="0" w:line="480" w:lineRule="auto"/>
        <w:ind w:left="720"/>
        <w:contextualSpacing/>
      </w:pPr>
      <w:r w:rsidRPr="00945A7D">
        <w:t xml:space="preserve">Shojaei, P., Vlahu-Gjorgievska, E. and Chow, Y.-W. (2024). Security and Privacy of Technologies in Health Information Systems: A Systematic Literature Review. </w:t>
      </w:r>
      <w:r w:rsidRPr="00945A7D">
        <w:rPr>
          <w:i/>
          <w:iCs/>
        </w:rPr>
        <w:t>Computers</w:t>
      </w:r>
      <w:r w:rsidRPr="00945A7D">
        <w:t xml:space="preserve">, [online] 13(2), p.41. doi: </w:t>
      </w:r>
      <w:hyperlink r:id="rId16" w:history="1">
        <w:r w:rsidRPr="00945A7D">
          <w:rPr>
            <w:rStyle w:val="Hyperlink"/>
          </w:rPr>
          <w:t>https://doi.org/10.3390/computers13020041</w:t>
        </w:r>
      </w:hyperlink>
      <w:r w:rsidRPr="00945A7D">
        <w:t xml:space="preserve">. </w:t>
      </w:r>
    </w:p>
    <w:p w14:paraId="0851E456" w14:textId="77777777" w:rsidR="00130772" w:rsidRPr="00945A7D" w:rsidRDefault="00130772" w:rsidP="009F5C42">
      <w:pPr>
        <w:pStyle w:val="NormalWeb"/>
        <w:spacing w:before="0" w:beforeAutospacing="0" w:after="0" w:afterAutospacing="0" w:line="480" w:lineRule="auto"/>
        <w:ind w:left="720"/>
        <w:contextualSpacing/>
      </w:pPr>
      <w:r w:rsidRPr="00945A7D">
        <w:t xml:space="preserve">Stamate, A., Marzan, M.-D., Velciu, M., Paul, C. and Spiru, L. (2024). Advancing user-centric design and technology adoption for aging populations: a multifaceted approach. </w:t>
      </w:r>
      <w:r w:rsidRPr="00945A7D">
        <w:rPr>
          <w:i/>
          <w:iCs/>
        </w:rPr>
        <w:t>Frontiers in Public Health</w:t>
      </w:r>
      <w:r w:rsidRPr="00945A7D">
        <w:t xml:space="preserve">, [online] 12. doi: </w:t>
      </w:r>
      <w:hyperlink r:id="rId17" w:history="1">
        <w:r w:rsidRPr="00945A7D">
          <w:rPr>
            <w:rStyle w:val="Hyperlink"/>
          </w:rPr>
          <w:t>https://doi.org/10.3389/fpubh.2024.1469815</w:t>
        </w:r>
      </w:hyperlink>
      <w:r w:rsidRPr="00945A7D">
        <w:t xml:space="preserve">. </w:t>
      </w:r>
    </w:p>
    <w:p w14:paraId="48B17E80" w14:textId="77777777" w:rsidR="00130772" w:rsidRPr="00945A7D" w:rsidRDefault="00130772" w:rsidP="009F5C42">
      <w:pPr>
        <w:pStyle w:val="NormalWeb"/>
        <w:spacing w:before="0" w:beforeAutospacing="0" w:after="0" w:afterAutospacing="0" w:line="480" w:lineRule="auto"/>
        <w:ind w:left="720"/>
        <w:contextualSpacing/>
      </w:pPr>
      <w:r w:rsidRPr="00945A7D">
        <w:t xml:space="preserve">Straughan, P., Tan, Y.W., Tiew, Z., Zheng, Z., Ngu, R. and Hiah, W.T. (2025). Ageing in Place—The Key to Receiving a Superaged Society. </w:t>
      </w:r>
      <w:r w:rsidRPr="00945A7D">
        <w:rPr>
          <w:i/>
          <w:iCs/>
        </w:rPr>
        <w:t>Populations</w:t>
      </w:r>
      <w:r w:rsidRPr="00945A7D">
        <w:t xml:space="preserve">, [online] 1(2), p.7. doi: </w:t>
      </w:r>
      <w:hyperlink r:id="rId18" w:history="1">
        <w:r w:rsidRPr="00945A7D">
          <w:rPr>
            <w:rStyle w:val="Hyperlink"/>
          </w:rPr>
          <w:t>https://doi.org/10.3390/populations1020007</w:t>
        </w:r>
      </w:hyperlink>
      <w:r w:rsidRPr="00945A7D">
        <w:t xml:space="preserve">. </w:t>
      </w:r>
    </w:p>
    <w:p w14:paraId="5C4EC45F" w14:textId="77777777" w:rsidR="00130772" w:rsidRPr="00945A7D" w:rsidRDefault="00130772" w:rsidP="009F5C42">
      <w:pPr>
        <w:pStyle w:val="NormalWeb"/>
        <w:spacing w:before="0" w:beforeAutospacing="0" w:after="0" w:afterAutospacing="0" w:line="480" w:lineRule="auto"/>
        <w:ind w:left="720"/>
        <w:contextualSpacing/>
      </w:pPr>
      <w:r w:rsidRPr="00945A7D">
        <w:t xml:space="preserve">Vieira, L.B., Reis, A.M.M., Ramos, C. de Á., Reis, T.M. dos and Cassiani, S.H. de B. (2021). The use of an electronic medication organizer device with alarm to improve medication adherence of older adults with hypertension. </w:t>
      </w:r>
      <w:r w:rsidRPr="00945A7D">
        <w:rPr>
          <w:i/>
          <w:iCs/>
        </w:rPr>
        <w:t>Einstein (São Paulo)</w:t>
      </w:r>
      <w:r w:rsidRPr="00945A7D">
        <w:t xml:space="preserve">, [online] 19. doi: </w:t>
      </w:r>
      <w:hyperlink r:id="rId19" w:history="1">
        <w:r w:rsidRPr="00945A7D">
          <w:rPr>
            <w:rStyle w:val="Hyperlink"/>
          </w:rPr>
          <w:t>https://doi.org/10.31744/einstein_journal/2021ao6011</w:t>
        </w:r>
      </w:hyperlink>
      <w:r w:rsidRPr="00945A7D">
        <w:t xml:space="preserve">. </w:t>
      </w:r>
    </w:p>
    <w:p w14:paraId="54D0627A" w14:textId="77777777" w:rsidR="00130772" w:rsidRPr="00945A7D" w:rsidRDefault="00130772" w:rsidP="009F5C42">
      <w:pPr>
        <w:pStyle w:val="NormalWeb"/>
        <w:spacing w:before="0" w:beforeAutospacing="0" w:after="0" w:afterAutospacing="0" w:line="480" w:lineRule="auto"/>
        <w:ind w:left="720"/>
        <w:contextualSpacing/>
      </w:pPr>
      <w:r w:rsidRPr="00945A7D">
        <w:t xml:space="preserve">Vrančić, A., Zadravec, H. and Orehovački, T. (2024). The Role of Smart Homes in Providing Care for Older Adults: A Systematic Literature Review from 2010 to 2023. </w:t>
      </w:r>
      <w:r w:rsidRPr="00945A7D">
        <w:rPr>
          <w:i/>
          <w:iCs/>
        </w:rPr>
        <w:t>Smart Cities</w:t>
      </w:r>
      <w:r w:rsidRPr="00945A7D">
        <w:t xml:space="preserve">, [online] 7(4), pp.1502–1550. doi: </w:t>
      </w:r>
      <w:hyperlink r:id="rId20" w:history="1">
        <w:r w:rsidRPr="00945A7D">
          <w:rPr>
            <w:rStyle w:val="Hyperlink"/>
          </w:rPr>
          <w:t>https://doi.org/10.3390/smartcities7040062</w:t>
        </w:r>
      </w:hyperlink>
      <w:r w:rsidRPr="00945A7D">
        <w:t xml:space="preserve">. </w:t>
      </w:r>
    </w:p>
    <w:p w14:paraId="595EC6B9" w14:textId="77777777" w:rsidR="00130772" w:rsidRPr="00945A7D" w:rsidRDefault="00130772" w:rsidP="009F5C42">
      <w:pPr>
        <w:pStyle w:val="NormalWeb"/>
        <w:spacing w:before="0" w:beforeAutospacing="0" w:after="0" w:afterAutospacing="0" w:line="480" w:lineRule="auto"/>
        <w:ind w:left="720"/>
        <w:contextualSpacing/>
      </w:pPr>
      <w:r w:rsidRPr="00945A7D">
        <w:t xml:space="preserve">Wainwright, J.E., Bennett, A., Randhawa, G., Pappas, Y., Singh, H. and Cook, E.J. (2026). Assessing the impact of automated devices for enhancing health and reducing medication errors in older adults with long-term health conditions (ADHERE): a study protocol for a randomised controlled trial in Bedfordshire, Luton and Milton Keynes, UK. </w:t>
      </w:r>
      <w:r w:rsidRPr="00945A7D">
        <w:rPr>
          <w:i/>
          <w:iCs/>
        </w:rPr>
        <w:t>BMJ Open</w:t>
      </w:r>
      <w:r w:rsidRPr="00945A7D">
        <w:t xml:space="preserve">, [online] 16(1), p.e104359. doi: </w:t>
      </w:r>
      <w:hyperlink r:id="rId21" w:history="1">
        <w:r w:rsidRPr="00945A7D">
          <w:rPr>
            <w:rStyle w:val="Hyperlink"/>
          </w:rPr>
          <w:t>https://doi.org/10.1136/bmjopen-2025-104359</w:t>
        </w:r>
      </w:hyperlink>
      <w:r w:rsidRPr="00945A7D">
        <w:t xml:space="preserve">. </w:t>
      </w:r>
    </w:p>
    <w:p w14:paraId="23FA9055" w14:textId="4689057D" w:rsidR="00130772" w:rsidRPr="00945A7D" w:rsidRDefault="00130772" w:rsidP="009F5C42">
      <w:pPr>
        <w:pStyle w:val="NormalWeb"/>
        <w:spacing w:before="0" w:beforeAutospacing="0" w:after="0" w:afterAutospacing="0" w:line="480" w:lineRule="auto"/>
        <w:ind w:left="720"/>
        <w:contextualSpacing/>
      </w:pPr>
      <w:r w:rsidRPr="00945A7D">
        <w:t xml:space="preserve">Wu, C. and Lim, G.G. (2024). Investigating older </w:t>
      </w:r>
      <w:r w:rsidR="00022FFA" w:rsidRPr="00945A7D">
        <w:t>adults’</w:t>
      </w:r>
      <w:r w:rsidRPr="00945A7D">
        <w:t xml:space="preserve"> users’ willingness to adopt wearable devices by integrating the technology acceptance model (UTAUT2) and the Technology Readiness Index theory. </w:t>
      </w:r>
      <w:r w:rsidRPr="00945A7D">
        <w:rPr>
          <w:i/>
          <w:iCs/>
        </w:rPr>
        <w:t>Frontiers in Public Health</w:t>
      </w:r>
      <w:r w:rsidRPr="00945A7D">
        <w:t xml:space="preserve">, [online] 12. doi: </w:t>
      </w:r>
      <w:hyperlink r:id="rId22" w:history="1">
        <w:r w:rsidRPr="00945A7D">
          <w:rPr>
            <w:rStyle w:val="Hyperlink"/>
          </w:rPr>
          <w:t>https://doi.org/10.3389/fpubh.2024.1449594</w:t>
        </w:r>
      </w:hyperlink>
      <w:r w:rsidRPr="00945A7D">
        <w:t xml:space="preserve">. </w:t>
      </w:r>
    </w:p>
    <w:p w14:paraId="5E7FE0A6" w14:textId="4BDE0D72" w:rsidR="00130772" w:rsidRPr="00945A7D" w:rsidRDefault="00130772" w:rsidP="009F5C42">
      <w:pPr>
        <w:pStyle w:val="NormalWeb"/>
        <w:spacing w:before="0" w:beforeAutospacing="0" w:after="0" w:afterAutospacing="0" w:line="480" w:lineRule="auto"/>
        <w:ind w:left="720"/>
        <w:contextualSpacing/>
      </w:pPr>
      <w:r w:rsidRPr="00945A7D">
        <w:t xml:space="preserve">Zoellick, J.C., Lech, S., O’Sullivan, J.L., Jansen, E., Supplieth, J., Kuhnert, R., Grittner, U. and Schuster, J. (2025). Fall sensors, home emergency system, and social service for ≥ 75-year-olds living at home - a matched control intervention study. </w:t>
      </w:r>
      <w:r w:rsidRPr="00945A7D">
        <w:rPr>
          <w:i/>
          <w:iCs/>
        </w:rPr>
        <w:t>BMC Geriatrics</w:t>
      </w:r>
      <w:r w:rsidRPr="00945A7D">
        <w:t xml:space="preserve">, [online] 25(1). doi: </w:t>
      </w:r>
      <w:hyperlink r:id="rId23" w:history="1">
        <w:r w:rsidRPr="00945A7D">
          <w:rPr>
            <w:rStyle w:val="Hyperlink"/>
          </w:rPr>
          <w:t>https://doi.org/10.1186/s12877-025-05856-2</w:t>
        </w:r>
      </w:hyperlink>
      <w:r w:rsidRPr="00945A7D">
        <w:t xml:space="preserve">. </w:t>
      </w:r>
      <w:r w:rsidR="00022FFA" w:rsidRPr="00945A7D">
        <w:t xml:space="preserve"> </w:t>
      </w:r>
    </w:p>
    <w:p w14:paraId="6ADA1CFD" w14:textId="77777777" w:rsidR="00130772" w:rsidRPr="00945A7D" w:rsidRDefault="00130772" w:rsidP="009F5C42">
      <w:pPr>
        <w:pStyle w:val="NormalWeb"/>
        <w:spacing w:before="0" w:beforeAutospacing="0" w:after="0" w:afterAutospacing="0" w:line="480" w:lineRule="auto"/>
        <w:ind w:left="720"/>
        <w:contextualSpacing/>
        <w:rPr>
          <w:b/>
          <w:bCs/>
          <w:color w:val="0E101A"/>
        </w:rPr>
      </w:pPr>
    </w:p>
    <w:p w14:paraId="4C970A33" w14:textId="77777777" w:rsidR="00130772" w:rsidRPr="00945A7D" w:rsidRDefault="00130772" w:rsidP="009F5C42">
      <w:pPr>
        <w:spacing w:after="0" w:line="480" w:lineRule="auto"/>
        <w:contextualSpacing/>
        <w:jc w:val="both"/>
        <w:rPr>
          <w:rFonts w:ascii="Times New Roman" w:hAnsi="Times New Roman" w:cs="Times New Roman"/>
        </w:rPr>
      </w:pPr>
    </w:p>
    <w:p w14:paraId="596F1CC5" w14:textId="77777777" w:rsidR="00130772" w:rsidRPr="00945A7D" w:rsidRDefault="00130772" w:rsidP="009F5C42">
      <w:pPr>
        <w:rPr>
          <w:rFonts w:ascii="Times New Roman" w:hAnsi="Times New Roman" w:cs="Times New Roman"/>
        </w:rPr>
      </w:pPr>
    </w:p>
    <w:sectPr w:rsidR="00130772" w:rsidRPr="00945A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772"/>
    <w:rsid w:val="00003470"/>
    <w:rsid w:val="00022FFA"/>
    <w:rsid w:val="00084D36"/>
    <w:rsid w:val="000A2CFB"/>
    <w:rsid w:val="000A5CC8"/>
    <w:rsid w:val="000B7164"/>
    <w:rsid w:val="00130772"/>
    <w:rsid w:val="0019415F"/>
    <w:rsid w:val="001D39D6"/>
    <w:rsid w:val="00221BC6"/>
    <w:rsid w:val="00264096"/>
    <w:rsid w:val="002A720D"/>
    <w:rsid w:val="002F2BAE"/>
    <w:rsid w:val="002F6067"/>
    <w:rsid w:val="0034358F"/>
    <w:rsid w:val="00365FF8"/>
    <w:rsid w:val="0038316B"/>
    <w:rsid w:val="003C4549"/>
    <w:rsid w:val="003E1F6A"/>
    <w:rsid w:val="004348DB"/>
    <w:rsid w:val="004E3F1A"/>
    <w:rsid w:val="00572B4E"/>
    <w:rsid w:val="00584C36"/>
    <w:rsid w:val="0074383D"/>
    <w:rsid w:val="007473D3"/>
    <w:rsid w:val="00764D7A"/>
    <w:rsid w:val="00766D96"/>
    <w:rsid w:val="007C15AC"/>
    <w:rsid w:val="00945A7D"/>
    <w:rsid w:val="009650FC"/>
    <w:rsid w:val="00982202"/>
    <w:rsid w:val="009D19F8"/>
    <w:rsid w:val="009D602A"/>
    <w:rsid w:val="009F5C42"/>
    <w:rsid w:val="00A47ECD"/>
    <w:rsid w:val="00A562B2"/>
    <w:rsid w:val="00A9720C"/>
    <w:rsid w:val="00AC33BF"/>
    <w:rsid w:val="00AC79C8"/>
    <w:rsid w:val="00AD4608"/>
    <w:rsid w:val="00B27344"/>
    <w:rsid w:val="00B72004"/>
    <w:rsid w:val="00BA407F"/>
    <w:rsid w:val="00D02278"/>
    <w:rsid w:val="00D51972"/>
    <w:rsid w:val="00D51B3C"/>
    <w:rsid w:val="00D83A35"/>
    <w:rsid w:val="00DC0452"/>
    <w:rsid w:val="00E154DF"/>
    <w:rsid w:val="00E321A5"/>
    <w:rsid w:val="00E81FAA"/>
    <w:rsid w:val="00E84A91"/>
    <w:rsid w:val="00EE6920"/>
    <w:rsid w:val="00EF010D"/>
    <w:rsid w:val="00EF60E8"/>
    <w:rsid w:val="00F07132"/>
    <w:rsid w:val="00F2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5B7E61"/>
  <w15:chartTrackingRefBased/>
  <w15:docId w15:val="{D88D61AE-929B-4E21-A4AD-38E0A0B4D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0772"/>
  </w:style>
  <w:style w:type="paragraph" w:styleId="Heading1">
    <w:name w:val="heading 1"/>
    <w:basedOn w:val="Normal"/>
    <w:next w:val="Normal"/>
    <w:link w:val="Heading1Char"/>
    <w:uiPriority w:val="9"/>
    <w:qFormat/>
    <w:rsid w:val="001307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07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07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07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07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07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07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07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07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07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07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07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077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077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07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07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07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07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07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07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07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07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07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07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07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077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07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077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0772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1307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13077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3390/s26030975" TargetMode="External" /><Relationship Id="rId13" Type="http://schemas.openxmlformats.org/officeDocument/2006/relationships/hyperlink" Target="https://doi.org/10.32481/djph.2022.08.007" TargetMode="External" /><Relationship Id="rId18" Type="http://schemas.openxmlformats.org/officeDocument/2006/relationships/hyperlink" Target="https://doi.org/10.3390/populations1020007" TargetMode="External" /><Relationship Id="rId3" Type="http://schemas.openxmlformats.org/officeDocument/2006/relationships/webSettings" Target="webSettings.xml" /><Relationship Id="rId21" Type="http://schemas.openxmlformats.org/officeDocument/2006/relationships/hyperlink" Target="https://doi.org/10.1136/bmjopen-2025-104359" TargetMode="External" /><Relationship Id="rId7" Type="http://schemas.openxmlformats.org/officeDocument/2006/relationships/hyperlink" Target="https://doi.org/10.2196/64367" TargetMode="External" /><Relationship Id="rId12" Type="http://schemas.openxmlformats.org/officeDocument/2006/relationships/hyperlink" Target="https://doi.org/10.2147/rmhp.s516070" TargetMode="External" /><Relationship Id="rId17" Type="http://schemas.openxmlformats.org/officeDocument/2006/relationships/hyperlink" Target="https://doi.org/10.3389/fpubh.2024.1469815" TargetMode="External" /><Relationship Id="rId25" Type="http://schemas.openxmlformats.org/officeDocument/2006/relationships/theme" Target="theme/theme1.xml" /><Relationship Id="rId2" Type="http://schemas.openxmlformats.org/officeDocument/2006/relationships/settings" Target="settings.xml" /><Relationship Id="rId16" Type="http://schemas.openxmlformats.org/officeDocument/2006/relationships/hyperlink" Target="https://doi.org/10.3390/computers13020041" TargetMode="External" /><Relationship Id="rId20" Type="http://schemas.openxmlformats.org/officeDocument/2006/relationships/hyperlink" Target="https://doi.org/10.3390/smartcities7040062" TargetMode="External" /><Relationship Id="rId1" Type="http://schemas.openxmlformats.org/officeDocument/2006/relationships/styles" Target="styles.xml" /><Relationship Id="rId6" Type="http://schemas.openxmlformats.org/officeDocument/2006/relationships/hyperlink" Target="https://doi.org/10.3390/healthcare13131580" TargetMode="External" /><Relationship Id="rId11" Type="http://schemas.openxmlformats.org/officeDocument/2006/relationships/hyperlink" Target="https://doi.org/10.2196/53455" TargetMode="External" /><Relationship Id="rId24" Type="http://schemas.openxmlformats.org/officeDocument/2006/relationships/fontTable" Target="fontTable.xml" /><Relationship Id="rId5" Type="http://schemas.openxmlformats.org/officeDocument/2006/relationships/hyperlink" Target="https://doi.org/10.1186/s12889-024-18036-5" TargetMode="External" /><Relationship Id="rId15" Type="http://schemas.openxmlformats.org/officeDocument/2006/relationships/hyperlink" Target="https://doi.org/10.1177/14713012251341374" TargetMode="External" /><Relationship Id="rId23" Type="http://schemas.openxmlformats.org/officeDocument/2006/relationships/hyperlink" Target="https://doi.org/10.1186/s12877-025-05856-2" TargetMode="External" /><Relationship Id="rId10" Type="http://schemas.openxmlformats.org/officeDocument/2006/relationships/hyperlink" Target="https://doi.org/10.3390/ijerph192416623" TargetMode="External" /><Relationship Id="rId19" Type="http://schemas.openxmlformats.org/officeDocument/2006/relationships/hyperlink" Target="https://doi.org/10.31744/einstein_journal/2021ao6011" TargetMode="External" /><Relationship Id="rId4" Type="http://schemas.openxmlformats.org/officeDocument/2006/relationships/hyperlink" Target="https://doi.org/10.3390/healthcare12212105" TargetMode="External" /><Relationship Id="rId9" Type="http://schemas.openxmlformats.org/officeDocument/2006/relationships/hyperlink" Target="https://doi.org/10.3390/biomimetics10120819" TargetMode="External" /><Relationship Id="rId14" Type="http://schemas.openxmlformats.org/officeDocument/2006/relationships/hyperlink" Target="https://doi.org/10.1186/s12877-025-06385-8" TargetMode="External" /><Relationship Id="rId22" Type="http://schemas.openxmlformats.org/officeDocument/2006/relationships/hyperlink" Target="https://doi.org/10.3389/fpubh.2024.1449594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1071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Maria Costescu (1913812)</cp:lastModifiedBy>
  <cp:revision>46</cp:revision>
  <dcterms:created xsi:type="dcterms:W3CDTF">2026-03-15T01:29:00Z</dcterms:created>
  <dcterms:modified xsi:type="dcterms:W3CDTF">2026-03-15T02:24:00Z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1c6ea3e4-2886-44ea-907e-7b9ae9bf4c8d</vt:lpwstr>
  </property>
</Properties>
</file>